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DD3E" w14:textId="77777777" w:rsidR="00975A6D" w:rsidRPr="00667B09" w:rsidRDefault="00975A6D" w:rsidP="00C042C6">
      <w:pPr>
        <w:jc w:val="right"/>
      </w:pPr>
    </w:p>
    <w:p w14:paraId="091A50E5" w14:textId="77777777" w:rsidR="00CB5DEA" w:rsidRPr="00667B09" w:rsidRDefault="00CB5DEA"/>
    <w:p w14:paraId="519E0B9A" w14:textId="77777777" w:rsidR="00CB5DEA" w:rsidRPr="00667B09" w:rsidRDefault="00CB5DEA"/>
    <w:p w14:paraId="372FE571" w14:textId="77777777" w:rsidR="00CB5DEA" w:rsidRPr="00667B09" w:rsidRDefault="00CB5DEA"/>
    <w:p w14:paraId="4381F95E" w14:textId="77777777" w:rsidR="00CB5DEA" w:rsidRPr="00667B09" w:rsidRDefault="00CB5DEA"/>
    <w:p w14:paraId="6C485267" w14:textId="77777777" w:rsidR="00CB5DEA" w:rsidRPr="00667B09" w:rsidRDefault="00CB5DEA"/>
    <w:p w14:paraId="2D8E2FA8" w14:textId="77777777" w:rsidR="00CB5DEA" w:rsidRPr="00667B09" w:rsidRDefault="00CB5DEA"/>
    <w:p w14:paraId="42C70BC9" w14:textId="77777777" w:rsidR="00CB5DEA" w:rsidRPr="00667B09" w:rsidRDefault="00CB5DEA"/>
    <w:p w14:paraId="691BE9FF" w14:textId="77777777" w:rsidR="00CB5DEA" w:rsidRPr="00667B09" w:rsidRDefault="00CB5DEA"/>
    <w:p w14:paraId="6EECBC84" w14:textId="77777777" w:rsidR="00CB5DEA" w:rsidRPr="00667B09" w:rsidRDefault="00CB5DEA"/>
    <w:p w14:paraId="0B090ED7" w14:textId="77777777" w:rsidR="00CB5DEA" w:rsidRPr="00667B09" w:rsidRDefault="00CB5DEA"/>
    <w:p w14:paraId="758AFD62" w14:textId="77777777" w:rsidR="00CB5DEA" w:rsidRPr="00667B09" w:rsidRDefault="00CB5DEA"/>
    <w:p w14:paraId="70278A0A" w14:textId="77777777" w:rsidR="00CB5DEA" w:rsidRPr="00667B09" w:rsidRDefault="00CB5DEA"/>
    <w:p w14:paraId="37E7A223" w14:textId="184FC553" w:rsidR="00CB5DEA" w:rsidRPr="00667B09" w:rsidRDefault="001B4131" w:rsidP="00CB5DEA">
      <w:pPr>
        <w:pStyle w:val="Title"/>
        <w:jc w:val="center"/>
        <w:rPr>
          <w:rFonts w:cs="Times New Roman"/>
          <w:b/>
          <w:color w:val="000080"/>
          <w:spacing w:val="56"/>
          <w:szCs w:val="42"/>
        </w:rPr>
      </w:pPr>
      <w:r w:rsidRPr="009C48DE">
        <w:rPr>
          <w:rFonts w:cs="Times New Roman"/>
          <w:b/>
          <w:noProof/>
          <w:color w:val="1F4E79"/>
          <w:spacing w:val="56"/>
          <w:sz w:val="36"/>
          <w:szCs w:val="36"/>
          <w:lang w:eastAsia="bg-BG"/>
        </w:rPr>
        <mc:AlternateContent>
          <mc:Choice Requires="wps">
            <w:drawing>
              <wp:inline distT="0" distB="0" distL="0" distR="0" wp14:anchorId="6416A533" wp14:editId="0AD13E4D">
                <wp:extent cx="3114040" cy="405130"/>
                <wp:effectExtent l="0" t="9525" r="44450" b="26035"/>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4040" cy="405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9CF33D" w14:textId="77777777" w:rsidR="005A4ECE" w:rsidRDefault="005A4ECE" w:rsidP="001B4131">
                            <w:pPr>
                              <w:jc w:val="center"/>
                              <w:rPr>
                                <w:shadow/>
                                <w:color w:val="336699"/>
                                <w:sz w:val="56"/>
                                <w:szCs w:val="56"/>
                                <w14:shadow w14:blurRad="0" w14:dist="45847" w14:dir="2021404" w14:sx="100000" w14:sy="100000" w14:kx="0" w14:ky="0" w14:algn="ctr">
                                  <w14:srgbClr w14:val="B2B2B2">
                                    <w14:alpha w14:val="20000"/>
                                  </w14:srgbClr>
                                </w14:shadow>
                              </w:rPr>
                            </w:pPr>
                            <w:r>
                              <w:rPr>
                                <w:shadow/>
                                <w:color w:val="336699"/>
                                <w:sz w:val="56"/>
                                <w:szCs w:val="56"/>
                                <w14:shadow w14:blurRad="0" w14:dist="45847" w14:dir="2021404" w14:sx="100000" w14:sy="100000" w14:kx="0" w14:ky="0" w14:algn="ctr">
                                  <w14:srgbClr w14:val="B2B2B2">
                                    <w14:alpha w14:val="20000"/>
                                  </w14:srgbClr>
                                </w14:shadow>
                              </w:rPr>
                              <w:t>ОТЧЕТ</w:t>
                            </w:r>
                          </w:p>
                        </w:txbxContent>
                      </wps:txbx>
                      <wps:bodyPr wrap="square" numCol="1" fromWordArt="1">
                        <a:prstTxWarp prst="textPlain">
                          <a:avLst>
                            <a:gd name="adj" fmla="val 50000"/>
                          </a:avLst>
                        </a:prstTxWarp>
                        <a:spAutoFit/>
                      </wps:bodyPr>
                    </wps:wsp>
                  </a:graphicData>
                </a:graphic>
              </wp:inline>
            </w:drawing>
          </mc:Choice>
          <mc:Fallback>
            <w:pict>
              <v:shapetype w14:anchorId="6416A533" id="_x0000_t202" coordsize="21600,21600" o:spt="202" path="m,l,21600r21600,l21600,xe">
                <v:stroke joinstyle="miter"/>
                <v:path gradientshapeok="t" o:connecttype="rect"/>
              </v:shapetype>
              <v:shape id="WordArt 1" o:spid="_x0000_s1026" type="#_x0000_t202" style="width:245.2pt;height: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" filled="f" stroked="f">
                <v:stroke joinstyle="round"/>
                <o:lock v:ext="edit" shapetype="t"/>
                <v:textbox style="mso-fit-shape-to-text:t">
                  <w:txbxContent>
                    <w:p w14:paraId="3C9CF33D" w14:textId="77777777" w:rsidR="005A4ECE" w:rsidRDefault="005A4ECE" w:rsidP="001B4131">
                      <w:pPr>
                        <w:jc w:val="center"/>
                        <w:rPr>
                          <w:shadow/>
                          <w:color w:val="336699"/>
                          <w:sz w:val="56"/>
                          <w:szCs w:val="56"/>
                          <w14:shadow w14:blurRad="0" w14:dist="45847" w14:dir="2021404" w14:sx="100000" w14:sy="100000" w14:kx="0" w14:ky="0" w14:algn="ctr">
                            <w14:srgbClr w14:val="B2B2B2">
                              <w14:alpha w14:val="20000"/>
                            </w14:srgbClr>
                          </w14:shadow>
                        </w:rPr>
                      </w:pPr>
                      <w:r>
                        <w:rPr>
                          <w:shadow/>
                          <w:color w:val="336699"/>
                          <w:sz w:val="56"/>
                          <w:szCs w:val="56"/>
                          <w14:shadow w14:blurRad="0" w14:dist="45847" w14:dir="2021404" w14:sx="100000" w14:sy="100000" w14:kx="0" w14:ky="0" w14:algn="ctr">
                            <w14:srgbClr w14:val="B2B2B2">
                              <w14:alpha w14:val="20000"/>
                            </w14:srgbClr>
                          </w14:shadow>
                        </w:rPr>
                        <w:t>ОТЧЕТ</w:t>
                      </w:r>
                    </w:p>
                  </w:txbxContent>
                </v:textbox>
                <w10:anchorlock/>
              </v:shape>
            </w:pict>
          </mc:Fallback>
        </mc:AlternateContent>
      </w:r>
    </w:p>
    <w:p w14:paraId="4C43DFF9" w14:textId="77777777" w:rsidR="006E65A5" w:rsidRPr="00667B09" w:rsidRDefault="006E65A5" w:rsidP="001A566D">
      <w:pPr>
        <w:pStyle w:val="Title"/>
        <w:jc w:val="center"/>
        <w:rPr>
          <w:rFonts w:cs="Times New Roman"/>
          <w:b/>
          <w:color w:val="000080"/>
          <w:sz w:val="24"/>
          <w:szCs w:val="24"/>
        </w:rPr>
      </w:pPr>
    </w:p>
    <w:p w14:paraId="62F42354" w14:textId="77093CF4" w:rsidR="001733BB" w:rsidRPr="00667B09" w:rsidRDefault="001B4131" w:rsidP="00CB5DEA">
      <w:pPr>
        <w:pStyle w:val="Title"/>
        <w:jc w:val="center"/>
        <w:rPr>
          <w:rFonts w:cs="Times New Roman"/>
          <w:b/>
          <w:color w:val="000080"/>
        </w:rPr>
      </w:pPr>
      <w:r w:rsidRPr="009C48DE">
        <w:rPr>
          <w:rFonts w:cs="Times New Roman"/>
          <w:b/>
          <w:noProof/>
          <w:color w:val="1F4E79"/>
          <w:lang w:eastAsia="bg-BG"/>
        </w:rPr>
        <mc:AlternateContent>
          <mc:Choice Requires="wps">
            <w:drawing>
              <wp:inline distT="0" distB="0" distL="0" distR="0" wp14:anchorId="53CC76EF" wp14:editId="607B58C4">
                <wp:extent cx="5495290" cy="483235"/>
                <wp:effectExtent l="9525" t="9525" r="46355" b="28575"/>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5290" cy="4832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5F97DE" w14:textId="77777777" w:rsidR="005A4ECE" w:rsidRDefault="005A4ECE" w:rsidP="001B4131">
                            <w:pPr>
                              <w:jc w:val="center"/>
                              <w:rPr>
                                <w:shadow/>
                                <w:color w:val="336699"/>
                                <w:sz w:val="48"/>
                                <w:szCs w:val="48"/>
                                <w14:shadow w14:blurRad="0" w14:dist="45847" w14:dir="2021404" w14:sx="100000" w14:sy="100000" w14:kx="0" w14:ky="0" w14:algn="ctr">
                                  <w14:srgbClr w14:val="B2B2B2">
                                    <w14:alpha w14:val="20000"/>
                                  </w14:srgbClr>
                                </w14:shadow>
                              </w:rPr>
                            </w:pPr>
                            <w:r>
                              <w:rPr>
                                <w:shadow/>
                                <w:color w:val="336699"/>
                                <w:sz w:val="48"/>
                                <w:szCs w:val="48"/>
                                <w14:shadow w14:blurRad="0" w14:dist="45847" w14:dir="2021404" w14:sx="100000" w14:sy="100000" w14:kx="0" w14:ky="0" w14:algn="ctr">
                                  <w14:srgbClr w14:val="B2B2B2">
                                    <w14:alpha w14:val="20000"/>
                                  </w14:srgbClr>
                                </w14:shadow>
                              </w:rPr>
                              <w:t>за изпълнението на програмния бюджет</w:t>
                            </w:r>
                          </w:p>
                        </w:txbxContent>
                      </wps:txbx>
                      <wps:bodyPr wrap="square" numCol="1" fromWordArt="1">
                        <a:prstTxWarp prst="textPlain">
                          <a:avLst>
                            <a:gd name="adj" fmla="val 50000"/>
                          </a:avLst>
                        </a:prstTxWarp>
                        <a:spAutoFit/>
                      </wps:bodyPr>
                    </wps:wsp>
                  </a:graphicData>
                </a:graphic>
              </wp:inline>
            </w:drawing>
          </mc:Choice>
          <mc:Fallback>
            <w:pict>
              <v:shape w14:anchorId="53CC76EF" id="WordArt 2" o:spid="_x0000_s1027" type="#_x0000_t202" style="width:432.7pt;height: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" filled="f" stroked="f">
                <v:stroke joinstyle="round"/>
                <o:lock v:ext="edit" shapetype="t"/>
                <v:textbox style="mso-fit-shape-to-text:t">
                  <w:txbxContent>
                    <w:p w14:paraId="7A5F97DE" w14:textId="77777777" w:rsidR="005A4ECE" w:rsidRDefault="005A4ECE" w:rsidP="001B4131">
                      <w:pPr>
                        <w:jc w:val="center"/>
                        <w:rPr>
                          <w:shadow/>
                          <w:color w:val="336699"/>
                          <w:sz w:val="48"/>
                          <w:szCs w:val="48"/>
                          <w14:shadow w14:blurRad="0" w14:dist="45847" w14:dir="2021404" w14:sx="100000" w14:sy="100000" w14:kx="0" w14:ky="0" w14:algn="ctr">
                            <w14:srgbClr w14:val="B2B2B2">
                              <w14:alpha w14:val="20000"/>
                            </w14:srgbClr>
                          </w14:shadow>
                        </w:rPr>
                      </w:pPr>
                      <w:r>
                        <w:rPr>
                          <w:shadow/>
                          <w:color w:val="336699"/>
                          <w:sz w:val="48"/>
                          <w:szCs w:val="48"/>
                          <w14:shadow w14:blurRad="0" w14:dist="45847" w14:dir="2021404" w14:sx="100000" w14:sy="100000" w14:kx="0" w14:ky="0" w14:algn="ctr">
                            <w14:srgbClr w14:val="B2B2B2">
                              <w14:alpha w14:val="20000"/>
                            </w14:srgbClr>
                          </w14:shadow>
                        </w:rPr>
                        <w:t>за изпълнението на програмния бюджет</w:t>
                      </w:r>
                    </w:p>
                  </w:txbxContent>
                </v:textbox>
                <w10:anchorlock/>
              </v:shape>
            </w:pict>
          </mc:Fallback>
        </mc:AlternateContent>
      </w:r>
    </w:p>
    <w:p w14:paraId="4AFC3F7B" w14:textId="77777777" w:rsidR="001A566D" w:rsidRPr="00667B09" w:rsidRDefault="001A566D" w:rsidP="00CB5DEA">
      <w:pPr>
        <w:pStyle w:val="Title"/>
        <w:jc w:val="center"/>
        <w:rPr>
          <w:rFonts w:cs="Times New Roman"/>
          <w:b/>
          <w:color w:val="000080"/>
          <w:sz w:val="24"/>
          <w:szCs w:val="24"/>
        </w:rPr>
      </w:pPr>
    </w:p>
    <w:p w14:paraId="4A1C3616" w14:textId="416BBB60" w:rsidR="001733BB" w:rsidRPr="00667B09" w:rsidRDefault="001B4131" w:rsidP="00CB5DEA">
      <w:pPr>
        <w:pStyle w:val="Title"/>
        <w:jc w:val="center"/>
        <w:rPr>
          <w:rFonts w:cs="Times New Roman"/>
          <w:b/>
          <w:color w:val="000080"/>
        </w:rPr>
      </w:pPr>
      <w:r w:rsidRPr="009C48DE">
        <w:rPr>
          <w:rFonts w:cs="Times New Roman"/>
          <w:b/>
          <w:noProof/>
          <w:color w:val="1F4E79"/>
          <w:lang w:eastAsia="bg-BG"/>
        </w:rPr>
        <mc:AlternateContent>
          <mc:Choice Requires="wps">
            <w:drawing>
              <wp:inline distT="0" distB="0" distL="0" distR="0" wp14:anchorId="65FB8DC2" wp14:editId="22C02C2F">
                <wp:extent cx="3717925" cy="594995"/>
                <wp:effectExtent l="9525" t="0" r="0" b="32385"/>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17925" cy="594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4EAE11" w14:textId="77777777" w:rsidR="005A4ECE" w:rsidRDefault="005A4ECE" w:rsidP="001B4131">
                            <w:pPr>
                              <w:jc w:val="center"/>
                              <w:rPr>
                                <w:shadow/>
                                <w:color w:val="336699"/>
                                <w:sz w:val="48"/>
                                <w:szCs w:val="48"/>
                                <w14:shadow w14:blurRad="0" w14:dist="45847" w14:dir="2021404" w14:sx="100000" w14:sy="100000" w14:kx="0" w14:ky="0" w14:algn="ctr">
                                  <w14:srgbClr w14:val="B2B2B2">
                                    <w14:alpha w14:val="20000"/>
                                  </w14:srgbClr>
                                </w14:shadow>
                              </w:rPr>
                            </w:pPr>
                            <w:r>
                              <w:rPr>
                                <w:shadow/>
                                <w:color w:val="336699"/>
                                <w:sz w:val="48"/>
                                <w:szCs w:val="48"/>
                                <w14:shadow w14:blurRad="0" w14:dist="45847" w14:dir="2021404" w14:sx="100000" w14:sy="100000" w14:kx="0" w14:ky="0" w14:algn="ctr">
                                  <w14:srgbClr w14:val="B2B2B2">
                                    <w14:alpha w14:val="20000"/>
                                  </w14:srgbClr>
                                </w14:shadow>
                              </w:rPr>
                              <w:t xml:space="preserve">на Министерския съвет </w:t>
                            </w:r>
                          </w:p>
                        </w:txbxContent>
                      </wps:txbx>
                      <wps:bodyPr wrap="square" numCol="1" fromWordArt="1">
                        <a:prstTxWarp prst="textPlain">
                          <a:avLst>
                            <a:gd name="adj" fmla="val 50000"/>
                          </a:avLst>
                        </a:prstTxWarp>
                        <a:spAutoFit/>
                      </wps:bodyPr>
                    </wps:wsp>
                  </a:graphicData>
                </a:graphic>
              </wp:inline>
            </w:drawing>
          </mc:Choice>
          <mc:Fallback>
            <w:pict>
              <v:shape w14:anchorId="65FB8DC2" id="WordArt 3" o:spid="_x0000_s1028" type="#_x0000_t202" style="width:292.75pt;height: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" filled="f" stroked="f">
                <v:stroke joinstyle="round"/>
                <o:lock v:ext="edit" shapetype="t"/>
                <v:textbox style="mso-fit-shape-to-text:t">
                  <w:txbxContent>
                    <w:p w14:paraId="024EAE11" w14:textId="77777777" w:rsidR="005A4ECE" w:rsidRDefault="005A4ECE" w:rsidP="001B4131">
                      <w:pPr>
                        <w:jc w:val="center"/>
                        <w:rPr>
                          <w:shadow/>
                          <w:color w:val="336699"/>
                          <w:sz w:val="48"/>
                          <w:szCs w:val="48"/>
                          <w14:shadow w14:blurRad="0" w14:dist="45847" w14:dir="2021404" w14:sx="100000" w14:sy="100000" w14:kx="0" w14:ky="0" w14:algn="ctr">
                            <w14:srgbClr w14:val="B2B2B2">
                              <w14:alpha w14:val="20000"/>
                            </w14:srgbClr>
                          </w14:shadow>
                        </w:rPr>
                      </w:pPr>
                      <w:r>
                        <w:rPr>
                          <w:shadow/>
                          <w:color w:val="336699"/>
                          <w:sz w:val="48"/>
                          <w:szCs w:val="48"/>
                          <w14:shadow w14:blurRad="0" w14:dist="45847" w14:dir="2021404" w14:sx="100000" w14:sy="100000" w14:kx="0" w14:ky="0" w14:algn="ctr">
                            <w14:srgbClr w14:val="B2B2B2">
                              <w14:alpha w14:val="20000"/>
                            </w14:srgbClr>
                          </w14:shadow>
                        </w:rPr>
                        <w:t xml:space="preserve">на Министерския съвет </w:t>
                      </w:r>
                    </w:p>
                  </w:txbxContent>
                </v:textbox>
                <w10:anchorlock/>
              </v:shape>
            </w:pict>
          </mc:Fallback>
        </mc:AlternateContent>
      </w:r>
    </w:p>
    <w:p w14:paraId="3753D31E" w14:textId="77777777" w:rsidR="00391C81" w:rsidRPr="00667B09" w:rsidRDefault="00391C81" w:rsidP="00CB5DEA">
      <w:pPr>
        <w:pStyle w:val="Title"/>
        <w:jc w:val="center"/>
        <w:rPr>
          <w:rFonts w:cs="Times New Roman"/>
          <w:b/>
          <w:color w:val="000080"/>
        </w:rPr>
      </w:pPr>
    </w:p>
    <w:p w14:paraId="25D6F9AC" w14:textId="4DDB75B7" w:rsidR="00CB5DEA" w:rsidRPr="00667B09" w:rsidRDefault="001B4131" w:rsidP="0040162B">
      <w:pPr>
        <w:jc w:val="center"/>
      </w:pPr>
      <w:r w:rsidRPr="009C48DE">
        <w:rPr>
          <w:noProof/>
          <w:color w:val="1F4E79"/>
          <w:sz w:val="16"/>
          <w:szCs w:val="16"/>
        </w:rPr>
        <mc:AlternateContent>
          <mc:Choice Requires="wps">
            <w:drawing>
              <wp:inline distT="0" distB="0" distL="0" distR="0" wp14:anchorId="7E7A2AA2" wp14:editId="171E43DD">
                <wp:extent cx="3751592" cy="784860"/>
                <wp:effectExtent l="0" t="0" r="0" b="0"/>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51592" cy="784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707DDD" w14:textId="77777777" w:rsidR="005A4ECE" w:rsidRDefault="005A4ECE" w:rsidP="001B4131">
                            <w:pPr>
                              <w:jc w:val="center"/>
                              <w:rPr>
                                <w:shadow/>
                                <w:color w:val="336699"/>
                                <w:sz w:val="48"/>
                                <w:szCs w:val="48"/>
                                <w14:shadow w14:blurRad="0" w14:dist="45847" w14:dir="2021404" w14:sx="100000" w14:sy="100000" w14:kx="0" w14:ky="0" w14:algn="ctr">
                                  <w14:srgbClr w14:val="B2B2B2">
                                    <w14:alpha w14:val="20000"/>
                                  </w14:srgbClr>
                                </w14:shadow>
                              </w:rPr>
                            </w:pPr>
                            <w:r>
                              <w:rPr>
                                <w:shadow/>
                                <w:color w:val="336699"/>
                                <w:sz w:val="48"/>
                                <w:szCs w:val="48"/>
                                <w14:shadow w14:blurRad="0" w14:dist="45847" w14:dir="2021404" w14:sx="100000" w14:sy="100000" w14:kx="0" w14:ky="0" w14:algn="ctr">
                                  <w14:srgbClr w14:val="B2B2B2">
                                    <w14:alpha w14:val="20000"/>
                                  </w14:srgbClr>
                                </w14:shadow>
                              </w:rPr>
                              <w:t>към полугодието на 2025 г.</w:t>
                            </w:r>
                          </w:p>
                        </w:txbxContent>
                      </wps:txbx>
                      <wps:bodyPr wrap="square" numCol="1" fromWordArt="1">
                        <a:prstTxWarp prst="textPlain">
                          <a:avLst>
                            <a:gd name="adj" fmla="val 50000"/>
                          </a:avLst>
                        </a:prstTxWarp>
                        <a:spAutoFit/>
                      </wps:bodyPr>
                    </wps:wsp>
                  </a:graphicData>
                </a:graphic>
              </wp:inline>
            </w:drawing>
          </mc:Choice>
          <mc:Fallback>
            <w:pict>
              <v:shape w14:anchorId="7E7A2AA2" id="WordArt 4" o:spid="_x0000_s1029" type="#_x0000_t202" style="width:295.4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" filled="f" stroked="f">
                <v:stroke joinstyle="round"/>
                <o:lock v:ext="edit" shapetype="t"/>
                <v:textbox style="mso-fit-shape-to-text:t">
                  <w:txbxContent>
                    <w:p w14:paraId="75707DDD" w14:textId="77777777" w:rsidR="005A4ECE" w:rsidRDefault="005A4ECE" w:rsidP="001B4131">
                      <w:pPr>
                        <w:jc w:val="center"/>
                        <w:rPr>
                          <w:shadow/>
                          <w:color w:val="336699"/>
                          <w:sz w:val="48"/>
                          <w:szCs w:val="48"/>
                          <w14:shadow w14:blurRad="0" w14:dist="45847" w14:dir="2021404" w14:sx="100000" w14:sy="100000" w14:kx="0" w14:ky="0" w14:algn="ctr">
                            <w14:srgbClr w14:val="B2B2B2">
                              <w14:alpha w14:val="20000"/>
                            </w14:srgbClr>
                          </w14:shadow>
                        </w:rPr>
                      </w:pPr>
                      <w:r>
                        <w:rPr>
                          <w:shadow/>
                          <w:color w:val="336699"/>
                          <w:sz w:val="48"/>
                          <w:szCs w:val="48"/>
                          <w14:shadow w14:blurRad="0" w14:dist="45847" w14:dir="2021404" w14:sx="100000" w14:sy="100000" w14:kx="0" w14:ky="0" w14:algn="ctr">
                            <w14:srgbClr w14:val="B2B2B2">
                              <w14:alpha w14:val="20000"/>
                            </w14:srgbClr>
                          </w14:shadow>
                        </w:rPr>
                        <w:t>към полугодието на 2025 г.</w:t>
                      </w:r>
                    </w:p>
                  </w:txbxContent>
                </v:textbox>
                <w10:anchorlock/>
              </v:shape>
            </w:pict>
          </mc:Fallback>
        </mc:AlternateContent>
      </w:r>
    </w:p>
    <w:p w14:paraId="4334F1CF" w14:textId="77777777" w:rsidR="00CB5DEA" w:rsidRPr="00667B09" w:rsidRDefault="00CB5DEA"/>
    <w:p w14:paraId="612D601F" w14:textId="77777777" w:rsidR="00CB5DEA" w:rsidRPr="00667B09" w:rsidRDefault="00CB5DEA"/>
    <w:p w14:paraId="24CD81DF" w14:textId="77777777" w:rsidR="00CB5DEA" w:rsidRPr="00667B09" w:rsidRDefault="00CB5DEA"/>
    <w:p w14:paraId="7AFBFE1B" w14:textId="77777777" w:rsidR="00CB5DEA" w:rsidRPr="00667B09" w:rsidRDefault="00CB5DEA"/>
    <w:p w14:paraId="3050578F" w14:textId="77777777" w:rsidR="00CB5DEA" w:rsidRPr="00667B09" w:rsidRDefault="00CB5DEA"/>
    <w:p w14:paraId="153BC545" w14:textId="77777777" w:rsidR="00990CD6" w:rsidRPr="00667B09" w:rsidRDefault="00990CD6"/>
    <w:p w14:paraId="310BA403" w14:textId="77777777" w:rsidR="00990CD6" w:rsidRPr="00667B09" w:rsidRDefault="00990CD6"/>
    <w:p w14:paraId="269FC68E" w14:textId="77777777" w:rsidR="000F01E3" w:rsidRPr="00667B09" w:rsidRDefault="000F01E3"/>
    <w:p w14:paraId="5A9109A7" w14:textId="77777777" w:rsidR="007C779B" w:rsidRPr="00667B09" w:rsidRDefault="007C779B"/>
    <w:p w14:paraId="092C443B" w14:textId="77777777" w:rsidR="007C779B" w:rsidRPr="00667B09" w:rsidRDefault="007C779B"/>
    <w:p w14:paraId="024248E1" w14:textId="77777777" w:rsidR="007C779B" w:rsidRPr="00667B09" w:rsidRDefault="007C779B"/>
    <w:p w14:paraId="43F2911E" w14:textId="77777777" w:rsidR="007C779B" w:rsidRPr="00667B09" w:rsidRDefault="007C779B"/>
    <w:p w14:paraId="4BB5FA46" w14:textId="77777777" w:rsidR="000F01E3" w:rsidRPr="00667B09" w:rsidRDefault="000F01E3"/>
    <w:p w14:paraId="1F4F4020" w14:textId="77777777" w:rsidR="000F01E3" w:rsidRPr="00667B09" w:rsidRDefault="000F01E3"/>
    <w:p w14:paraId="3E5BC64B" w14:textId="77777777" w:rsidR="00DD64E7" w:rsidRPr="00667B09" w:rsidRDefault="00DD64E7"/>
    <w:p w14:paraId="61D30DB3" w14:textId="77777777" w:rsidR="000E51FB" w:rsidRPr="003C0285" w:rsidRDefault="000E51FB" w:rsidP="00FE5CDF">
      <w:pPr>
        <w:pStyle w:val="Heading1"/>
      </w:pPr>
      <w:bookmarkStart w:id="0" w:name="_Toc56838778"/>
      <w:bookmarkStart w:id="1" w:name="_Toc61175758"/>
      <w:bookmarkStart w:id="2" w:name="_Toc75228491"/>
      <w:bookmarkStart w:id="3" w:name="_Toc84723285"/>
      <w:bookmarkStart w:id="4" w:name="_Toc239159337"/>
      <w:r w:rsidRPr="003C0285">
        <w:lastRenderedPageBreak/>
        <w:t>1. Увод</w:t>
      </w:r>
      <w:bookmarkEnd w:id="0"/>
      <w:bookmarkEnd w:id="1"/>
      <w:bookmarkEnd w:id="2"/>
      <w:bookmarkEnd w:id="3"/>
      <w:bookmarkEnd w:id="4"/>
    </w:p>
    <w:p w14:paraId="78C17FCA" w14:textId="77777777" w:rsidR="00C85E29" w:rsidRPr="00667B09" w:rsidRDefault="00C85E29" w:rsidP="00554B2A">
      <w:pPr>
        <w:shd w:val="clear" w:color="auto" w:fill="FFFFFF" w:themeFill="background1"/>
        <w:ind w:firstLine="426"/>
        <w:jc w:val="both"/>
        <w:rPr>
          <w:sz w:val="22"/>
          <w:szCs w:val="22"/>
          <w:lang w:eastAsia="en-US"/>
        </w:rPr>
      </w:pPr>
      <w:r w:rsidRPr="00DA7ADA">
        <w:rPr>
          <w:sz w:val="22"/>
          <w:szCs w:val="22"/>
        </w:rPr>
        <w:t xml:space="preserve">Настоящият отчет обхваща изпълнението на провежданите политики и на бюджетните програми, както и степента на изпълнение на разходите по области на политики и бюджетни програми на Министерския съвет </w:t>
      </w:r>
      <w:r w:rsidR="00C32A74">
        <w:rPr>
          <w:sz w:val="22"/>
          <w:szCs w:val="22"/>
        </w:rPr>
        <w:t>към</w:t>
      </w:r>
      <w:r w:rsidRPr="00DA7ADA">
        <w:rPr>
          <w:sz w:val="22"/>
          <w:szCs w:val="22"/>
        </w:rPr>
        <w:t xml:space="preserve"> </w:t>
      </w:r>
      <w:r w:rsidR="00295289" w:rsidRPr="00DA7ADA">
        <w:rPr>
          <w:sz w:val="22"/>
          <w:szCs w:val="22"/>
        </w:rPr>
        <w:t xml:space="preserve">полугодието на </w:t>
      </w:r>
      <w:r w:rsidRPr="00DA7ADA">
        <w:rPr>
          <w:sz w:val="22"/>
          <w:szCs w:val="22"/>
        </w:rPr>
        <w:t>202</w:t>
      </w:r>
      <w:r w:rsidR="00DF3B03">
        <w:rPr>
          <w:sz w:val="22"/>
          <w:szCs w:val="22"/>
        </w:rPr>
        <w:t>5</w:t>
      </w:r>
      <w:r w:rsidRPr="00DA7ADA">
        <w:rPr>
          <w:sz w:val="22"/>
          <w:szCs w:val="22"/>
        </w:rPr>
        <w:t xml:space="preserve"> г.</w:t>
      </w:r>
      <w:r w:rsidRPr="00667B09">
        <w:rPr>
          <w:sz w:val="22"/>
          <w:szCs w:val="22"/>
        </w:rPr>
        <w:t xml:space="preserve"> Отчетът е изготвен </w:t>
      </w:r>
      <w:r w:rsidR="00DF3B03" w:rsidRPr="00667B09">
        <w:rPr>
          <w:sz w:val="22"/>
          <w:szCs w:val="22"/>
        </w:rPr>
        <w:t>в изпълнение разпоредбата</w:t>
      </w:r>
      <w:r w:rsidR="00DF3B03" w:rsidRPr="00667B09">
        <w:rPr>
          <w:sz w:val="22"/>
          <w:szCs w:val="22"/>
          <w:lang w:eastAsia="en-US"/>
        </w:rPr>
        <w:t xml:space="preserve"> на чл. 133, ал. 3 от Закона за публичните финанси (ЗПФ)</w:t>
      </w:r>
      <w:r w:rsidR="00DF3B03">
        <w:rPr>
          <w:sz w:val="22"/>
          <w:szCs w:val="22"/>
          <w:lang w:eastAsia="en-US"/>
        </w:rPr>
        <w:t xml:space="preserve"> и </w:t>
      </w:r>
      <w:r w:rsidRPr="00667B09">
        <w:rPr>
          <w:sz w:val="22"/>
          <w:szCs w:val="22"/>
        </w:rPr>
        <w:t>съгласно указанията на Министерството на финансите Б</w:t>
      </w:r>
      <w:r w:rsidR="00DF3B03">
        <w:rPr>
          <w:sz w:val="22"/>
          <w:szCs w:val="22"/>
        </w:rPr>
        <w:t xml:space="preserve">Ю-2 от </w:t>
      </w:r>
      <w:r w:rsidR="00295289" w:rsidRPr="00667B09">
        <w:rPr>
          <w:sz w:val="22"/>
          <w:szCs w:val="22"/>
        </w:rPr>
        <w:t>09</w:t>
      </w:r>
      <w:r w:rsidRPr="00667B09">
        <w:rPr>
          <w:sz w:val="22"/>
          <w:szCs w:val="22"/>
        </w:rPr>
        <w:t>.07.202</w:t>
      </w:r>
      <w:r w:rsidR="00DF3B03">
        <w:rPr>
          <w:sz w:val="22"/>
          <w:szCs w:val="22"/>
        </w:rPr>
        <w:t>5</w:t>
      </w:r>
      <w:r w:rsidRPr="00667B09">
        <w:rPr>
          <w:sz w:val="22"/>
          <w:szCs w:val="22"/>
        </w:rPr>
        <w:t xml:space="preserve"> г</w:t>
      </w:r>
      <w:r w:rsidRPr="00667B09">
        <w:rPr>
          <w:sz w:val="22"/>
          <w:szCs w:val="22"/>
          <w:lang w:eastAsia="en-US"/>
        </w:rPr>
        <w:t>.</w:t>
      </w:r>
    </w:p>
    <w:p w14:paraId="32505A93" w14:textId="77777777" w:rsidR="00E626AD" w:rsidRPr="00667B09" w:rsidRDefault="00CB5DEA" w:rsidP="00554B2A">
      <w:pPr>
        <w:shd w:val="clear" w:color="auto" w:fill="FFFFFF" w:themeFill="background1"/>
        <w:ind w:firstLine="425"/>
        <w:jc w:val="both"/>
        <w:rPr>
          <w:sz w:val="22"/>
          <w:szCs w:val="22"/>
        </w:rPr>
      </w:pPr>
      <w:r w:rsidRPr="00667B09">
        <w:rPr>
          <w:sz w:val="22"/>
          <w:szCs w:val="22"/>
        </w:rPr>
        <w:t xml:space="preserve">Посочените в отчета </w:t>
      </w:r>
      <w:r w:rsidR="00633A3F" w:rsidRPr="00667B09">
        <w:rPr>
          <w:sz w:val="22"/>
          <w:szCs w:val="22"/>
        </w:rPr>
        <w:t xml:space="preserve">бюджетни </w:t>
      </w:r>
      <w:r w:rsidRPr="00667B09">
        <w:rPr>
          <w:sz w:val="22"/>
          <w:szCs w:val="22"/>
        </w:rPr>
        <w:t xml:space="preserve">програми са изпълнени от </w:t>
      </w:r>
      <w:r w:rsidR="00E626AD" w:rsidRPr="00667B09">
        <w:rPr>
          <w:sz w:val="22"/>
          <w:szCs w:val="22"/>
        </w:rPr>
        <w:t>Администрацията на Министерския съвет</w:t>
      </w:r>
      <w:r w:rsidR="00A03013" w:rsidRPr="00667B09">
        <w:rPr>
          <w:sz w:val="22"/>
          <w:szCs w:val="22"/>
        </w:rPr>
        <w:t xml:space="preserve"> (АМС)</w:t>
      </w:r>
      <w:r w:rsidR="00AC2430" w:rsidRPr="00667B09">
        <w:rPr>
          <w:sz w:val="22"/>
          <w:szCs w:val="22"/>
        </w:rPr>
        <w:t xml:space="preserve">, </w:t>
      </w:r>
      <w:r w:rsidR="00F92E51" w:rsidRPr="00667B09">
        <w:rPr>
          <w:sz w:val="22"/>
          <w:szCs w:val="22"/>
        </w:rPr>
        <w:t>о</w:t>
      </w:r>
      <w:r w:rsidR="00AC2430" w:rsidRPr="00667B09">
        <w:rPr>
          <w:sz w:val="22"/>
          <w:szCs w:val="22"/>
        </w:rPr>
        <w:t>бектите, предназначени за представителни и социални нужди на централните държавни органи (</w:t>
      </w:r>
      <w:r w:rsidR="00457C2E" w:rsidRPr="00667B09">
        <w:rPr>
          <w:sz w:val="22"/>
          <w:szCs w:val="22"/>
        </w:rPr>
        <w:t>комплекс</w:t>
      </w:r>
      <w:r w:rsidR="00AC2430" w:rsidRPr="00667B09">
        <w:rPr>
          <w:sz w:val="22"/>
          <w:szCs w:val="22"/>
        </w:rPr>
        <w:t xml:space="preserve"> „Бояна”, стопанство „Евксиноград” и обект „Шабла</w:t>
      </w:r>
      <w:r w:rsidR="00633A3F" w:rsidRPr="00667B09">
        <w:rPr>
          <w:sz w:val="22"/>
          <w:szCs w:val="22"/>
        </w:rPr>
        <w:t>“</w:t>
      </w:r>
      <w:r w:rsidR="00AC2430" w:rsidRPr="00667B09">
        <w:rPr>
          <w:sz w:val="22"/>
          <w:szCs w:val="22"/>
        </w:rPr>
        <w:t>)</w:t>
      </w:r>
      <w:r w:rsidR="00E626AD" w:rsidRPr="00667B09">
        <w:rPr>
          <w:sz w:val="22"/>
          <w:szCs w:val="22"/>
        </w:rPr>
        <w:t xml:space="preserve"> и следните второстепенни разпоредители с бюджет:</w:t>
      </w:r>
    </w:p>
    <w:p w14:paraId="4FAF8C59" w14:textId="77777777" w:rsidR="006550AB" w:rsidRDefault="006550AB" w:rsidP="00554B2A">
      <w:pPr>
        <w:numPr>
          <w:ilvl w:val="0"/>
          <w:numId w:val="13"/>
        </w:numPr>
        <w:shd w:val="clear" w:color="auto" w:fill="FFFFFF" w:themeFill="background1"/>
        <w:ind w:hanging="294"/>
        <w:rPr>
          <w:sz w:val="22"/>
          <w:szCs w:val="22"/>
          <w:lang w:eastAsia="en-US"/>
        </w:rPr>
      </w:pPr>
      <w:r w:rsidRPr="00667B09">
        <w:rPr>
          <w:sz w:val="22"/>
          <w:szCs w:val="22"/>
          <w:lang w:eastAsia="en-US"/>
        </w:rPr>
        <w:t xml:space="preserve">Областни администрации (ОА) </w:t>
      </w:r>
      <w:r w:rsidR="009125BB" w:rsidRPr="002B24C9">
        <w:rPr>
          <w:b/>
          <w:bCs/>
        </w:rPr>
        <w:t>–</w:t>
      </w:r>
      <w:r w:rsidR="009125BB" w:rsidRPr="009125BB">
        <w:rPr>
          <w:sz w:val="22"/>
          <w:szCs w:val="22"/>
        </w:rPr>
        <w:t xml:space="preserve"> </w:t>
      </w:r>
      <w:r w:rsidRPr="00667B09">
        <w:rPr>
          <w:sz w:val="22"/>
          <w:szCs w:val="22"/>
          <w:lang w:eastAsia="en-US"/>
        </w:rPr>
        <w:t>28 бр.;</w:t>
      </w:r>
    </w:p>
    <w:p w14:paraId="1CA80F19" w14:textId="77777777" w:rsidR="006550AB" w:rsidRPr="00667B09" w:rsidRDefault="006550AB" w:rsidP="00554B2A">
      <w:pPr>
        <w:numPr>
          <w:ilvl w:val="0"/>
          <w:numId w:val="13"/>
        </w:numPr>
        <w:shd w:val="clear" w:color="auto" w:fill="FFFFFF" w:themeFill="background1"/>
        <w:ind w:hanging="294"/>
        <w:jc w:val="both"/>
        <w:rPr>
          <w:sz w:val="22"/>
          <w:szCs w:val="22"/>
          <w:lang w:eastAsia="en-US"/>
        </w:rPr>
      </w:pPr>
      <w:r w:rsidRPr="00667B09">
        <w:rPr>
          <w:sz w:val="22"/>
          <w:szCs w:val="22"/>
          <w:lang w:eastAsia="en-US"/>
        </w:rPr>
        <w:t>Централна комисия за борба срещу противообществените прояви на малолетните и непълнолетните (ЦКБППМН);</w:t>
      </w:r>
    </w:p>
    <w:p w14:paraId="7657E09C" w14:textId="77777777" w:rsidR="006550AB" w:rsidRPr="00667B09" w:rsidRDefault="006550AB" w:rsidP="00554B2A">
      <w:pPr>
        <w:numPr>
          <w:ilvl w:val="0"/>
          <w:numId w:val="13"/>
        </w:numPr>
        <w:shd w:val="clear" w:color="auto" w:fill="FFFFFF" w:themeFill="background1"/>
        <w:ind w:hanging="294"/>
        <w:rPr>
          <w:sz w:val="22"/>
          <w:szCs w:val="22"/>
          <w:lang w:eastAsia="en-US"/>
        </w:rPr>
      </w:pPr>
      <w:r w:rsidRPr="00667B09">
        <w:rPr>
          <w:sz w:val="22"/>
          <w:szCs w:val="22"/>
          <w:lang w:eastAsia="en-US"/>
        </w:rPr>
        <w:t>Национална комисия за борба с трафика на хора (НКБТХ);</w:t>
      </w:r>
    </w:p>
    <w:p w14:paraId="2450B929" w14:textId="77777777" w:rsidR="006550AB" w:rsidRPr="00667B09" w:rsidRDefault="006550AB" w:rsidP="00554B2A">
      <w:pPr>
        <w:numPr>
          <w:ilvl w:val="0"/>
          <w:numId w:val="13"/>
        </w:numPr>
        <w:shd w:val="clear" w:color="auto" w:fill="FFFFFF" w:themeFill="background1"/>
        <w:ind w:hanging="294"/>
        <w:rPr>
          <w:sz w:val="22"/>
          <w:szCs w:val="22"/>
          <w:lang w:eastAsia="en-US"/>
        </w:rPr>
      </w:pPr>
      <w:r w:rsidRPr="00667B09">
        <w:rPr>
          <w:sz w:val="22"/>
          <w:szCs w:val="22"/>
          <w:lang w:eastAsia="en-US"/>
        </w:rPr>
        <w:t>Институт по публична администрация (ИПА);</w:t>
      </w:r>
    </w:p>
    <w:p w14:paraId="47DC105E" w14:textId="77777777" w:rsidR="006550AB" w:rsidRPr="00667B09" w:rsidRDefault="006550AB" w:rsidP="00554B2A">
      <w:pPr>
        <w:numPr>
          <w:ilvl w:val="0"/>
          <w:numId w:val="13"/>
        </w:numPr>
        <w:shd w:val="clear" w:color="auto" w:fill="FFFFFF" w:themeFill="background1"/>
        <w:ind w:hanging="294"/>
        <w:rPr>
          <w:sz w:val="22"/>
          <w:szCs w:val="22"/>
          <w:lang w:eastAsia="en-US"/>
        </w:rPr>
      </w:pPr>
      <w:r w:rsidRPr="00667B09">
        <w:rPr>
          <w:sz w:val="22"/>
          <w:szCs w:val="22"/>
          <w:lang w:eastAsia="en-US"/>
        </w:rPr>
        <w:t>Държавна агенция за бежанците при М</w:t>
      </w:r>
      <w:r w:rsidR="008022F0" w:rsidRPr="00667B09">
        <w:rPr>
          <w:sz w:val="22"/>
          <w:szCs w:val="22"/>
          <w:lang w:eastAsia="en-US"/>
        </w:rPr>
        <w:t>инистерския съвет</w:t>
      </w:r>
      <w:r w:rsidRPr="00667B09">
        <w:rPr>
          <w:sz w:val="22"/>
          <w:szCs w:val="22"/>
          <w:lang w:eastAsia="en-US"/>
        </w:rPr>
        <w:t xml:space="preserve"> (ДАБ</w:t>
      </w:r>
      <w:r w:rsidR="00B31D05">
        <w:rPr>
          <w:sz w:val="22"/>
          <w:szCs w:val="22"/>
          <w:lang w:eastAsia="en-US"/>
        </w:rPr>
        <w:t xml:space="preserve"> при МС</w:t>
      </w:r>
      <w:r w:rsidRPr="00667B09">
        <w:rPr>
          <w:sz w:val="22"/>
          <w:szCs w:val="22"/>
          <w:lang w:eastAsia="en-US"/>
        </w:rPr>
        <w:t>);</w:t>
      </w:r>
    </w:p>
    <w:p w14:paraId="606CC202" w14:textId="77777777" w:rsidR="006550AB" w:rsidRPr="00667B09" w:rsidRDefault="006550AB" w:rsidP="00554B2A">
      <w:pPr>
        <w:numPr>
          <w:ilvl w:val="0"/>
          <w:numId w:val="13"/>
        </w:numPr>
        <w:shd w:val="clear" w:color="auto" w:fill="FFFFFF" w:themeFill="background1"/>
        <w:ind w:hanging="294"/>
        <w:jc w:val="both"/>
        <w:rPr>
          <w:sz w:val="22"/>
          <w:szCs w:val="22"/>
          <w:lang w:eastAsia="en-US"/>
        </w:rPr>
      </w:pPr>
      <w:r w:rsidRPr="00667B09">
        <w:rPr>
          <w:sz w:val="22"/>
          <w:szCs w:val="22"/>
          <w:lang w:eastAsia="en-US"/>
        </w:rPr>
        <w:t>Държавна агенция „Безопасност на движението по пътищата“ (ДАБДП);</w:t>
      </w:r>
    </w:p>
    <w:p w14:paraId="475BBB17" w14:textId="77777777" w:rsidR="006550AB" w:rsidRPr="00667B09" w:rsidRDefault="006550AB" w:rsidP="00554B2A">
      <w:pPr>
        <w:numPr>
          <w:ilvl w:val="0"/>
          <w:numId w:val="13"/>
        </w:numPr>
        <w:shd w:val="clear" w:color="auto" w:fill="FFFFFF" w:themeFill="background1"/>
        <w:ind w:hanging="294"/>
        <w:rPr>
          <w:sz w:val="22"/>
          <w:szCs w:val="22"/>
          <w:lang w:eastAsia="en-US"/>
        </w:rPr>
      </w:pPr>
      <w:r w:rsidRPr="00667B09">
        <w:rPr>
          <w:sz w:val="22"/>
          <w:szCs w:val="22"/>
          <w:lang w:eastAsia="en-US"/>
        </w:rPr>
        <w:t>Държавна агенция „Архиви” (ДАА);</w:t>
      </w:r>
    </w:p>
    <w:p w14:paraId="25253E91" w14:textId="70A67761" w:rsidR="006550AB" w:rsidRPr="00667B09" w:rsidRDefault="006550AB" w:rsidP="00554B2A">
      <w:pPr>
        <w:numPr>
          <w:ilvl w:val="0"/>
          <w:numId w:val="13"/>
        </w:numPr>
        <w:shd w:val="clear" w:color="auto" w:fill="FFFFFF" w:themeFill="background1"/>
        <w:ind w:hanging="294"/>
        <w:jc w:val="both"/>
        <w:rPr>
          <w:sz w:val="22"/>
          <w:szCs w:val="22"/>
          <w:lang w:eastAsia="en-US"/>
        </w:rPr>
      </w:pPr>
      <w:r w:rsidRPr="00667B09">
        <w:rPr>
          <w:sz w:val="22"/>
          <w:szCs w:val="22"/>
          <w:lang w:eastAsia="en-US"/>
        </w:rPr>
        <w:t>П</w:t>
      </w:r>
      <w:r w:rsidR="001A35C4">
        <w:rPr>
          <w:sz w:val="22"/>
          <w:szCs w:val="22"/>
          <w:lang w:eastAsia="en-US"/>
        </w:rPr>
        <w:t>очивна база</w:t>
      </w:r>
      <w:r w:rsidRPr="00667B09">
        <w:rPr>
          <w:sz w:val="22"/>
          <w:szCs w:val="22"/>
          <w:lang w:eastAsia="en-US"/>
        </w:rPr>
        <w:t xml:space="preserve"> на МС "Орлица" </w:t>
      </w:r>
      <w:r w:rsidR="005642CE">
        <w:rPr>
          <w:sz w:val="22"/>
          <w:szCs w:val="22"/>
          <w:lang w:eastAsia="en-US"/>
        </w:rPr>
        <w:t xml:space="preserve">– </w:t>
      </w:r>
      <w:r w:rsidRPr="00667B09">
        <w:rPr>
          <w:sz w:val="22"/>
          <w:szCs w:val="22"/>
          <w:lang w:eastAsia="en-US"/>
        </w:rPr>
        <w:t>Пампорово</w:t>
      </w:r>
      <w:r w:rsidR="001A35C4">
        <w:rPr>
          <w:sz w:val="22"/>
          <w:szCs w:val="22"/>
          <w:lang w:eastAsia="en-US"/>
        </w:rPr>
        <w:t xml:space="preserve"> (ПБ „Орлица“)</w:t>
      </w:r>
      <w:r w:rsidRPr="00667B09">
        <w:rPr>
          <w:sz w:val="22"/>
          <w:szCs w:val="22"/>
          <w:lang w:eastAsia="en-US"/>
        </w:rPr>
        <w:t>;</w:t>
      </w:r>
    </w:p>
    <w:p w14:paraId="20DE1905" w14:textId="77777777" w:rsidR="00BD554A" w:rsidRPr="009125BB" w:rsidRDefault="006550AB" w:rsidP="00554B2A">
      <w:pPr>
        <w:numPr>
          <w:ilvl w:val="0"/>
          <w:numId w:val="13"/>
        </w:numPr>
        <w:shd w:val="clear" w:color="auto" w:fill="FFFFFF" w:themeFill="background1"/>
        <w:spacing w:after="120"/>
        <w:ind w:hanging="295"/>
        <w:jc w:val="both"/>
        <w:rPr>
          <w:sz w:val="22"/>
          <w:szCs w:val="22"/>
          <w:lang w:eastAsia="en-US"/>
        </w:rPr>
      </w:pPr>
      <w:r w:rsidRPr="00667B09">
        <w:rPr>
          <w:sz w:val="22"/>
          <w:szCs w:val="22"/>
          <w:lang w:eastAsia="en-US"/>
        </w:rPr>
        <w:t>П</w:t>
      </w:r>
      <w:r w:rsidR="001A35C4">
        <w:rPr>
          <w:sz w:val="22"/>
          <w:szCs w:val="22"/>
          <w:lang w:eastAsia="en-US"/>
        </w:rPr>
        <w:t>очивна база</w:t>
      </w:r>
      <w:r w:rsidRPr="00667B09">
        <w:rPr>
          <w:sz w:val="22"/>
          <w:szCs w:val="22"/>
          <w:lang w:eastAsia="en-US"/>
        </w:rPr>
        <w:t xml:space="preserve"> на МС "Слънчев бряг"</w:t>
      </w:r>
      <w:r w:rsidR="001A35C4">
        <w:rPr>
          <w:sz w:val="22"/>
          <w:szCs w:val="22"/>
          <w:lang w:eastAsia="en-US"/>
        </w:rPr>
        <w:t xml:space="preserve"> (ПБ „Слънчев бряг“)</w:t>
      </w:r>
      <w:r w:rsidRPr="00667B09">
        <w:rPr>
          <w:sz w:val="22"/>
          <w:szCs w:val="22"/>
          <w:lang w:eastAsia="en-US"/>
        </w:rPr>
        <w:t>.</w:t>
      </w:r>
    </w:p>
    <w:p w14:paraId="5CC68CB3" w14:textId="77777777" w:rsidR="00163A53" w:rsidRPr="00667B09" w:rsidRDefault="000E51FB" w:rsidP="00FE5CDF">
      <w:pPr>
        <w:pStyle w:val="Heading1"/>
      </w:pPr>
      <w:bookmarkStart w:id="5" w:name="_Toc239159338"/>
      <w:r w:rsidRPr="00667B09">
        <w:t xml:space="preserve">2. </w:t>
      </w:r>
      <w:r w:rsidR="00163A53" w:rsidRPr="00667B09">
        <w:t>Отчет</w:t>
      </w:r>
      <w:r w:rsidR="00163A53" w:rsidRPr="00667B09">
        <w:rPr>
          <w:sz w:val="18"/>
          <w:szCs w:val="18"/>
        </w:rPr>
        <w:t xml:space="preserve"> </w:t>
      </w:r>
      <w:r w:rsidR="00163A53" w:rsidRPr="00667B09">
        <w:t>на</w:t>
      </w:r>
      <w:r w:rsidR="00163A53" w:rsidRPr="00667B09">
        <w:rPr>
          <w:sz w:val="18"/>
          <w:szCs w:val="18"/>
        </w:rPr>
        <w:t xml:space="preserve"> </w:t>
      </w:r>
      <w:r w:rsidR="00163A53" w:rsidRPr="00667B09">
        <w:t>основните</w:t>
      </w:r>
      <w:r w:rsidR="00163A53" w:rsidRPr="00667B09">
        <w:rPr>
          <w:sz w:val="18"/>
          <w:szCs w:val="18"/>
        </w:rPr>
        <w:t xml:space="preserve"> </w:t>
      </w:r>
      <w:r w:rsidR="00163A53" w:rsidRPr="00667B09">
        <w:t>параметри</w:t>
      </w:r>
      <w:r w:rsidR="00163A53" w:rsidRPr="00667B09">
        <w:rPr>
          <w:sz w:val="18"/>
          <w:szCs w:val="18"/>
        </w:rPr>
        <w:t xml:space="preserve"> </w:t>
      </w:r>
      <w:r w:rsidR="00163A53" w:rsidRPr="00667B09">
        <w:t>на</w:t>
      </w:r>
      <w:r w:rsidR="00163A53" w:rsidRPr="00667B09">
        <w:rPr>
          <w:sz w:val="18"/>
          <w:szCs w:val="18"/>
        </w:rPr>
        <w:t xml:space="preserve"> </w:t>
      </w:r>
      <w:r w:rsidR="00163A53" w:rsidRPr="00667B09">
        <w:t>бюджета</w:t>
      </w:r>
      <w:bookmarkEnd w:id="5"/>
      <w:r w:rsidR="00163A53" w:rsidRPr="00667B09">
        <w:t xml:space="preserve"> </w:t>
      </w:r>
    </w:p>
    <w:p w14:paraId="482E3714" w14:textId="2D9F769D" w:rsidR="00D64BE3" w:rsidRPr="0013279A" w:rsidRDefault="00E121DC" w:rsidP="00554B2A">
      <w:pPr>
        <w:shd w:val="clear" w:color="auto" w:fill="FFFFFF" w:themeFill="background1"/>
        <w:spacing w:before="120"/>
        <w:ind w:firstLine="425"/>
        <w:jc w:val="both"/>
        <w:rPr>
          <w:sz w:val="20"/>
          <w:szCs w:val="20"/>
          <w:lang w:eastAsia="en-US"/>
        </w:rPr>
      </w:pPr>
      <w:r w:rsidRPr="0013279A">
        <w:rPr>
          <w:sz w:val="20"/>
          <w:szCs w:val="20"/>
        </w:rPr>
        <w:t xml:space="preserve">Към </w:t>
      </w:r>
      <w:r w:rsidR="00467833" w:rsidRPr="0013279A">
        <w:rPr>
          <w:sz w:val="20"/>
          <w:szCs w:val="20"/>
        </w:rPr>
        <w:t>3</w:t>
      </w:r>
      <w:r w:rsidR="00806F60" w:rsidRPr="0013279A">
        <w:rPr>
          <w:sz w:val="20"/>
          <w:szCs w:val="20"/>
        </w:rPr>
        <w:t>0</w:t>
      </w:r>
      <w:r w:rsidR="00467833" w:rsidRPr="0013279A">
        <w:rPr>
          <w:sz w:val="20"/>
          <w:szCs w:val="20"/>
        </w:rPr>
        <w:t>.</w:t>
      </w:r>
      <w:r w:rsidR="00806F60" w:rsidRPr="0013279A">
        <w:rPr>
          <w:sz w:val="20"/>
          <w:szCs w:val="20"/>
        </w:rPr>
        <w:t>06</w:t>
      </w:r>
      <w:r w:rsidR="00467833" w:rsidRPr="0013279A">
        <w:rPr>
          <w:sz w:val="20"/>
          <w:szCs w:val="20"/>
        </w:rPr>
        <w:t>.</w:t>
      </w:r>
      <w:r w:rsidRPr="0013279A">
        <w:rPr>
          <w:sz w:val="20"/>
          <w:szCs w:val="20"/>
        </w:rPr>
        <w:t>20</w:t>
      </w:r>
      <w:r w:rsidR="0091559C" w:rsidRPr="0013279A">
        <w:rPr>
          <w:sz w:val="20"/>
          <w:szCs w:val="20"/>
        </w:rPr>
        <w:t>2</w:t>
      </w:r>
      <w:r w:rsidR="00222BE8" w:rsidRPr="0013279A">
        <w:rPr>
          <w:sz w:val="20"/>
          <w:szCs w:val="20"/>
        </w:rPr>
        <w:t>5</w:t>
      </w:r>
      <w:r w:rsidRPr="0013279A">
        <w:rPr>
          <w:sz w:val="20"/>
          <w:szCs w:val="20"/>
        </w:rPr>
        <w:t xml:space="preserve"> г. са отчетени приходи в размер на </w:t>
      </w:r>
      <w:r w:rsidR="00222BE8" w:rsidRPr="0013279A">
        <w:rPr>
          <w:b/>
          <w:sz w:val="20"/>
          <w:szCs w:val="20"/>
        </w:rPr>
        <w:t>4 307 678 лв.</w:t>
      </w:r>
    </w:p>
    <w:p w14:paraId="38810268" w14:textId="77777777" w:rsidR="00265939" w:rsidRPr="0013279A" w:rsidRDefault="00265939" w:rsidP="00554B2A">
      <w:pPr>
        <w:shd w:val="clear" w:color="auto" w:fill="FFFFFF" w:themeFill="background1"/>
        <w:jc w:val="right"/>
        <w:rPr>
          <w:b/>
          <w:bCs/>
          <w:i/>
          <w:iCs/>
          <w:sz w:val="20"/>
          <w:szCs w:val="20"/>
          <w:lang w:eastAsia="en-US"/>
        </w:rPr>
      </w:pPr>
      <w:r w:rsidRPr="0013279A">
        <w:rPr>
          <w:b/>
          <w:bCs/>
          <w:i/>
          <w:iCs/>
          <w:sz w:val="20"/>
          <w:szCs w:val="20"/>
          <w:lang w:eastAsia="en-US"/>
        </w:rPr>
        <w:t>Приложение № 1</w:t>
      </w:r>
    </w:p>
    <w:p w14:paraId="3003DC0C" w14:textId="23421088" w:rsidR="00B12A69" w:rsidRPr="0013279A" w:rsidRDefault="00B12A69" w:rsidP="00554B2A">
      <w:pPr>
        <w:shd w:val="clear" w:color="auto" w:fill="FFFFFF" w:themeFill="background1"/>
        <w:jc w:val="center"/>
        <w:rPr>
          <w:i/>
          <w:iCs/>
          <w:sz w:val="20"/>
          <w:szCs w:val="20"/>
          <w:lang w:eastAsia="en-US"/>
        </w:rPr>
      </w:pPr>
      <w:r w:rsidRPr="0013279A">
        <w:rPr>
          <w:i/>
          <w:iCs/>
          <w:sz w:val="20"/>
          <w:szCs w:val="20"/>
          <w:lang w:eastAsia="en-US"/>
        </w:rPr>
        <w:t>Отчет на приходите по бюджета</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1200"/>
        <w:gridCol w:w="1180"/>
        <w:gridCol w:w="1080"/>
      </w:tblGrid>
      <w:tr w:rsidR="00265939" w:rsidRPr="00895406" w14:paraId="59EDFE75" w14:textId="77777777" w:rsidTr="003A265E">
        <w:trPr>
          <w:trHeight w:val="315"/>
        </w:trPr>
        <w:tc>
          <w:tcPr>
            <w:tcW w:w="5440" w:type="dxa"/>
            <w:tcBorders>
              <w:bottom w:val="nil"/>
            </w:tcBorders>
            <w:shd w:val="clear" w:color="000000" w:fill="E6E6E6"/>
            <w:vAlign w:val="center"/>
            <w:hideMark/>
          </w:tcPr>
          <w:p w14:paraId="7E0D5D97" w14:textId="77777777" w:rsidR="00265939" w:rsidRPr="00895406" w:rsidRDefault="00265939">
            <w:pPr>
              <w:jc w:val="center"/>
              <w:rPr>
                <w:b/>
                <w:bCs/>
                <w:sz w:val="16"/>
                <w:szCs w:val="16"/>
              </w:rPr>
            </w:pPr>
            <w:r w:rsidRPr="00895406">
              <w:rPr>
                <w:b/>
                <w:bCs/>
                <w:sz w:val="16"/>
                <w:szCs w:val="16"/>
              </w:rPr>
              <w:t>ПРИХОДИ</w:t>
            </w:r>
          </w:p>
        </w:tc>
        <w:tc>
          <w:tcPr>
            <w:tcW w:w="1200" w:type="dxa"/>
            <w:vMerge w:val="restart"/>
            <w:shd w:val="clear" w:color="000000" w:fill="E6E6E6"/>
            <w:vAlign w:val="center"/>
            <w:hideMark/>
          </w:tcPr>
          <w:p w14:paraId="61CC57C6" w14:textId="77777777" w:rsidR="00265939" w:rsidRPr="00895406" w:rsidRDefault="00265939">
            <w:pPr>
              <w:jc w:val="center"/>
              <w:rPr>
                <w:b/>
                <w:bCs/>
                <w:sz w:val="16"/>
                <w:szCs w:val="16"/>
              </w:rPr>
            </w:pPr>
            <w:r w:rsidRPr="00895406">
              <w:rPr>
                <w:b/>
                <w:bCs/>
                <w:sz w:val="16"/>
                <w:szCs w:val="16"/>
              </w:rPr>
              <w:t>Закон</w:t>
            </w:r>
          </w:p>
        </w:tc>
        <w:tc>
          <w:tcPr>
            <w:tcW w:w="1180" w:type="dxa"/>
            <w:vMerge w:val="restart"/>
            <w:shd w:val="clear" w:color="000000" w:fill="E6E6E6"/>
            <w:vAlign w:val="center"/>
            <w:hideMark/>
          </w:tcPr>
          <w:p w14:paraId="775032C0" w14:textId="77777777" w:rsidR="00265939" w:rsidRPr="00895406" w:rsidRDefault="00265939">
            <w:pPr>
              <w:jc w:val="center"/>
              <w:rPr>
                <w:b/>
                <w:bCs/>
                <w:sz w:val="16"/>
                <w:szCs w:val="16"/>
              </w:rPr>
            </w:pPr>
            <w:r w:rsidRPr="00895406">
              <w:rPr>
                <w:b/>
                <w:bCs/>
                <w:sz w:val="16"/>
                <w:szCs w:val="16"/>
              </w:rPr>
              <w:t>Уточнен план</w:t>
            </w:r>
          </w:p>
        </w:tc>
        <w:tc>
          <w:tcPr>
            <w:tcW w:w="1080" w:type="dxa"/>
            <w:vMerge w:val="restart"/>
            <w:shd w:val="clear" w:color="000000" w:fill="E6E6E6"/>
            <w:vAlign w:val="center"/>
            <w:hideMark/>
          </w:tcPr>
          <w:p w14:paraId="5AB7D833" w14:textId="77777777" w:rsidR="00265939" w:rsidRPr="00895406" w:rsidRDefault="00265939">
            <w:pPr>
              <w:jc w:val="center"/>
              <w:rPr>
                <w:b/>
                <w:bCs/>
                <w:sz w:val="16"/>
                <w:szCs w:val="16"/>
              </w:rPr>
            </w:pPr>
            <w:r w:rsidRPr="00895406">
              <w:rPr>
                <w:b/>
                <w:bCs/>
                <w:sz w:val="16"/>
                <w:szCs w:val="16"/>
              </w:rPr>
              <w:t>Отчет</w:t>
            </w:r>
          </w:p>
        </w:tc>
      </w:tr>
      <w:tr w:rsidR="00265939" w:rsidRPr="00895406" w14:paraId="3C9E4BED" w14:textId="77777777" w:rsidTr="003A265E">
        <w:trPr>
          <w:trHeight w:val="330"/>
        </w:trPr>
        <w:tc>
          <w:tcPr>
            <w:tcW w:w="5440" w:type="dxa"/>
            <w:tcBorders>
              <w:top w:val="nil"/>
            </w:tcBorders>
            <w:shd w:val="clear" w:color="000000" w:fill="E6E6E6"/>
            <w:vAlign w:val="center"/>
            <w:hideMark/>
          </w:tcPr>
          <w:p w14:paraId="1A47B7DB" w14:textId="77777777" w:rsidR="00265939" w:rsidRPr="00895406" w:rsidRDefault="00265939">
            <w:pPr>
              <w:jc w:val="center"/>
              <w:rPr>
                <w:b/>
                <w:bCs/>
                <w:sz w:val="16"/>
                <w:szCs w:val="16"/>
              </w:rPr>
            </w:pPr>
            <w:r w:rsidRPr="00895406">
              <w:rPr>
                <w:b/>
                <w:bCs/>
                <w:sz w:val="16"/>
                <w:szCs w:val="16"/>
              </w:rPr>
              <w:t>(в лева)</w:t>
            </w:r>
          </w:p>
        </w:tc>
        <w:tc>
          <w:tcPr>
            <w:tcW w:w="1200" w:type="dxa"/>
            <w:vMerge/>
            <w:vAlign w:val="center"/>
            <w:hideMark/>
          </w:tcPr>
          <w:p w14:paraId="4C650EDF" w14:textId="77777777" w:rsidR="00265939" w:rsidRPr="00895406" w:rsidRDefault="00265939">
            <w:pPr>
              <w:rPr>
                <w:b/>
                <w:bCs/>
                <w:sz w:val="16"/>
                <w:szCs w:val="16"/>
              </w:rPr>
            </w:pPr>
          </w:p>
        </w:tc>
        <w:tc>
          <w:tcPr>
            <w:tcW w:w="1180" w:type="dxa"/>
            <w:vMerge/>
            <w:vAlign w:val="center"/>
            <w:hideMark/>
          </w:tcPr>
          <w:p w14:paraId="5BF85155" w14:textId="77777777" w:rsidR="00265939" w:rsidRPr="00895406" w:rsidRDefault="00265939">
            <w:pPr>
              <w:rPr>
                <w:b/>
                <w:bCs/>
                <w:sz w:val="16"/>
                <w:szCs w:val="16"/>
              </w:rPr>
            </w:pPr>
          </w:p>
        </w:tc>
        <w:tc>
          <w:tcPr>
            <w:tcW w:w="1080" w:type="dxa"/>
            <w:vMerge/>
            <w:vAlign w:val="center"/>
            <w:hideMark/>
          </w:tcPr>
          <w:p w14:paraId="60551F4A" w14:textId="77777777" w:rsidR="00265939" w:rsidRPr="00895406" w:rsidRDefault="00265939">
            <w:pPr>
              <w:rPr>
                <w:b/>
                <w:bCs/>
                <w:sz w:val="16"/>
                <w:szCs w:val="16"/>
              </w:rPr>
            </w:pPr>
          </w:p>
        </w:tc>
      </w:tr>
      <w:tr w:rsidR="00265939" w:rsidRPr="00895406" w14:paraId="23921E0E" w14:textId="77777777" w:rsidTr="00895406">
        <w:trPr>
          <w:trHeight w:val="330"/>
        </w:trPr>
        <w:tc>
          <w:tcPr>
            <w:tcW w:w="5440" w:type="dxa"/>
            <w:shd w:val="clear" w:color="000000" w:fill="E6E6E6"/>
            <w:vAlign w:val="center"/>
            <w:hideMark/>
          </w:tcPr>
          <w:p w14:paraId="1FD3881C" w14:textId="77777777" w:rsidR="00265939" w:rsidRPr="00895406" w:rsidRDefault="00265939">
            <w:pPr>
              <w:rPr>
                <w:b/>
                <w:bCs/>
                <w:sz w:val="16"/>
                <w:szCs w:val="16"/>
              </w:rPr>
            </w:pPr>
            <w:r w:rsidRPr="00895406">
              <w:rPr>
                <w:b/>
                <w:bCs/>
                <w:sz w:val="16"/>
                <w:szCs w:val="16"/>
              </w:rPr>
              <w:t>Общо приходи:</w:t>
            </w:r>
          </w:p>
        </w:tc>
        <w:tc>
          <w:tcPr>
            <w:tcW w:w="1200" w:type="dxa"/>
            <w:shd w:val="clear" w:color="000000" w:fill="E6E6E6"/>
            <w:vAlign w:val="center"/>
            <w:hideMark/>
          </w:tcPr>
          <w:p w14:paraId="111958D1" w14:textId="77777777" w:rsidR="00265939" w:rsidRPr="00895406" w:rsidRDefault="00265939">
            <w:pPr>
              <w:jc w:val="right"/>
              <w:rPr>
                <w:b/>
                <w:bCs/>
                <w:sz w:val="16"/>
                <w:szCs w:val="16"/>
              </w:rPr>
            </w:pPr>
            <w:r w:rsidRPr="00895406">
              <w:rPr>
                <w:b/>
                <w:bCs/>
                <w:sz w:val="16"/>
                <w:szCs w:val="16"/>
              </w:rPr>
              <w:t>13 407 300</w:t>
            </w:r>
          </w:p>
        </w:tc>
        <w:tc>
          <w:tcPr>
            <w:tcW w:w="1180" w:type="dxa"/>
            <w:shd w:val="clear" w:color="000000" w:fill="E6E6E6"/>
            <w:vAlign w:val="center"/>
            <w:hideMark/>
          </w:tcPr>
          <w:p w14:paraId="1470F7B6" w14:textId="77777777" w:rsidR="00265939" w:rsidRPr="00895406" w:rsidRDefault="00265939">
            <w:pPr>
              <w:jc w:val="right"/>
              <w:rPr>
                <w:b/>
                <w:bCs/>
                <w:sz w:val="16"/>
                <w:szCs w:val="16"/>
              </w:rPr>
            </w:pPr>
            <w:r w:rsidRPr="00895406">
              <w:rPr>
                <w:b/>
                <w:bCs/>
                <w:sz w:val="16"/>
                <w:szCs w:val="16"/>
              </w:rPr>
              <w:t>13 528 800</w:t>
            </w:r>
          </w:p>
        </w:tc>
        <w:tc>
          <w:tcPr>
            <w:tcW w:w="1080" w:type="dxa"/>
            <w:shd w:val="clear" w:color="000000" w:fill="E6E6E6"/>
            <w:vAlign w:val="center"/>
            <w:hideMark/>
          </w:tcPr>
          <w:p w14:paraId="4CDBB3EB" w14:textId="77777777" w:rsidR="00265939" w:rsidRPr="00895406" w:rsidRDefault="00265939">
            <w:pPr>
              <w:jc w:val="right"/>
              <w:rPr>
                <w:b/>
                <w:bCs/>
                <w:sz w:val="16"/>
                <w:szCs w:val="16"/>
              </w:rPr>
            </w:pPr>
            <w:r w:rsidRPr="00895406">
              <w:rPr>
                <w:b/>
                <w:bCs/>
                <w:sz w:val="16"/>
                <w:szCs w:val="16"/>
              </w:rPr>
              <w:t>4 307 678</w:t>
            </w:r>
          </w:p>
        </w:tc>
      </w:tr>
      <w:tr w:rsidR="00265939" w:rsidRPr="00895406" w14:paraId="4F4069B3" w14:textId="77777777" w:rsidTr="00895406">
        <w:trPr>
          <w:trHeight w:val="330"/>
        </w:trPr>
        <w:tc>
          <w:tcPr>
            <w:tcW w:w="5440" w:type="dxa"/>
            <w:shd w:val="clear" w:color="auto" w:fill="auto"/>
            <w:vAlign w:val="center"/>
            <w:hideMark/>
          </w:tcPr>
          <w:p w14:paraId="3797D734" w14:textId="77777777" w:rsidR="00265939" w:rsidRPr="00895406" w:rsidRDefault="00265939">
            <w:pPr>
              <w:ind w:firstLineChars="100" w:firstLine="160"/>
              <w:rPr>
                <w:i/>
                <w:iCs/>
                <w:sz w:val="16"/>
                <w:szCs w:val="16"/>
              </w:rPr>
            </w:pPr>
            <w:r w:rsidRPr="00895406">
              <w:rPr>
                <w:i/>
                <w:iCs/>
                <w:sz w:val="16"/>
                <w:szCs w:val="16"/>
              </w:rPr>
              <w:t>Данъчни приходи</w:t>
            </w:r>
          </w:p>
        </w:tc>
        <w:tc>
          <w:tcPr>
            <w:tcW w:w="1200" w:type="dxa"/>
            <w:shd w:val="clear" w:color="auto" w:fill="auto"/>
            <w:vAlign w:val="center"/>
            <w:hideMark/>
          </w:tcPr>
          <w:p w14:paraId="5727B0BE" w14:textId="77777777" w:rsidR="00265939" w:rsidRPr="00895406" w:rsidRDefault="00265939">
            <w:pPr>
              <w:jc w:val="both"/>
              <w:rPr>
                <w:sz w:val="16"/>
                <w:szCs w:val="16"/>
              </w:rPr>
            </w:pPr>
            <w:r w:rsidRPr="00895406">
              <w:rPr>
                <w:sz w:val="16"/>
                <w:szCs w:val="16"/>
              </w:rPr>
              <w:t> </w:t>
            </w:r>
          </w:p>
        </w:tc>
        <w:tc>
          <w:tcPr>
            <w:tcW w:w="1180" w:type="dxa"/>
            <w:shd w:val="clear" w:color="auto" w:fill="auto"/>
            <w:vAlign w:val="center"/>
            <w:hideMark/>
          </w:tcPr>
          <w:p w14:paraId="28B45479" w14:textId="77777777" w:rsidR="00265939" w:rsidRPr="00895406" w:rsidRDefault="00265939">
            <w:pPr>
              <w:jc w:val="both"/>
              <w:rPr>
                <w:sz w:val="16"/>
                <w:szCs w:val="16"/>
              </w:rPr>
            </w:pPr>
            <w:r w:rsidRPr="00895406">
              <w:rPr>
                <w:sz w:val="16"/>
                <w:szCs w:val="16"/>
              </w:rPr>
              <w:t> </w:t>
            </w:r>
          </w:p>
        </w:tc>
        <w:tc>
          <w:tcPr>
            <w:tcW w:w="1080" w:type="dxa"/>
            <w:shd w:val="clear" w:color="auto" w:fill="auto"/>
            <w:vAlign w:val="center"/>
            <w:hideMark/>
          </w:tcPr>
          <w:p w14:paraId="29196B91" w14:textId="77777777" w:rsidR="00265939" w:rsidRPr="00895406" w:rsidRDefault="00265939">
            <w:pPr>
              <w:jc w:val="both"/>
              <w:rPr>
                <w:sz w:val="16"/>
                <w:szCs w:val="16"/>
              </w:rPr>
            </w:pPr>
            <w:r w:rsidRPr="00895406">
              <w:rPr>
                <w:sz w:val="16"/>
                <w:szCs w:val="16"/>
              </w:rPr>
              <w:t> </w:t>
            </w:r>
          </w:p>
        </w:tc>
      </w:tr>
      <w:tr w:rsidR="00265939" w:rsidRPr="00895406" w14:paraId="68CF4D30" w14:textId="77777777" w:rsidTr="00895406">
        <w:trPr>
          <w:trHeight w:val="330"/>
        </w:trPr>
        <w:tc>
          <w:tcPr>
            <w:tcW w:w="5440" w:type="dxa"/>
            <w:shd w:val="clear" w:color="auto" w:fill="auto"/>
            <w:vAlign w:val="center"/>
            <w:hideMark/>
          </w:tcPr>
          <w:p w14:paraId="7523D190" w14:textId="77777777" w:rsidR="00265939" w:rsidRPr="00895406" w:rsidRDefault="00265939">
            <w:pPr>
              <w:ind w:firstLineChars="100" w:firstLine="160"/>
              <w:rPr>
                <w:i/>
                <w:iCs/>
                <w:sz w:val="16"/>
                <w:szCs w:val="16"/>
              </w:rPr>
            </w:pPr>
            <w:r w:rsidRPr="00895406">
              <w:rPr>
                <w:i/>
                <w:iCs/>
                <w:sz w:val="16"/>
                <w:szCs w:val="16"/>
              </w:rPr>
              <w:t>Неданъчни приходи</w:t>
            </w:r>
          </w:p>
        </w:tc>
        <w:tc>
          <w:tcPr>
            <w:tcW w:w="1200" w:type="dxa"/>
            <w:shd w:val="clear" w:color="auto" w:fill="auto"/>
            <w:vAlign w:val="center"/>
            <w:hideMark/>
          </w:tcPr>
          <w:p w14:paraId="7A2B83D6" w14:textId="77777777" w:rsidR="00265939" w:rsidRPr="00895406" w:rsidRDefault="00265939">
            <w:pPr>
              <w:jc w:val="right"/>
              <w:rPr>
                <w:b/>
                <w:bCs/>
                <w:sz w:val="16"/>
                <w:szCs w:val="16"/>
              </w:rPr>
            </w:pPr>
            <w:r w:rsidRPr="00895406">
              <w:rPr>
                <w:b/>
                <w:bCs/>
                <w:sz w:val="16"/>
                <w:szCs w:val="16"/>
              </w:rPr>
              <w:t>13 407 300</w:t>
            </w:r>
          </w:p>
        </w:tc>
        <w:tc>
          <w:tcPr>
            <w:tcW w:w="1180" w:type="dxa"/>
            <w:shd w:val="clear" w:color="auto" w:fill="auto"/>
            <w:vAlign w:val="center"/>
            <w:hideMark/>
          </w:tcPr>
          <w:p w14:paraId="726D92C3" w14:textId="77777777" w:rsidR="00265939" w:rsidRPr="00895406" w:rsidRDefault="00265939">
            <w:pPr>
              <w:jc w:val="right"/>
              <w:rPr>
                <w:b/>
                <w:bCs/>
                <w:sz w:val="16"/>
                <w:szCs w:val="16"/>
              </w:rPr>
            </w:pPr>
            <w:r w:rsidRPr="00895406">
              <w:rPr>
                <w:b/>
                <w:bCs/>
                <w:sz w:val="16"/>
                <w:szCs w:val="16"/>
              </w:rPr>
              <w:t>13 528 800</w:t>
            </w:r>
          </w:p>
        </w:tc>
        <w:tc>
          <w:tcPr>
            <w:tcW w:w="1080" w:type="dxa"/>
            <w:shd w:val="clear" w:color="auto" w:fill="auto"/>
            <w:vAlign w:val="center"/>
            <w:hideMark/>
          </w:tcPr>
          <w:p w14:paraId="70A443F0" w14:textId="77777777" w:rsidR="00265939" w:rsidRPr="00895406" w:rsidRDefault="00265939">
            <w:pPr>
              <w:jc w:val="right"/>
              <w:rPr>
                <w:b/>
                <w:bCs/>
                <w:sz w:val="16"/>
                <w:szCs w:val="16"/>
              </w:rPr>
            </w:pPr>
            <w:r w:rsidRPr="00895406">
              <w:rPr>
                <w:b/>
                <w:bCs/>
                <w:sz w:val="16"/>
                <w:szCs w:val="16"/>
              </w:rPr>
              <w:t>4 307 678</w:t>
            </w:r>
          </w:p>
        </w:tc>
      </w:tr>
      <w:tr w:rsidR="00265939" w:rsidRPr="00895406" w14:paraId="2B9A743B" w14:textId="77777777" w:rsidTr="00895406">
        <w:trPr>
          <w:trHeight w:val="330"/>
        </w:trPr>
        <w:tc>
          <w:tcPr>
            <w:tcW w:w="5440" w:type="dxa"/>
            <w:shd w:val="clear" w:color="auto" w:fill="auto"/>
            <w:vAlign w:val="center"/>
            <w:hideMark/>
          </w:tcPr>
          <w:p w14:paraId="73D12624" w14:textId="77777777" w:rsidR="00265939" w:rsidRPr="00895406" w:rsidRDefault="00265939">
            <w:pPr>
              <w:ind w:firstLineChars="200" w:firstLine="320"/>
              <w:rPr>
                <w:sz w:val="16"/>
                <w:szCs w:val="16"/>
              </w:rPr>
            </w:pPr>
            <w:r w:rsidRPr="00895406">
              <w:rPr>
                <w:sz w:val="16"/>
                <w:szCs w:val="16"/>
              </w:rPr>
              <w:t>Приходи и доходи от собственост</w:t>
            </w:r>
          </w:p>
        </w:tc>
        <w:tc>
          <w:tcPr>
            <w:tcW w:w="1200" w:type="dxa"/>
            <w:shd w:val="clear" w:color="auto" w:fill="auto"/>
            <w:vAlign w:val="center"/>
            <w:hideMark/>
          </w:tcPr>
          <w:p w14:paraId="39B12F03" w14:textId="77777777" w:rsidR="00265939" w:rsidRPr="00895406" w:rsidRDefault="00265939">
            <w:pPr>
              <w:jc w:val="right"/>
              <w:rPr>
                <w:sz w:val="16"/>
                <w:szCs w:val="16"/>
              </w:rPr>
            </w:pPr>
            <w:r w:rsidRPr="00895406">
              <w:rPr>
                <w:sz w:val="16"/>
                <w:szCs w:val="16"/>
              </w:rPr>
              <w:t>7 955 800</w:t>
            </w:r>
          </w:p>
        </w:tc>
        <w:tc>
          <w:tcPr>
            <w:tcW w:w="1180" w:type="dxa"/>
            <w:shd w:val="clear" w:color="auto" w:fill="auto"/>
            <w:vAlign w:val="center"/>
            <w:hideMark/>
          </w:tcPr>
          <w:p w14:paraId="5D654A59" w14:textId="77777777" w:rsidR="00265939" w:rsidRPr="00895406" w:rsidRDefault="00265939">
            <w:pPr>
              <w:jc w:val="right"/>
              <w:rPr>
                <w:sz w:val="16"/>
                <w:szCs w:val="16"/>
              </w:rPr>
            </w:pPr>
            <w:r w:rsidRPr="00895406">
              <w:rPr>
                <w:sz w:val="16"/>
                <w:szCs w:val="16"/>
              </w:rPr>
              <w:t>7 955 800</w:t>
            </w:r>
          </w:p>
        </w:tc>
        <w:tc>
          <w:tcPr>
            <w:tcW w:w="1080" w:type="dxa"/>
            <w:shd w:val="clear" w:color="auto" w:fill="auto"/>
            <w:vAlign w:val="center"/>
            <w:hideMark/>
          </w:tcPr>
          <w:p w14:paraId="11E22462" w14:textId="77777777" w:rsidR="00265939" w:rsidRPr="00895406" w:rsidRDefault="00265939">
            <w:pPr>
              <w:jc w:val="right"/>
              <w:rPr>
                <w:sz w:val="16"/>
                <w:szCs w:val="16"/>
              </w:rPr>
            </w:pPr>
            <w:r w:rsidRPr="00895406">
              <w:rPr>
                <w:sz w:val="16"/>
                <w:szCs w:val="16"/>
              </w:rPr>
              <w:t>3 073 269</w:t>
            </w:r>
          </w:p>
        </w:tc>
      </w:tr>
      <w:tr w:rsidR="00265939" w:rsidRPr="00895406" w14:paraId="6F3EB3E4" w14:textId="77777777" w:rsidTr="00895406">
        <w:trPr>
          <w:trHeight w:val="330"/>
        </w:trPr>
        <w:tc>
          <w:tcPr>
            <w:tcW w:w="5440" w:type="dxa"/>
            <w:shd w:val="clear" w:color="auto" w:fill="auto"/>
            <w:vAlign w:val="center"/>
            <w:hideMark/>
          </w:tcPr>
          <w:p w14:paraId="5F69D0DA" w14:textId="77777777" w:rsidR="00265939" w:rsidRPr="00895406" w:rsidRDefault="00265939">
            <w:pPr>
              <w:ind w:firstLineChars="200" w:firstLine="320"/>
              <w:rPr>
                <w:sz w:val="16"/>
                <w:szCs w:val="16"/>
              </w:rPr>
            </w:pPr>
            <w:r w:rsidRPr="00895406">
              <w:rPr>
                <w:sz w:val="16"/>
                <w:szCs w:val="16"/>
              </w:rPr>
              <w:t>Държавни такси</w:t>
            </w:r>
          </w:p>
        </w:tc>
        <w:tc>
          <w:tcPr>
            <w:tcW w:w="1200" w:type="dxa"/>
            <w:shd w:val="clear" w:color="auto" w:fill="auto"/>
            <w:vAlign w:val="center"/>
            <w:hideMark/>
          </w:tcPr>
          <w:p w14:paraId="797E17BB" w14:textId="77777777" w:rsidR="00265939" w:rsidRPr="00895406" w:rsidRDefault="00265939">
            <w:pPr>
              <w:jc w:val="right"/>
              <w:rPr>
                <w:sz w:val="16"/>
                <w:szCs w:val="16"/>
              </w:rPr>
            </w:pPr>
            <w:r w:rsidRPr="00895406">
              <w:rPr>
                <w:sz w:val="16"/>
                <w:szCs w:val="16"/>
              </w:rPr>
              <w:t>760 200</w:t>
            </w:r>
          </w:p>
        </w:tc>
        <w:tc>
          <w:tcPr>
            <w:tcW w:w="1180" w:type="dxa"/>
            <w:shd w:val="clear" w:color="auto" w:fill="auto"/>
            <w:vAlign w:val="center"/>
            <w:hideMark/>
          </w:tcPr>
          <w:p w14:paraId="75614748" w14:textId="77777777" w:rsidR="00265939" w:rsidRPr="00895406" w:rsidRDefault="00265939">
            <w:pPr>
              <w:jc w:val="right"/>
              <w:rPr>
                <w:sz w:val="16"/>
                <w:szCs w:val="16"/>
              </w:rPr>
            </w:pPr>
            <w:r w:rsidRPr="00895406">
              <w:rPr>
                <w:sz w:val="16"/>
                <w:szCs w:val="16"/>
              </w:rPr>
              <w:t>760 200</w:t>
            </w:r>
          </w:p>
        </w:tc>
        <w:tc>
          <w:tcPr>
            <w:tcW w:w="1080" w:type="dxa"/>
            <w:shd w:val="clear" w:color="auto" w:fill="auto"/>
            <w:vAlign w:val="center"/>
            <w:hideMark/>
          </w:tcPr>
          <w:p w14:paraId="2FF89A28" w14:textId="77777777" w:rsidR="00265939" w:rsidRPr="00895406" w:rsidRDefault="00265939">
            <w:pPr>
              <w:jc w:val="right"/>
              <w:rPr>
                <w:sz w:val="16"/>
                <w:szCs w:val="16"/>
              </w:rPr>
            </w:pPr>
            <w:r w:rsidRPr="00895406">
              <w:rPr>
                <w:sz w:val="16"/>
                <w:szCs w:val="16"/>
              </w:rPr>
              <w:t>556 398</w:t>
            </w:r>
          </w:p>
        </w:tc>
      </w:tr>
      <w:tr w:rsidR="00265939" w:rsidRPr="00895406" w14:paraId="516F4B80" w14:textId="77777777" w:rsidTr="00895406">
        <w:trPr>
          <w:trHeight w:val="330"/>
        </w:trPr>
        <w:tc>
          <w:tcPr>
            <w:tcW w:w="5440" w:type="dxa"/>
            <w:shd w:val="clear" w:color="auto" w:fill="auto"/>
            <w:vAlign w:val="center"/>
            <w:hideMark/>
          </w:tcPr>
          <w:p w14:paraId="538816FB" w14:textId="77777777" w:rsidR="00265939" w:rsidRPr="00895406" w:rsidRDefault="00265939">
            <w:pPr>
              <w:ind w:firstLineChars="200" w:firstLine="320"/>
              <w:rPr>
                <w:sz w:val="16"/>
                <w:szCs w:val="16"/>
              </w:rPr>
            </w:pPr>
            <w:r w:rsidRPr="00895406">
              <w:rPr>
                <w:sz w:val="16"/>
                <w:szCs w:val="16"/>
              </w:rPr>
              <w:t>Глоби, санкции и наказателни лихви</w:t>
            </w:r>
          </w:p>
        </w:tc>
        <w:tc>
          <w:tcPr>
            <w:tcW w:w="1200" w:type="dxa"/>
            <w:shd w:val="clear" w:color="auto" w:fill="auto"/>
            <w:vAlign w:val="center"/>
            <w:hideMark/>
          </w:tcPr>
          <w:p w14:paraId="26E67D6B" w14:textId="77777777" w:rsidR="00265939" w:rsidRPr="00895406" w:rsidRDefault="00265939">
            <w:pPr>
              <w:jc w:val="right"/>
              <w:rPr>
                <w:sz w:val="16"/>
                <w:szCs w:val="16"/>
              </w:rPr>
            </w:pPr>
            <w:r w:rsidRPr="00895406">
              <w:rPr>
                <w:sz w:val="16"/>
                <w:szCs w:val="16"/>
              </w:rPr>
              <w:t> </w:t>
            </w:r>
          </w:p>
        </w:tc>
        <w:tc>
          <w:tcPr>
            <w:tcW w:w="1180" w:type="dxa"/>
            <w:shd w:val="clear" w:color="auto" w:fill="auto"/>
            <w:vAlign w:val="center"/>
            <w:hideMark/>
          </w:tcPr>
          <w:p w14:paraId="73662A5D" w14:textId="77777777" w:rsidR="00265939" w:rsidRPr="00895406" w:rsidRDefault="00265939">
            <w:pPr>
              <w:jc w:val="right"/>
              <w:rPr>
                <w:sz w:val="16"/>
                <w:szCs w:val="16"/>
              </w:rPr>
            </w:pPr>
            <w:r w:rsidRPr="00895406">
              <w:rPr>
                <w:sz w:val="16"/>
                <w:szCs w:val="16"/>
              </w:rPr>
              <w:t> </w:t>
            </w:r>
          </w:p>
        </w:tc>
        <w:tc>
          <w:tcPr>
            <w:tcW w:w="1080" w:type="dxa"/>
            <w:shd w:val="clear" w:color="auto" w:fill="auto"/>
            <w:vAlign w:val="center"/>
            <w:hideMark/>
          </w:tcPr>
          <w:p w14:paraId="31743057" w14:textId="77777777" w:rsidR="00265939" w:rsidRPr="00895406" w:rsidRDefault="00265939">
            <w:pPr>
              <w:jc w:val="right"/>
              <w:rPr>
                <w:sz w:val="16"/>
                <w:szCs w:val="16"/>
              </w:rPr>
            </w:pPr>
            <w:r w:rsidRPr="00895406">
              <w:rPr>
                <w:sz w:val="16"/>
                <w:szCs w:val="16"/>
              </w:rPr>
              <w:t>224 964</w:t>
            </w:r>
          </w:p>
        </w:tc>
      </w:tr>
      <w:tr w:rsidR="00265939" w:rsidRPr="00895406" w14:paraId="31D83976" w14:textId="77777777" w:rsidTr="00895406">
        <w:trPr>
          <w:trHeight w:val="330"/>
        </w:trPr>
        <w:tc>
          <w:tcPr>
            <w:tcW w:w="5440" w:type="dxa"/>
            <w:shd w:val="clear" w:color="auto" w:fill="auto"/>
            <w:vAlign w:val="center"/>
            <w:hideMark/>
          </w:tcPr>
          <w:p w14:paraId="35B05BCC" w14:textId="77777777" w:rsidR="00265939" w:rsidRPr="00895406" w:rsidRDefault="00265939">
            <w:pPr>
              <w:ind w:firstLineChars="200" w:firstLine="320"/>
              <w:rPr>
                <w:sz w:val="16"/>
                <w:szCs w:val="16"/>
              </w:rPr>
            </w:pPr>
            <w:r w:rsidRPr="00895406">
              <w:rPr>
                <w:sz w:val="16"/>
                <w:szCs w:val="16"/>
              </w:rPr>
              <w:t>Приходи от концесии</w:t>
            </w:r>
          </w:p>
        </w:tc>
        <w:tc>
          <w:tcPr>
            <w:tcW w:w="1200" w:type="dxa"/>
            <w:shd w:val="clear" w:color="auto" w:fill="auto"/>
            <w:vAlign w:val="center"/>
            <w:hideMark/>
          </w:tcPr>
          <w:p w14:paraId="49BE62F9" w14:textId="77777777" w:rsidR="00265939" w:rsidRPr="00895406" w:rsidRDefault="00265939">
            <w:pPr>
              <w:jc w:val="right"/>
              <w:rPr>
                <w:sz w:val="16"/>
                <w:szCs w:val="16"/>
              </w:rPr>
            </w:pPr>
            <w:r w:rsidRPr="00895406">
              <w:rPr>
                <w:sz w:val="16"/>
                <w:szCs w:val="16"/>
              </w:rPr>
              <w:t>1 910 800</w:t>
            </w:r>
          </w:p>
        </w:tc>
        <w:tc>
          <w:tcPr>
            <w:tcW w:w="1180" w:type="dxa"/>
            <w:shd w:val="clear" w:color="auto" w:fill="auto"/>
            <w:vAlign w:val="center"/>
            <w:hideMark/>
          </w:tcPr>
          <w:p w14:paraId="27E7B756" w14:textId="77777777" w:rsidR="00265939" w:rsidRPr="00895406" w:rsidRDefault="00265939">
            <w:pPr>
              <w:jc w:val="right"/>
              <w:rPr>
                <w:sz w:val="16"/>
                <w:szCs w:val="16"/>
              </w:rPr>
            </w:pPr>
            <w:r w:rsidRPr="00895406">
              <w:rPr>
                <w:sz w:val="16"/>
                <w:szCs w:val="16"/>
              </w:rPr>
              <w:t>1 910 800</w:t>
            </w:r>
          </w:p>
        </w:tc>
        <w:tc>
          <w:tcPr>
            <w:tcW w:w="1080" w:type="dxa"/>
            <w:shd w:val="clear" w:color="auto" w:fill="auto"/>
            <w:vAlign w:val="center"/>
            <w:hideMark/>
          </w:tcPr>
          <w:p w14:paraId="7F711FA7" w14:textId="77777777" w:rsidR="00265939" w:rsidRPr="00895406" w:rsidRDefault="00265939">
            <w:pPr>
              <w:jc w:val="right"/>
              <w:rPr>
                <w:sz w:val="16"/>
                <w:szCs w:val="16"/>
              </w:rPr>
            </w:pPr>
            <w:r w:rsidRPr="00895406">
              <w:rPr>
                <w:sz w:val="16"/>
                <w:szCs w:val="16"/>
              </w:rPr>
              <w:t> </w:t>
            </w:r>
          </w:p>
        </w:tc>
      </w:tr>
      <w:tr w:rsidR="00265939" w:rsidRPr="00895406" w14:paraId="3DEEDFF2" w14:textId="77777777" w:rsidTr="00895406">
        <w:trPr>
          <w:trHeight w:val="330"/>
        </w:trPr>
        <w:tc>
          <w:tcPr>
            <w:tcW w:w="5440" w:type="dxa"/>
            <w:shd w:val="clear" w:color="auto" w:fill="auto"/>
            <w:vAlign w:val="center"/>
            <w:hideMark/>
          </w:tcPr>
          <w:p w14:paraId="4F213E01" w14:textId="77777777" w:rsidR="00265939" w:rsidRPr="00895406" w:rsidRDefault="00265939">
            <w:pPr>
              <w:ind w:firstLineChars="200" w:firstLine="320"/>
              <w:rPr>
                <w:sz w:val="16"/>
                <w:szCs w:val="16"/>
              </w:rPr>
            </w:pPr>
            <w:r w:rsidRPr="00895406">
              <w:rPr>
                <w:sz w:val="16"/>
                <w:szCs w:val="16"/>
              </w:rPr>
              <w:t>Други</w:t>
            </w:r>
          </w:p>
        </w:tc>
        <w:tc>
          <w:tcPr>
            <w:tcW w:w="1200" w:type="dxa"/>
            <w:shd w:val="clear" w:color="auto" w:fill="auto"/>
            <w:vAlign w:val="center"/>
            <w:hideMark/>
          </w:tcPr>
          <w:p w14:paraId="495499E8" w14:textId="77777777" w:rsidR="00265939" w:rsidRPr="00895406" w:rsidRDefault="00265939">
            <w:pPr>
              <w:jc w:val="right"/>
              <w:rPr>
                <w:sz w:val="16"/>
                <w:szCs w:val="16"/>
              </w:rPr>
            </w:pPr>
            <w:r w:rsidRPr="00895406">
              <w:rPr>
                <w:sz w:val="16"/>
                <w:szCs w:val="16"/>
              </w:rPr>
              <w:t>2 780 500</w:t>
            </w:r>
          </w:p>
        </w:tc>
        <w:tc>
          <w:tcPr>
            <w:tcW w:w="1180" w:type="dxa"/>
            <w:shd w:val="clear" w:color="auto" w:fill="auto"/>
            <w:vAlign w:val="center"/>
            <w:hideMark/>
          </w:tcPr>
          <w:p w14:paraId="4DA1488D" w14:textId="77777777" w:rsidR="00265939" w:rsidRPr="00895406" w:rsidRDefault="00265939">
            <w:pPr>
              <w:jc w:val="right"/>
              <w:rPr>
                <w:sz w:val="16"/>
                <w:szCs w:val="16"/>
              </w:rPr>
            </w:pPr>
            <w:r w:rsidRPr="00895406">
              <w:rPr>
                <w:sz w:val="16"/>
                <w:szCs w:val="16"/>
              </w:rPr>
              <w:t>2 780 500</w:t>
            </w:r>
          </w:p>
        </w:tc>
        <w:tc>
          <w:tcPr>
            <w:tcW w:w="1080" w:type="dxa"/>
            <w:shd w:val="clear" w:color="auto" w:fill="auto"/>
            <w:vAlign w:val="center"/>
            <w:hideMark/>
          </w:tcPr>
          <w:p w14:paraId="3F6918F2" w14:textId="77777777" w:rsidR="00265939" w:rsidRPr="00895406" w:rsidRDefault="00265939">
            <w:pPr>
              <w:jc w:val="right"/>
              <w:rPr>
                <w:sz w:val="16"/>
                <w:szCs w:val="16"/>
              </w:rPr>
            </w:pPr>
            <w:r w:rsidRPr="00895406">
              <w:rPr>
                <w:sz w:val="16"/>
                <w:szCs w:val="16"/>
              </w:rPr>
              <w:t>200 905</w:t>
            </w:r>
          </w:p>
        </w:tc>
      </w:tr>
      <w:tr w:rsidR="00265939" w:rsidRPr="00895406" w14:paraId="58F31FF5" w14:textId="77777777" w:rsidTr="00895406">
        <w:trPr>
          <w:trHeight w:val="330"/>
        </w:trPr>
        <w:tc>
          <w:tcPr>
            <w:tcW w:w="5440" w:type="dxa"/>
            <w:shd w:val="clear" w:color="auto" w:fill="auto"/>
            <w:vAlign w:val="center"/>
            <w:hideMark/>
          </w:tcPr>
          <w:p w14:paraId="10120D33" w14:textId="77777777" w:rsidR="00265939" w:rsidRPr="00895406" w:rsidRDefault="00265939">
            <w:pPr>
              <w:ind w:firstLineChars="100" w:firstLine="160"/>
              <w:rPr>
                <w:i/>
                <w:iCs/>
                <w:sz w:val="16"/>
                <w:szCs w:val="16"/>
              </w:rPr>
            </w:pPr>
            <w:r w:rsidRPr="00895406">
              <w:rPr>
                <w:i/>
                <w:iCs/>
                <w:sz w:val="16"/>
                <w:szCs w:val="16"/>
              </w:rPr>
              <w:t>Помощи, дарения и други безвъзмездно получени суми</w:t>
            </w:r>
          </w:p>
        </w:tc>
        <w:tc>
          <w:tcPr>
            <w:tcW w:w="1200" w:type="dxa"/>
            <w:shd w:val="clear" w:color="auto" w:fill="auto"/>
            <w:vAlign w:val="center"/>
            <w:hideMark/>
          </w:tcPr>
          <w:p w14:paraId="1F911F8B" w14:textId="77777777" w:rsidR="00265939" w:rsidRPr="00895406" w:rsidRDefault="00265939">
            <w:pPr>
              <w:jc w:val="right"/>
              <w:rPr>
                <w:sz w:val="16"/>
                <w:szCs w:val="16"/>
              </w:rPr>
            </w:pPr>
            <w:r w:rsidRPr="00895406">
              <w:rPr>
                <w:sz w:val="16"/>
                <w:szCs w:val="16"/>
              </w:rPr>
              <w:t> </w:t>
            </w:r>
          </w:p>
        </w:tc>
        <w:tc>
          <w:tcPr>
            <w:tcW w:w="1180" w:type="dxa"/>
            <w:shd w:val="clear" w:color="auto" w:fill="auto"/>
            <w:vAlign w:val="center"/>
            <w:hideMark/>
          </w:tcPr>
          <w:p w14:paraId="1D73CBF3" w14:textId="77777777" w:rsidR="00265939" w:rsidRPr="00895406" w:rsidRDefault="00265939">
            <w:pPr>
              <w:jc w:val="right"/>
              <w:rPr>
                <w:sz w:val="16"/>
                <w:szCs w:val="16"/>
              </w:rPr>
            </w:pPr>
            <w:r w:rsidRPr="00895406">
              <w:rPr>
                <w:sz w:val="16"/>
                <w:szCs w:val="16"/>
              </w:rPr>
              <w:t>121 500</w:t>
            </w:r>
          </w:p>
        </w:tc>
        <w:tc>
          <w:tcPr>
            <w:tcW w:w="1080" w:type="dxa"/>
            <w:shd w:val="clear" w:color="auto" w:fill="auto"/>
            <w:vAlign w:val="center"/>
            <w:hideMark/>
          </w:tcPr>
          <w:p w14:paraId="7E63E272" w14:textId="77777777" w:rsidR="00265939" w:rsidRPr="00895406" w:rsidRDefault="00265939">
            <w:pPr>
              <w:jc w:val="right"/>
              <w:rPr>
                <w:sz w:val="16"/>
                <w:szCs w:val="16"/>
              </w:rPr>
            </w:pPr>
            <w:r w:rsidRPr="00895406">
              <w:rPr>
                <w:sz w:val="16"/>
                <w:szCs w:val="16"/>
              </w:rPr>
              <w:t>252 142</w:t>
            </w:r>
          </w:p>
        </w:tc>
      </w:tr>
    </w:tbl>
    <w:p w14:paraId="15AB39C5" w14:textId="0F787BA6" w:rsidR="00127718" w:rsidRPr="00127718" w:rsidRDefault="00163A53" w:rsidP="0023514B">
      <w:pPr>
        <w:shd w:val="clear" w:color="auto" w:fill="FFFFFF" w:themeFill="background1"/>
        <w:spacing w:before="240" w:after="120"/>
        <w:ind w:firstLine="426"/>
        <w:jc w:val="both"/>
        <w:rPr>
          <w:b/>
          <w:iCs/>
          <w:sz w:val="22"/>
          <w:szCs w:val="22"/>
        </w:rPr>
      </w:pPr>
      <w:r w:rsidRPr="00127718">
        <w:rPr>
          <w:bCs/>
          <w:sz w:val="22"/>
          <w:szCs w:val="22"/>
        </w:rPr>
        <w:t xml:space="preserve">От общите приходи най-голям дял имат приходите </w:t>
      </w:r>
      <w:r w:rsidR="00AA6719" w:rsidRPr="00127718">
        <w:rPr>
          <w:bCs/>
          <w:sz w:val="22"/>
          <w:szCs w:val="22"/>
        </w:rPr>
        <w:t xml:space="preserve">по </w:t>
      </w:r>
      <w:r w:rsidR="00127718" w:rsidRPr="00127718">
        <w:rPr>
          <w:b/>
          <w:sz w:val="22"/>
          <w:szCs w:val="22"/>
        </w:rPr>
        <w:t>§ 24-00 “Приходи и доходи от собственост”</w:t>
      </w:r>
      <w:r w:rsidR="00127718" w:rsidRPr="00127718">
        <w:rPr>
          <w:sz w:val="22"/>
          <w:szCs w:val="22"/>
        </w:rPr>
        <w:t xml:space="preserve"> </w:t>
      </w:r>
      <w:r w:rsidR="00127718" w:rsidRPr="00127718">
        <w:rPr>
          <w:b/>
          <w:sz w:val="22"/>
          <w:szCs w:val="22"/>
        </w:rPr>
        <w:t>–</w:t>
      </w:r>
      <w:r w:rsidR="00127718" w:rsidRPr="00127718">
        <w:rPr>
          <w:bCs/>
          <w:sz w:val="22"/>
          <w:szCs w:val="22"/>
        </w:rPr>
        <w:t xml:space="preserve"> </w:t>
      </w:r>
      <w:r w:rsidR="00127718" w:rsidRPr="00127718">
        <w:rPr>
          <w:b/>
          <w:sz w:val="22"/>
          <w:szCs w:val="22"/>
        </w:rPr>
        <w:t>3 073 269 лв.</w:t>
      </w:r>
      <w:r w:rsidR="00127718" w:rsidRPr="00127718">
        <w:rPr>
          <w:bCs/>
          <w:sz w:val="22"/>
          <w:szCs w:val="22"/>
        </w:rPr>
        <w:t xml:space="preserve"> </w:t>
      </w:r>
      <w:r w:rsidR="008371D7" w:rsidRPr="00127718">
        <w:rPr>
          <w:bCs/>
          <w:sz w:val="22"/>
          <w:szCs w:val="22"/>
        </w:rPr>
        <w:t xml:space="preserve">и приходите </w:t>
      </w:r>
      <w:r w:rsidR="00EB5906" w:rsidRPr="00127718">
        <w:rPr>
          <w:bCs/>
          <w:sz w:val="22"/>
          <w:szCs w:val="22"/>
        </w:rPr>
        <w:t xml:space="preserve">по </w:t>
      </w:r>
      <w:r w:rsidR="00127718" w:rsidRPr="00127718">
        <w:rPr>
          <w:b/>
          <w:iCs/>
          <w:sz w:val="22"/>
          <w:szCs w:val="22"/>
        </w:rPr>
        <w:t>§ 40-00 „Постъпления от продажба на нефинансови активи” – 2 826 245 лв.</w:t>
      </w:r>
    </w:p>
    <w:p w14:paraId="0AFF7178" w14:textId="607EA5E1" w:rsidR="00FC12F5" w:rsidRPr="00FC12F5" w:rsidRDefault="00FC12F5" w:rsidP="0023514B">
      <w:pPr>
        <w:shd w:val="clear" w:color="auto" w:fill="FFFFFF" w:themeFill="background1"/>
        <w:ind w:firstLine="426"/>
        <w:jc w:val="both"/>
        <w:rPr>
          <w:b/>
          <w:color w:val="0F4761" w:themeColor="accent1" w:themeShade="BF"/>
          <w:sz w:val="22"/>
          <w:szCs w:val="22"/>
          <w:lang w:eastAsia="en-GB"/>
        </w:rPr>
      </w:pPr>
      <w:r w:rsidRPr="00FC12F5">
        <w:rPr>
          <w:b/>
          <w:color w:val="0F4761" w:themeColor="accent1" w:themeShade="BF"/>
          <w:sz w:val="22"/>
          <w:szCs w:val="22"/>
        </w:rPr>
        <w:t xml:space="preserve">§ 24-00 </w:t>
      </w:r>
      <w:r w:rsidRPr="00FC12F5">
        <w:rPr>
          <w:b/>
          <w:i/>
          <w:color w:val="0F4761" w:themeColor="accent1" w:themeShade="BF"/>
          <w:sz w:val="22"/>
          <w:szCs w:val="22"/>
        </w:rPr>
        <w:t>“Приходи и доходи от собственост”</w:t>
      </w:r>
      <w:r w:rsidRPr="00FC12F5">
        <w:rPr>
          <w:color w:val="0F4761" w:themeColor="accent1" w:themeShade="BF"/>
          <w:sz w:val="22"/>
          <w:szCs w:val="22"/>
        </w:rPr>
        <w:t xml:space="preserve"> </w:t>
      </w:r>
      <w:r w:rsidRPr="00FC12F5">
        <w:rPr>
          <w:b/>
          <w:color w:val="0F4761" w:themeColor="accent1" w:themeShade="BF"/>
          <w:sz w:val="22"/>
          <w:szCs w:val="22"/>
        </w:rPr>
        <w:t>–</w:t>
      </w:r>
      <w:r w:rsidRPr="00FC12F5">
        <w:rPr>
          <w:bCs/>
          <w:color w:val="0F4761" w:themeColor="accent1" w:themeShade="BF"/>
          <w:sz w:val="22"/>
          <w:szCs w:val="22"/>
        </w:rPr>
        <w:t xml:space="preserve"> </w:t>
      </w:r>
      <w:r w:rsidRPr="00FC12F5">
        <w:rPr>
          <w:b/>
          <w:color w:val="0F4761" w:themeColor="accent1" w:themeShade="BF"/>
          <w:sz w:val="22"/>
          <w:szCs w:val="22"/>
        </w:rPr>
        <w:t>3</w:t>
      </w:r>
      <w:r>
        <w:rPr>
          <w:b/>
          <w:color w:val="0F4761" w:themeColor="accent1" w:themeShade="BF"/>
          <w:sz w:val="22"/>
          <w:szCs w:val="22"/>
        </w:rPr>
        <w:t xml:space="preserve"> </w:t>
      </w:r>
      <w:r w:rsidRPr="00FC12F5">
        <w:rPr>
          <w:b/>
          <w:color w:val="0F4761" w:themeColor="accent1" w:themeShade="BF"/>
          <w:sz w:val="22"/>
          <w:szCs w:val="22"/>
        </w:rPr>
        <w:t>073</w:t>
      </w:r>
      <w:r>
        <w:rPr>
          <w:b/>
          <w:color w:val="0F4761" w:themeColor="accent1" w:themeShade="BF"/>
          <w:sz w:val="22"/>
          <w:szCs w:val="22"/>
        </w:rPr>
        <w:t xml:space="preserve"> </w:t>
      </w:r>
      <w:r w:rsidRPr="00FC12F5">
        <w:rPr>
          <w:b/>
          <w:color w:val="0F4761" w:themeColor="accent1" w:themeShade="BF"/>
          <w:sz w:val="22"/>
          <w:szCs w:val="22"/>
        </w:rPr>
        <w:t>269 лв.</w:t>
      </w:r>
    </w:p>
    <w:p w14:paraId="04B0C5E4" w14:textId="7ABC2560" w:rsidR="00FC12F5" w:rsidRPr="001D7A33" w:rsidRDefault="00FC12F5" w:rsidP="0023514B">
      <w:pPr>
        <w:shd w:val="clear" w:color="auto" w:fill="FFFFFF" w:themeFill="background1"/>
        <w:jc w:val="both"/>
        <w:rPr>
          <w:b/>
          <w:sz w:val="22"/>
          <w:szCs w:val="22"/>
          <w:lang w:eastAsia="en-GB"/>
        </w:rPr>
      </w:pPr>
      <w:r w:rsidRPr="001D7A33">
        <w:rPr>
          <w:b/>
          <w:sz w:val="22"/>
          <w:szCs w:val="22"/>
        </w:rPr>
        <w:t xml:space="preserve">§§ 24-04 </w:t>
      </w:r>
      <w:r w:rsidRPr="001D7A33">
        <w:rPr>
          <w:i/>
          <w:sz w:val="22"/>
          <w:szCs w:val="22"/>
        </w:rPr>
        <w:t>“Нетни приходи от продажби на услуги, стоки и продукция</w:t>
      </w:r>
      <w:r w:rsidRPr="0023514B">
        <w:rPr>
          <w:i/>
          <w:sz w:val="22"/>
          <w:szCs w:val="22"/>
          <w:shd w:val="clear" w:color="auto" w:fill="FFFFFF" w:themeFill="background1"/>
        </w:rPr>
        <w:t>”</w:t>
      </w:r>
      <w:r w:rsidRPr="0023514B">
        <w:rPr>
          <w:sz w:val="22"/>
          <w:szCs w:val="22"/>
          <w:shd w:val="clear" w:color="auto" w:fill="FFFFFF" w:themeFill="background1"/>
        </w:rPr>
        <w:t xml:space="preserve"> </w:t>
      </w:r>
      <w:r w:rsidRPr="0023514B">
        <w:rPr>
          <w:b/>
          <w:sz w:val="22"/>
          <w:szCs w:val="22"/>
          <w:shd w:val="clear" w:color="auto" w:fill="FFFFFF" w:themeFill="background1"/>
        </w:rPr>
        <w:t>–</w:t>
      </w:r>
      <w:r w:rsidRPr="0023514B">
        <w:rPr>
          <w:sz w:val="22"/>
          <w:szCs w:val="22"/>
          <w:shd w:val="clear" w:color="auto" w:fill="FFFFFF" w:themeFill="background1"/>
        </w:rPr>
        <w:t xml:space="preserve"> </w:t>
      </w:r>
      <w:r w:rsidRPr="0023514B">
        <w:rPr>
          <w:b/>
          <w:sz w:val="22"/>
          <w:szCs w:val="22"/>
          <w:shd w:val="clear" w:color="auto" w:fill="FFFFFF" w:themeFill="background1"/>
        </w:rPr>
        <w:t>1 723 472</w:t>
      </w:r>
      <w:r w:rsidRPr="00F75104">
        <w:rPr>
          <w:b/>
          <w:sz w:val="22"/>
          <w:szCs w:val="22"/>
          <w:shd w:val="clear" w:color="auto" w:fill="D9F2D0" w:themeFill="accent6" w:themeFillTint="33"/>
        </w:rPr>
        <w:t xml:space="preserve"> </w:t>
      </w:r>
      <w:r w:rsidRPr="001D7A33">
        <w:rPr>
          <w:b/>
          <w:sz w:val="22"/>
          <w:szCs w:val="22"/>
        </w:rPr>
        <w:t>лв.</w:t>
      </w:r>
    </w:p>
    <w:p w14:paraId="0CA45F46" w14:textId="4021E7F7" w:rsidR="00FC12F5" w:rsidRPr="001D7A33" w:rsidRDefault="00FC12F5" w:rsidP="0023514B">
      <w:pPr>
        <w:shd w:val="clear" w:color="auto" w:fill="FFFFFF" w:themeFill="background1"/>
        <w:jc w:val="both"/>
        <w:rPr>
          <w:sz w:val="22"/>
          <w:szCs w:val="22"/>
        </w:rPr>
      </w:pPr>
      <w:r w:rsidRPr="001D7A33">
        <w:rPr>
          <w:sz w:val="22"/>
          <w:szCs w:val="22"/>
        </w:rPr>
        <w:t xml:space="preserve">Най-голям дял в изпълнението по подпараграфа отчита </w:t>
      </w:r>
      <w:r w:rsidRPr="001D7A33">
        <w:rPr>
          <w:b/>
          <w:i/>
          <w:sz w:val="22"/>
          <w:szCs w:val="22"/>
        </w:rPr>
        <w:t>Института по публична администрация</w:t>
      </w:r>
      <w:r w:rsidRPr="001D7A33">
        <w:rPr>
          <w:sz w:val="22"/>
          <w:szCs w:val="22"/>
        </w:rPr>
        <w:t xml:space="preserve"> в размер на 537</w:t>
      </w:r>
      <w:r w:rsidR="00401098">
        <w:rPr>
          <w:sz w:val="22"/>
          <w:szCs w:val="22"/>
        </w:rPr>
        <w:t xml:space="preserve"> </w:t>
      </w:r>
      <w:r w:rsidRPr="001D7A33">
        <w:rPr>
          <w:sz w:val="22"/>
          <w:szCs w:val="22"/>
        </w:rPr>
        <w:t>250 лв., представляващи приходи от постъпления от обучение за повишаване квалификацията на държавната администрация.</w:t>
      </w:r>
    </w:p>
    <w:p w14:paraId="18E7B0B0" w14:textId="77777777" w:rsidR="00FC12F5" w:rsidRPr="001D7A33" w:rsidRDefault="00FC12F5" w:rsidP="0023514B">
      <w:pPr>
        <w:shd w:val="clear" w:color="auto" w:fill="FFFFFF" w:themeFill="background1"/>
        <w:jc w:val="both"/>
        <w:rPr>
          <w:b/>
          <w:i/>
          <w:sz w:val="22"/>
          <w:szCs w:val="22"/>
        </w:rPr>
      </w:pPr>
      <w:r w:rsidRPr="001D7A33">
        <w:rPr>
          <w:b/>
          <w:i/>
          <w:sz w:val="22"/>
          <w:szCs w:val="22"/>
        </w:rPr>
        <w:t>ПБ „Пампорово”</w:t>
      </w:r>
      <w:r w:rsidRPr="001D7A33">
        <w:rPr>
          <w:sz w:val="22"/>
          <w:szCs w:val="22"/>
        </w:rPr>
        <w:t xml:space="preserve"> отчита приходи в размер на 376 349 лв. от нощувки, от спортни и туристически услуги, от храна и напитки, други услуги включени в ценоразпис.</w:t>
      </w:r>
    </w:p>
    <w:p w14:paraId="0B720285" w14:textId="5DEAC249" w:rsidR="00FC12F5" w:rsidRPr="001D7A33" w:rsidRDefault="00FC12F5" w:rsidP="0023514B">
      <w:pPr>
        <w:shd w:val="clear" w:color="auto" w:fill="FFFFFF" w:themeFill="background1"/>
        <w:jc w:val="both"/>
        <w:rPr>
          <w:sz w:val="22"/>
          <w:szCs w:val="22"/>
        </w:rPr>
      </w:pPr>
      <w:r w:rsidRPr="001D7A33">
        <w:rPr>
          <w:b/>
          <w:i/>
          <w:sz w:val="22"/>
          <w:szCs w:val="22"/>
        </w:rPr>
        <w:t>ПБ „Слънчев бряг“</w:t>
      </w:r>
      <w:r w:rsidRPr="001D7A33">
        <w:rPr>
          <w:sz w:val="22"/>
          <w:szCs w:val="22"/>
        </w:rPr>
        <w:t xml:space="preserve"> отчита приходи в размер на 21</w:t>
      </w:r>
      <w:r w:rsidR="00401098">
        <w:rPr>
          <w:sz w:val="22"/>
          <w:szCs w:val="22"/>
        </w:rPr>
        <w:t xml:space="preserve"> </w:t>
      </w:r>
      <w:r w:rsidRPr="001D7A33">
        <w:rPr>
          <w:sz w:val="22"/>
          <w:szCs w:val="22"/>
        </w:rPr>
        <w:t>471 лв. от нощувки, от храна и напитки, както и приходи от услуги включени в ценоразпис.</w:t>
      </w:r>
    </w:p>
    <w:p w14:paraId="2FD74CBC" w14:textId="46CE9486" w:rsidR="00FC12F5" w:rsidRPr="001D7A33" w:rsidRDefault="00FC12F5" w:rsidP="0023514B">
      <w:pPr>
        <w:shd w:val="clear" w:color="auto" w:fill="FFFFFF" w:themeFill="background1"/>
        <w:jc w:val="both"/>
        <w:rPr>
          <w:sz w:val="22"/>
          <w:szCs w:val="22"/>
        </w:rPr>
      </w:pPr>
      <w:r w:rsidRPr="001D7A33">
        <w:rPr>
          <w:sz w:val="22"/>
          <w:szCs w:val="22"/>
        </w:rPr>
        <w:lastRenderedPageBreak/>
        <w:t xml:space="preserve">По бюджета на </w:t>
      </w:r>
      <w:r w:rsidRPr="001D7A33">
        <w:rPr>
          <w:b/>
          <w:i/>
          <w:sz w:val="22"/>
          <w:szCs w:val="22"/>
        </w:rPr>
        <w:t>комплекс „Бояна”</w:t>
      </w:r>
      <w:r w:rsidRPr="001D7A33">
        <w:rPr>
          <w:sz w:val="22"/>
          <w:szCs w:val="22"/>
        </w:rPr>
        <w:t xml:space="preserve"> са отчетени приходи в размер на 170</w:t>
      </w:r>
      <w:r w:rsidR="00401098">
        <w:rPr>
          <w:sz w:val="22"/>
          <w:szCs w:val="22"/>
        </w:rPr>
        <w:t xml:space="preserve"> </w:t>
      </w:r>
      <w:r w:rsidRPr="001D7A33">
        <w:rPr>
          <w:sz w:val="22"/>
          <w:szCs w:val="22"/>
        </w:rPr>
        <w:t>666 лв. от нощувки, химическо чистене, спортен комплекс, хотелски услуги, храна и напитки.</w:t>
      </w:r>
    </w:p>
    <w:p w14:paraId="71A78669" w14:textId="77777777" w:rsidR="00FC12F5" w:rsidRPr="001D7A33" w:rsidRDefault="00FC12F5" w:rsidP="0023514B">
      <w:pPr>
        <w:shd w:val="clear" w:color="auto" w:fill="FFFFFF" w:themeFill="background1"/>
        <w:jc w:val="both"/>
        <w:rPr>
          <w:sz w:val="22"/>
          <w:szCs w:val="22"/>
        </w:rPr>
      </w:pPr>
      <w:r w:rsidRPr="001D7A33">
        <w:rPr>
          <w:b/>
          <w:i/>
          <w:sz w:val="22"/>
          <w:szCs w:val="22"/>
        </w:rPr>
        <w:t xml:space="preserve">Стопанство „Евксиноград” </w:t>
      </w:r>
      <w:r w:rsidRPr="001D7A33">
        <w:rPr>
          <w:sz w:val="22"/>
          <w:szCs w:val="22"/>
        </w:rPr>
        <w:t>отчита събрани приходи</w:t>
      </w:r>
      <w:r w:rsidRPr="001D7A33">
        <w:rPr>
          <w:b/>
          <w:i/>
          <w:sz w:val="22"/>
          <w:szCs w:val="22"/>
        </w:rPr>
        <w:t xml:space="preserve"> </w:t>
      </w:r>
      <w:r w:rsidRPr="001D7A33">
        <w:rPr>
          <w:sz w:val="22"/>
          <w:szCs w:val="22"/>
        </w:rPr>
        <w:t>в размер на 495 389 лв. от Винарска изба, спортни и туристически услуги и от храна и нощувки.</w:t>
      </w:r>
    </w:p>
    <w:p w14:paraId="42DC5A3D" w14:textId="63C148E1" w:rsidR="00FC12F5" w:rsidRPr="001D7A33" w:rsidRDefault="00FC12F5" w:rsidP="0023514B">
      <w:pPr>
        <w:shd w:val="clear" w:color="auto" w:fill="FFFFFF" w:themeFill="background1"/>
        <w:jc w:val="both"/>
        <w:rPr>
          <w:sz w:val="22"/>
          <w:szCs w:val="22"/>
        </w:rPr>
      </w:pPr>
      <w:r w:rsidRPr="001D7A33">
        <w:rPr>
          <w:b/>
          <w:i/>
          <w:sz w:val="22"/>
          <w:szCs w:val="22"/>
        </w:rPr>
        <w:t>Обект „Шабла“</w:t>
      </w:r>
      <w:r w:rsidRPr="001D7A33">
        <w:rPr>
          <w:sz w:val="22"/>
          <w:szCs w:val="22"/>
        </w:rPr>
        <w:t xml:space="preserve"> отчита 14</w:t>
      </w:r>
      <w:r w:rsidR="00401098">
        <w:rPr>
          <w:sz w:val="22"/>
          <w:szCs w:val="22"/>
        </w:rPr>
        <w:t xml:space="preserve"> </w:t>
      </w:r>
      <w:r w:rsidRPr="001D7A33">
        <w:rPr>
          <w:sz w:val="22"/>
          <w:szCs w:val="22"/>
        </w:rPr>
        <w:t>480 лв. приход от нощувки, от храна и напитки, от спортни и туристически услуги.</w:t>
      </w:r>
    </w:p>
    <w:p w14:paraId="1A7EA5D0" w14:textId="2E6B4B2B" w:rsidR="00FC12F5" w:rsidRPr="001D7A33" w:rsidRDefault="00FC12F5" w:rsidP="0023514B">
      <w:pPr>
        <w:shd w:val="clear" w:color="auto" w:fill="FFFFFF" w:themeFill="background1"/>
        <w:jc w:val="both"/>
        <w:rPr>
          <w:sz w:val="22"/>
          <w:szCs w:val="22"/>
        </w:rPr>
      </w:pPr>
      <w:r w:rsidRPr="001D7A33">
        <w:rPr>
          <w:b/>
          <w:i/>
          <w:sz w:val="22"/>
          <w:szCs w:val="22"/>
        </w:rPr>
        <w:t>ДА „Архиви”</w:t>
      </w:r>
      <w:r w:rsidRPr="001D7A33">
        <w:rPr>
          <w:sz w:val="22"/>
          <w:szCs w:val="22"/>
        </w:rPr>
        <w:t xml:space="preserve"> отчита приходи в размер на 101</w:t>
      </w:r>
      <w:r w:rsidR="00401098">
        <w:rPr>
          <w:sz w:val="22"/>
          <w:szCs w:val="22"/>
        </w:rPr>
        <w:t xml:space="preserve"> </w:t>
      </w:r>
      <w:r w:rsidRPr="001D7A33">
        <w:rPr>
          <w:sz w:val="22"/>
          <w:szCs w:val="22"/>
        </w:rPr>
        <w:t>973 лв., от тях: 59</w:t>
      </w:r>
      <w:r w:rsidR="00401098">
        <w:rPr>
          <w:sz w:val="22"/>
          <w:szCs w:val="22"/>
        </w:rPr>
        <w:t xml:space="preserve"> </w:t>
      </w:r>
      <w:r w:rsidRPr="001D7A33">
        <w:rPr>
          <w:sz w:val="22"/>
          <w:szCs w:val="22"/>
        </w:rPr>
        <w:t>388 лв. от издания, справки, фотокопия и филми, ксерокопия, сканиране на документи, издаване на читателски карти, заснемане на архивни материали и др.; 39</w:t>
      </w:r>
      <w:r w:rsidR="00401098">
        <w:rPr>
          <w:sz w:val="22"/>
          <w:szCs w:val="22"/>
        </w:rPr>
        <w:t xml:space="preserve"> </w:t>
      </w:r>
      <w:r w:rsidRPr="001D7A33">
        <w:rPr>
          <w:sz w:val="22"/>
          <w:szCs w:val="22"/>
        </w:rPr>
        <w:t xml:space="preserve">310 лв. от наем на </w:t>
      </w:r>
      <w:proofErr w:type="spellStart"/>
      <w:r w:rsidRPr="001D7A33">
        <w:rPr>
          <w:sz w:val="22"/>
          <w:szCs w:val="22"/>
        </w:rPr>
        <w:t>архивохранилищна</w:t>
      </w:r>
      <w:proofErr w:type="spellEnd"/>
      <w:r w:rsidRPr="001D7A33">
        <w:rPr>
          <w:sz w:val="22"/>
          <w:szCs w:val="22"/>
        </w:rPr>
        <w:t xml:space="preserve"> площ и 3</w:t>
      </w:r>
      <w:r w:rsidR="00401098">
        <w:rPr>
          <w:sz w:val="22"/>
          <w:szCs w:val="22"/>
        </w:rPr>
        <w:t xml:space="preserve"> </w:t>
      </w:r>
      <w:r w:rsidRPr="001D7A33">
        <w:rPr>
          <w:sz w:val="22"/>
          <w:szCs w:val="22"/>
        </w:rPr>
        <w:t>275 лв. приходи от нощувки.</w:t>
      </w:r>
    </w:p>
    <w:p w14:paraId="07ABD344" w14:textId="77777777" w:rsidR="00FC12F5" w:rsidRPr="001D7A33" w:rsidRDefault="00FC12F5" w:rsidP="0023514B">
      <w:pPr>
        <w:shd w:val="clear" w:color="auto" w:fill="FFFFFF" w:themeFill="background1"/>
        <w:jc w:val="both"/>
        <w:rPr>
          <w:sz w:val="22"/>
          <w:szCs w:val="22"/>
        </w:rPr>
      </w:pPr>
      <w:r w:rsidRPr="001D7A33">
        <w:rPr>
          <w:sz w:val="22"/>
          <w:szCs w:val="22"/>
        </w:rPr>
        <w:t>В</w:t>
      </w:r>
      <w:r w:rsidRPr="001D7A33">
        <w:rPr>
          <w:b/>
          <w:i/>
          <w:sz w:val="22"/>
          <w:szCs w:val="22"/>
        </w:rPr>
        <w:t xml:space="preserve"> областна администрация Плевен </w:t>
      </w:r>
      <w:r w:rsidRPr="001D7A33">
        <w:rPr>
          <w:sz w:val="22"/>
          <w:szCs w:val="22"/>
        </w:rPr>
        <w:t>са отчетени</w:t>
      </w:r>
      <w:r w:rsidRPr="001D7A33">
        <w:rPr>
          <w:b/>
          <w:i/>
          <w:sz w:val="22"/>
          <w:szCs w:val="22"/>
        </w:rPr>
        <w:t xml:space="preserve"> </w:t>
      </w:r>
      <w:r w:rsidRPr="001D7A33">
        <w:rPr>
          <w:sz w:val="22"/>
          <w:szCs w:val="22"/>
        </w:rPr>
        <w:t>приходи в размер на 4 940 лв. от продажба на технологична дървесина и дърва за огрев, добити от защитена местност "Кайлъка“.</w:t>
      </w:r>
    </w:p>
    <w:p w14:paraId="65D47BBE" w14:textId="77777777" w:rsidR="00FC12F5" w:rsidRPr="001D7A33" w:rsidRDefault="00FC12F5" w:rsidP="0023514B">
      <w:pPr>
        <w:shd w:val="clear" w:color="auto" w:fill="FFFFFF" w:themeFill="background1"/>
        <w:jc w:val="both"/>
        <w:rPr>
          <w:sz w:val="22"/>
          <w:szCs w:val="22"/>
        </w:rPr>
      </w:pPr>
      <w:r w:rsidRPr="001D7A33">
        <w:rPr>
          <w:sz w:val="22"/>
          <w:szCs w:val="22"/>
        </w:rPr>
        <w:t xml:space="preserve">От </w:t>
      </w:r>
      <w:r w:rsidRPr="001D7A33">
        <w:rPr>
          <w:b/>
          <w:i/>
          <w:sz w:val="22"/>
          <w:szCs w:val="22"/>
        </w:rPr>
        <w:t>АМС</w:t>
      </w:r>
      <w:r w:rsidRPr="001D7A33">
        <w:rPr>
          <w:sz w:val="22"/>
          <w:szCs w:val="22"/>
        </w:rPr>
        <w:t xml:space="preserve"> са отчетени 954 лв. приходи от бръснарски и фризьорски услуги.</w:t>
      </w:r>
    </w:p>
    <w:p w14:paraId="351F9484" w14:textId="07468091" w:rsidR="00FC12F5" w:rsidRPr="001D7A33" w:rsidRDefault="00FC12F5" w:rsidP="0023514B">
      <w:pPr>
        <w:shd w:val="clear" w:color="auto" w:fill="FFFFFF" w:themeFill="background1"/>
        <w:jc w:val="both"/>
        <w:rPr>
          <w:sz w:val="22"/>
          <w:szCs w:val="22"/>
        </w:rPr>
      </w:pPr>
      <w:r w:rsidRPr="001D7A33">
        <w:rPr>
          <w:b/>
          <w:sz w:val="22"/>
          <w:szCs w:val="22"/>
        </w:rPr>
        <w:t xml:space="preserve">§§ 24-05 </w:t>
      </w:r>
      <w:r w:rsidRPr="001D7A33">
        <w:rPr>
          <w:i/>
          <w:sz w:val="22"/>
          <w:szCs w:val="22"/>
        </w:rPr>
        <w:t>“Приходи от наеми на имущество”</w:t>
      </w:r>
      <w:r w:rsidRPr="001D7A33">
        <w:rPr>
          <w:sz w:val="22"/>
          <w:szCs w:val="22"/>
        </w:rPr>
        <w:t xml:space="preserve"> </w:t>
      </w:r>
      <w:r w:rsidR="00401098">
        <w:rPr>
          <w:b/>
          <w:sz w:val="22"/>
          <w:szCs w:val="22"/>
        </w:rPr>
        <w:t>–</w:t>
      </w:r>
      <w:r w:rsidRPr="001D7A33">
        <w:rPr>
          <w:sz w:val="22"/>
          <w:szCs w:val="22"/>
        </w:rPr>
        <w:t xml:space="preserve"> </w:t>
      </w:r>
      <w:r w:rsidRPr="001D7A33">
        <w:rPr>
          <w:b/>
          <w:sz w:val="22"/>
          <w:szCs w:val="22"/>
        </w:rPr>
        <w:t>1</w:t>
      </w:r>
      <w:r w:rsidR="00401098">
        <w:rPr>
          <w:b/>
          <w:sz w:val="22"/>
          <w:szCs w:val="22"/>
        </w:rPr>
        <w:t xml:space="preserve"> </w:t>
      </w:r>
      <w:r w:rsidRPr="001D7A33">
        <w:rPr>
          <w:b/>
          <w:sz w:val="22"/>
          <w:szCs w:val="22"/>
        </w:rPr>
        <w:t>139</w:t>
      </w:r>
      <w:r w:rsidR="00401098">
        <w:rPr>
          <w:b/>
          <w:sz w:val="22"/>
          <w:szCs w:val="22"/>
        </w:rPr>
        <w:t xml:space="preserve"> </w:t>
      </w:r>
      <w:r w:rsidRPr="001D7A33">
        <w:rPr>
          <w:b/>
          <w:sz w:val="22"/>
          <w:szCs w:val="22"/>
        </w:rPr>
        <w:t xml:space="preserve">024 </w:t>
      </w:r>
      <w:r w:rsidRPr="001D7A33">
        <w:rPr>
          <w:sz w:val="22"/>
          <w:szCs w:val="22"/>
        </w:rPr>
        <w:t>лв., реализирани основно от областните администрации 965</w:t>
      </w:r>
      <w:r w:rsidR="00401098">
        <w:rPr>
          <w:sz w:val="22"/>
          <w:szCs w:val="22"/>
        </w:rPr>
        <w:t xml:space="preserve"> </w:t>
      </w:r>
      <w:r w:rsidRPr="001D7A33">
        <w:rPr>
          <w:sz w:val="22"/>
          <w:szCs w:val="22"/>
        </w:rPr>
        <w:t xml:space="preserve">854 лв., АМС </w:t>
      </w:r>
      <w:r w:rsidR="00401098">
        <w:rPr>
          <w:b/>
          <w:sz w:val="22"/>
          <w:szCs w:val="22"/>
        </w:rPr>
        <w:t>–</w:t>
      </w:r>
      <w:r w:rsidRPr="001D7A33">
        <w:rPr>
          <w:sz w:val="22"/>
          <w:szCs w:val="22"/>
        </w:rPr>
        <w:t xml:space="preserve"> 66</w:t>
      </w:r>
      <w:r w:rsidR="00401098">
        <w:rPr>
          <w:sz w:val="22"/>
          <w:szCs w:val="22"/>
        </w:rPr>
        <w:t xml:space="preserve"> </w:t>
      </w:r>
      <w:r w:rsidRPr="001D7A33">
        <w:rPr>
          <w:sz w:val="22"/>
          <w:szCs w:val="22"/>
        </w:rPr>
        <w:t xml:space="preserve">497 лв., Държавна агенция „Архиви” </w:t>
      </w:r>
      <w:r w:rsidR="00401098">
        <w:rPr>
          <w:b/>
          <w:sz w:val="22"/>
          <w:szCs w:val="22"/>
        </w:rPr>
        <w:t>–</w:t>
      </w:r>
      <w:r w:rsidRPr="001D7A33">
        <w:rPr>
          <w:sz w:val="22"/>
          <w:szCs w:val="22"/>
        </w:rPr>
        <w:t xml:space="preserve"> 67</w:t>
      </w:r>
      <w:r w:rsidR="00401098">
        <w:rPr>
          <w:sz w:val="22"/>
          <w:szCs w:val="22"/>
        </w:rPr>
        <w:t xml:space="preserve"> </w:t>
      </w:r>
      <w:r w:rsidRPr="001D7A33">
        <w:rPr>
          <w:sz w:val="22"/>
          <w:szCs w:val="22"/>
        </w:rPr>
        <w:t xml:space="preserve">802 лв., </w:t>
      </w:r>
      <w:r w:rsidR="00401098">
        <w:rPr>
          <w:sz w:val="22"/>
          <w:szCs w:val="22"/>
        </w:rPr>
        <w:br/>
      </w:r>
      <w:r w:rsidRPr="001D7A33">
        <w:rPr>
          <w:sz w:val="22"/>
          <w:szCs w:val="22"/>
        </w:rPr>
        <w:t xml:space="preserve">ПБ Слънчев бряг </w:t>
      </w:r>
      <w:r w:rsidR="00401098">
        <w:rPr>
          <w:b/>
          <w:sz w:val="22"/>
          <w:szCs w:val="22"/>
        </w:rPr>
        <w:t>–</w:t>
      </w:r>
      <w:r w:rsidRPr="001D7A33">
        <w:rPr>
          <w:sz w:val="22"/>
          <w:szCs w:val="22"/>
        </w:rPr>
        <w:t xml:space="preserve"> 21 954 лв., ДАБ при МС </w:t>
      </w:r>
      <w:r w:rsidR="00401098">
        <w:rPr>
          <w:b/>
          <w:sz w:val="22"/>
          <w:szCs w:val="22"/>
        </w:rPr>
        <w:t>–</w:t>
      </w:r>
      <w:r w:rsidRPr="001D7A33">
        <w:rPr>
          <w:sz w:val="22"/>
          <w:szCs w:val="22"/>
        </w:rPr>
        <w:t xml:space="preserve"> 16</w:t>
      </w:r>
      <w:r w:rsidR="00401098">
        <w:rPr>
          <w:sz w:val="22"/>
          <w:szCs w:val="22"/>
        </w:rPr>
        <w:t xml:space="preserve"> </w:t>
      </w:r>
      <w:r w:rsidRPr="001D7A33">
        <w:rPr>
          <w:sz w:val="22"/>
          <w:szCs w:val="22"/>
        </w:rPr>
        <w:t xml:space="preserve">061 лв. и ИПА </w:t>
      </w:r>
      <w:r w:rsidRPr="001D7A33">
        <w:rPr>
          <w:b/>
          <w:sz w:val="22"/>
          <w:szCs w:val="22"/>
        </w:rPr>
        <w:t>–</w:t>
      </w:r>
      <w:r w:rsidRPr="001D7A33">
        <w:rPr>
          <w:sz w:val="22"/>
          <w:szCs w:val="22"/>
        </w:rPr>
        <w:t xml:space="preserve"> 856 лв. Приходите се реализират на основание сключени договори за предоставяне на имущество под наем.</w:t>
      </w:r>
    </w:p>
    <w:p w14:paraId="179159BB" w14:textId="71441486" w:rsidR="00FC12F5" w:rsidRPr="001D7A33" w:rsidRDefault="00FC12F5" w:rsidP="0023514B">
      <w:pPr>
        <w:shd w:val="clear" w:color="auto" w:fill="FFFFFF" w:themeFill="background1"/>
        <w:jc w:val="both"/>
        <w:rPr>
          <w:sz w:val="22"/>
          <w:szCs w:val="22"/>
        </w:rPr>
      </w:pPr>
      <w:r w:rsidRPr="001D7A33">
        <w:rPr>
          <w:b/>
          <w:sz w:val="22"/>
          <w:szCs w:val="22"/>
        </w:rPr>
        <w:t>§§ 24-06</w:t>
      </w:r>
      <w:r w:rsidRPr="001D7A33">
        <w:rPr>
          <w:sz w:val="22"/>
          <w:szCs w:val="22"/>
        </w:rPr>
        <w:t xml:space="preserve"> </w:t>
      </w:r>
      <w:r w:rsidRPr="001D7A33">
        <w:rPr>
          <w:i/>
          <w:sz w:val="22"/>
          <w:szCs w:val="22"/>
        </w:rPr>
        <w:t>”Приходи от наем на земя”</w:t>
      </w:r>
      <w:r w:rsidRPr="001D7A33">
        <w:rPr>
          <w:sz w:val="22"/>
          <w:szCs w:val="22"/>
        </w:rPr>
        <w:t xml:space="preserve"> </w:t>
      </w:r>
      <w:r w:rsidR="00401098">
        <w:rPr>
          <w:b/>
          <w:sz w:val="22"/>
          <w:szCs w:val="22"/>
        </w:rPr>
        <w:t>–</w:t>
      </w:r>
      <w:r w:rsidRPr="001D7A33">
        <w:rPr>
          <w:sz w:val="22"/>
          <w:szCs w:val="22"/>
        </w:rPr>
        <w:t xml:space="preserve"> </w:t>
      </w:r>
      <w:r w:rsidRPr="001D7A33">
        <w:rPr>
          <w:b/>
          <w:bCs/>
          <w:sz w:val="22"/>
          <w:szCs w:val="22"/>
          <w:lang w:eastAsia="en-GB"/>
        </w:rPr>
        <w:t>210</w:t>
      </w:r>
      <w:r w:rsidR="00401098">
        <w:rPr>
          <w:b/>
          <w:bCs/>
          <w:sz w:val="22"/>
          <w:szCs w:val="22"/>
          <w:lang w:eastAsia="en-GB"/>
        </w:rPr>
        <w:t xml:space="preserve"> </w:t>
      </w:r>
      <w:r w:rsidRPr="001D7A33">
        <w:rPr>
          <w:b/>
          <w:bCs/>
          <w:sz w:val="22"/>
          <w:szCs w:val="22"/>
          <w:lang w:eastAsia="en-GB"/>
        </w:rPr>
        <w:t xml:space="preserve">715 </w:t>
      </w:r>
      <w:r w:rsidRPr="001D7A33">
        <w:rPr>
          <w:sz w:val="22"/>
          <w:szCs w:val="22"/>
        </w:rPr>
        <w:t>лв. приходите по подпараграфа са отчетени от областните администрации.</w:t>
      </w:r>
    </w:p>
    <w:p w14:paraId="3E2C233D" w14:textId="2879368F" w:rsidR="00FC12F5" w:rsidRPr="001D7A33" w:rsidRDefault="00FC12F5" w:rsidP="0023514B">
      <w:pPr>
        <w:shd w:val="clear" w:color="auto" w:fill="FFFFFF" w:themeFill="background1"/>
        <w:spacing w:after="120"/>
        <w:jc w:val="both"/>
        <w:rPr>
          <w:b/>
          <w:sz w:val="22"/>
          <w:szCs w:val="22"/>
        </w:rPr>
      </w:pPr>
      <w:r w:rsidRPr="001D7A33">
        <w:rPr>
          <w:b/>
          <w:sz w:val="22"/>
          <w:szCs w:val="22"/>
        </w:rPr>
        <w:t>§§ 24-08</w:t>
      </w:r>
      <w:r w:rsidRPr="001D7A33">
        <w:rPr>
          <w:sz w:val="22"/>
          <w:szCs w:val="22"/>
        </w:rPr>
        <w:t xml:space="preserve"> </w:t>
      </w:r>
      <w:r w:rsidRPr="001D7A33">
        <w:rPr>
          <w:i/>
          <w:sz w:val="22"/>
          <w:szCs w:val="22"/>
        </w:rPr>
        <w:t>„Приходи от лихви по текущи банкови сметки</w:t>
      </w:r>
      <w:r w:rsidRPr="001D7A33">
        <w:rPr>
          <w:sz w:val="22"/>
          <w:szCs w:val="22"/>
        </w:rPr>
        <w:t xml:space="preserve">” </w:t>
      </w:r>
      <w:r w:rsidR="00401098">
        <w:rPr>
          <w:b/>
          <w:sz w:val="22"/>
          <w:szCs w:val="22"/>
        </w:rPr>
        <w:t>–</w:t>
      </w:r>
      <w:r w:rsidRPr="001D7A33">
        <w:rPr>
          <w:sz w:val="22"/>
          <w:szCs w:val="22"/>
        </w:rPr>
        <w:t xml:space="preserve"> </w:t>
      </w:r>
      <w:r w:rsidRPr="001D7A33">
        <w:rPr>
          <w:b/>
          <w:sz w:val="22"/>
          <w:szCs w:val="22"/>
        </w:rPr>
        <w:t xml:space="preserve">58 </w:t>
      </w:r>
      <w:r w:rsidRPr="001D7A33">
        <w:rPr>
          <w:sz w:val="22"/>
          <w:szCs w:val="22"/>
        </w:rPr>
        <w:t>лв. отчетени са приходи по текущи банкови сметки от ОА.</w:t>
      </w:r>
    </w:p>
    <w:p w14:paraId="6F8A3369" w14:textId="7FC76CF7" w:rsidR="00B253DC" w:rsidRPr="002B3AA1" w:rsidRDefault="00B253DC" w:rsidP="0023514B">
      <w:pPr>
        <w:shd w:val="clear" w:color="auto" w:fill="FFFFFF" w:themeFill="background1"/>
        <w:spacing w:after="120"/>
        <w:ind w:firstLine="426"/>
        <w:jc w:val="both"/>
        <w:rPr>
          <w:sz w:val="22"/>
          <w:szCs w:val="22"/>
        </w:rPr>
      </w:pPr>
      <w:r w:rsidRPr="000025FA">
        <w:rPr>
          <w:b/>
          <w:i/>
          <w:color w:val="0F4761" w:themeColor="accent1" w:themeShade="BF"/>
          <w:sz w:val="22"/>
          <w:szCs w:val="22"/>
        </w:rPr>
        <w:t>§ 25-00 “Държавни такси”</w:t>
      </w:r>
      <w:r w:rsidRPr="00B253DC">
        <w:rPr>
          <w:sz w:val="22"/>
          <w:szCs w:val="22"/>
        </w:rPr>
        <w:t xml:space="preserve"> </w:t>
      </w:r>
      <w:r>
        <w:rPr>
          <w:sz w:val="22"/>
          <w:szCs w:val="22"/>
        </w:rPr>
        <w:t>–</w:t>
      </w:r>
      <w:r w:rsidRPr="00B253DC">
        <w:rPr>
          <w:sz w:val="22"/>
          <w:szCs w:val="22"/>
        </w:rPr>
        <w:t xml:space="preserve"> </w:t>
      </w:r>
      <w:r w:rsidRPr="002B3AA1">
        <w:rPr>
          <w:sz w:val="22"/>
          <w:szCs w:val="22"/>
        </w:rPr>
        <w:t xml:space="preserve">отчетени са приходи от такси в размер на </w:t>
      </w:r>
      <w:r w:rsidRPr="002B3AA1">
        <w:rPr>
          <w:b/>
          <w:sz w:val="22"/>
          <w:szCs w:val="22"/>
        </w:rPr>
        <w:t>556</w:t>
      </w:r>
      <w:r>
        <w:rPr>
          <w:b/>
          <w:sz w:val="22"/>
          <w:szCs w:val="22"/>
        </w:rPr>
        <w:t xml:space="preserve"> </w:t>
      </w:r>
      <w:r w:rsidRPr="002B3AA1">
        <w:rPr>
          <w:b/>
          <w:sz w:val="22"/>
          <w:szCs w:val="22"/>
        </w:rPr>
        <w:t xml:space="preserve">398 </w:t>
      </w:r>
      <w:r w:rsidRPr="002B3AA1">
        <w:rPr>
          <w:sz w:val="22"/>
          <w:szCs w:val="22"/>
        </w:rPr>
        <w:t>лв. Съществената част по параграфа в размер на 397</w:t>
      </w:r>
      <w:r>
        <w:rPr>
          <w:sz w:val="22"/>
          <w:szCs w:val="22"/>
        </w:rPr>
        <w:t xml:space="preserve"> </w:t>
      </w:r>
      <w:r w:rsidRPr="002B3AA1">
        <w:rPr>
          <w:sz w:val="22"/>
          <w:szCs w:val="22"/>
        </w:rPr>
        <w:t xml:space="preserve">470 лв. е отчетена от областните администрации, представляващи събрани такси съгласно Тарифа за таксите, които се събират по Закона за държавната собственост, </w:t>
      </w:r>
      <w:r w:rsidRPr="002B3AA1">
        <w:rPr>
          <w:bCs/>
          <w:sz w:val="22"/>
          <w:szCs w:val="22"/>
        </w:rPr>
        <w:t xml:space="preserve">Тарифа № 3 за таксите, които се събират за консулско обслужване в системата на Министерството на външните работи по Закона за държавните такси </w:t>
      </w:r>
      <w:r w:rsidRPr="002B3AA1">
        <w:rPr>
          <w:sz w:val="22"/>
          <w:szCs w:val="22"/>
        </w:rPr>
        <w:t>и Тарифа 14 за таксите, които се събират в системата на МРРБ и от областните управители. Друга част е отчетена от ДА „Архиви” – 65 878 лв., представляващи събрани такси за предоставяне и обработка на архивни документи по Тарифа за таксите, които се събират по Закона за Националния архивен фонд, приета с ПМС № 246 от 10.10.2007 г. От АМС са отчетени средства в размер на 93</w:t>
      </w:r>
      <w:r>
        <w:rPr>
          <w:sz w:val="22"/>
          <w:szCs w:val="22"/>
        </w:rPr>
        <w:t xml:space="preserve"> </w:t>
      </w:r>
      <w:r w:rsidRPr="002B3AA1">
        <w:rPr>
          <w:sz w:val="22"/>
          <w:szCs w:val="22"/>
        </w:rPr>
        <w:t>050 лв. от такси по Тарифа за таксите, които се събират по Закона за експортния контрол на продукти, свързани с отбраната, и на изделия и технологии с двойна употреба.</w:t>
      </w:r>
    </w:p>
    <w:p w14:paraId="23E34299" w14:textId="2B8893DC" w:rsidR="00B253DC" w:rsidRPr="002B3AA1" w:rsidRDefault="00B253DC" w:rsidP="0023514B">
      <w:pPr>
        <w:shd w:val="clear" w:color="auto" w:fill="FFFFFF" w:themeFill="background1"/>
        <w:spacing w:after="120"/>
        <w:ind w:firstLine="426"/>
        <w:jc w:val="both"/>
        <w:rPr>
          <w:sz w:val="22"/>
          <w:szCs w:val="22"/>
        </w:rPr>
      </w:pPr>
      <w:r w:rsidRPr="000025FA">
        <w:rPr>
          <w:b/>
          <w:i/>
          <w:color w:val="0F4761" w:themeColor="accent1" w:themeShade="BF"/>
          <w:sz w:val="22"/>
          <w:szCs w:val="22"/>
        </w:rPr>
        <w:t>§ 28-00 “Глоби, санкции и наказателни лихви” – 224 964 лв.</w:t>
      </w:r>
      <w:r w:rsidRPr="002B3AA1">
        <w:rPr>
          <w:sz w:val="22"/>
          <w:szCs w:val="22"/>
        </w:rPr>
        <w:t xml:space="preserve"> от неустойки по договори и от лихви за просрочени наеми. Приходи в размер на 160</w:t>
      </w:r>
      <w:r>
        <w:rPr>
          <w:sz w:val="22"/>
          <w:szCs w:val="22"/>
        </w:rPr>
        <w:t xml:space="preserve"> </w:t>
      </w:r>
      <w:r w:rsidRPr="002B3AA1">
        <w:rPr>
          <w:sz w:val="22"/>
          <w:szCs w:val="22"/>
        </w:rPr>
        <w:t xml:space="preserve">274 лв. са отчетени от областните </w:t>
      </w:r>
      <w:r w:rsidRPr="00CB68C3">
        <w:rPr>
          <w:sz w:val="22"/>
          <w:szCs w:val="22"/>
          <w:shd w:val="clear" w:color="auto" w:fill="FFFFFF" w:themeFill="background1"/>
        </w:rPr>
        <w:t>администрации, в АМС са отчетени 56 671 лв. представляващи обезщетения по изпълнителни дела и неустойки по договори, комплекс „Бояна“ – 13 лв. и от ДАБ</w:t>
      </w:r>
      <w:r w:rsidRPr="002B3AA1">
        <w:rPr>
          <w:sz w:val="22"/>
          <w:szCs w:val="22"/>
        </w:rPr>
        <w:t xml:space="preserve"> при МС – 8</w:t>
      </w:r>
      <w:r>
        <w:rPr>
          <w:sz w:val="22"/>
          <w:szCs w:val="22"/>
        </w:rPr>
        <w:t xml:space="preserve"> </w:t>
      </w:r>
      <w:r w:rsidRPr="002B3AA1">
        <w:rPr>
          <w:sz w:val="22"/>
          <w:szCs w:val="22"/>
        </w:rPr>
        <w:t>006 лв.</w:t>
      </w:r>
    </w:p>
    <w:p w14:paraId="3537C9DF" w14:textId="0DAB2A71" w:rsidR="00FB33A2" w:rsidRPr="00FB33A2" w:rsidRDefault="00FB33A2" w:rsidP="0023514B">
      <w:pPr>
        <w:shd w:val="clear" w:color="auto" w:fill="FFFFFF" w:themeFill="background1"/>
        <w:ind w:firstLine="426"/>
        <w:jc w:val="both"/>
        <w:rPr>
          <w:b/>
          <w:i/>
          <w:color w:val="0F4761" w:themeColor="accent1" w:themeShade="BF"/>
          <w:sz w:val="22"/>
          <w:szCs w:val="22"/>
        </w:rPr>
      </w:pPr>
      <w:r w:rsidRPr="00FB33A2">
        <w:rPr>
          <w:b/>
          <w:i/>
          <w:color w:val="0F4761" w:themeColor="accent1" w:themeShade="BF"/>
          <w:sz w:val="22"/>
          <w:szCs w:val="22"/>
        </w:rPr>
        <w:t xml:space="preserve">§ 36-00 “Други неданъчни приходи” </w:t>
      </w:r>
      <w:r>
        <w:rPr>
          <w:b/>
          <w:i/>
          <w:color w:val="0F4761" w:themeColor="accent1" w:themeShade="BF"/>
          <w:sz w:val="22"/>
          <w:szCs w:val="22"/>
        </w:rPr>
        <w:t>–</w:t>
      </w:r>
      <w:r w:rsidRPr="00FB33A2">
        <w:rPr>
          <w:b/>
          <w:i/>
          <w:color w:val="0F4761" w:themeColor="accent1" w:themeShade="BF"/>
          <w:sz w:val="22"/>
          <w:szCs w:val="22"/>
        </w:rPr>
        <w:t xml:space="preserve"> 131 058 лв.</w:t>
      </w:r>
    </w:p>
    <w:p w14:paraId="38484CD9" w14:textId="51F74F3B" w:rsidR="00FB33A2" w:rsidRPr="00FA79B6" w:rsidRDefault="00FB33A2" w:rsidP="0023514B">
      <w:pPr>
        <w:shd w:val="clear" w:color="auto" w:fill="FFFFFF" w:themeFill="background1"/>
        <w:spacing w:after="120"/>
        <w:jc w:val="both"/>
        <w:rPr>
          <w:sz w:val="22"/>
          <w:szCs w:val="22"/>
        </w:rPr>
      </w:pPr>
      <w:r w:rsidRPr="00FA79B6">
        <w:rPr>
          <w:sz w:val="22"/>
          <w:szCs w:val="22"/>
        </w:rPr>
        <w:t>Най-голям относителен дял е този по §§ 36-19 „</w:t>
      </w:r>
      <w:r w:rsidRPr="00FA79B6">
        <w:rPr>
          <w:i/>
          <w:sz w:val="22"/>
          <w:szCs w:val="22"/>
        </w:rPr>
        <w:t xml:space="preserve">Други неданъчни приходи” </w:t>
      </w:r>
      <w:r w:rsidRPr="00FA79B6">
        <w:rPr>
          <w:sz w:val="22"/>
          <w:szCs w:val="22"/>
        </w:rPr>
        <w:t xml:space="preserve">– </w:t>
      </w:r>
      <w:r w:rsidRPr="00FA79B6">
        <w:rPr>
          <w:b/>
          <w:sz w:val="22"/>
          <w:szCs w:val="22"/>
        </w:rPr>
        <w:t>121</w:t>
      </w:r>
      <w:r w:rsidR="00244B02">
        <w:rPr>
          <w:b/>
          <w:sz w:val="22"/>
          <w:szCs w:val="22"/>
        </w:rPr>
        <w:t xml:space="preserve"> </w:t>
      </w:r>
      <w:r w:rsidRPr="00FA79B6">
        <w:rPr>
          <w:b/>
          <w:sz w:val="22"/>
          <w:szCs w:val="22"/>
        </w:rPr>
        <w:t xml:space="preserve">540 </w:t>
      </w:r>
      <w:r w:rsidRPr="00FA79B6">
        <w:rPr>
          <w:sz w:val="22"/>
          <w:szCs w:val="22"/>
        </w:rPr>
        <w:t xml:space="preserve">лв. </w:t>
      </w:r>
      <w:r>
        <w:rPr>
          <w:sz w:val="22"/>
          <w:szCs w:val="22"/>
        </w:rPr>
        <w:t>–</w:t>
      </w:r>
      <w:r w:rsidRPr="00FA79B6">
        <w:rPr>
          <w:sz w:val="22"/>
          <w:szCs w:val="22"/>
        </w:rPr>
        <w:t xml:space="preserve"> приходи от предадени на вторични суровини отпадъци, от присъдени </w:t>
      </w:r>
      <w:proofErr w:type="spellStart"/>
      <w:r w:rsidRPr="00FA79B6">
        <w:rPr>
          <w:sz w:val="22"/>
          <w:szCs w:val="22"/>
        </w:rPr>
        <w:t>юрисконсултски</w:t>
      </w:r>
      <w:proofErr w:type="spellEnd"/>
      <w:r w:rsidRPr="00FA79B6">
        <w:rPr>
          <w:sz w:val="22"/>
          <w:szCs w:val="22"/>
        </w:rPr>
        <w:t xml:space="preserve"> възнаграждения по спечелени съдебни дела, приходи от тръжна документация, приходи представляващи 2% режийни разноски по продажбите на държавни имоти съгласно ЗДС и ППЗДС и др. По §§ 36-01 “</w:t>
      </w:r>
      <w:r w:rsidRPr="00FA79B6">
        <w:rPr>
          <w:i/>
          <w:sz w:val="22"/>
          <w:szCs w:val="22"/>
        </w:rPr>
        <w:t>Реализирани курсови разлики от валутни операции</w:t>
      </w:r>
      <w:r w:rsidRPr="00FA79B6">
        <w:rPr>
          <w:sz w:val="22"/>
          <w:szCs w:val="22"/>
        </w:rPr>
        <w:t xml:space="preserve">“ са отчетени </w:t>
      </w:r>
      <w:r w:rsidRPr="00FA79B6">
        <w:rPr>
          <w:b/>
          <w:sz w:val="22"/>
          <w:szCs w:val="22"/>
        </w:rPr>
        <w:t>1 463</w:t>
      </w:r>
      <w:r w:rsidRPr="00FA79B6">
        <w:rPr>
          <w:sz w:val="22"/>
          <w:szCs w:val="22"/>
        </w:rPr>
        <w:t xml:space="preserve"> лв. Друга част от приходите в размер на </w:t>
      </w:r>
      <w:r w:rsidRPr="00FA79B6">
        <w:rPr>
          <w:b/>
          <w:sz w:val="22"/>
          <w:szCs w:val="22"/>
        </w:rPr>
        <w:t>8</w:t>
      </w:r>
      <w:r>
        <w:rPr>
          <w:b/>
          <w:sz w:val="22"/>
          <w:szCs w:val="22"/>
        </w:rPr>
        <w:t xml:space="preserve"> </w:t>
      </w:r>
      <w:r w:rsidRPr="00FA79B6">
        <w:rPr>
          <w:b/>
          <w:sz w:val="22"/>
          <w:szCs w:val="22"/>
        </w:rPr>
        <w:t xml:space="preserve">055 </w:t>
      </w:r>
      <w:r w:rsidRPr="00FA79B6">
        <w:rPr>
          <w:sz w:val="22"/>
          <w:szCs w:val="22"/>
        </w:rPr>
        <w:t>лв. са отразени по §§ 36-11 “</w:t>
      </w:r>
      <w:r w:rsidRPr="00FA79B6">
        <w:rPr>
          <w:i/>
          <w:sz w:val="22"/>
          <w:szCs w:val="22"/>
        </w:rPr>
        <w:t>Получени застрахователни обезщетения за ДМА</w:t>
      </w:r>
      <w:r w:rsidRPr="00FA79B6">
        <w:rPr>
          <w:sz w:val="22"/>
          <w:szCs w:val="22"/>
        </w:rPr>
        <w:t>“.</w:t>
      </w:r>
    </w:p>
    <w:p w14:paraId="7BC306A9" w14:textId="5C8F824C" w:rsidR="00FB33A2" w:rsidRPr="00FA79B6" w:rsidRDefault="00FB33A2" w:rsidP="0023514B">
      <w:pPr>
        <w:shd w:val="clear" w:color="auto" w:fill="FFFFFF" w:themeFill="background1"/>
        <w:spacing w:before="120" w:after="120"/>
        <w:ind w:firstLine="426"/>
        <w:jc w:val="both"/>
        <w:rPr>
          <w:sz w:val="22"/>
          <w:szCs w:val="22"/>
        </w:rPr>
      </w:pPr>
      <w:r w:rsidRPr="00244B02">
        <w:rPr>
          <w:b/>
          <w:i/>
          <w:color w:val="0F4761" w:themeColor="accent1" w:themeShade="BF"/>
          <w:sz w:val="22"/>
          <w:szCs w:val="22"/>
        </w:rPr>
        <w:t xml:space="preserve">§ 37-00 “Внесени ДДС и други данъци върху продажбите” </w:t>
      </w:r>
      <w:r w:rsidR="00244B02">
        <w:rPr>
          <w:b/>
          <w:i/>
          <w:color w:val="0F4761" w:themeColor="accent1" w:themeShade="BF"/>
          <w:sz w:val="22"/>
          <w:szCs w:val="22"/>
        </w:rPr>
        <w:t>–</w:t>
      </w:r>
      <w:r w:rsidRPr="00244B02">
        <w:rPr>
          <w:b/>
          <w:i/>
          <w:color w:val="0F4761" w:themeColor="accent1" w:themeShade="BF"/>
          <w:sz w:val="22"/>
          <w:szCs w:val="22"/>
        </w:rPr>
        <w:t xml:space="preserve"> (-2 756 398) лв.</w:t>
      </w:r>
      <w:r w:rsidRPr="00244B02">
        <w:rPr>
          <w:bCs/>
          <w:sz w:val="22"/>
          <w:szCs w:val="22"/>
        </w:rPr>
        <w:t xml:space="preserve"> </w:t>
      </w:r>
      <w:r w:rsidR="00244B02">
        <w:rPr>
          <w:b/>
          <w:sz w:val="22"/>
          <w:szCs w:val="22"/>
        </w:rPr>
        <w:t>–</w:t>
      </w:r>
      <w:r w:rsidRPr="00244B02">
        <w:rPr>
          <w:bCs/>
          <w:sz w:val="22"/>
          <w:szCs w:val="22"/>
        </w:rPr>
        <w:t xml:space="preserve"> </w:t>
      </w:r>
      <w:r w:rsidRPr="00FA79B6">
        <w:rPr>
          <w:sz w:val="22"/>
          <w:szCs w:val="22"/>
        </w:rPr>
        <w:t xml:space="preserve">отчетени в </w:t>
      </w:r>
      <w:r w:rsidR="00244B02">
        <w:rPr>
          <w:sz w:val="22"/>
          <w:szCs w:val="22"/>
        </w:rPr>
        <w:br/>
      </w:r>
      <w:r w:rsidRPr="00FA79B6">
        <w:rPr>
          <w:sz w:val="22"/>
          <w:szCs w:val="22"/>
        </w:rPr>
        <w:t xml:space="preserve">§§ 37-01 – </w:t>
      </w:r>
      <w:r w:rsidRPr="00FA79B6">
        <w:rPr>
          <w:i/>
          <w:sz w:val="22"/>
          <w:szCs w:val="22"/>
        </w:rPr>
        <w:t>“Внесен ДДС (-)”</w:t>
      </w:r>
      <w:r w:rsidRPr="00FA79B6">
        <w:rPr>
          <w:sz w:val="22"/>
          <w:szCs w:val="22"/>
        </w:rPr>
        <w:t xml:space="preserve"> </w:t>
      </w:r>
      <w:r w:rsidR="00244B02">
        <w:rPr>
          <w:sz w:val="22"/>
          <w:szCs w:val="22"/>
        </w:rPr>
        <w:t>–</w:t>
      </w:r>
      <w:r w:rsidRPr="00FA79B6">
        <w:rPr>
          <w:sz w:val="22"/>
          <w:szCs w:val="22"/>
        </w:rPr>
        <w:t xml:space="preserve"> внесен дължим ДДС в размер на (-1 826 473) лв., в §§ 37-02 – </w:t>
      </w:r>
      <w:r w:rsidRPr="00FA79B6">
        <w:rPr>
          <w:i/>
          <w:sz w:val="22"/>
          <w:szCs w:val="22"/>
        </w:rPr>
        <w:t xml:space="preserve">“Внесен данък върху приходите от стопанска дейност на бюджетните предприятия (-)” </w:t>
      </w:r>
      <w:r w:rsidRPr="00FA79B6">
        <w:rPr>
          <w:sz w:val="22"/>
          <w:szCs w:val="22"/>
        </w:rPr>
        <w:t xml:space="preserve">е отчетен данък в размер на (-891 213) лв. и по §§ 37-09 </w:t>
      </w:r>
      <w:r w:rsidRPr="00FA79B6">
        <w:rPr>
          <w:i/>
          <w:sz w:val="22"/>
          <w:szCs w:val="22"/>
        </w:rPr>
        <w:t xml:space="preserve">„Внесени други данъци, такси и вноски върху продажбите (-)” </w:t>
      </w:r>
      <w:r w:rsidRPr="00FA79B6">
        <w:rPr>
          <w:sz w:val="22"/>
          <w:szCs w:val="22"/>
        </w:rPr>
        <w:t xml:space="preserve">са отчетени (-38 712) лв. от внесен туристически данък върху предоставени услуги за нощувки от ПБ „Пампорово“ – (-7 085) лв. и от ПБ „Слънчев бряг“ – </w:t>
      </w:r>
      <w:r w:rsidR="00244B02">
        <w:rPr>
          <w:sz w:val="22"/>
          <w:szCs w:val="22"/>
        </w:rPr>
        <w:br/>
      </w:r>
      <w:r w:rsidRPr="00FA79B6">
        <w:rPr>
          <w:sz w:val="22"/>
          <w:szCs w:val="22"/>
        </w:rPr>
        <w:t>(-31 627) лв.</w:t>
      </w:r>
    </w:p>
    <w:p w14:paraId="4E95394C" w14:textId="77777777" w:rsidR="00CB68C3" w:rsidRPr="00CB68C3" w:rsidRDefault="00CB68C3" w:rsidP="0023514B">
      <w:pPr>
        <w:shd w:val="clear" w:color="auto" w:fill="FFFFFF" w:themeFill="background1"/>
        <w:spacing w:before="120"/>
        <w:ind w:firstLine="426"/>
        <w:jc w:val="both"/>
        <w:rPr>
          <w:sz w:val="22"/>
          <w:szCs w:val="22"/>
        </w:rPr>
      </w:pPr>
    </w:p>
    <w:p w14:paraId="16FAB34B" w14:textId="598496AC" w:rsidR="00487E37" w:rsidRPr="00487E37" w:rsidRDefault="00487E37" w:rsidP="0023514B">
      <w:pPr>
        <w:shd w:val="clear" w:color="auto" w:fill="FFFFFF" w:themeFill="background1"/>
        <w:spacing w:before="120"/>
        <w:ind w:firstLine="426"/>
        <w:jc w:val="both"/>
        <w:rPr>
          <w:b/>
          <w:i/>
          <w:color w:val="0F4761" w:themeColor="accent1" w:themeShade="BF"/>
          <w:sz w:val="22"/>
          <w:szCs w:val="22"/>
        </w:rPr>
      </w:pPr>
      <w:r w:rsidRPr="00487E37">
        <w:rPr>
          <w:b/>
          <w:i/>
          <w:color w:val="0F4761" w:themeColor="accent1" w:themeShade="BF"/>
          <w:sz w:val="22"/>
          <w:szCs w:val="22"/>
        </w:rPr>
        <w:lastRenderedPageBreak/>
        <w:t xml:space="preserve">§ 40-00 „Постъпления от продажба на нефинансови активи” </w:t>
      </w:r>
      <w:r>
        <w:rPr>
          <w:b/>
          <w:i/>
          <w:color w:val="0F4761" w:themeColor="accent1" w:themeShade="BF"/>
          <w:sz w:val="22"/>
          <w:szCs w:val="22"/>
        </w:rPr>
        <w:t>–</w:t>
      </w:r>
      <w:r w:rsidRPr="00487E37">
        <w:rPr>
          <w:b/>
          <w:i/>
          <w:color w:val="0F4761" w:themeColor="accent1" w:themeShade="BF"/>
          <w:sz w:val="22"/>
          <w:szCs w:val="22"/>
        </w:rPr>
        <w:t xml:space="preserve"> 2</w:t>
      </w:r>
      <w:r>
        <w:rPr>
          <w:b/>
          <w:i/>
          <w:color w:val="0F4761" w:themeColor="accent1" w:themeShade="BF"/>
          <w:sz w:val="22"/>
          <w:szCs w:val="22"/>
        </w:rPr>
        <w:t> </w:t>
      </w:r>
      <w:r w:rsidRPr="00487E37">
        <w:rPr>
          <w:b/>
          <w:i/>
          <w:color w:val="0F4761" w:themeColor="accent1" w:themeShade="BF"/>
          <w:sz w:val="22"/>
          <w:szCs w:val="22"/>
        </w:rPr>
        <w:t>826</w:t>
      </w:r>
      <w:r>
        <w:rPr>
          <w:b/>
          <w:i/>
          <w:color w:val="0F4761" w:themeColor="accent1" w:themeShade="BF"/>
          <w:sz w:val="22"/>
          <w:szCs w:val="22"/>
        </w:rPr>
        <w:t xml:space="preserve"> </w:t>
      </w:r>
      <w:r w:rsidRPr="00487E37">
        <w:rPr>
          <w:b/>
          <w:i/>
          <w:color w:val="0F4761" w:themeColor="accent1" w:themeShade="BF"/>
          <w:sz w:val="22"/>
          <w:szCs w:val="22"/>
        </w:rPr>
        <w:t>245 лв.</w:t>
      </w:r>
    </w:p>
    <w:p w14:paraId="2ABD13E6" w14:textId="0FE7C2FE" w:rsidR="00487E37" w:rsidRPr="00CB68C3" w:rsidRDefault="00487E37" w:rsidP="00CB68C3">
      <w:pPr>
        <w:shd w:val="clear" w:color="auto" w:fill="FFFFFF" w:themeFill="background1"/>
        <w:jc w:val="both"/>
        <w:rPr>
          <w:sz w:val="22"/>
          <w:szCs w:val="22"/>
        </w:rPr>
      </w:pPr>
      <w:r w:rsidRPr="00CB68C3">
        <w:rPr>
          <w:b/>
          <w:sz w:val="22"/>
          <w:szCs w:val="22"/>
        </w:rPr>
        <w:t xml:space="preserve">§§ 40-22 </w:t>
      </w:r>
      <w:r w:rsidRPr="00CB68C3">
        <w:rPr>
          <w:i/>
          <w:sz w:val="22"/>
          <w:szCs w:val="22"/>
        </w:rPr>
        <w:t>„Постъпления от продажба на сгради”</w:t>
      </w:r>
      <w:r w:rsidRPr="00CB68C3">
        <w:rPr>
          <w:sz w:val="22"/>
          <w:szCs w:val="22"/>
        </w:rPr>
        <w:t xml:space="preserve"> – </w:t>
      </w:r>
      <w:r w:rsidRPr="00CB68C3">
        <w:rPr>
          <w:b/>
          <w:sz w:val="22"/>
          <w:szCs w:val="22"/>
        </w:rPr>
        <w:t>359</w:t>
      </w:r>
      <w:r w:rsidR="00C63B06" w:rsidRPr="00CB68C3">
        <w:rPr>
          <w:b/>
          <w:sz w:val="22"/>
          <w:szCs w:val="22"/>
        </w:rPr>
        <w:t xml:space="preserve"> </w:t>
      </w:r>
      <w:r w:rsidRPr="00CB68C3">
        <w:rPr>
          <w:b/>
          <w:sz w:val="22"/>
          <w:szCs w:val="22"/>
        </w:rPr>
        <w:t>386 лв.</w:t>
      </w:r>
      <w:r w:rsidRPr="00CB68C3">
        <w:rPr>
          <w:sz w:val="22"/>
          <w:szCs w:val="22"/>
        </w:rPr>
        <w:t xml:space="preserve"> Отчетените средства са от областните администрации за постъпили приходи от продажба на държавни имоти – сгради, както следва: от ОА Благоевград – 20</w:t>
      </w:r>
      <w:r w:rsidR="00C63B06" w:rsidRPr="00CB68C3">
        <w:rPr>
          <w:sz w:val="22"/>
          <w:szCs w:val="22"/>
        </w:rPr>
        <w:t xml:space="preserve"> </w:t>
      </w:r>
      <w:r w:rsidRPr="00CB68C3">
        <w:rPr>
          <w:sz w:val="22"/>
          <w:szCs w:val="22"/>
        </w:rPr>
        <w:t>698 лв., ОА Бургас – 65</w:t>
      </w:r>
      <w:r w:rsidR="00C63B06" w:rsidRPr="00CB68C3">
        <w:rPr>
          <w:sz w:val="22"/>
          <w:szCs w:val="22"/>
        </w:rPr>
        <w:t xml:space="preserve"> </w:t>
      </w:r>
      <w:r w:rsidRPr="00CB68C3">
        <w:rPr>
          <w:sz w:val="22"/>
          <w:szCs w:val="22"/>
        </w:rPr>
        <w:t xml:space="preserve">277 лв., ОА Видин – 200 лв., </w:t>
      </w:r>
      <w:r w:rsidR="00C63B06" w:rsidRPr="00CB68C3">
        <w:rPr>
          <w:sz w:val="22"/>
          <w:szCs w:val="22"/>
        </w:rPr>
        <w:br/>
      </w:r>
      <w:r w:rsidRPr="00CB68C3">
        <w:rPr>
          <w:sz w:val="22"/>
          <w:szCs w:val="22"/>
        </w:rPr>
        <w:t>ОА Габрово – 134</w:t>
      </w:r>
      <w:r w:rsidR="00C63B06" w:rsidRPr="00CB68C3">
        <w:rPr>
          <w:sz w:val="22"/>
          <w:szCs w:val="22"/>
        </w:rPr>
        <w:t xml:space="preserve"> </w:t>
      </w:r>
      <w:r w:rsidRPr="00CB68C3">
        <w:rPr>
          <w:sz w:val="22"/>
          <w:szCs w:val="22"/>
        </w:rPr>
        <w:t>367 лв., ОА Кюстендил – 44</w:t>
      </w:r>
      <w:r w:rsidR="00C63B06" w:rsidRPr="00CB68C3">
        <w:rPr>
          <w:sz w:val="22"/>
          <w:szCs w:val="22"/>
        </w:rPr>
        <w:t xml:space="preserve"> </w:t>
      </w:r>
      <w:r w:rsidRPr="00CB68C3">
        <w:rPr>
          <w:sz w:val="22"/>
          <w:szCs w:val="22"/>
        </w:rPr>
        <w:t>361 лв., ОА Плевен – 2</w:t>
      </w:r>
      <w:r w:rsidR="00C63B06" w:rsidRPr="00CB68C3">
        <w:rPr>
          <w:sz w:val="22"/>
          <w:szCs w:val="22"/>
        </w:rPr>
        <w:t xml:space="preserve"> </w:t>
      </w:r>
      <w:r w:rsidRPr="00CB68C3">
        <w:rPr>
          <w:sz w:val="22"/>
          <w:szCs w:val="22"/>
        </w:rPr>
        <w:t xml:space="preserve">463 лв., ОА Русе – </w:t>
      </w:r>
      <w:r w:rsidR="00C63B06" w:rsidRPr="00CB68C3">
        <w:rPr>
          <w:sz w:val="22"/>
          <w:szCs w:val="22"/>
        </w:rPr>
        <w:br/>
      </w:r>
      <w:r w:rsidRPr="00CB68C3">
        <w:rPr>
          <w:sz w:val="22"/>
          <w:szCs w:val="22"/>
        </w:rPr>
        <w:t>14</w:t>
      </w:r>
      <w:r w:rsidR="00C63B06" w:rsidRPr="00CB68C3">
        <w:rPr>
          <w:sz w:val="22"/>
          <w:szCs w:val="22"/>
        </w:rPr>
        <w:t xml:space="preserve"> </w:t>
      </w:r>
      <w:r w:rsidRPr="00CB68C3">
        <w:rPr>
          <w:sz w:val="22"/>
          <w:szCs w:val="22"/>
        </w:rPr>
        <w:t>036 лв., ОА Силистра – 22</w:t>
      </w:r>
      <w:r w:rsidR="00C63B06" w:rsidRPr="00CB68C3">
        <w:rPr>
          <w:sz w:val="22"/>
          <w:szCs w:val="22"/>
        </w:rPr>
        <w:t xml:space="preserve"> </w:t>
      </w:r>
      <w:r w:rsidRPr="00CB68C3">
        <w:rPr>
          <w:sz w:val="22"/>
          <w:szCs w:val="22"/>
        </w:rPr>
        <w:t>000 лв., ОА Сливен – 15</w:t>
      </w:r>
      <w:r w:rsidR="00C63B06" w:rsidRPr="00CB68C3">
        <w:rPr>
          <w:sz w:val="22"/>
          <w:szCs w:val="22"/>
        </w:rPr>
        <w:t xml:space="preserve"> </w:t>
      </w:r>
      <w:r w:rsidRPr="00CB68C3">
        <w:rPr>
          <w:sz w:val="22"/>
          <w:szCs w:val="22"/>
        </w:rPr>
        <w:t>786 лв., ОА Търговище – 27</w:t>
      </w:r>
      <w:r w:rsidR="00C63B06" w:rsidRPr="00CB68C3">
        <w:rPr>
          <w:sz w:val="22"/>
          <w:szCs w:val="22"/>
        </w:rPr>
        <w:t xml:space="preserve"> </w:t>
      </w:r>
      <w:r w:rsidRPr="00CB68C3">
        <w:rPr>
          <w:sz w:val="22"/>
          <w:szCs w:val="22"/>
        </w:rPr>
        <w:t xml:space="preserve">560 лв. и </w:t>
      </w:r>
      <w:r w:rsidR="00C63B06" w:rsidRPr="00CB68C3">
        <w:rPr>
          <w:sz w:val="22"/>
          <w:szCs w:val="22"/>
        </w:rPr>
        <w:br/>
      </w:r>
      <w:r w:rsidRPr="00CB68C3">
        <w:rPr>
          <w:sz w:val="22"/>
          <w:szCs w:val="22"/>
        </w:rPr>
        <w:t>ОА Шумен – 12</w:t>
      </w:r>
      <w:r w:rsidR="00C63B06" w:rsidRPr="00CB68C3">
        <w:rPr>
          <w:sz w:val="22"/>
          <w:szCs w:val="22"/>
        </w:rPr>
        <w:t xml:space="preserve"> </w:t>
      </w:r>
      <w:r w:rsidRPr="00CB68C3">
        <w:rPr>
          <w:sz w:val="22"/>
          <w:szCs w:val="22"/>
        </w:rPr>
        <w:t>638 лв.</w:t>
      </w:r>
    </w:p>
    <w:p w14:paraId="32B11541" w14:textId="1F15CFBB" w:rsidR="00487E37" w:rsidRPr="00CB68C3" w:rsidRDefault="00487E37" w:rsidP="00CB68C3">
      <w:pPr>
        <w:shd w:val="clear" w:color="auto" w:fill="FFFFFF" w:themeFill="background1"/>
        <w:jc w:val="both"/>
        <w:rPr>
          <w:sz w:val="22"/>
          <w:szCs w:val="22"/>
        </w:rPr>
      </w:pPr>
      <w:r w:rsidRPr="00CB68C3">
        <w:rPr>
          <w:b/>
          <w:sz w:val="22"/>
          <w:szCs w:val="22"/>
        </w:rPr>
        <w:t>§§ 40-30</w:t>
      </w:r>
      <w:r w:rsidRPr="00CB68C3">
        <w:rPr>
          <w:sz w:val="22"/>
          <w:szCs w:val="22"/>
        </w:rPr>
        <w:t xml:space="preserve"> </w:t>
      </w:r>
      <w:r w:rsidRPr="00CB68C3">
        <w:rPr>
          <w:i/>
          <w:sz w:val="22"/>
          <w:szCs w:val="22"/>
        </w:rPr>
        <w:t>„Постъпления от продажба на нематериални дълготрайни активи</w:t>
      </w:r>
      <w:r w:rsidRPr="00CB68C3">
        <w:rPr>
          <w:sz w:val="22"/>
          <w:szCs w:val="22"/>
        </w:rPr>
        <w:t xml:space="preserve">” – отчетените средства в размер на </w:t>
      </w:r>
      <w:r w:rsidRPr="00CB68C3">
        <w:rPr>
          <w:b/>
          <w:sz w:val="22"/>
          <w:szCs w:val="22"/>
        </w:rPr>
        <w:t>238</w:t>
      </w:r>
      <w:r w:rsidR="00B379C7" w:rsidRPr="00CB68C3">
        <w:rPr>
          <w:b/>
          <w:sz w:val="22"/>
          <w:szCs w:val="22"/>
        </w:rPr>
        <w:t xml:space="preserve"> </w:t>
      </w:r>
      <w:r w:rsidRPr="00CB68C3">
        <w:rPr>
          <w:b/>
          <w:sz w:val="22"/>
          <w:szCs w:val="22"/>
        </w:rPr>
        <w:t xml:space="preserve">233 </w:t>
      </w:r>
      <w:r w:rsidRPr="00CB68C3">
        <w:rPr>
          <w:sz w:val="22"/>
          <w:szCs w:val="22"/>
        </w:rPr>
        <w:t>лв. са реализирани от следните областни администрации:</w:t>
      </w:r>
    </w:p>
    <w:p w14:paraId="4E892904" w14:textId="67836EBA" w:rsidR="00487E37" w:rsidRPr="00CB68C3" w:rsidRDefault="00487E37" w:rsidP="00CB68C3">
      <w:pPr>
        <w:numPr>
          <w:ilvl w:val="0"/>
          <w:numId w:val="14"/>
        </w:numPr>
        <w:shd w:val="clear" w:color="auto" w:fill="FFFFFF" w:themeFill="background1"/>
        <w:ind w:left="0" w:firstLine="426"/>
        <w:jc w:val="both"/>
        <w:rPr>
          <w:sz w:val="22"/>
          <w:szCs w:val="22"/>
        </w:rPr>
      </w:pPr>
      <w:r w:rsidRPr="00CB68C3">
        <w:rPr>
          <w:sz w:val="22"/>
          <w:szCs w:val="22"/>
        </w:rPr>
        <w:t xml:space="preserve">ОА Благоевград </w:t>
      </w:r>
      <w:r w:rsidR="00B379C7" w:rsidRPr="00CB68C3">
        <w:rPr>
          <w:sz w:val="22"/>
          <w:szCs w:val="22"/>
        </w:rPr>
        <w:t>–</w:t>
      </w:r>
      <w:r w:rsidRPr="00CB68C3">
        <w:rPr>
          <w:sz w:val="22"/>
          <w:szCs w:val="22"/>
        </w:rPr>
        <w:t xml:space="preserve"> 42</w:t>
      </w:r>
      <w:r w:rsidR="00B379C7" w:rsidRPr="00CB68C3">
        <w:rPr>
          <w:sz w:val="22"/>
          <w:szCs w:val="22"/>
        </w:rPr>
        <w:t xml:space="preserve"> </w:t>
      </w:r>
      <w:r w:rsidRPr="00CB68C3">
        <w:rPr>
          <w:sz w:val="22"/>
          <w:szCs w:val="22"/>
        </w:rPr>
        <w:t>399 лв. обезщетение по пазарна цена на сервитутно право във връзка с изграждане на газопровод за обект „Лупинг от Кулата до Кресна“, през поземлени имоти държавна собственост за засегнати имоти на териториите на община Струмяни и на община Кресна;</w:t>
      </w:r>
    </w:p>
    <w:p w14:paraId="7EF76673" w14:textId="14134AF5" w:rsidR="00487E37" w:rsidRPr="00CB68C3" w:rsidRDefault="00487E37" w:rsidP="00CB68C3">
      <w:pPr>
        <w:numPr>
          <w:ilvl w:val="0"/>
          <w:numId w:val="14"/>
        </w:numPr>
        <w:shd w:val="clear" w:color="auto" w:fill="FFFFFF" w:themeFill="background1"/>
        <w:ind w:left="0" w:firstLine="426"/>
        <w:jc w:val="both"/>
        <w:rPr>
          <w:sz w:val="22"/>
          <w:szCs w:val="22"/>
        </w:rPr>
      </w:pPr>
      <w:r w:rsidRPr="00CB68C3">
        <w:rPr>
          <w:sz w:val="22"/>
          <w:szCs w:val="22"/>
        </w:rPr>
        <w:t xml:space="preserve">ОА Бургас </w:t>
      </w:r>
      <w:r w:rsidR="00B379C7" w:rsidRPr="00CB68C3">
        <w:rPr>
          <w:sz w:val="22"/>
          <w:szCs w:val="22"/>
        </w:rPr>
        <w:t>–</w:t>
      </w:r>
      <w:r w:rsidRPr="00CB68C3">
        <w:rPr>
          <w:sz w:val="22"/>
          <w:szCs w:val="22"/>
        </w:rPr>
        <w:t xml:space="preserve"> 21</w:t>
      </w:r>
      <w:r w:rsidR="00B379C7" w:rsidRPr="00CB68C3">
        <w:rPr>
          <w:sz w:val="22"/>
          <w:szCs w:val="22"/>
        </w:rPr>
        <w:t xml:space="preserve"> </w:t>
      </w:r>
      <w:r w:rsidRPr="00CB68C3">
        <w:rPr>
          <w:sz w:val="22"/>
          <w:szCs w:val="22"/>
        </w:rPr>
        <w:t xml:space="preserve">840 лв. учредяване на сервитут в полза на "Електроразпределение ЮГ" ЕАД в ПИ с идентификатори 07079.9.1037; 07079.9.6; 07079.10.158; 07079.10.1424 по КККР на гр. Бургас, местност "Пода" </w:t>
      </w:r>
      <w:r w:rsidR="00B379C7" w:rsidRPr="00CB68C3">
        <w:rPr>
          <w:sz w:val="22"/>
          <w:szCs w:val="22"/>
        </w:rPr>
        <w:t>–</w:t>
      </w:r>
      <w:r w:rsidRPr="00CB68C3">
        <w:rPr>
          <w:sz w:val="22"/>
          <w:szCs w:val="22"/>
        </w:rPr>
        <w:t xml:space="preserve"> 4 бр. ВЕЛ 20 </w:t>
      </w:r>
      <w:proofErr w:type="spellStart"/>
      <w:r w:rsidRPr="00CB68C3">
        <w:rPr>
          <w:sz w:val="22"/>
          <w:szCs w:val="22"/>
        </w:rPr>
        <w:t>kV</w:t>
      </w:r>
      <w:proofErr w:type="spellEnd"/>
      <w:r w:rsidRPr="00CB68C3">
        <w:rPr>
          <w:sz w:val="22"/>
          <w:szCs w:val="22"/>
        </w:rPr>
        <w:t xml:space="preserve"> с 2 бр. кабели 20kV от нов МБТП в УПИ IV-32, кв.10, ПЗ „Юг-Запад“, гр. Бургас до нов МБТП „ДЗС-1“ в УПИ V, кв.</w:t>
      </w:r>
      <w:r w:rsidR="00B379C7" w:rsidRPr="00CB68C3">
        <w:rPr>
          <w:sz w:val="22"/>
          <w:szCs w:val="22"/>
        </w:rPr>
        <w:t xml:space="preserve"> </w:t>
      </w:r>
      <w:r w:rsidRPr="00CB68C3">
        <w:rPr>
          <w:sz w:val="22"/>
          <w:szCs w:val="22"/>
        </w:rPr>
        <w:t xml:space="preserve">34, кв. </w:t>
      </w:r>
      <w:proofErr w:type="spellStart"/>
      <w:r w:rsidRPr="00CB68C3">
        <w:rPr>
          <w:sz w:val="22"/>
          <w:szCs w:val="22"/>
        </w:rPr>
        <w:t>Крайморие</w:t>
      </w:r>
      <w:proofErr w:type="spellEnd"/>
      <w:r w:rsidRPr="00CB68C3">
        <w:rPr>
          <w:sz w:val="22"/>
          <w:szCs w:val="22"/>
        </w:rPr>
        <w:t xml:space="preserve">, </w:t>
      </w:r>
      <w:r w:rsidR="00B379C7" w:rsidRPr="00CB68C3">
        <w:rPr>
          <w:sz w:val="22"/>
          <w:szCs w:val="22"/>
        </w:rPr>
        <w:br/>
      </w:r>
      <w:r w:rsidRPr="00CB68C3">
        <w:rPr>
          <w:sz w:val="22"/>
          <w:szCs w:val="22"/>
        </w:rPr>
        <w:t>гр. Бургас – ЕТАП 2;</w:t>
      </w:r>
    </w:p>
    <w:p w14:paraId="74224E79" w14:textId="7283B978" w:rsidR="00487E37" w:rsidRPr="00CB68C3" w:rsidRDefault="00487E37" w:rsidP="00CB68C3">
      <w:pPr>
        <w:numPr>
          <w:ilvl w:val="0"/>
          <w:numId w:val="14"/>
        </w:numPr>
        <w:shd w:val="clear" w:color="auto" w:fill="FFFFFF" w:themeFill="background1"/>
        <w:ind w:left="0" w:firstLine="426"/>
        <w:jc w:val="both"/>
        <w:rPr>
          <w:sz w:val="22"/>
          <w:szCs w:val="22"/>
        </w:rPr>
      </w:pPr>
      <w:r w:rsidRPr="00CB68C3">
        <w:rPr>
          <w:sz w:val="22"/>
          <w:szCs w:val="22"/>
        </w:rPr>
        <w:t xml:space="preserve">ОА Варна </w:t>
      </w:r>
      <w:r w:rsidR="00B379C7" w:rsidRPr="00CB68C3">
        <w:rPr>
          <w:sz w:val="22"/>
          <w:szCs w:val="22"/>
        </w:rPr>
        <w:t>–</w:t>
      </w:r>
      <w:r w:rsidRPr="00CB68C3">
        <w:rPr>
          <w:sz w:val="22"/>
          <w:szCs w:val="22"/>
        </w:rPr>
        <w:t xml:space="preserve"> 37</w:t>
      </w:r>
      <w:r w:rsidR="00B379C7" w:rsidRPr="00CB68C3">
        <w:rPr>
          <w:sz w:val="22"/>
          <w:szCs w:val="22"/>
        </w:rPr>
        <w:t xml:space="preserve"> </w:t>
      </w:r>
      <w:r w:rsidRPr="00CB68C3">
        <w:rPr>
          <w:sz w:val="22"/>
          <w:szCs w:val="22"/>
        </w:rPr>
        <w:t>959 лв., представляващи:</w:t>
      </w:r>
    </w:p>
    <w:p w14:paraId="63296C2B" w14:textId="3CF527C6"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право на прокарване на временен път през ПИ 10135.2571.832, собственост на държавата ПИ 10135.2571.4594 и ПИ 10135.2571.466 – 1</w:t>
      </w:r>
      <w:r w:rsidR="00B379C7" w:rsidRPr="00CB68C3">
        <w:rPr>
          <w:sz w:val="22"/>
          <w:szCs w:val="22"/>
          <w:lang w:val="bg-BG"/>
        </w:rPr>
        <w:t xml:space="preserve"> </w:t>
      </w:r>
      <w:r w:rsidRPr="00CB68C3">
        <w:rPr>
          <w:sz w:val="22"/>
          <w:szCs w:val="22"/>
          <w:lang w:val="bg-BG"/>
        </w:rPr>
        <w:t>696 лв.;</w:t>
      </w:r>
    </w:p>
    <w:p w14:paraId="4727A355" w14:textId="3FC7FA9F"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 xml:space="preserve">сервитут/право на прокарване и изграждане на линейни енергийни обекти, преминаване и извършване на ремонтни дейности и ограничаване в ползването на поземлени имоти, съгласно чл. 64, ал. 1 от Закона за енергетиката, прилежащи към енергийният обект: "Лупинг от Рупча до Ветрино" за повишаване на капацитета за пренос на природен газ в точка на между системно свързване </w:t>
      </w:r>
      <w:proofErr w:type="spellStart"/>
      <w:r w:rsidRPr="00CB68C3">
        <w:rPr>
          <w:sz w:val="22"/>
          <w:szCs w:val="22"/>
          <w:lang w:val="bg-BG"/>
        </w:rPr>
        <w:t>Негру</w:t>
      </w:r>
      <w:proofErr w:type="spellEnd"/>
      <w:r w:rsidRPr="00CB68C3">
        <w:rPr>
          <w:sz w:val="22"/>
          <w:szCs w:val="22"/>
          <w:lang w:val="bg-BG"/>
        </w:rPr>
        <w:t xml:space="preserve"> Вода/Кардам в посока от България към Румъния – </w:t>
      </w:r>
      <w:r w:rsidR="00B379C7" w:rsidRPr="00CB68C3">
        <w:rPr>
          <w:sz w:val="22"/>
          <w:szCs w:val="22"/>
          <w:lang w:val="bg-BG"/>
        </w:rPr>
        <w:br/>
      </w:r>
      <w:r w:rsidRPr="00CB68C3">
        <w:rPr>
          <w:sz w:val="22"/>
          <w:szCs w:val="22"/>
          <w:lang w:val="bg-BG"/>
        </w:rPr>
        <w:t>36</w:t>
      </w:r>
      <w:r w:rsidR="00B379C7" w:rsidRPr="00CB68C3">
        <w:rPr>
          <w:sz w:val="22"/>
          <w:szCs w:val="22"/>
          <w:lang w:val="bg-BG"/>
        </w:rPr>
        <w:t xml:space="preserve"> </w:t>
      </w:r>
      <w:r w:rsidRPr="00CB68C3">
        <w:rPr>
          <w:sz w:val="22"/>
          <w:szCs w:val="22"/>
          <w:lang w:val="bg-BG"/>
        </w:rPr>
        <w:t>263 лв.</w:t>
      </w:r>
    </w:p>
    <w:p w14:paraId="56B1DB6E" w14:textId="2AA4565F" w:rsidR="00487E37" w:rsidRPr="00CB68C3" w:rsidRDefault="00487E37" w:rsidP="00CB68C3">
      <w:pPr>
        <w:numPr>
          <w:ilvl w:val="0"/>
          <w:numId w:val="14"/>
        </w:numPr>
        <w:shd w:val="clear" w:color="auto" w:fill="FFFFFF" w:themeFill="background1"/>
        <w:ind w:left="0" w:firstLine="426"/>
        <w:jc w:val="both"/>
        <w:rPr>
          <w:sz w:val="22"/>
          <w:szCs w:val="22"/>
        </w:rPr>
      </w:pPr>
      <w:r w:rsidRPr="00CB68C3">
        <w:rPr>
          <w:sz w:val="22"/>
          <w:szCs w:val="22"/>
        </w:rPr>
        <w:t>ОА Враца – 8</w:t>
      </w:r>
      <w:r w:rsidR="00AC6DE7" w:rsidRPr="00CB68C3">
        <w:rPr>
          <w:sz w:val="22"/>
          <w:szCs w:val="22"/>
        </w:rPr>
        <w:t xml:space="preserve"> </w:t>
      </w:r>
      <w:r w:rsidRPr="00CB68C3">
        <w:rPr>
          <w:sz w:val="22"/>
          <w:szCs w:val="22"/>
        </w:rPr>
        <w:t>430 лв., представляващи:</w:t>
      </w:r>
    </w:p>
    <w:p w14:paraId="003BE5DA" w14:textId="2856AADB"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 xml:space="preserve">учредяване на сервитут върху имоти държавна собственост на територията на община Враца с възложител „Дунав Солар Плант“ ЕООД </w:t>
      </w:r>
      <w:r w:rsidR="00AC6DE7" w:rsidRPr="00CB68C3">
        <w:rPr>
          <w:sz w:val="22"/>
          <w:szCs w:val="22"/>
          <w:lang w:val="bg-BG"/>
        </w:rPr>
        <w:t>–</w:t>
      </w:r>
      <w:r w:rsidRPr="00CB68C3">
        <w:rPr>
          <w:sz w:val="22"/>
          <w:szCs w:val="22"/>
          <w:lang w:val="bg-BG"/>
        </w:rPr>
        <w:t xml:space="preserve"> 730 лв.;</w:t>
      </w:r>
    </w:p>
    <w:p w14:paraId="14ED9C56" w14:textId="0018363A"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учредяване на сервитут върху имоти държавна собственост в района на гр. Мизия с възложител „</w:t>
      </w:r>
      <w:proofErr w:type="spellStart"/>
      <w:r w:rsidRPr="00CB68C3">
        <w:rPr>
          <w:sz w:val="22"/>
          <w:szCs w:val="22"/>
          <w:lang w:val="bg-BG"/>
        </w:rPr>
        <w:t>Елбаланс</w:t>
      </w:r>
      <w:proofErr w:type="spellEnd"/>
      <w:r w:rsidRPr="00CB68C3">
        <w:rPr>
          <w:sz w:val="22"/>
          <w:szCs w:val="22"/>
          <w:lang w:val="bg-BG"/>
        </w:rPr>
        <w:t xml:space="preserve">“ ЕООД </w:t>
      </w:r>
      <w:r w:rsidR="00AC6DE7" w:rsidRPr="00CB68C3">
        <w:rPr>
          <w:sz w:val="22"/>
          <w:szCs w:val="22"/>
          <w:lang w:val="bg-BG"/>
        </w:rPr>
        <w:t>–</w:t>
      </w:r>
      <w:r w:rsidRPr="00CB68C3">
        <w:rPr>
          <w:sz w:val="22"/>
          <w:szCs w:val="22"/>
          <w:lang w:val="bg-BG"/>
        </w:rPr>
        <w:t xml:space="preserve"> 5 500 лв.;</w:t>
      </w:r>
    </w:p>
    <w:p w14:paraId="7A93554C" w14:textId="241113C4"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 xml:space="preserve">учредяване на сервитут върху имоти държавна собственост в района на гр. Мизия с възложител „Баланс Парк“ ЕООД </w:t>
      </w:r>
      <w:r w:rsidR="00AC6DE7" w:rsidRPr="00CB68C3">
        <w:rPr>
          <w:sz w:val="22"/>
          <w:szCs w:val="22"/>
          <w:lang w:val="bg-BG"/>
        </w:rPr>
        <w:t>–</w:t>
      </w:r>
      <w:r w:rsidRPr="00CB68C3">
        <w:rPr>
          <w:sz w:val="22"/>
          <w:szCs w:val="22"/>
          <w:lang w:val="bg-BG"/>
        </w:rPr>
        <w:t xml:space="preserve"> 2 200 лв.</w:t>
      </w:r>
    </w:p>
    <w:p w14:paraId="013C4CD0" w14:textId="77777777" w:rsidR="00487E37" w:rsidRPr="00CB68C3" w:rsidRDefault="00487E37" w:rsidP="00CB68C3">
      <w:pPr>
        <w:numPr>
          <w:ilvl w:val="0"/>
          <w:numId w:val="14"/>
        </w:numPr>
        <w:shd w:val="clear" w:color="auto" w:fill="FFFFFF" w:themeFill="background1"/>
        <w:ind w:left="0" w:firstLine="426"/>
        <w:jc w:val="both"/>
        <w:rPr>
          <w:sz w:val="22"/>
          <w:szCs w:val="22"/>
        </w:rPr>
      </w:pPr>
      <w:r w:rsidRPr="00CB68C3">
        <w:rPr>
          <w:sz w:val="22"/>
          <w:szCs w:val="22"/>
        </w:rPr>
        <w:t>ОА Габрово – 2 439 лв. представляващи учредено право на прокарване от общите мрежи на техническата инфраструктура през държавни поземлени имоти;</w:t>
      </w:r>
    </w:p>
    <w:p w14:paraId="015B8B87" w14:textId="51C99709" w:rsidR="00487E37" w:rsidRPr="00CB68C3" w:rsidRDefault="00487E37" w:rsidP="00CB68C3">
      <w:pPr>
        <w:numPr>
          <w:ilvl w:val="0"/>
          <w:numId w:val="14"/>
        </w:numPr>
        <w:shd w:val="clear" w:color="auto" w:fill="FFFFFF" w:themeFill="background1"/>
        <w:ind w:left="0" w:firstLine="426"/>
        <w:jc w:val="both"/>
        <w:rPr>
          <w:sz w:val="22"/>
          <w:szCs w:val="22"/>
        </w:rPr>
      </w:pPr>
      <w:r w:rsidRPr="00CB68C3">
        <w:rPr>
          <w:sz w:val="22"/>
          <w:szCs w:val="22"/>
        </w:rPr>
        <w:t>ОА Ловеч – 23</w:t>
      </w:r>
      <w:r w:rsidR="00AC6DE7" w:rsidRPr="00CB68C3">
        <w:rPr>
          <w:sz w:val="22"/>
          <w:szCs w:val="22"/>
        </w:rPr>
        <w:t xml:space="preserve"> </w:t>
      </w:r>
      <w:r w:rsidRPr="00CB68C3">
        <w:rPr>
          <w:sz w:val="22"/>
          <w:szCs w:val="22"/>
        </w:rPr>
        <w:t>164 лв., представляващи:</w:t>
      </w:r>
    </w:p>
    <w:p w14:paraId="300463DB" w14:textId="6C78FE3B"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 xml:space="preserve">10 049 лв. учредено възмездно право на прокарване през поземлен имот публична държавна собственост в границите на индустриален парк Балкан, гр. Ловеч учредено със Заповед </w:t>
      </w:r>
      <w:r w:rsidR="009D72E3" w:rsidRPr="00CB68C3">
        <w:rPr>
          <w:sz w:val="22"/>
          <w:szCs w:val="22"/>
          <w:lang w:val="bg-BG"/>
        </w:rPr>
        <w:br/>
      </w:r>
      <w:r w:rsidRPr="00CB68C3">
        <w:rPr>
          <w:sz w:val="22"/>
          <w:szCs w:val="22"/>
          <w:lang w:val="bg-BG"/>
        </w:rPr>
        <w:t>№ РД-08-15 от 11.03.2025 г. на областен управител на област Ловеч;</w:t>
      </w:r>
    </w:p>
    <w:p w14:paraId="3377952C" w14:textId="77777777"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13 115 лв. обезщетение за възникнал сервитут на ФЕЦ Слатина от община Ловеч.</w:t>
      </w:r>
    </w:p>
    <w:p w14:paraId="0DA2848E" w14:textId="31CFF25A" w:rsidR="00487E37" w:rsidRPr="00CB68C3" w:rsidRDefault="00487E37" w:rsidP="00CB68C3">
      <w:pPr>
        <w:numPr>
          <w:ilvl w:val="0"/>
          <w:numId w:val="14"/>
        </w:numPr>
        <w:shd w:val="clear" w:color="auto" w:fill="FFFFFF" w:themeFill="background1"/>
        <w:ind w:left="0" w:firstLine="426"/>
        <w:jc w:val="both"/>
        <w:rPr>
          <w:sz w:val="22"/>
          <w:szCs w:val="22"/>
        </w:rPr>
      </w:pPr>
      <w:r w:rsidRPr="00CB68C3">
        <w:rPr>
          <w:sz w:val="22"/>
          <w:szCs w:val="22"/>
        </w:rPr>
        <w:t>ОА Монтана – 7 500 лв. учредяване на възмездно безсрочно ограничено вещно право на строеж върху част от имот – публична държавна собственост между „ФИШ ИНВЕСТ“ ООД и областна администрация Монтана. Целият имот е с площ 26 113 кв. м., по кадастралната карта и кадастралните регистри с трайно предназначение на територията: територия, заета от води и водни обекти, с начин на трайно ползване: водно течение, река, със засегната площ 148</w:t>
      </w:r>
      <w:r w:rsidR="00D865D0" w:rsidRPr="00CB68C3">
        <w:rPr>
          <w:sz w:val="22"/>
          <w:szCs w:val="22"/>
        </w:rPr>
        <w:t>.</w:t>
      </w:r>
      <w:r w:rsidRPr="00CB68C3">
        <w:rPr>
          <w:sz w:val="22"/>
          <w:szCs w:val="22"/>
        </w:rPr>
        <w:t>20 кв.м.</w:t>
      </w:r>
    </w:p>
    <w:p w14:paraId="2EC3E2F6" w14:textId="77777777" w:rsidR="00487E37" w:rsidRPr="00CB68C3" w:rsidRDefault="00487E37" w:rsidP="00CB68C3">
      <w:pPr>
        <w:numPr>
          <w:ilvl w:val="0"/>
          <w:numId w:val="14"/>
        </w:numPr>
        <w:shd w:val="clear" w:color="auto" w:fill="FFFFFF" w:themeFill="background1"/>
        <w:ind w:left="0" w:firstLine="426"/>
        <w:jc w:val="both"/>
        <w:rPr>
          <w:sz w:val="22"/>
          <w:szCs w:val="22"/>
        </w:rPr>
      </w:pPr>
      <w:r w:rsidRPr="00CB68C3">
        <w:rPr>
          <w:sz w:val="22"/>
          <w:szCs w:val="22"/>
        </w:rPr>
        <w:t>ОА Пазарджик – 750 лв., от тях 282 лв. учредено сервитутно право върху поземлен имот и 468 лв. за право на прокарване през поземлен имот.</w:t>
      </w:r>
    </w:p>
    <w:p w14:paraId="2BE6CF5F" w14:textId="127A8A17" w:rsidR="00487E37" w:rsidRPr="00CB68C3" w:rsidRDefault="00487E37" w:rsidP="00CB68C3">
      <w:pPr>
        <w:numPr>
          <w:ilvl w:val="0"/>
          <w:numId w:val="14"/>
        </w:numPr>
        <w:shd w:val="clear" w:color="auto" w:fill="FFFFFF" w:themeFill="background1"/>
        <w:ind w:left="0" w:firstLine="426"/>
        <w:jc w:val="both"/>
        <w:rPr>
          <w:sz w:val="22"/>
          <w:szCs w:val="22"/>
        </w:rPr>
      </w:pPr>
      <w:r w:rsidRPr="00CB68C3">
        <w:rPr>
          <w:sz w:val="22"/>
          <w:szCs w:val="22"/>
        </w:rPr>
        <w:t>ОА Плевен – 24</w:t>
      </w:r>
      <w:r w:rsidR="000D31C1" w:rsidRPr="00CB68C3">
        <w:rPr>
          <w:sz w:val="22"/>
          <w:szCs w:val="22"/>
        </w:rPr>
        <w:t xml:space="preserve"> </w:t>
      </w:r>
      <w:r w:rsidRPr="00CB68C3">
        <w:rPr>
          <w:sz w:val="22"/>
          <w:szCs w:val="22"/>
        </w:rPr>
        <w:t>977 лв. представляващи:</w:t>
      </w:r>
    </w:p>
    <w:p w14:paraId="50AE4318" w14:textId="0D6A2070"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 xml:space="preserve">196 лв. за обезщетение за сервитут през поземлен имот </w:t>
      </w:r>
      <w:r w:rsidR="000D31C1" w:rsidRPr="00CB68C3">
        <w:rPr>
          <w:sz w:val="22"/>
          <w:szCs w:val="22"/>
          <w:lang w:val="bg-BG"/>
        </w:rPr>
        <w:t>–</w:t>
      </w:r>
      <w:r w:rsidRPr="00CB68C3">
        <w:rPr>
          <w:sz w:val="22"/>
          <w:szCs w:val="22"/>
          <w:lang w:val="bg-BG"/>
        </w:rPr>
        <w:t xml:space="preserve"> държавна собственост с идентификатор 57772.130.14 по КК на гр. Пордим, съгласно чл. 64, ал. 6 от Закона за енергетиката;</w:t>
      </w:r>
    </w:p>
    <w:p w14:paraId="4850CE2A" w14:textId="5DF76D02"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 xml:space="preserve">5 902 лв. за обезщетение за сервитут през поземлени имоти </w:t>
      </w:r>
      <w:r w:rsidR="00FE3099" w:rsidRPr="00CB68C3">
        <w:rPr>
          <w:sz w:val="22"/>
          <w:szCs w:val="22"/>
          <w:lang w:val="bg-BG"/>
        </w:rPr>
        <w:t>–</w:t>
      </w:r>
      <w:r w:rsidRPr="00CB68C3">
        <w:rPr>
          <w:sz w:val="22"/>
          <w:szCs w:val="22"/>
          <w:lang w:val="bg-BG"/>
        </w:rPr>
        <w:t xml:space="preserve"> държавна собственост с идентификатор 53655.130.18, 53655.130.20, 53655.130.22 и 53655.130.24 по КККР на </w:t>
      </w:r>
      <w:r w:rsidR="00FE3099" w:rsidRPr="00CB68C3">
        <w:rPr>
          <w:sz w:val="22"/>
          <w:szCs w:val="22"/>
          <w:lang w:val="bg-BG"/>
        </w:rPr>
        <w:br/>
      </w:r>
      <w:r w:rsidRPr="00CB68C3">
        <w:rPr>
          <w:sz w:val="22"/>
          <w:szCs w:val="22"/>
          <w:lang w:val="bg-BG"/>
        </w:rPr>
        <w:t>с. Ореховица, община Долна Митрополия, съгласно чл. 64, ал. 6 от Закона за енергетиката;</w:t>
      </w:r>
    </w:p>
    <w:p w14:paraId="5F020CB4" w14:textId="0188D3E8"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lastRenderedPageBreak/>
        <w:t>18</w:t>
      </w:r>
      <w:r w:rsidR="00FE3099" w:rsidRPr="00CB68C3">
        <w:rPr>
          <w:sz w:val="22"/>
          <w:szCs w:val="22"/>
          <w:lang w:val="bg-BG"/>
        </w:rPr>
        <w:t xml:space="preserve"> </w:t>
      </w:r>
      <w:r w:rsidRPr="00CB68C3">
        <w:rPr>
          <w:sz w:val="22"/>
          <w:szCs w:val="22"/>
          <w:lang w:val="bg-BG"/>
        </w:rPr>
        <w:t xml:space="preserve">879 лв. за обезщетение за сервитут през поземлени имоти </w:t>
      </w:r>
      <w:r w:rsidR="00FE3099" w:rsidRPr="00CB68C3">
        <w:rPr>
          <w:sz w:val="22"/>
          <w:szCs w:val="22"/>
          <w:lang w:val="bg-BG"/>
        </w:rPr>
        <w:t>–</w:t>
      </w:r>
      <w:r w:rsidRPr="00CB68C3">
        <w:rPr>
          <w:sz w:val="22"/>
          <w:szCs w:val="22"/>
          <w:lang w:val="bg-BG"/>
        </w:rPr>
        <w:t xml:space="preserve"> държавна собственост с идентификатор 61580.606.175 по КККР на с. Радомирци, община Червен бряг, както и в землищата на с. Сухаче, с. Горник, с. Реселец, гр. Червен бряг, с. Рупци и с. Радомирци, община Червен бряг, съгласно чл. 64, ал. 6 от Закона за енергетиката. </w:t>
      </w:r>
    </w:p>
    <w:p w14:paraId="6CAE415C" w14:textId="2CB1255E" w:rsidR="00487E37" w:rsidRPr="00CB68C3" w:rsidRDefault="00487E37" w:rsidP="00CB68C3">
      <w:pPr>
        <w:numPr>
          <w:ilvl w:val="0"/>
          <w:numId w:val="14"/>
        </w:numPr>
        <w:shd w:val="clear" w:color="auto" w:fill="FFFFFF" w:themeFill="background1"/>
        <w:ind w:left="0" w:firstLine="426"/>
        <w:jc w:val="both"/>
        <w:rPr>
          <w:sz w:val="22"/>
          <w:szCs w:val="22"/>
        </w:rPr>
      </w:pPr>
      <w:r w:rsidRPr="00CB68C3">
        <w:rPr>
          <w:sz w:val="22"/>
          <w:szCs w:val="22"/>
        </w:rPr>
        <w:t>ОА Силистра – 1</w:t>
      </w:r>
      <w:r w:rsidR="00FE3099" w:rsidRPr="00CB68C3">
        <w:rPr>
          <w:sz w:val="22"/>
          <w:szCs w:val="22"/>
        </w:rPr>
        <w:t xml:space="preserve"> </w:t>
      </w:r>
      <w:r w:rsidRPr="00CB68C3">
        <w:rPr>
          <w:sz w:val="22"/>
          <w:szCs w:val="22"/>
        </w:rPr>
        <w:t>446 лв., представляващи:</w:t>
      </w:r>
    </w:p>
    <w:p w14:paraId="740E5CCE" w14:textId="77777777"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720 лв. представлява учредено право на преминаване през топлата връзка между високото и ниското тяло на административната сграда, собственост на областна администрация Силистра в полза на Службата по вписванията – Силистра, съгласно подписано Споразумение;</w:t>
      </w:r>
    </w:p>
    <w:p w14:paraId="660B4ABD" w14:textId="69EE88D8"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726 лв. учредяване на сервитут (дължимо обезщетение за държавен имот засегнат от сервитут) във връзка с приети пазарни оценки и взети решения от комисия назначена със заповед на кмета на община Силистра, за поземлен имот с идентификатор 41143.300.1 находящ се в землището на с. Калипетрово с площ 0</w:t>
      </w:r>
      <w:r w:rsidR="00FE3099" w:rsidRPr="00CB68C3">
        <w:rPr>
          <w:sz w:val="22"/>
          <w:szCs w:val="22"/>
          <w:lang w:val="bg-BG"/>
        </w:rPr>
        <w:t>.</w:t>
      </w:r>
      <w:r w:rsidRPr="00CB68C3">
        <w:rPr>
          <w:sz w:val="22"/>
          <w:szCs w:val="22"/>
          <w:lang w:val="bg-BG"/>
        </w:rPr>
        <w:t>441 дка.</w:t>
      </w:r>
    </w:p>
    <w:p w14:paraId="5A3F10E5" w14:textId="77777777" w:rsidR="00487E37" w:rsidRPr="00CB68C3" w:rsidRDefault="00487E37" w:rsidP="00CB68C3">
      <w:pPr>
        <w:numPr>
          <w:ilvl w:val="0"/>
          <w:numId w:val="14"/>
        </w:numPr>
        <w:shd w:val="clear" w:color="auto" w:fill="FFFFFF" w:themeFill="background1"/>
        <w:ind w:left="0" w:firstLine="426"/>
        <w:jc w:val="both"/>
        <w:rPr>
          <w:sz w:val="22"/>
          <w:szCs w:val="22"/>
        </w:rPr>
      </w:pPr>
      <w:r w:rsidRPr="00CB68C3">
        <w:rPr>
          <w:sz w:val="22"/>
          <w:szCs w:val="22"/>
        </w:rPr>
        <w:t>ОА Сливен – 871 лв., представляващи:</w:t>
      </w:r>
    </w:p>
    <w:p w14:paraId="40781209" w14:textId="001FBA38"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обезщетение за възникнал сервитут в подземен имот с идентификатор 69081.20.337 по КККР на с. Старо село, община Сливен за прокарване на подземно трасе на ел. кабел 20</w:t>
      </w:r>
      <w:r w:rsidR="00FE3099" w:rsidRPr="00CB68C3">
        <w:rPr>
          <w:sz w:val="22"/>
          <w:szCs w:val="22"/>
          <w:lang w:val="bg-BG"/>
        </w:rPr>
        <w:t xml:space="preserve"> </w:t>
      </w:r>
      <w:proofErr w:type="spellStart"/>
      <w:r w:rsidRPr="00CB68C3">
        <w:rPr>
          <w:sz w:val="22"/>
          <w:szCs w:val="22"/>
          <w:lang w:val="bg-BG"/>
        </w:rPr>
        <w:t>kV</w:t>
      </w:r>
      <w:proofErr w:type="spellEnd"/>
      <w:r w:rsidRPr="00CB68C3">
        <w:rPr>
          <w:sz w:val="22"/>
          <w:szCs w:val="22"/>
          <w:lang w:val="bg-BG"/>
        </w:rPr>
        <w:t xml:space="preserve"> за свързване на електропровод, с площ 97 кв.м, който ще се изгражда за нуждите на фотоволтаична ел. централа, разположена в УПИ XXVI-194, кв. 32 – 408 лв.;</w:t>
      </w:r>
    </w:p>
    <w:p w14:paraId="5958ABE0" w14:textId="77777777"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 xml:space="preserve">обезщетение за възникнал сервитут в поземлен имот с идентификатор 72165.505.1815 за прокарване на кабелно трасе, във връзка с изграждането на обект: „Кабелно захранване на ФЕЦ 130 </w:t>
      </w:r>
      <w:proofErr w:type="spellStart"/>
      <w:r w:rsidRPr="00CB68C3">
        <w:rPr>
          <w:sz w:val="22"/>
          <w:szCs w:val="22"/>
          <w:lang w:val="bg-BG"/>
        </w:rPr>
        <w:t>kW</w:t>
      </w:r>
      <w:proofErr w:type="spellEnd"/>
      <w:r w:rsidRPr="00CB68C3">
        <w:rPr>
          <w:sz w:val="22"/>
          <w:szCs w:val="22"/>
          <w:lang w:val="bg-BG"/>
        </w:rPr>
        <w:t xml:space="preserve"> от ТП „Балкан“ за ПИ 72165.504.2257, УПИ XV-2257, кв. 69, гр. Твърдица, преминаващо в поземлен имот с идентификатор 72165.505.1815 по КККР на гр. Твърдица, община Твърдица – 60 лв.;</w:t>
      </w:r>
    </w:p>
    <w:p w14:paraId="39C68A97" w14:textId="77777777"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 xml:space="preserve">обезщетение за възникнал сервитут в поземлен имот с идентификатор 57371.60.132 за прокарване на кабелно трасе, във връзка с изграждане обект: „Кабелно захранване на ФЕЦ 199 </w:t>
      </w:r>
      <w:proofErr w:type="spellStart"/>
      <w:r w:rsidRPr="00CB68C3">
        <w:rPr>
          <w:sz w:val="22"/>
          <w:szCs w:val="22"/>
          <w:lang w:val="bg-BG"/>
        </w:rPr>
        <w:t>kW</w:t>
      </w:r>
      <w:proofErr w:type="spellEnd"/>
      <w:r w:rsidRPr="00CB68C3">
        <w:rPr>
          <w:sz w:val="22"/>
          <w:szCs w:val="22"/>
          <w:lang w:val="bg-BG"/>
        </w:rPr>
        <w:t xml:space="preserve"> от ТП „Юг“ за ПИ 57371.60.153, с. Полско Пъдарево, община Нова Загора, преминаващо в поземлен имот с идентификатор 57371.60.132 по КККР на с. Полско Пъдарево, община Нова Загора – 403 лв.</w:t>
      </w:r>
    </w:p>
    <w:p w14:paraId="10BF9102" w14:textId="5C75463D" w:rsidR="00487E37" w:rsidRPr="00CB68C3" w:rsidRDefault="00487E37" w:rsidP="00CB68C3">
      <w:pPr>
        <w:numPr>
          <w:ilvl w:val="0"/>
          <w:numId w:val="14"/>
        </w:numPr>
        <w:shd w:val="clear" w:color="auto" w:fill="FFFFFF" w:themeFill="background1"/>
        <w:ind w:left="0" w:firstLine="426"/>
        <w:jc w:val="both"/>
        <w:rPr>
          <w:sz w:val="22"/>
          <w:szCs w:val="22"/>
        </w:rPr>
      </w:pPr>
      <w:r w:rsidRPr="00CB68C3">
        <w:rPr>
          <w:sz w:val="22"/>
          <w:szCs w:val="22"/>
        </w:rPr>
        <w:t>ОА Смолян – 3</w:t>
      </w:r>
      <w:r w:rsidR="00711A81" w:rsidRPr="00CB68C3">
        <w:rPr>
          <w:sz w:val="22"/>
          <w:szCs w:val="22"/>
        </w:rPr>
        <w:t xml:space="preserve"> </w:t>
      </w:r>
      <w:r w:rsidRPr="00CB68C3">
        <w:rPr>
          <w:sz w:val="22"/>
          <w:szCs w:val="22"/>
        </w:rPr>
        <w:t>725 лв., представляващи:</w:t>
      </w:r>
    </w:p>
    <w:p w14:paraId="202ABE83" w14:textId="5A37DA3E"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право на прокарване за изграждане на обект „Външен водопровод и външен канал за УПИ III – за хотел и обществено обслужване в кв. 2, ПИ 67653.16.3 землище на гр. Смолян в общ размер 2</w:t>
      </w:r>
      <w:r w:rsidR="00711A81" w:rsidRPr="00CB68C3">
        <w:rPr>
          <w:sz w:val="22"/>
          <w:szCs w:val="22"/>
          <w:lang w:val="bg-BG"/>
        </w:rPr>
        <w:t xml:space="preserve"> </w:t>
      </w:r>
      <w:r w:rsidRPr="00CB68C3">
        <w:rPr>
          <w:sz w:val="22"/>
          <w:szCs w:val="22"/>
          <w:lang w:val="bg-BG"/>
        </w:rPr>
        <w:t>885 лв., от тях: 1</w:t>
      </w:r>
      <w:r w:rsidR="00711A81" w:rsidRPr="00CB68C3">
        <w:rPr>
          <w:sz w:val="22"/>
          <w:szCs w:val="22"/>
          <w:lang w:val="bg-BG"/>
        </w:rPr>
        <w:t xml:space="preserve"> </w:t>
      </w:r>
      <w:r w:rsidRPr="00CB68C3">
        <w:rPr>
          <w:sz w:val="22"/>
          <w:szCs w:val="22"/>
          <w:lang w:val="bg-BG"/>
        </w:rPr>
        <w:t>583 лв. право на прокарване на външен водопровод с площ на сервитутната ивица от 58</w:t>
      </w:r>
      <w:r w:rsidR="00711A81" w:rsidRPr="00CB68C3">
        <w:rPr>
          <w:sz w:val="22"/>
          <w:szCs w:val="22"/>
          <w:lang w:val="bg-BG"/>
        </w:rPr>
        <w:t>.</w:t>
      </w:r>
      <w:r w:rsidRPr="00CB68C3">
        <w:rPr>
          <w:sz w:val="22"/>
          <w:szCs w:val="22"/>
          <w:lang w:val="bg-BG"/>
        </w:rPr>
        <w:t>45 кв.м и 1</w:t>
      </w:r>
      <w:r w:rsidR="00711A81" w:rsidRPr="00CB68C3">
        <w:rPr>
          <w:sz w:val="22"/>
          <w:szCs w:val="22"/>
          <w:lang w:val="bg-BG"/>
        </w:rPr>
        <w:t xml:space="preserve"> </w:t>
      </w:r>
      <w:r w:rsidRPr="00CB68C3">
        <w:rPr>
          <w:sz w:val="22"/>
          <w:szCs w:val="22"/>
          <w:lang w:val="bg-BG"/>
        </w:rPr>
        <w:t>302 лв. право на прокарване на външен канал;</w:t>
      </w:r>
    </w:p>
    <w:p w14:paraId="22DB77B1" w14:textId="1527F617"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840 лв. право на преминаване на Електроразпределение ЮГ ЕАД със Заповед № АП-03-15-210/21.05.2025 г.</w:t>
      </w:r>
    </w:p>
    <w:p w14:paraId="588B7B72" w14:textId="7E3580A6" w:rsidR="00487E37" w:rsidRPr="00CB68C3" w:rsidRDefault="00487E37" w:rsidP="00CB68C3">
      <w:pPr>
        <w:numPr>
          <w:ilvl w:val="0"/>
          <w:numId w:val="14"/>
        </w:numPr>
        <w:shd w:val="clear" w:color="auto" w:fill="FFFFFF" w:themeFill="background1"/>
        <w:ind w:left="0" w:firstLine="426"/>
        <w:jc w:val="both"/>
        <w:rPr>
          <w:sz w:val="22"/>
          <w:szCs w:val="22"/>
        </w:rPr>
      </w:pPr>
      <w:r w:rsidRPr="00CB68C3">
        <w:rPr>
          <w:sz w:val="22"/>
          <w:szCs w:val="22"/>
        </w:rPr>
        <w:t>ОА София – 13</w:t>
      </w:r>
      <w:r w:rsidR="00711A81" w:rsidRPr="00CB68C3">
        <w:rPr>
          <w:sz w:val="22"/>
          <w:szCs w:val="22"/>
        </w:rPr>
        <w:t xml:space="preserve"> </w:t>
      </w:r>
      <w:r w:rsidRPr="00CB68C3">
        <w:rPr>
          <w:sz w:val="22"/>
          <w:szCs w:val="22"/>
        </w:rPr>
        <w:t>029 лв. за право на ползване на терен, държавна собственост по договор с Американския колеж – София от 1994 г.;</w:t>
      </w:r>
    </w:p>
    <w:p w14:paraId="7A0B9C74" w14:textId="77777777" w:rsidR="00487E37" w:rsidRPr="00CB68C3" w:rsidRDefault="00487E37" w:rsidP="00CB68C3">
      <w:pPr>
        <w:numPr>
          <w:ilvl w:val="0"/>
          <w:numId w:val="14"/>
        </w:numPr>
        <w:shd w:val="clear" w:color="auto" w:fill="FFFFFF" w:themeFill="background1"/>
        <w:ind w:left="0" w:firstLine="426"/>
        <w:jc w:val="both"/>
        <w:rPr>
          <w:sz w:val="22"/>
          <w:szCs w:val="22"/>
        </w:rPr>
      </w:pPr>
      <w:r w:rsidRPr="00CB68C3">
        <w:rPr>
          <w:sz w:val="22"/>
          <w:szCs w:val="22"/>
        </w:rPr>
        <w:t>ОА Стара Загора – 37 170 лв., представляващи:</w:t>
      </w:r>
    </w:p>
    <w:p w14:paraId="2A7DF864" w14:textId="77777777"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обезщетение за възникване на сервитут по реда на чл. 64, ал. 2 от Закона за енергетиката за имот ПИ 49494.6.276, община Мъглиж – 290 лв.;</w:t>
      </w:r>
    </w:p>
    <w:p w14:paraId="3DAEDDAF" w14:textId="77777777"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обезщетение за сервитут на кабелна линия 20kV от 968 кв. м. в ПИ 27499.331.273 по КККР на с. Енина, община Казанлък от фирма „</w:t>
      </w:r>
      <w:proofErr w:type="spellStart"/>
      <w:r w:rsidRPr="00CB68C3">
        <w:rPr>
          <w:sz w:val="22"/>
          <w:szCs w:val="22"/>
          <w:lang w:val="bg-BG"/>
        </w:rPr>
        <w:t>Ветроком</w:t>
      </w:r>
      <w:proofErr w:type="spellEnd"/>
      <w:r w:rsidRPr="00CB68C3">
        <w:rPr>
          <w:sz w:val="22"/>
          <w:szCs w:val="22"/>
          <w:lang w:val="bg-BG"/>
        </w:rPr>
        <w:t>“ ЕООД – 3 670 лв.;</w:t>
      </w:r>
    </w:p>
    <w:p w14:paraId="787B55BE" w14:textId="7BFD535E"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обезщетение за възникнал сервитут във връзка с външно електрозахранване на фотоволтаична централа 29</w:t>
      </w:r>
      <w:r w:rsidR="00711A81" w:rsidRPr="00CB68C3">
        <w:rPr>
          <w:sz w:val="22"/>
          <w:szCs w:val="22"/>
          <w:lang w:val="bg-BG"/>
        </w:rPr>
        <w:t>.</w:t>
      </w:r>
      <w:r w:rsidRPr="00CB68C3">
        <w:rPr>
          <w:sz w:val="22"/>
          <w:szCs w:val="22"/>
          <w:lang w:val="bg-BG"/>
        </w:rPr>
        <w:t xml:space="preserve">815 </w:t>
      </w:r>
      <w:proofErr w:type="spellStart"/>
      <w:r w:rsidRPr="00CB68C3">
        <w:rPr>
          <w:sz w:val="22"/>
          <w:szCs w:val="22"/>
          <w:lang w:val="bg-BG"/>
        </w:rPr>
        <w:t>kW</w:t>
      </w:r>
      <w:proofErr w:type="spellEnd"/>
      <w:r w:rsidRPr="00CB68C3">
        <w:rPr>
          <w:sz w:val="22"/>
          <w:szCs w:val="22"/>
          <w:lang w:val="bg-BG"/>
        </w:rPr>
        <w:t xml:space="preserve">, разположена върху покрива на съществуваща сграда с идентификатор 81414.502.500.8 и фотоволтаична централа 378.60 </w:t>
      </w:r>
      <w:proofErr w:type="spellStart"/>
      <w:r w:rsidRPr="00CB68C3">
        <w:rPr>
          <w:sz w:val="22"/>
          <w:szCs w:val="22"/>
          <w:lang w:val="bg-BG"/>
        </w:rPr>
        <w:t>kW</w:t>
      </w:r>
      <w:proofErr w:type="spellEnd"/>
      <w:r w:rsidRPr="00CB68C3">
        <w:rPr>
          <w:sz w:val="22"/>
          <w:szCs w:val="22"/>
          <w:lang w:val="bg-BG"/>
        </w:rPr>
        <w:t>, разположена на терена в същия имот – УПИ XVIII-50, кв. 34, гр. Чирпан, общ. Чирпан от фирма „</w:t>
      </w:r>
      <w:proofErr w:type="spellStart"/>
      <w:r w:rsidRPr="00CB68C3">
        <w:rPr>
          <w:sz w:val="22"/>
          <w:szCs w:val="22"/>
          <w:lang w:val="bg-BG"/>
        </w:rPr>
        <w:t>Баги</w:t>
      </w:r>
      <w:proofErr w:type="spellEnd"/>
      <w:r w:rsidRPr="00CB68C3">
        <w:rPr>
          <w:sz w:val="22"/>
          <w:szCs w:val="22"/>
          <w:lang w:val="bg-BG"/>
        </w:rPr>
        <w:t>“ ЕООД – 1 190 лв.;</w:t>
      </w:r>
    </w:p>
    <w:p w14:paraId="2E954BB1" w14:textId="76293193"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 xml:space="preserve">обезщетение за сервитут на енергиен обект по чл. 64 от Закона за енергетиката за частично изменение на въздушен електропровод 20 </w:t>
      </w:r>
      <w:proofErr w:type="spellStart"/>
      <w:r w:rsidR="00E55D53" w:rsidRPr="00CB68C3">
        <w:rPr>
          <w:sz w:val="22"/>
          <w:szCs w:val="22"/>
          <w:lang w:val="bg-BG"/>
        </w:rPr>
        <w:t>K</w:t>
      </w:r>
      <w:r w:rsidRPr="00CB68C3">
        <w:rPr>
          <w:sz w:val="22"/>
          <w:szCs w:val="22"/>
          <w:lang w:val="bg-BG"/>
        </w:rPr>
        <w:t>v</w:t>
      </w:r>
      <w:proofErr w:type="spellEnd"/>
      <w:r w:rsidRPr="00CB68C3">
        <w:rPr>
          <w:sz w:val="22"/>
          <w:szCs w:val="22"/>
          <w:lang w:val="bg-BG"/>
        </w:rPr>
        <w:t xml:space="preserve"> BCH „Самуилово“ на територията на </w:t>
      </w:r>
      <w:r w:rsidR="00E55D53" w:rsidRPr="00CB68C3">
        <w:rPr>
          <w:sz w:val="22"/>
          <w:szCs w:val="22"/>
          <w:lang w:val="bg-BG"/>
        </w:rPr>
        <w:br/>
      </w:r>
      <w:r w:rsidRPr="00CB68C3">
        <w:rPr>
          <w:sz w:val="22"/>
          <w:szCs w:val="22"/>
          <w:lang w:val="bg-BG"/>
        </w:rPr>
        <w:t>с. Еленино съобразно одобрен ПУП по инициатива на „ДП Национална компания железопътна инфраструктура“ – 1 718 лв.;</w:t>
      </w:r>
    </w:p>
    <w:p w14:paraId="30858DE8" w14:textId="0412F78E"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 xml:space="preserve">обезщетение за сервитут на енергиен обект по чл. 64 от Закона за енергетиката за частично изменение на въздушен електропровод 20 </w:t>
      </w:r>
      <w:proofErr w:type="spellStart"/>
      <w:r w:rsidRPr="00CB68C3">
        <w:rPr>
          <w:sz w:val="22"/>
          <w:szCs w:val="22"/>
          <w:lang w:val="bg-BG"/>
        </w:rPr>
        <w:t>Кv</w:t>
      </w:r>
      <w:proofErr w:type="spellEnd"/>
      <w:r w:rsidRPr="00CB68C3">
        <w:rPr>
          <w:sz w:val="22"/>
          <w:szCs w:val="22"/>
          <w:lang w:val="bg-BG"/>
        </w:rPr>
        <w:t xml:space="preserve"> BCH „Самуилово“ на територията на </w:t>
      </w:r>
      <w:r w:rsidR="00247801" w:rsidRPr="00CB68C3">
        <w:rPr>
          <w:sz w:val="22"/>
          <w:szCs w:val="22"/>
          <w:lang w:val="bg-BG"/>
        </w:rPr>
        <w:br/>
      </w:r>
      <w:r w:rsidRPr="00CB68C3">
        <w:rPr>
          <w:sz w:val="22"/>
          <w:szCs w:val="22"/>
          <w:lang w:val="bg-BG"/>
        </w:rPr>
        <w:t>с. Калояновец съобразно одобрен ПУП по инициатива на „ДП Национална компания железопътна инфраструктура“ – 837 лв.;</w:t>
      </w:r>
    </w:p>
    <w:p w14:paraId="0EA1D780" w14:textId="7F86AD41"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 xml:space="preserve">учредено право на възмездно, безсрочно право на строеж върху 2 395 кв. м. в </w:t>
      </w:r>
      <w:r w:rsidR="00247801" w:rsidRPr="00CB68C3">
        <w:rPr>
          <w:sz w:val="22"/>
          <w:szCs w:val="22"/>
          <w:lang w:val="bg-BG"/>
        </w:rPr>
        <w:br/>
      </w:r>
      <w:r w:rsidRPr="00CB68C3">
        <w:rPr>
          <w:sz w:val="22"/>
          <w:szCs w:val="22"/>
          <w:lang w:val="bg-BG"/>
        </w:rPr>
        <w:t>ПИ 27499.331.723 по КККР на с. Енина, община Казанлък, област Стара Загора – 29</w:t>
      </w:r>
      <w:r w:rsidR="00247801" w:rsidRPr="00CB68C3">
        <w:rPr>
          <w:sz w:val="22"/>
          <w:szCs w:val="22"/>
          <w:lang w:val="bg-BG"/>
        </w:rPr>
        <w:t xml:space="preserve"> </w:t>
      </w:r>
      <w:r w:rsidRPr="00CB68C3">
        <w:rPr>
          <w:sz w:val="22"/>
          <w:szCs w:val="22"/>
          <w:lang w:val="bg-BG"/>
        </w:rPr>
        <w:t>465 лв.</w:t>
      </w:r>
    </w:p>
    <w:p w14:paraId="71D4F149" w14:textId="1CA6EA49" w:rsidR="00487E37" w:rsidRPr="00CB68C3" w:rsidRDefault="00487E37" w:rsidP="00CB68C3">
      <w:pPr>
        <w:numPr>
          <w:ilvl w:val="0"/>
          <w:numId w:val="14"/>
        </w:numPr>
        <w:shd w:val="clear" w:color="auto" w:fill="FFFFFF" w:themeFill="background1"/>
        <w:ind w:left="0" w:firstLine="426"/>
        <w:jc w:val="both"/>
        <w:rPr>
          <w:sz w:val="22"/>
          <w:szCs w:val="22"/>
        </w:rPr>
      </w:pPr>
      <w:r w:rsidRPr="00CB68C3">
        <w:rPr>
          <w:sz w:val="22"/>
          <w:szCs w:val="22"/>
        </w:rPr>
        <w:lastRenderedPageBreak/>
        <w:t>ОА Търговище – 1</w:t>
      </w:r>
      <w:r w:rsidR="00900416" w:rsidRPr="00CB68C3">
        <w:rPr>
          <w:sz w:val="22"/>
          <w:szCs w:val="22"/>
        </w:rPr>
        <w:t xml:space="preserve"> </w:t>
      </w:r>
      <w:r w:rsidRPr="00CB68C3">
        <w:rPr>
          <w:sz w:val="22"/>
          <w:szCs w:val="22"/>
        </w:rPr>
        <w:t>928 лв. изплатено обезщетение от община Търговище за прокарване на тръбопровод през землището на с. Кралево.</w:t>
      </w:r>
    </w:p>
    <w:p w14:paraId="113968AC" w14:textId="4893ADBA" w:rsidR="00487E37" w:rsidRPr="00CB68C3" w:rsidRDefault="00487E37" w:rsidP="00CB68C3">
      <w:pPr>
        <w:numPr>
          <w:ilvl w:val="0"/>
          <w:numId w:val="14"/>
        </w:numPr>
        <w:shd w:val="clear" w:color="auto" w:fill="FFFFFF" w:themeFill="background1"/>
        <w:ind w:left="0" w:firstLine="426"/>
        <w:jc w:val="both"/>
        <w:rPr>
          <w:sz w:val="22"/>
          <w:szCs w:val="22"/>
        </w:rPr>
      </w:pPr>
      <w:r w:rsidRPr="00CB68C3">
        <w:rPr>
          <w:sz w:val="22"/>
          <w:szCs w:val="22"/>
        </w:rPr>
        <w:t>ОА Хасково – 10</w:t>
      </w:r>
      <w:r w:rsidR="00900416" w:rsidRPr="00CB68C3">
        <w:rPr>
          <w:sz w:val="22"/>
          <w:szCs w:val="22"/>
        </w:rPr>
        <w:t xml:space="preserve"> </w:t>
      </w:r>
      <w:r w:rsidRPr="00CB68C3">
        <w:rPr>
          <w:sz w:val="22"/>
          <w:szCs w:val="22"/>
        </w:rPr>
        <w:t>606 лв., представляващи:</w:t>
      </w:r>
    </w:p>
    <w:p w14:paraId="6271385E" w14:textId="77777777"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обезщетение за сервитутно право на преминаване на отклонение от общи мрежи и съоръжения на техническата инфраструктура през недвижим имот – публична държавна собственост, а именно ПИ с идентификатор 47278.310.551, област Хасково, община Симеоновград, гр. Симеоновград – 404 лв.</w:t>
      </w:r>
    </w:p>
    <w:p w14:paraId="2C8C5C98" w14:textId="1908507A"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 xml:space="preserve">обезщетение за възникване на сервитут по реда на чл. 64, ал. 2 от Закона за енергетиката за имоти – държавна собственост, засегнати от изграждането на Въздушни електропроводи високо напрежение 110 </w:t>
      </w:r>
      <w:r w:rsidRPr="00214F83">
        <w:rPr>
          <w:sz w:val="22"/>
          <w:szCs w:val="22"/>
          <w:lang w:val="en-US"/>
        </w:rPr>
        <w:t>kW</w:t>
      </w:r>
      <w:r w:rsidRPr="00CB68C3">
        <w:rPr>
          <w:sz w:val="22"/>
          <w:szCs w:val="22"/>
          <w:lang w:val="bg-BG"/>
        </w:rPr>
        <w:t xml:space="preserve"> на една обща </w:t>
      </w:r>
      <w:proofErr w:type="spellStart"/>
      <w:r w:rsidRPr="00CB68C3">
        <w:rPr>
          <w:sz w:val="22"/>
          <w:szCs w:val="22"/>
          <w:lang w:val="bg-BG"/>
        </w:rPr>
        <w:t>стълбовна</w:t>
      </w:r>
      <w:proofErr w:type="spellEnd"/>
      <w:r w:rsidRPr="00CB68C3">
        <w:rPr>
          <w:sz w:val="22"/>
          <w:szCs w:val="22"/>
          <w:lang w:val="bg-BG"/>
        </w:rPr>
        <w:t xml:space="preserve"> линия за присъединяване на ФЕЦ „Стамболово“ и ФЕЦ „Книжовник“, община Хасково, област Хасково към преносната електрическа мрежа 110 </w:t>
      </w:r>
      <w:r w:rsidRPr="00214F83">
        <w:rPr>
          <w:sz w:val="22"/>
          <w:szCs w:val="22"/>
          <w:lang w:val="en-US"/>
        </w:rPr>
        <w:t>kW</w:t>
      </w:r>
      <w:r w:rsidRPr="00CB68C3">
        <w:rPr>
          <w:sz w:val="22"/>
          <w:szCs w:val="22"/>
          <w:lang w:val="bg-BG"/>
        </w:rPr>
        <w:t xml:space="preserve"> в подстанция „Узунджово“, в поземлен имот с идентификатор 75085.99.636 по КККР на с. Узунджово, община Хасково, област Хасково – 9</w:t>
      </w:r>
      <w:r w:rsidR="007D3ED7" w:rsidRPr="00CB68C3">
        <w:rPr>
          <w:sz w:val="22"/>
          <w:szCs w:val="22"/>
          <w:lang w:val="bg-BG"/>
        </w:rPr>
        <w:t xml:space="preserve"> </w:t>
      </w:r>
      <w:r w:rsidRPr="00CB68C3">
        <w:rPr>
          <w:sz w:val="22"/>
          <w:szCs w:val="22"/>
          <w:lang w:val="bg-BG"/>
        </w:rPr>
        <w:t>866 лв.</w:t>
      </w:r>
    </w:p>
    <w:p w14:paraId="1FC90305" w14:textId="6F041456"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 xml:space="preserve">обезщетение за възникване на сервитут по реда на чл. 64, ал. 2 от Закона за енергетиката за имоти – държавна собственост, засегнати от изграждането на Въздушни електропроводи високо напрежение 110 </w:t>
      </w:r>
      <w:r w:rsidRPr="00214F83">
        <w:rPr>
          <w:sz w:val="22"/>
          <w:szCs w:val="22"/>
          <w:lang w:val="en-US"/>
        </w:rPr>
        <w:t>kW</w:t>
      </w:r>
      <w:r w:rsidRPr="00CB68C3">
        <w:rPr>
          <w:sz w:val="22"/>
          <w:szCs w:val="22"/>
          <w:lang w:val="bg-BG"/>
        </w:rPr>
        <w:t xml:space="preserve"> на една обща </w:t>
      </w:r>
      <w:proofErr w:type="spellStart"/>
      <w:r w:rsidRPr="00CB68C3">
        <w:rPr>
          <w:sz w:val="22"/>
          <w:szCs w:val="22"/>
          <w:lang w:val="bg-BG"/>
        </w:rPr>
        <w:t>стълбовна</w:t>
      </w:r>
      <w:proofErr w:type="spellEnd"/>
      <w:r w:rsidRPr="00CB68C3">
        <w:rPr>
          <w:sz w:val="22"/>
          <w:szCs w:val="22"/>
          <w:lang w:val="bg-BG"/>
        </w:rPr>
        <w:t xml:space="preserve"> линия за присъединяване на </w:t>
      </w:r>
      <w:r w:rsidR="007D3ED7" w:rsidRPr="00CB68C3">
        <w:rPr>
          <w:sz w:val="22"/>
          <w:szCs w:val="22"/>
          <w:lang w:val="bg-BG"/>
        </w:rPr>
        <w:br/>
      </w:r>
      <w:r w:rsidRPr="00CB68C3">
        <w:rPr>
          <w:sz w:val="22"/>
          <w:szCs w:val="22"/>
          <w:lang w:val="bg-BG"/>
        </w:rPr>
        <w:t>ФЕЦ „Стамболово“, община Хасково, област Хасково към преносната електрическа мрежа – 236 лв.;</w:t>
      </w:r>
    </w:p>
    <w:p w14:paraId="7D859B73" w14:textId="7F0A7675" w:rsidR="00487E37" w:rsidRPr="00CB68C3" w:rsidRDefault="00487E37" w:rsidP="00CB68C3">
      <w:pPr>
        <w:pStyle w:val="ListParagraph"/>
        <w:numPr>
          <w:ilvl w:val="0"/>
          <w:numId w:val="16"/>
        </w:numPr>
        <w:shd w:val="clear" w:color="auto" w:fill="FFFFFF" w:themeFill="background1"/>
        <w:ind w:left="0" w:firstLine="426"/>
        <w:jc w:val="both"/>
        <w:rPr>
          <w:sz w:val="22"/>
          <w:szCs w:val="22"/>
          <w:lang w:val="bg-BG"/>
        </w:rPr>
      </w:pPr>
      <w:r w:rsidRPr="00CB68C3">
        <w:rPr>
          <w:sz w:val="22"/>
          <w:szCs w:val="22"/>
          <w:lang w:val="bg-BG"/>
        </w:rPr>
        <w:t xml:space="preserve">обезщетение за възникване на сервитут по реда на чл. 64, ал. 2 от Закона за енергетиката за имоти – държавна собственост </w:t>
      </w:r>
      <w:r w:rsidR="007D3ED7" w:rsidRPr="00CB68C3">
        <w:rPr>
          <w:sz w:val="22"/>
          <w:szCs w:val="22"/>
          <w:lang w:val="bg-BG"/>
        </w:rPr>
        <w:t>–</w:t>
      </w:r>
      <w:r w:rsidRPr="00CB68C3">
        <w:rPr>
          <w:sz w:val="22"/>
          <w:szCs w:val="22"/>
          <w:lang w:val="bg-BG"/>
        </w:rPr>
        <w:t xml:space="preserve"> върху поземлен имот с идентификатор 75085.99.636 област Хасково, община Хасково, с. Узунджово, м. „</w:t>
      </w:r>
      <w:proofErr w:type="spellStart"/>
      <w:r w:rsidRPr="00CB68C3">
        <w:rPr>
          <w:sz w:val="22"/>
          <w:szCs w:val="22"/>
          <w:lang w:val="bg-BG"/>
        </w:rPr>
        <w:t>Сърта</w:t>
      </w:r>
      <w:proofErr w:type="spellEnd"/>
      <w:r w:rsidRPr="00CB68C3">
        <w:rPr>
          <w:sz w:val="22"/>
          <w:szCs w:val="22"/>
          <w:lang w:val="bg-BG"/>
        </w:rPr>
        <w:t xml:space="preserve">“, засегнат от изграждането на „Трасе на подземна кабелна линия 110 </w:t>
      </w:r>
      <w:proofErr w:type="spellStart"/>
      <w:r w:rsidRPr="00214F83">
        <w:rPr>
          <w:sz w:val="22"/>
          <w:szCs w:val="22"/>
          <w:lang w:val="en-US"/>
        </w:rPr>
        <w:t>кV</w:t>
      </w:r>
      <w:proofErr w:type="spellEnd"/>
      <w:r w:rsidRPr="00CB68C3">
        <w:rPr>
          <w:sz w:val="22"/>
          <w:szCs w:val="22"/>
          <w:lang w:val="bg-BG"/>
        </w:rPr>
        <w:t xml:space="preserve"> за присъединяване на ПИ 77195.450.27, гр. Хасково, общ</w:t>
      </w:r>
      <w:r w:rsidR="007D3ED7" w:rsidRPr="00CB68C3">
        <w:rPr>
          <w:sz w:val="22"/>
          <w:szCs w:val="22"/>
          <w:lang w:val="bg-BG"/>
        </w:rPr>
        <w:t>ина</w:t>
      </w:r>
      <w:r w:rsidRPr="00CB68C3">
        <w:rPr>
          <w:sz w:val="22"/>
          <w:szCs w:val="22"/>
          <w:lang w:val="bg-BG"/>
        </w:rPr>
        <w:t xml:space="preserve"> Хасково към ел. подстанция „Узунджово“ – 100 лв.</w:t>
      </w:r>
    </w:p>
    <w:p w14:paraId="09A9734E" w14:textId="4D9F06FE" w:rsidR="00487E37" w:rsidRPr="00CB68C3" w:rsidRDefault="00487E37" w:rsidP="00CB68C3">
      <w:pPr>
        <w:shd w:val="clear" w:color="auto" w:fill="FFFFFF" w:themeFill="background1"/>
        <w:jc w:val="both"/>
        <w:rPr>
          <w:sz w:val="22"/>
          <w:szCs w:val="22"/>
        </w:rPr>
      </w:pPr>
      <w:r w:rsidRPr="00CB68C3">
        <w:rPr>
          <w:b/>
          <w:sz w:val="22"/>
          <w:szCs w:val="22"/>
        </w:rPr>
        <w:t>§§ 40-40</w:t>
      </w:r>
      <w:r w:rsidRPr="00CB68C3">
        <w:rPr>
          <w:sz w:val="22"/>
          <w:szCs w:val="22"/>
        </w:rPr>
        <w:t xml:space="preserve"> </w:t>
      </w:r>
      <w:r w:rsidRPr="00CB68C3">
        <w:rPr>
          <w:i/>
          <w:sz w:val="22"/>
          <w:szCs w:val="22"/>
        </w:rPr>
        <w:t>„Постъпления от продажба на земя”</w:t>
      </w:r>
      <w:r w:rsidRPr="00CB68C3">
        <w:rPr>
          <w:sz w:val="22"/>
          <w:szCs w:val="22"/>
        </w:rPr>
        <w:t xml:space="preserve"> – </w:t>
      </w:r>
      <w:r w:rsidRPr="00CB68C3">
        <w:rPr>
          <w:b/>
          <w:sz w:val="22"/>
          <w:szCs w:val="22"/>
        </w:rPr>
        <w:t>2 228 626 лв</w:t>
      </w:r>
      <w:r w:rsidRPr="00CB68C3">
        <w:rPr>
          <w:sz w:val="22"/>
          <w:szCs w:val="22"/>
        </w:rPr>
        <w:t xml:space="preserve">. Постъпленията по този подпараграф се дължат на реализирани от областните администрации продажби на земя, държавна собственост или прекратяване на съсобственост/продажба на прилежащи терени към сгради, държавна собственост съгласно ЗДС и ППЗДС: ОА Благоевград </w:t>
      </w:r>
      <w:r w:rsidR="007F156D" w:rsidRPr="00CB68C3">
        <w:rPr>
          <w:sz w:val="22"/>
          <w:szCs w:val="22"/>
        </w:rPr>
        <w:t>–</w:t>
      </w:r>
      <w:r w:rsidRPr="00CB68C3">
        <w:rPr>
          <w:sz w:val="22"/>
          <w:szCs w:val="22"/>
        </w:rPr>
        <w:t xml:space="preserve"> 353 485 лв., </w:t>
      </w:r>
      <w:r w:rsidR="007F156D" w:rsidRPr="00CB68C3">
        <w:rPr>
          <w:sz w:val="22"/>
          <w:szCs w:val="22"/>
        </w:rPr>
        <w:br/>
      </w:r>
      <w:r w:rsidRPr="00CB68C3">
        <w:rPr>
          <w:sz w:val="22"/>
          <w:szCs w:val="22"/>
        </w:rPr>
        <w:t xml:space="preserve">ОА Бургас </w:t>
      </w:r>
      <w:r w:rsidR="007F156D" w:rsidRPr="00CB68C3">
        <w:rPr>
          <w:sz w:val="22"/>
          <w:szCs w:val="22"/>
        </w:rPr>
        <w:t>–</w:t>
      </w:r>
      <w:r w:rsidRPr="00CB68C3">
        <w:rPr>
          <w:sz w:val="22"/>
          <w:szCs w:val="22"/>
        </w:rPr>
        <w:t xml:space="preserve"> 149 132 лв., ОА Видин </w:t>
      </w:r>
      <w:r w:rsidR="007F156D" w:rsidRPr="00CB68C3">
        <w:rPr>
          <w:sz w:val="22"/>
          <w:szCs w:val="22"/>
        </w:rPr>
        <w:t>–</w:t>
      </w:r>
      <w:r w:rsidRPr="00CB68C3">
        <w:rPr>
          <w:sz w:val="22"/>
          <w:szCs w:val="22"/>
        </w:rPr>
        <w:t xml:space="preserve"> 9</w:t>
      </w:r>
      <w:r w:rsidR="007F156D" w:rsidRPr="00CB68C3">
        <w:rPr>
          <w:sz w:val="22"/>
          <w:szCs w:val="22"/>
        </w:rPr>
        <w:t xml:space="preserve"> </w:t>
      </w:r>
      <w:r w:rsidRPr="00CB68C3">
        <w:rPr>
          <w:sz w:val="22"/>
          <w:szCs w:val="22"/>
        </w:rPr>
        <w:t>274 лв., ОА Враца – 272 172 лв., ОА Габрово – 22 272 лв., ОА Добрич – 21 036 лв., ОА Кърджали – 21</w:t>
      </w:r>
      <w:r w:rsidR="007F156D" w:rsidRPr="00CB68C3">
        <w:rPr>
          <w:sz w:val="22"/>
          <w:szCs w:val="22"/>
        </w:rPr>
        <w:t xml:space="preserve"> </w:t>
      </w:r>
      <w:r w:rsidRPr="00CB68C3">
        <w:rPr>
          <w:sz w:val="22"/>
          <w:szCs w:val="22"/>
        </w:rPr>
        <w:t>120 лв., ОА Ловеч –46</w:t>
      </w:r>
      <w:r w:rsidR="007F156D" w:rsidRPr="00CB68C3">
        <w:rPr>
          <w:sz w:val="22"/>
          <w:szCs w:val="22"/>
        </w:rPr>
        <w:t xml:space="preserve"> </w:t>
      </w:r>
      <w:r w:rsidRPr="00CB68C3">
        <w:rPr>
          <w:sz w:val="22"/>
          <w:szCs w:val="22"/>
        </w:rPr>
        <w:t xml:space="preserve">978 лв., ОА Пазарджик – </w:t>
      </w:r>
      <w:r w:rsidR="007F156D" w:rsidRPr="00CB68C3">
        <w:rPr>
          <w:sz w:val="22"/>
          <w:szCs w:val="22"/>
        </w:rPr>
        <w:br/>
      </w:r>
      <w:r w:rsidRPr="00CB68C3">
        <w:rPr>
          <w:sz w:val="22"/>
          <w:szCs w:val="22"/>
        </w:rPr>
        <w:t>254 297 лв., ОА Плевен – 36 968 лв., ОА Пловдив – 732 384 лв., ОА Русе – 7</w:t>
      </w:r>
      <w:r w:rsidR="007F156D" w:rsidRPr="00CB68C3">
        <w:rPr>
          <w:sz w:val="22"/>
          <w:szCs w:val="22"/>
        </w:rPr>
        <w:t xml:space="preserve"> </w:t>
      </w:r>
      <w:r w:rsidRPr="00CB68C3">
        <w:rPr>
          <w:sz w:val="22"/>
          <w:szCs w:val="22"/>
        </w:rPr>
        <w:t xml:space="preserve">184 лв., </w:t>
      </w:r>
      <w:r w:rsidR="007F156D" w:rsidRPr="00CB68C3">
        <w:rPr>
          <w:sz w:val="22"/>
          <w:szCs w:val="22"/>
        </w:rPr>
        <w:br/>
      </w:r>
      <w:r w:rsidRPr="00CB68C3">
        <w:rPr>
          <w:sz w:val="22"/>
          <w:szCs w:val="22"/>
        </w:rPr>
        <w:t>ОА Силистра – 187 741 лв., ОА Сливен – 54 401 лв., Софийска ОА – 25</w:t>
      </w:r>
      <w:r w:rsidR="007F156D" w:rsidRPr="00CB68C3">
        <w:rPr>
          <w:sz w:val="22"/>
          <w:szCs w:val="22"/>
        </w:rPr>
        <w:t xml:space="preserve"> </w:t>
      </w:r>
      <w:r w:rsidRPr="00CB68C3">
        <w:rPr>
          <w:sz w:val="22"/>
          <w:szCs w:val="22"/>
        </w:rPr>
        <w:t xml:space="preserve">007 лв., </w:t>
      </w:r>
      <w:r w:rsidR="007F156D" w:rsidRPr="00CB68C3">
        <w:rPr>
          <w:sz w:val="22"/>
          <w:szCs w:val="22"/>
        </w:rPr>
        <w:br/>
      </w:r>
      <w:r w:rsidRPr="00CB68C3">
        <w:rPr>
          <w:sz w:val="22"/>
          <w:szCs w:val="22"/>
        </w:rPr>
        <w:t>ОА Стара Загора – 16 285 лв. и ОА Шумен – 18</w:t>
      </w:r>
      <w:r w:rsidR="007F156D" w:rsidRPr="00CB68C3">
        <w:rPr>
          <w:sz w:val="22"/>
          <w:szCs w:val="22"/>
        </w:rPr>
        <w:t xml:space="preserve"> </w:t>
      </w:r>
      <w:r w:rsidRPr="00CB68C3">
        <w:rPr>
          <w:sz w:val="22"/>
          <w:szCs w:val="22"/>
        </w:rPr>
        <w:t>890 лв.</w:t>
      </w:r>
    </w:p>
    <w:p w14:paraId="5ACD6080" w14:textId="77777777" w:rsidR="003563E4" w:rsidRPr="00CB68C3" w:rsidRDefault="003563E4" w:rsidP="00CB68C3">
      <w:pPr>
        <w:shd w:val="clear" w:color="auto" w:fill="FFFFFF" w:themeFill="background1"/>
        <w:spacing w:before="120"/>
        <w:ind w:firstLine="426"/>
        <w:jc w:val="both"/>
        <w:rPr>
          <w:b/>
          <w:i/>
          <w:color w:val="0F4761" w:themeColor="accent1" w:themeShade="BF"/>
          <w:sz w:val="22"/>
          <w:szCs w:val="22"/>
        </w:rPr>
      </w:pPr>
      <w:r w:rsidRPr="00CB68C3">
        <w:rPr>
          <w:b/>
          <w:i/>
          <w:color w:val="0F4761" w:themeColor="accent1" w:themeShade="BF"/>
          <w:sz w:val="22"/>
          <w:szCs w:val="22"/>
        </w:rPr>
        <w:t>§ 45-00 ”Помощи и дарения от страната” – 131 700 лв.</w:t>
      </w:r>
    </w:p>
    <w:p w14:paraId="13FBE3D9" w14:textId="77777777" w:rsidR="003563E4" w:rsidRPr="00CB68C3" w:rsidRDefault="003563E4" w:rsidP="00CB68C3">
      <w:pPr>
        <w:shd w:val="clear" w:color="auto" w:fill="FFFFFF" w:themeFill="background1"/>
        <w:jc w:val="both"/>
        <w:rPr>
          <w:sz w:val="22"/>
          <w:szCs w:val="22"/>
        </w:rPr>
      </w:pPr>
      <w:r w:rsidRPr="00CB68C3">
        <w:rPr>
          <w:b/>
          <w:sz w:val="22"/>
          <w:szCs w:val="22"/>
        </w:rPr>
        <w:t>§§ 45-01</w:t>
      </w:r>
      <w:r w:rsidRPr="00CB68C3">
        <w:rPr>
          <w:sz w:val="22"/>
          <w:szCs w:val="22"/>
        </w:rPr>
        <w:t xml:space="preserve"> </w:t>
      </w:r>
      <w:r w:rsidRPr="00CB68C3">
        <w:rPr>
          <w:i/>
          <w:sz w:val="22"/>
          <w:szCs w:val="22"/>
        </w:rPr>
        <w:t xml:space="preserve">„Текущи помощи и дарения от страната“ </w:t>
      </w:r>
      <w:r w:rsidRPr="00CB68C3">
        <w:rPr>
          <w:b/>
          <w:i/>
          <w:sz w:val="22"/>
          <w:szCs w:val="22"/>
        </w:rPr>
        <w:t>–</w:t>
      </w:r>
      <w:r w:rsidRPr="00CB68C3">
        <w:rPr>
          <w:bCs/>
          <w:iCs/>
          <w:sz w:val="22"/>
          <w:szCs w:val="22"/>
        </w:rPr>
        <w:t xml:space="preserve"> </w:t>
      </w:r>
      <w:r w:rsidRPr="00CB68C3">
        <w:rPr>
          <w:b/>
          <w:sz w:val="22"/>
          <w:szCs w:val="22"/>
        </w:rPr>
        <w:t>131 700 лв</w:t>
      </w:r>
      <w:r w:rsidRPr="00CB68C3">
        <w:rPr>
          <w:sz w:val="22"/>
          <w:szCs w:val="22"/>
        </w:rPr>
        <w:t xml:space="preserve">. </w:t>
      </w:r>
    </w:p>
    <w:p w14:paraId="4160AB09" w14:textId="2E696AC0" w:rsidR="003563E4" w:rsidRPr="00CB68C3" w:rsidRDefault="003563E4" w:rsidP="00CB68C3">
      <w:pPr>
        <w:numPr>
          <w:ilvl w:val="0"/>
          <w:numId w:val="14"/>
        </w:numPr>
        <w:shd w:val="clear" w:color="auto" w:fill="FFFFFF" w:themeFill="background1"/>
        <w:ind w:left="0" w:firstLine="426"/>
        <w:jc w:val="both"/>
        <w:rPr>
          <w:sz w:val="22"/>
          <w:szCs w:val="22"/>
        </w:rPr>
      </w:pPr>
      <w:r w:rsidRPr="00CB68C3">
        <w:rPr>
          <w:sz w:val="22"/>
          <w:szCs w:val="22"/>
        </w:rPr>
        <w:t xml:space="preserve">10 200 лв. отчетени от ДА „Архиви” средства, преведени от ДКЦ „Хигия“ ООД </w:t>
      </w:r>
      <w:r w:rsidRPr="00CB68C3">
        <w:rPr>
          <w:sz w:val="22"/>
          <w:szCs w:val="22"/>
        </w:rPr>
        <w:br/>
        <w:t>гр. Пазарджик, по договор, във връзка с подпомагане в областта на архивното дело;</w:t>
      </w:r>
    </w:p>
    <w:p w14:paraId="348E62BE" w14:textId="77777777" w:rsidR="003563E4" w:rsidRPr="00CB68C3" w:rsidRDefault="003563E4" w:rsidP="00CB68C3">
      <w:pPr>
        <w:numPr>
          <w:ilvl w:val="0"/>
          <w:numId w:val="14"/>
        </w:numPr>
        <w:shd w:val="clear" w:color="auto" w:fill="FFFFFF" w:themeFill="background1"/>
        <w:ind w:left="0" w:firstLine="426"/>
        <w:jc w:val="both"/>
        <w:rPr>
          <w:sz w:val="22"/>
          <w:szCs w:val="22"/>
        </w:rPr>
      </w:pPr>
      <w:r w:rsidRPr="00CB68C3">
        <w:rPr>
          <w:sz w:val="22"/>
          <w:szCs w:val="22"/>
        </w:rPr>
        <w:t>121 500 лв. отчетени от ОА Враца във връзка с получени дарения от страната за подпомагане на мероприятия и дейности свързани с провеждането на 77-ти Национален туристически поход „По пътя на Ботевата чета от Козлодуй до Околчица“, от:</w:t>
      </w:r>
    </w:p>
    <w:p w14:paraId="556EF122" w14:textId="77777777" w:rsidR="003563E4" w:rsidRPr="00CB68C3" w:rsidRDefault="003563E4" w:rsidP="00CB68C3">
      <w:pPr>
        <w:pStyle w:val="ListParagraph"/>
        <w:numPr>
          <w:ilvl w:val="0"/>
          <w:numId w:val="40"/>
        </w:numPr>
        <w:shd w:val="clear" w:color="auto" w:fill="FFFFFF" w:themeFill="background1"/>
        <w:ind w:left="142" w:hanging="142"/>
        <w:jc w:val="both"/>
        <w:rPr>
          <w:sz w:val="22"/>
          <w:szCs w:val="22"/>
          <w:lang w:val="bg-BG"/>
        </w:rPr>
      </w:pPr>
      <w:r w:rsidRPr="00CB68C3">
        <w:rPr>
          <w:sz w:val="22"/>
          <w:szCs w:val="22"/>
          <w:lang w:val="bg-BG"/>
        </w:rPr>
        <w:t>„</w:t>
      </w:r>
      <w:proofErr w:type="spellStart"/>
      <w:r w:rsidRPr="00CB68C3">
        <w:rPr>
          <w:sz w:val="22"/>
          <w:szCs w:val="22"/>
          <w:lang w:val="bg-BG"/>
        </w:rPr>
        <w:t>Геоман</w:t>
      </w:r>
      <w:proofErr w:type="spellEnd"/>
      <w:r w:rsidRPr="00CB68C3">
        <w:rPr>
          <w:sz w:val="22"/>
          <w:szCs w:val="22"/>
          <w:lang w:val="bg-BG"/>
        </w:rPr>
        <w:t xml:space="preserve"> Трейдинг“ АД по договор за </w:t>
      </w:r>
      <w:r w:rsidRPr="000A5DC6">
        <w:rPr>
          <w:sz w:val="22"/>
          <w:szCs w:val="22"/>
          <w:shd w:val="clear" w:color="auto" w:fill="FFFFFF" w:themeFill="background1"/>
          <w:lang w:val="bg-BG"/>
        </w:rPr>
        <w:t>дарение № 1/19.03.2025 г. –</w:t>
      </w:r>
      <w:r w:rsidRPr="00CB68C3">
        <w:rPr>
          <w:sz w:val="22"/>
          <w:szCs w:val="22"/>
          <w:lang w:val="bg-BG"/>
        </w:rPr>
        <w:t xml:space="preserve"> 5 000 лв.;</w:t>
      </w:r>
    </w:p>
    <w:p w14:paraId="1C258497" w14:textId="67E35E52" w:rsidR="003563E4" w:rsidRPr="00CB68C3" w:rsidRDefault="003563E4" w:rsidP="00CB68C3">
      <w:pPr>
        <w:pStyle w:val="ListParagraph"/>
        <w:numPr>
          <w:ilvl w:val="0"/>
          <w:numId w:val="40"/>
        </w:numPr>
        <w:shd w:val="clear" w:color="auto" w:fill="FFFFFF" w:themeFill="background1"/>
        <w:ind w:left="142" w:hanging="142"/>
        <w:jc w:val="both"/>
        <w:rPr>
          <w:sz w:val="22"/>
          <w:szCs w:val="22"/>
          <w:lang w:val="bg-BG"/>
        </w:rPr>
      </w:pPr>
      <w:r w:rsidRPr="00CB68C3">
        <w:rPr>
          <w:sz w:val="22"/>
          <w:szCs w:val="22"/>
          <w:lang w:val="bg-BG"/>
        </w:rPr>
        <w:t>„</w:t>
      </w:r>
      <w:proofErr w:type="spellStart"/>
      <w:r w:rsidRPr="00CB68C3">
        <w:rPr>
          <w:sz w:val="22"/>
          <w:szCs w:val="22"/>
          <w:lang w:val="bg-BG"/>
        </w:rPr>
        <w:t>Инекс</w:t>
      </w:r>
      <w:proofErr w:type="spellEnd"/>
      <w:r w:rsidRPr="00CB68C3">
        <w:rPr>
          <w:sz w:val="22"/>
          <w:szCs w:val="22"/>
          <w:lang w:val="bg-BG"/>
        </w:rPr>
        <w:t xml:space="preserve"> Трейд“ ЕООД по договор за дарение № 2/26.03.2025 г. – 5 000 лв.;</w:t>
      </w:r>
    </w:p>
    <w:p w14:paraId="665C4329" w14:textId="2BA99D44" w:rsidR="003563E4" w:rsidRPr="00CB68C3" w:rsidRDefault="003563E4" w:rsidP="00CB68C3">
      <w:pPr>
        <w:pStyle w:val="ListParagraph"/>
        <w:numPr>
          <w:ilvl w:val="0"/>
          <w:numId w:val="40"/>
        </w:numPr>
        <w:shd w:val="clear" w:color="auto" w:fill="FFFFFF" w:themeFill="background1"/>
        <w:ind w:left="142" w:hanging="142"/>
        <w:jc w:val="both"/>
        <w:rPr>
          <w:sz w:val="22"/>
          <w:szCs w:val="22"/>
          <w:lang w:val="bg-BG"/>
        </w:rPr>
      </w:pPr>
      <w:r w:rsidRPr="00CB68C3">
        <w:rPr>
          <w:sz w:val="22"/>
          <w:szCs w:val="22"/>
          <w:lang w:val="bg-BG"/>
        </w:rPr>
        <w:t>„</w:t>
      </w:r>
      <w:proofErr w:type="spellStart"/>
      <w:r w:rsidRPr="00CB68C3">
        <w:rPr>
          <w:sz w:val="22"/>
          <w:szCs w:val="22"/>
          <w:lang w:val="bg-BG"/>
        </w:rPr>
        <w:t>Стромет</w:t>
      </w:r>
      <w:proofErr w:type="spellEnd"/>
      <w:r w:rsidRPr="00CB68C3">
        <w:rPr>
          <w:sz w:val="22"/>
          <w:szCs w:val="22"/>
          <w:lang w:val="bg-BG"/>
        </w:rPr>
        <w:t xml:space="preserve"> </w:t>
      </w:r>
      <w:r w:rsidR="005913E3" w:rsidRPr="00CB68C3">
        <w:rPr>
          <w:sz w:val="22"/>
          <w:szCs w:val="22"/>
          <w:lang w:val="bg-BG"/>
        </w:rPr>
        <w:t>–</w:t>
      </w:r>
      <w:r w:rsidRPr="00CB68C3">
        <w:rPr>
          <w:sz w:val="22"/>
          <w:szCs w:val="22"/>
          <w:lang w:val="bg-BG"/>
        </w:rPr>
        <w:t xml:space="preserve"> 2004„ ООД по договор за дарение № 3/26.03.2025 г. – 5 000 лв.;</w:t>
      </w:r>
    </w:p>
    <w:p w14:paraId="7C895F79" w14:textId="77777777" w:rsidR="003563E4" w:rsidRPr="00CB68C3" w:rsidRDefault="003563E4" w:rsidP="00CB68C3">
      <w:pPr>
        <w:pStyle w:val="ListParagraph"/>
        <w:numPr>
          <w:ilvl w:val="0"/>
          <w:numId w:val="40"/>
        </w:numPr>
        <w:shd w:val="clear" w:color="auto" w:fill="FFFFFF" w:themeFill="background1"/>
        <w:ind w:left="142" w:hanging="142"/>
        <w:jc w:val="both"/>
        <w:rPr>
          <w:sz w:val="22"/>
          <w:szCs w:val="22"/>
          <w:lang w:val="bg-BG"/>
        </w:rPr>
      </w:pPr>
      <w:r w:rsidRPr="00CB68C3">
        <w:rPr>
          <w:sz w:val="22"/>
          <w:szCs w:val="22"/>
          <w:lang w:val="bg-BG"/>
        </w:rPr>
        <w:t>„Каро Трейдинг„ ООД по договор за дарение № 4/27.03.2025 г. – 2 000 лв.;</w:t>
      </w:r>
    </w:p>
    <w:p w14:paraId="3D208E28" w14:textId="77777777" w:rsidR="003563E4" w:rsidRPr="00CB68C3" w:rsidRDefault="003563E4" w:rsidP="00CB68C3">
      <w:pPr>
        <w:pStyle w:val="ListParagraph"/>
        <w:numPr>
          <w:ilvl w:val="0"/>
          <w:numId w:val="40"/>
        </w:numPr>
        <w:shd w:val="clear" w:color="auto" w:fill="FFFFFF" w:themeFill="background1"/>
        <w:ind w:left="142" w:hanging="142"/>
        <w:jc w:val="both"/>
        <w:rPr>
          <w:sz w:val="22"/>
          <w:szCs w:val="22"/>
          <w:lang w:val="bg-BG"/>
        </w:rPr>
      </w:pPr>
      <w:r w:rsidRPr="00CB68C3">
        <w:rPr>
          <w:sz w:val="22"/>
          <w:szCs w:val="22"/>
          <w:lang w:val="bg-BG"/>
        </w:rPr>
        <w:t>„</w:t>
      </w:r>
      <w:proofErr w:type="spellStart"/>
      <w:r w:rsidRPr="00CB68C3">
        <w:rPr>
          <w:sz w:val="22"/>
          <w:szCs w:val="22"/>
          <w:lang w:val="bg-BG"/>
        </w:rPr>
        <w:t>Пейком</w:t>
      </w:r>
      <w:proofErr w:type="spellEnd"/>
      <w:r w:rsidRPr="00CB68C3">
        <w:rPr>
          <w:sz w:val="22"/>
          <w:szCs w:val="22"/>
          <w:lang w:val="bg-BG"/>
        </w:rPr>
        <w:t xml:space="preserve"> България“ АД по договор за дарение № 5/28.03.2025 г. – 3 000 лв.;</w:t>
      </w:r>
    </w:p>
    <w:p w14:paraId="24FA6F45" w14:textId="0CE1CB1B" w:rsidR="003563E4" w:rsidRPr="00CB68C3" w:rsidRDefault="003563E4" w:rsidP="00CB68C3">
      <w:pPr>
        <w:pStyle w:val="ListParagraph"/>
        <w:numPr>
          <w:ilvl w:val="0"/>
          <w:numId w:val="40"/>
        </w:numPr>
        <w:shd w:val="clear" w:color="auto" w:fill="FFFFFF" w:themeFill="background1"/>
        <w:ind w:left="142" w:hanging="142"/>
        <w:jc w:val="both"/>
        <w:rPr>
          <w:sz w:val="22"/>
          <w:szCs w:val="22"/>
          <w:lang w:val="bg-BG"/>
        </w:rPr>
      </w:pPr>
      <w:r w:rsidRPr="00CB68C3">
        <w:rPr>
          <w:sz w:val="22"/>
          <w:szCs w:val="22"/>
          <w:lang w:val="bg-BG"/>
        </w:rPr>
        <w:t>„Чех Пласт“ ООД по договор за дарение № 6/28.03.2025 г. – 3</w:t>
      </w:r>
      <w:r w:rsidR="005913E3" w:rsidRPr="00CB68C3">
        <w:rPr>
          <w:sz w:val="22"/>
          <w:szCs w:val="22"/>
          <w:lang w:val="bg-BG"/>
        </w:rPr>
        <w:t xml:space="preserve"> </w:t>
      </w:r>
      <w:r w:rsidRPr="00CB68C3">
        <w:rPr>
          <w:sz w:val="22"/>
          <w:szCs w:val="22"/>
          <w:lang w:val="bg-BG"/>
        </w:rPr>
        <w:t>000 лв.;</w:t>
      </w:r>
    </w:p>
    <w:p w14:paraId="368B82A2" w14:textId="587B56DC" w:rsidR="003563E4" w:rsidRPr="00CB68C3" w:rsidRDefault="003563E4" w:rsidP="00CB68C3">
      <w:pPr>
        <w:pStyle w:val="ListParagraph"/>
        <w:numPr>
          <w:ilvl w:val="0"/>
          <w:numId w:val="40"/>
        </w:numPr>
        <w:shd w:val="clear" w:color="auto" w:fill="FFFFFF" w:themeFill="background1"/>
        <w:ind w:left="142" w:hanging="142"/>
        <w:jc w:val="both"/>
        <w:rPr>
          <w:sz w:val="22"/>
          <w:szCs w:val="22"/>
          <w:lang w:val="bg-BG"/>
        </w:rPr>
      </w:pPr>
      <w:r w:rsidRPr="00CB68C3">
        <w:rPr>
          <w:sz w:val="22"/>
          <w:szCs w:val="22"/>
          <w:lang w:val="bg-BG"/>
        </w:rPr>
        <w:t>„Строител Криводол“ ЕООД по договор за дарение № 7/31.03.2025 г. – 10</w:t>
      </w:r>
      <w:r w:rsidR="004E02B3" w:rsidRPr="00CB68C3">
        <w:rPr>
          <w:sz w:val="22"/>
          <w:szCs w:val="22"/>
          <w:lang w:val="bg-BG"/>
        </w:rPr>
        <w:t xml:space="preserve"> </w:t>
      </w:r>
      <w:r w:rsidRPr="00CB68C3">
        <w:rPr>
          <w:sz w:val="22"/>
          <w:szCs w:val="22"/>
          <w:lang w:val="bg-BG"/>
        </w:rPr>
        <w:t>000 лв.;</w:t>
      </w:r>
    </w:p>
    <w:p w14:paraId="211F4F27" w14:textId="39F1222E" w:rsidR="003563E4" w:rsidRPr="00CB68C3" w:rsidRDefault="003A7D9D" w:rsidP="00CB68C3">
      <w:pPr>
        <w:pStyle w:val="ListParagraph"/>
        <w:numPr>
          <w:ilvl w:val="0"/>
          <w:numId w:val="40"/>
        </w:numPr>
        <w:shd w:val="clear" w:color="auto" w:fill="FFFFFF" w:themeFill="background1"/>
        <w:ind w:left="142" w:hanging="142"/>
        <w:jc w:val="both"/>
        <w:rPr>
          <w:sz w:val="22"/>
          <w:szCs w:val="22"/>
          <w:lang w:val="bg-BG"/>
        </w:rPr>
      </w:pPr>
      <w:r w:rsidRPr="00CB68C3">
        <w:rPr>
          <w:sz w:val="22"/>
          <w:szCs w:val="22"/>
          <w:lang w:val="bg-BG"/>
        </w:rPr>
        <w:t>„</w:t>
      </w:r>
      <w:r w:rsidR="003563E4" w:rsidRPr="00CB68C3">
        <w:rPr>
          <w:sz w:val="22"/>
          <w:szCs w:val="22"/>
          <w:lang w:val="bg-BG"/>
        </w:rPr>
        <w:t>Нивел Строй“ ЕООД, гр. Брезник по договор за дарение № 9/03.04.2025 г. – 5 000 лв.;</w:t>
      </w:r>
    </w:p>
    <w:p w14:paraId="492C5DE3" w14:textId="0942ABD5" w:rsidR="003563E4" w:rsidRPr="00CB68C3" w:rsidRDefault="003563E4" w:rsidP="00CB68C3">
      <w:pPr>
        <w:pStyle w:val="ListParagraph"/>
        <w:numPr>
          <w:ilvl w:val="0"/>
          <w:numId w:val="40"/>
        </w:numPr>
        <w:shd w:val="clear" w:color="auto" w:fill="FFFFFF" w:themeFill="background1"/>
        <w:ind w:left="142" w:hanging="142"/>
        <w:jc w:val="both"/>
        <w:rPr>
          <w:sz w:val="22"/>
          <w:szCs w:val="22"/>
          <w:lang w:val="bg-BG"/>
        </w:rPr>
      </w:pPr>
      <w:r w:rsidRPr="00CB68C3">
        <w:rPr>
          <w:sz w:val="22"/>
          <w:szCs w:val="22"/>
          <w:lang w:val="bg-BG"/>
        </w:rPr>
        <w:t xml:space="preserve">„Стайкова-Борисов </w:t>
      </w:r>
      <w:proofErr w:type="spellStart"/>
      <w:r w:rsidRPr="00CB68C3">
        <w:rPr>
          <w:sz w:val="22"/>
          <w:szCs w:val="22"/>
          <w:lang w:val="bg-BG"/>
        </w:rPr>
        <w:t>Изопещ</w:t>
      </w:r>
      <w:proofErr w:type="spellEnd"/>
      <w:r w:rsidRPr="00CB68C3">
        <w:rPr>
          <w:sz w:val="22"/>
          <w:szCs w:val="22"/>
          <w:lang w:val="bg-BG"/>
        </w:rPr>
        <w:t>“ ООД, гр. Козлодуй по договор за дарение № 10</w:t>
      </w:r>
      <w:r w:rsidR="00AC17E0" w:rsidRPr="00CB68C3">
        <w:rPr>
          <w:sz w:val="22"/>
          <w:szCs w:val="22"/>
          <w:lang w:val="bg-BG"/>
        </w:rPr>
        <w:t xml:space="preserve"> от </w:t>
      </w:r>
      <w:r w:rsidRPr="00CB68C3">
        <w:rPr>
          <w:sz w:val="22"/>
          <w:szCs w:val="22"/>
          <w:lang w:val="bg-BG"/>
        </w:rPr>
        <w:t>09.04.2025 г. – 3 000 лв.;</w:t>
      </w:r>
    </w:p>
    <w:p w14:paraId="461ABBAF" w14:textId="5DC6CBCA" w:rsidR="003563E4" w:rsidRPr="00CB68C3" w:rsidRDefault="003563E4" w:rsidP="00CB68C3">
      <w:pPr>
        <w:pStyle w:val="ListParagraph"/>
        <w:numPr>
          <w:ilvl w:val="0"/>
          <w:numId w:val="40"/>
        </w:numPr>
        <w:shd w:val="clear" w:color="auto" w:fill="FFFFFF" w:themeFill="background1"/>
        <w:ind w:left="142" w:hanging="142"/>
        <w:jc w:val="both"/>
        <w:rPr>
          <w:sz w:val="22"/>
          <w:szCs w:val="22"/>
          <w:lang w:val="bg-BG"/>
        </w:rPr>
      </w:pPr>
      <w:r w:rsidRPr="00CB68C3">
        <w:rPr>
          <w:sz w:val="22"/>
          <w:szCs w:val="22"/>
          <w:lang w:val="bg-BG"/>
        </w:rPr>
        <w:t xml:space="preserve">„АЕЦ Козлодуй“ ЕАД, гр. Козлодуй по договор за дарение № 853000111 от 17.04.2025 г. – </w:t>
      </w:r>
      <w:r w:rsidR="00F80B7A" w:rsidRPr="00CB68C3">
        <w:rPr>
          <w:sz w:val="22"/>
          <w:szCs w:val="22"/>
          <w:lang w:val="bg-BG"/>
        </w:rPr>
        <w:br/>
      </w:r>
      <w:r w:rsidRPr="00CB68C3">
        <w:rPr>
          <w:sz w:val="22"/>
          <w:szCs w:val="22"/>
          <w:lang w:val="bg-BG"/>
        </w:rPr>
        <w:t>65 000 лв.;</w:t>
      </w:r>
    </w:p>
    <w:p w14:paraId="0A9F09D6" w14:textId="2E84F42D" w:rsidR="003563E4" w:rsidRPr="00CB68C3" w:rsidRDefault="003563E4" w:rsidP="00CB68C3">
      <w:pPr>
        <w:pStyle w:val="ListParagraph"/>
        <w:numPr>
          <w:ilvl w:val="0"/>
          <w:numId w:val="40"/>
        </w:numPr>
        <w:shd w:val="clear" w:color="auto" w:fill="FFFFFF" w:themeFill="background1"/>
        <w:ind w:left="142" w:hanging="142"/>
        <w:jc w:val="both"/>
        <w:rPr>
          <w:sz w:val="22"/>
          <w:szCs w:val="22"/>
          <w:lang w:val="bg-BG"/>
        </w:rPr>
      </w:pPr>
      <w:r w:rsidRPr="00CB68C3">
        <w:rPr>
          <w:sz w:val="22"/>
          <w:szCs w:val="22"/>
          <w:lang w:val="bg-BG"/>
        </w:rPr>
        <w:t xml:space="preserve">„Северозападно държавно предприятие“ ДП, гр. Враца по договор за извършване на дарение </w:t>
      </w:r>
      <w:r w:rsidR="00F80B7A" w:rsidRPr="00CB68C3">
        <w:rPr>
          <w:sz w:val="22"/>
          <w:szCs w:val="22"/>
          <w:lang w:val="bg-BG"/>
        </w:rPr>
        <w:br/>
      </w:r>
      <w:r w:rsidRPr="00CB68C3">
        <w:rPr>
          <w:sz w:val="22"/>
          <w:szCs w:val="22"/>
          <w:lang w:val="bg-BG"/>
        </w:rPr>
        <w:t>№ 63/10.04.2025 г. – 1 000 лв.</w:t>
      </w:r>
    </w:p>
    <w:p w14:paraId="12490161" w14:textId="37C6E116" w:rsidR="003563E4" w:rsidRPr="00CB68C3" w:rsidRDefault="003563E4" w:rsidP="00CB68C3">
      <w:pPr>
        <w:pStyle w:val="ListParagraph"/>
        <w:numPr>
          <w:ilvl w:val="0"/>
          <w:numId w:val="40"/>
        </w:numPr>
        <w:shd w:val="clear" w:color="auto" w:fill="FFFFFF" w:themeFill="background1"/>
        <w:ind w:left="142" w:hanging="142"/>
        <w:jc w:val="both"/>
        <w:rPr>
          <w:sz w:val="22"/>
          <w:szCs w:val="22"/>
          <w:lang w:val="bg-BG"/>
        </w:rPr>
      </w:pPr>
      <w:r w:rsidRPr="00CB68C3">
        <w:rPr>
          <w:sz w:val="22"/>
          <w:szCs w:val="22"/>
          <w:lang w:val="bg-BG"/>
        </w:rPr>
        <w:t xml:space="preserve">„Енергомонтаж </w:t>
      </w:r>
      <w:r w:rsidR="00D14DDC" w:rsidRPr="00CB68C3">
        <w:rPr>
          <w:sz w:val="22"/>
          <w:szCs w:val="22"/>
          <w:lang w:val="bg-BG"/>
        </w:rPr>
        <w:t>–</w:t>
      </w:r>
      <w:r w:rsidRPr="00CB68C3">
        <w:rPr>
          <w:sz w:val="22"/>
          <w:szCs w:val="22"/>
          <w:lang w:val="bg-BG"/>
        </w:rPr>
        <w:t xml:space="preserve"> МК“ ЕООД, гр. Козлодуй по договор за дарение № 8/02.04.2025 г. – 1 000 лв.;</w:t>
      </w:r>
    </w:p>
    <w:p w14:paraId="15C6A747" w14:textId="63B5E6F3" w:rsidR="003563E4" w:rsidRPr="00CB68C3" w:rsidRDefault="003563E4" w:rsidP="00CB68C3">
      <w:pPr>
        <w:pStyle w:val="ListParagraph"/>
        <w:numPr>
          <w:ilvl w:val="0"/>
          <w:numId w:val="40"/>
        </w:numPr>
        <w:shd w:val="clear" w:color="auto" w:fill="FFFFFF" w:themeFill="background1"/>
        <w:ind w:left="142" w:hanging="142"/>
        <w:jc w:val="both"/>
        <w:rPr>
          <w:sz w:val="22"/>
          <w:szCs w:val="22"/>
          <w:lang w:val="bg-BG"/>
        </w:rPr>
      </w:pPr>
      <w:r w:rsidRPr="00CB68C3">
        <w:rPr>
          <w:sz w:val="22"/>
          <w:szCs w:val="22"/>
          <w:lang w:val="bg-BG"/>
        </w:rPr>
        <w:lastRenderedPageBreak/>
        <w:t>„Еко строй проект“ ЕООД, гр. София по договор за дарение № 12/29.04.2025 г. – 3 500 лв.;</w:t>
      </w:r>
    </w:p>
    <w:p w14:paraId="010C1BC0" w14:textId="5469EFF0" w:rsidR="003563E4" w:rsidRPr="00CB68C3" w:rsidRDefault="003563E4" w:rsidP="00CB68C3">
      <w:pPr>
        <w:pStyle w:val="ListParagraph"/>
        <w:numPr>
          <w:ilvl w:val="0"/>
          <w:numId w:val="40"/>
        </w:numPr>
        <w:shd w:val="clear" w:color="auto" w:fill="FFFFFF" w:themeFill="background1"/>
        <w:ind w:left="142" w:hanging="142"/>
        <w:jc w:val="both"/>
        <w:rPr>
          <w:sz w:val="22"/>
          <w:szCs w:val="22"/>
          <w:lang w:val="bg-BG"/>
        </w:rPr>
      </w:pPr>
      <w:r w:rsidRPr="00CB68C3">
        <w:rPr>
          <w:sz w:val="22"/>
          <w:szCs w:val="22"/>
          <w:lang w:val="bg-BG"/>
        </w:rPr>
        <w:t>„Атоменергоремонт“ АД, гр. Козлодуй по договор за дарение № 14/09.05.2025 г. – 2 000 лв.;</w:t>
      </w:r>
    </w:p>
    <w:p w14:paraId="489136C4" w14:textId="77777777" w:rsidR="003563E4" w:rsidRPr="00CB68C3" w:rsidRDefault="003563E4" w:rsidP="00CB68C3">
      <w:pPr>
        <w:pStyle w:val="ListParagraph"/>
        <w:numPr>
          <w:ilvl w:val="0"/>
          <w:numId w:val="40"/>
        </w:numPr>
        <w:shd w:val="clear" w:color="auto" w:fill="FFFFFF" w:themeFill="background1"/>
        <w:ind w:left="142" w:hanging="142"/>
        <w:jc w:val="both"/>
        <w:rPr>
          <w:sz w:val="22"/>
          <w:szCs w:val="22"/>
          <w:lang w:val="bg-BG"/>
        </w:rPr>
      </w:pPr>
      <w:r w:rsidRPr="00CB68C3">
        <w:rPr>
          <w:sz w:val="22"/>
          <w:szCs w:val="22"/>
          <w:lang w:val="bg-BG"/>
        </w:rPr>
        <w:t>„</w:t>
      </w:r>
      <w:proofErr w:type="spellStart"/>
      <w:r w:rsidRPr="00CB68C3">
        <w:rPr>
          <w:sz w:val="22"/>
          <w:szCs w:val="22"/>
          <w:lang w:val="bg-BG"/>
        </w:rPr>
        <w:t>Хубев</w:t>
      </w:r>
      <w:proofErr w:type="spellEnd"/>
      <w:r w:rsidRPr="00CB68C3">
        <w:rPr>
          <w:sz w:val="22"/>
          <w:szCs w:val="22"/>
          <w:lang w:val="bg-BG"/>
        </w:rPr>
        <w:t>“ ЕООД, гр. Враца по договор за дарение № 15/15.05.2025 г. – 5 000 лв.;</w:t>
      </w:r>
    </w:p>
    <w:p w14:paraId="05EEE8E1" w14:textId="77777777" w:rsidR="003563E4" w:rsidRPr="00CB68C3" w:rsidRDefault="003563E4" w:rsidP="00CB68C3">
      <w:pPr>
        <w:pStyle w:val="ListParagraph"/>
        <w:numPr>
          <w:ilvl w:val="0"/>
          <w:numId w:val="40"/>
        </w:numPr>
        <w:shd w:val="clear" w:color="auto" w:fill="FFFFFF" w:themeFill="background1"/>
        <w:ind w:left="142" w:hanging="142"/>
        <w:jc w:val="both"/>
        <w:rPr>
          <w:sz w:val="22"/>
          <w:szCs w:val="22"/>
          <w:lang w:val="bg-BG"/>
        </w:rPr>
      </w:pPr>
      <w:r w:rsidRPr="00CB68C3">
        <w:rPr>
          <w:sz w:val="22"/>
          <w:szCs w:val="22"/>
          <w:lang w:val="bg-BG"/>
        </w:rPr>
        <w:t>„Карго трансфер“ АД, гр. Враца по договор за дарение № 16/20.05.2025 г. – 3 000 лв.</w:t>
      </w:r>
    </w:p>
    <w:p w14:paraId="3968BF5A" w14:textId="3953A070" w:rsidR="003563E4" w:rsidRPr="00CB68C3" w:rsidRDefault="003563E4" w:rsidP="00CB68C3">
      <w:pPr>
        <w:shd w:val="clear" w:color="auto" w:fill="FFFFFF" w:themeFill="background1"/>
        <w:spacing w:before="120"/>
        <w:ind w:firstLine="426"/>
        <w:jc w:val="both"/>
        <w:rPr>
          <w:b/>
          <w:i/>
          <w:color w:val="0F4761" w:themeColor="accent1" w:themeShade="BF"/>
          <w:sz w:val="22"/>
          <w:szCs w:val="22"/>
        </w:rPr>
      </w:pPr>
      <w:r w:rsidRPr="00CB68C3">
        <w:rPr>
          <w:b/>
          <w:i/>
          <w:color w:val="0F4761" w:themeColor="accent1" w:themeShade="BF"/>
          <w:sz w:val="22"/>
          <w:szCs w:val="22"/>
        </w:rPr>
        <w:t>§ 46-00 ”Помощи и дарения от чужбина” – 120</w:t>
      </w:r>
      <w:r w:rsidR="009F7C8E" w:rsidRPr="00CB68C3">
        <w:rPr>
          <w:b/>
          <w:i/>
          <w:color w:val="0F4761" w:themeColor="accent1" w:themeShade="BF"/>
          <w:sz w:val="22"/>
          <w:szCs w:val="22"/>
        </w:rPr>
        <w:t xml:space="preserve"> </w:t>
      </w:r>
      <w:r w:rsidRPr="00CB68C3">
        <w:rPr>
          <w:b/>
          <w:i/>
          <w:color w:val="0F4761" w:themeColor="accent1" w:themeShade="BF"/>
          <w:sz w:val="22"/>
          <w:szCs w:val="22"/>
        </w:rPr>
        <w:t>442 лв.</w:t>
      </w:r>
    </w:p>
    <w:p w14:paraId="0281C1B5" w14:textId="2AB97D57" w:rsidR="003563E4" w:rsidRPr="00CB68C3" w:rsidRDefault="003563E4" w:rsidP="00CB68C3">
      <w:pPr>
        <w:shd w:val="clear" w:color="auto" w:fill="FFFFFF" w:themeFill="background1"/>
        <w:jc w:val="both"/>
        <w:rPr>
          <w:b/>
          <w:sz w:val="22"/>
          <w:szCs w:val="22"/>
        </w:rPr>
      </w:pPr>
      <w:r w:rsidRPr="00CB68C3">
        <w:rPr>
          <w:b/>
          <w:sz w:val="22"/>
          <w:szCs w:val="22"/>
        </w:rPr>
        <w:t xml:space="preserve">§§ 46-50 </w:t>
      </w:r>
      <w:r w:rsidRPr="00CB68C3">
        <w:rPr>
          <w:i/>
          <w:sz w:val="22"/>
          <w:szCs w:val="22"/>
        </w:rPr>
        <w:t>„Текущи помощи и дарения от други международни организации“</w:t>
      </w:r>
      <w:r w:rsidRPr="00CB68C3">
        <w:rPr>
          <w:bCs/>
          <w:sz w:val="22"/>
          <w:szCs w:val="22"/>
        </w:rPr>
        <w:t xml:space="preserve"> </w:t>
      </w:r>
      <w:r w:rsidR="00014724" w:rsidRPr="00CB68C3">
        <w:rPr>
          <w:bCs/>
          <w:sz w:val="22"/>
          <w:szCs w:val="22"/>
        </w:rPr>
        <w:t>–</w:t>
      </w:r>
      <w:r w:rsidRPr="00CB68C3">
        <w:rPr>
          <w:bCs/>
          <w:sz w:val="22"/>
          <w:szCs w:val="22"/>
        </w:rPr>
        <w:t xml:space="preserve"> </w:t>
      </w:r>
      <w:r w:rsidRPr="00CB68C3">
        <w:rPr>
          <w:b/>
          <w:sz w:val="22"/>
          <w:szCs w:val="22"/>
        </w:rPr>
        <w:t>120</w:t>
      </w:r>
      <w:r w:rsidR="00014724" w:rsidRPr="00CB68C3">
        <w:rPr>
          <w:b/>
          <w:sz w:val="22"/>
          <w:szCs w:val="22"/>
        </w:rPr>
        <w:t xml:space="preserve"> </w:t>
      </w:r>
      <w:r w:rsidRPr="00CB68C3">
        <w:rPr>
          <w:b/>
          <w:sz w:val="22"/>
          <w:szCs w:val="22"/>
        </w:rPr>
        <w:t xml:space="preserve">442 лв. </w:t>
      </w:r>
      <w:r w:rsidRPr="00CB68C3">
        <w:rPr>
          <w:sz w:val="22"/>
          <w:szCs w:val="22"/>
        </w:rPr>
        <w:t xml:space="preserve">отчетени от </w:t>
      </w:r>
      <w:r w:rsidR="00014724" w:rsidRPr="00CB68C3">
        <w:rPr>
          <w:sz w:val="22"/>
          <w:szCs w:val="22"/>
        </w:rPr>
        <w:t>Държавна агенция за бежанците (</w:t>
      </w:r>
      <w:r w:rsidRPr="00CB68C3">
        <w:rPr>
          <w:sz w:val="22"/>
          <w:szCs w:val="22"/>
        </w:rPr>
        <w:t>ДАБ</w:t>
      </w:r>
      <w:r w:rsidR="00014724" w:rsidRPr="00CB68C3">
        <w:rPr>
          <w:sz w:val="22"/>
          <w:szCs w:val="22"/>
        </w:rPr>
        <w:t>)</w:t>
      </w:r>
      <w:r w:rsidRPr="00CB68C3">
        <w:rPr>
          <w:sz w:val="22"/>
          <w:szCs w:val="22"/>
        </w:rPr>
        <w:t xml:space="preserve"> при МС във връзка с изпълнение на проект „Укрепване на националния капацитет за осигуряване на закрила и грижа за непридружени и разделени деца, търсещи международна закрила, чрез създаване и функциониране на Сигурна зона в Регистрационно-приемателен център – Харманли, управляван от Държавната агенция за бежанците при Министерския съвет“ по Споразумение между Детския фонд на ООН „УНИЦЕФ“ и Държавна агенция за бежанците при Министерския съвет.</w:t>
      </w:r>
    </w:p>
    <w:p w14:paraId="280815F5" w14:textId="58D52924" w:rsidR="00486D40" w:rsidRPr="00CB68C3" w:rsidRDefault="00A36D38" w:rsidP="00CB68C3">
      <w:pPr>
        <w:shd w:val="clear" w:color="auto" w:fill="FFFFFF" w:themeFill="background1"/>
        <w:jc w:val="right"/>
        <w:rPr>
          <w:sz w:val="20"/>
          <w:szCs w:val="20"/>
        </w:rPr>
      </w:pPr>
      <w:r w:rsidRPr="00CB68C3">
        <w:rPr>
          <w:b/>
          <w:bCs/>
          <w:i/>
          <w:iCs/>
          <w:sz w:val="20"/>
          <w:szCs w:val="20"/>
        </w:rPr>
        <w:t>Приложение</w:t>
      </w:r>
      <w:r w:rsidRPr="00CB68C3">
        <w:rPr>
          <w:b/>
          <w:bCs/>
          <w:sz w:val="20"/>
          <w:szCs w:val="20"/>
        </w:rPr>
        <w:t xml:space="preserve"> № 2а</w:t>
      </w:r>
      <w:r w:rsidRPr="00CB68C3">
        <w:rPr>
          <w:sz w:val="20"/>
          <w:szCs w:val="20"/>
        </w:rPr>
        <w:t xml:space="preserve"> </w:t>
      </w:r>
    </w:p>
    <w:p w14:paraId="49633F1C" w14:textId="77919B84" w:rsidR="00A36D38" w:rsidRPr="00CB68C3" w:rsidRDefault="00A36D38" w:rsidP="00CB68C3">
      <w:pPr>
        <w:shd w:val="clear" w:color="auto" w:fill="FFFFFF" w:themeFill="background1"/>
        <w:spacing w:after="120"/>
        <w:jc w:val="center"/>
        <w:rPr>
          <w:i/>
          <w:iCs/>
          <w:sz w:val="20"/>
          <w:szCs w:val="20"/>
        </w:rPr>
      </w:pPr>
      <w:r w:rsidRPr="00CB68C3">
        <w:rPr>
          <w:i/>
          <w:iCs/>
          <w:sz w:val="20"/>
          <w:szCs w:val="20"/>
        </w:rPr>
        <w:t xml:space="preserve">Отчет на разходите по бюджета </w:t>
      </w:r>
      <w:r w:rsidRPr="00CB68C3">
        <w:rPr>
          <w:bCs/>
          <w:i/>
          <w:iCs/>
          <w:sz w:val="20"/>
          <w:szCs w:val="20"/>
        </w:rPr>
        <w:t>на</w:t>
      </w:r>
      <w:r w:rsidRPr="00CB68C3">
        <w:rPr>
          <w:b/>
          <w:bCs/>
          <w:i/>
          <w:iCs/>
          <w:sz w:val="20"/>
          <w:szCs w:val="20"/>
        </w:rPr>
        <w:t xml:space="preserve"> Министерския съвет </w:t>
      </w:r>
      <w:r w:rsidRPr="00CB68C3">
        <w:rPr>
          <w:i/>
          <w:iCs/>
          <w:sz w:val="20"/>
          <w:szCs w:val="20"/>
        </w:rPr>
        <w:t>по</w:t>
      </w:r>
      <w:r w:rsidRPr="00CB68C3">
        <w:rPr>
          <w:b/>
          <w:bCs/>
          <w:i/>
          <w:iCs/>
          <w:sz w:val="20"/>
          <w:szCs w:val="20"/>
        </w:rPr>
        <w:t xml:space="preserve"> </w:t>
      </w:r>
      <w:r w:rsidRPr="00CB68C3">
        <w:rPr>
          <w:i/>
          <w:iCs/>
          <w:sz w:val="20"/>
          <w:szCs w:val="20"/>
        </w:rPr>
        <w:t>области на политики и бюджетни програми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4242"/>
        <w:gridCol w:w="1134"/>
        <w:gridCol w:w="1134"/>
        <w:gridCol w:w="989"/>
      </w:tblGrid>
      <w:tr w:rsidR="00AB34DE" w:rsidRPr="00BB240D" w14:paraId="7FC2A303" w14:textId="77777777" w:rsidTr="00895406">
        <w:trPr>
          <w:trHeight w:val="315"/>
          <w:jc w:val="center"/>
        </w:trPr>
        <w:tc>
          <w:tcPr>
            <w:tcW w:w="861" w:type="pct"/>
            <w:vMerge w:val="restart"/>
            <w:shd w:val="clear" w:color="000000" w:fill="E6E6E6"/>
            <w:vAlign w:val="center"/>
            <w:hideMark/>
          </w:tcPr>
          <w:p w14:paraId="7411D449" w14:textId="77777777" w:rsidR="00AB34DE" w:rsidRPr="00BB240D" w:rsidRDefault="00AB34DE">
            <w:pPr>
              <w:jc w:val="center"/>
              <w:rPr>
                <w:b/>
                <w:bCs/>
                <w:sz w:val="16"/>
                <w:szCs w:val="16"/>
              </w:rPr>
            </w:pPr>
            <w:r w:rsidRPr="00BB240D">
              <w:rPr>
                <w:b/>
                <w:bCs/>
                <w:sz w:val="16"/>
                <w:szCs w:val="16"/>
              </w:rPr>
              <w:t>Класификационен код*</w:t>
            </w:r>
          </w:p>
        </w:tc>
        <w:tc>
          <w:tcPr>
            <w:tcW w:w="2341" w:type="pct"/>
            <w:shd w:val="clear" w:color="000000" w:fill="E6E6E6"/>
            <w:vAlign w:val="center"/>
            <w:hideMark/>
          </w:tcPr>
          <w:p w14:paraId="6B09E85B" w14:textId="77777777" w:rsidR="00AB34DE" w:rsidRPr="00BB240D" w:rsidRDefault="00AB34DE">
            <w:pPr>
              <w:jc w:val="center"/>
              <w:rPr>
                <w:b/>
                <w:bCs/>
                <w:sz w:val="16"/>
                <w:szCs w:val="16"/>
              </w:rPr>
            </w:pPr>
            <w:r w:rsidRPr="00BB240D">
              <w:rPr>
                <w:b/>
                <w:bCs/>
                <w:sz w:val="16"/>
                <w:szCs w:val="16"/>
              </w:rPr>
              <w:t xml:space="preserve">РАЗХОДИ </w:t>
            </w:r>
          </w:p>
        </w:tc>
        <w:tc>
          <w:tcPr>
            <w:tcW w:w="626" w:type="pct"/>
            <w:vMerge w:val="restart"/>
            <w:shd w:val="clear" w:color="000000" w:fill="E6E6E6"/>
            <w:vAlign w:val="center"/>
            <w:hideMark/>
          </w:tcPr>
          <w:p w14:paraId="7623E45D" w14:textId="77777777" w:rsidR="00AB34DE" w:rsidRPr="00BB240D" w:rsidRDefault="00AB34DE">
            <w:pPr>
              <w:jc w:val="center"/>
              <w:rPr>
                <w:b/>
                <w:bCs/>
                <w:sz w:val="16"/>
                <w:szCs w:val="16"/>
              </w:rPr>
            </w:pPr>
            <w:r w:rsidRPr="00BB240D">
              <w:rPr>
                <w:b/>
                <w:bCs/>
                <w:sz w:val="16"/>
                <w:szCs w:val="16"/>
              </w:rPr>
              <w:t>Закон</w:t>
            </w:r>
          </w:p>
        </w:tc>
        <w:tc>
          <w:tcPr>
            <w:tcW w:w="626" w:type="pct"/>
            <w:vMerge w:val="restart"/>
            <w:shd w:val="clear" w:color="000000" w:fill="E6E6E6"/>
            <w:vAlign w:val="center"/>
            <w:hideMark/>
          </w:tcPr>
          <w:p w14:paraId="59FCC6FC" w14:textId="77777777" w:rsidR="00AB34DE" w:rsidRPr="00BB240D" w:rsidRDefault="00AB34DE">
            <w:pPr>
              <w:jc w:val="center"/>
              <w:rPr>
                <w:b/>
                <w:bCs/>
                <w:sz w:val="16"/>
                <w:szCs w:val="16"/>
              </w:rPr>
            </w:pPr>
            <w:r w:rsidRPr="00BB240D">
              <w:rPr>
                <w:b/>
                <w:bCs/>
                <w:sz w:val="16"/>
                <w:szCs w:val="16"/>
              </w:rPr>
              <w:t>Уточнен план</w:t>
            </w:r>
          </w:p>
        </w:tc>
        <w:tc>
          <w:tcPr>
            <w:tcW w:w="547" w:type="pct"/>
            <w:vMerge w:val="restart"/>
            <w:shd w:val="clear" w:color="000000" w:fill="E6E6E6"/>
            <w:vAlign w:val="center"/>
            <w:hideMark/>
          </w:tcPr>
          <w:p w14:paraId="516A8D7C" w14:textId="77777777" w:rsidR="00AB34DE" w:rsidRPr="00BB240D" w:rsidRDefault="00AB34DE">
            <w:pPr>
              <w:jc w:val="center"/>
              <w:rPr>
                <w:b/>
                <w:bCs/>
                <w:sz w:val="16"/>
                <w:szCs w:val="16"/>
              </w:rPr>
            </w:pPr>
            <w:r w:rsidRPr="00BB240D">
              <w:rPr>
                <w:b/>
                <w:bCs/>
                <w:sz w:val="16"/>
                <w:szCs w:val="16"/>
              </w:rPr>
              <w:t>Отчет</w:t>
            </w:r>
          </w:p>
        </w:tc>
      </w:tr>
      <w:tr w:rsidR="00AB34DE" w:rsidRPr="00BB240D" w14:paraId="3188EABE" w14:textId="77777777" w:rsidTr="00895406">
        <w:trPr>
          <w:trHeight w:val="273"/>
          <w:jc w:val="center"/>
        </w:trPr>
        <w:tc>
          <w:tcPr>
            <w:tcW w:w="861" w:type="pct"/>
            <w:vMerge/>
            <w:vAlign w:val="center"/>
            <w:hideMark/>
          </w:tcPr>
          <w:p w14:paraId="68F4A98A" w14:textId="77777777" w:rsidR="00AB34DE" w:rsidRPr="00BB240D" w:rsidRDefault="00AB34DE">
            <w:pPr>
              <w:rPr>
                <w:b/>
                <w:bCs/>
                <w:sz w:val="16"/>
                <w:szCs w:val="16"/>
              </w:rPr>
            </w:pPr>
          </w:p>
        </w:tc>
        <w:tc>
          <w:tcPr>
            <w:tcW w:w="2341" w:type="pct"/>
            <w:shd w:val="clear" w:color="000000" w:fill="E6E6E6"/>
            <w:vAlign w:val="center"/>
            <w:hideMark/>
          </w:tcPr>
          <w:p w14:paraId="0D19124A" w14:textId="77777777" w:rsidR="00AB34DE" w:rsidRPr="00BB240D" w:rsidRDefault="00AB34DE">
            <w:pPr>
              <w:jc w:val="center"/>
              <w:rPr>
                <w:b/>
                <w:bCs/>
                <w:sz w:val="16"/>
                <w:szCs w:val="16"/>
              </w:rPr>
            </w:pPr>
            <w:r w:rsidRPr="00BB240D">
              <w:rPr>
                <w:b/>
                <w:bCs/>
                <w:sz w:val="16"/>
                <w:szCs w:val="16"/>
              </w:rPr>
              <w:t>(в лева)</w:t>
            </w:r>
          </w:p>
        </w:tc>
        <w:tc>
          <w:tcPr>
            <w:tcW w:w="626" w:type="pct"/>
            <w:vMerge/>
            <w:vAlign w:val="center"/>
            <w:hideMark/>
          </w:tcPr>
          <w:p w14:paraId="15DF5DBA" w14:textId="77777777" w:rsidR="00AB34DE" w:rsidRPr="00BB240D" w:rsidRDefault="00AB34DE">
            <w:pPr>
              <w:rPr>
                <w:b/>
                <w:bCs/>
                <w:sz w:val="16"/>
                <w:szCs w:val="16"/>
              </w:rPr>
            </w:pPr>
          </w:p>
        </w:tc>
        <w:tc>
          <w:tcPr>
            <w:tcW w:w="626" w:type="pct"/>
            <w:vMerge/>
            <w:vAlign w:val="center"/>
            <w:hideMark/>
          </w:tcPr>
          <w:p w14:paraId="351B6EEE" w14:textId="77777777" w:rsidR="00AB34DE" w:rsidRPr="00BB240D" w:rsidRDefault="00AB34DE">
            <w:pPr>
              <w:rPr>
                <w:b/>
                <w:bCs/>
                <w:sz w:val="16"/>
                <w:szCs w:val="16"/>
              </w:rPr>
            </w:pPr>
          </w:p>
        </w:tc>
        <w:tc>
          <w:tcPr>
            <w:tcW w:w="547" w:type="pct"/>
            <w:vMerge/>
            <w:vAlign w:val="center"/>
            <w:hideMark/>
          </w:tcPr>
          <w:p w14:paraId="787B6970" w14:textId="77777777" w:rsidR="00AB34DE" w:rsidRPr="00BB240D" w:rsidRDefault="00AB34DE">
            <w:pPr>
              <w:rPr>
                <w:b/>
                <w:bCs/>
                <w:sz w:val="16"/>
                <w:szCs w:val="16"/>
              </w:rPr>
            </w:pPr>
          </w:p>
        </w:tc>
      </w:tr>
      <w:tr w:rsidR="00AB34DE" w:rsidRPr="00BB240D" w14:paraId="21F3FFAD" w14:textId="77777777" w:rsidTr="00895406">
        <w:trPr>
          <w:trHeight w:val="330"/>
          <w:jc w:val="center"/>
        </w:trPr>
        <w:tc>
          <w:tcPr>
            <w:tcW w:w="861" w:type="pct"/>
            <w:shd w:val="clear" w:color="000000" w:fill="FFFFCC"/>
            <w:vAlign w:val="center"/>
            <w:hideMark/>
          </w:tcPr>
          <w:p w14:paraId="6CA25B01" w14:textId="77777777" w:rsidR="00AB34DE" w:rsidRPr="00BB240D" w:rsidRDefault="00AB34DE">
            <w:pPr>
              <w:rPr>
                <w:b/>
                <w:bCs/>
                <w:sz w:val="16"/>
                <w:szCs w:val="16"/>
              </w:rPr>
            </w:pPr>
            <w:r w:rsidRPr="00BB240D">
              <w:rPr>
                <w:b/>
                <w:bCs/>
                <w:sz w:val="16"/>
                <w:szCs w:val="16"/>
              </w:rPr>
              <w:t> </w:t>
            </w:r>
          </w:p>
        </w:tc>
        <w:tc>
          <w:tcPr>
            <w:tcW w:w="2341" w:type="pct"/>
            <w:shd w:val="clear" w:color="000000" w:fill="FFFFCC"/>
            <w:vAlign w:val="center"/>
            <w:hideMark/>
          </w:tcPr>
          <w:p w14:paraId="2B8A295B" w14:textId="77777777" w:rsidR="00AB34DE" w:rsidRPr="00BB240D" w:rsidRDefault="00AB34DE">
            <w:pPr>
              <w:rPr>
                <w:b/>
                <w:bCs/>
                <w:sz w:val="16"/>
                <w:szCs w:val="16"/>
              </w:rPr>
            </w:pPr>
            <w:r w:rsidRPr="00BB240D">
              <w:rPr>
                <w:b/>
                <w:bCs/>
                <w:sz w:val="16"/>
                <w:szCs w:val="16"/>
              </w:rPr>
              <w:t>Общо разходи по бюджета на Министерския съвет</w:t>
            </w:r>
          </w:p>
        </w:tc>
        <w:tc>
          <w:tcPr>
            <w:tcW w:w="626" w:type="pct"/>
            <w:shd w:val="clear" w:color="000000" w:fill="FFFFCC"/>
            <w:vAlign w:val="center"/>
            <w:hideMark/>
          </w:tcPr>
          <w:p w14:paraId="6E61426D" w14:textId="77777777" w:rsidR="00AB34DE" w:rsidRPr="00BB240D" w:rsidRDefault="00AB34DE">
            <w:pPr>
              <w:jc w:val="right"/>
              <w:rPr>
                <w:b/>
                <w:bCs/>
                <w:sz w:val="16"/>
                <w:szCs w:val="16"/>
              </w:rPr>
            </w:pPr>
            <w:r w:rsidRPr="00BB240D">
              <w:rPr>
                <w:b/>
                <w:bCs/>
                <w:sz w:val="16"/>
                <w:szCs w:val="16"/>
              </w:rPr>
              <w:t>243 829 500</w:t>
            </w:r>
          </w:p>
        </w:tc>
        <w:tc>
          <w:tcPr>
            <w:tcW w:w="626" w:type="pct"/>
            <w:shd w:val="clear" w:color="000000" w:fill="FFFFCC"/>
            <w:vAlign w:val="center"/>
            <w:hideMark/>
          </w:tcPr>
          <w:p w14:paraId="243E3C8C" w14:textId="77777777" w:rsidR="00AB34DE" w:rsidRPr="00BB240D" w:rsidRDefault="00AB34DE">
            <w:pPr>
              <w:jc w:val="right"/>
              <w:rPr>
                <w:b/>
                <w:bCs/>
                <w:sz w:val="16"/>
                <w:szCs w:val="16"/>
              </w:rPr>
            </w:pPr>
            <w:r w:rsidRPr="00BB240D">
              <w:rPr>
                <w:b/>
                <w:bCs/>
                <w:sz w:val="16"/>
                <w:szCs w:val="16"/>
              </w:rPr>
              <w:t>248 536 449</w:t>
            </w:r>
          </w:p>
        </w:tc>
        <w:tc>
          <w:tcPr>
            <w:tcW w:w="547" w:type="pct"/>
            <w:shd w:val="clear" w:color="000000" w:fill="FFFFCC"/>
            <w:vAlign w:val="center"/>
            <w:hideMark/>
          </w:tcPr>
          <w:p w14:paraId="02A57E89" w14:textId="77777777" w:rsidR="00AB34DE" w:rsidRPr="00BB240D" w:rsidRDefault="00AB34DE">
            <w:pPr>
              <w:jc w:val="right"/>
              <w:rPr>
                <w:b/>
                <w:bCs/>
                <w:sz w:val="16"/>
                <w:szCs w:val="16"/>
              </w:rPr>
            </w:pPr>
            <w:r w:rsidRPr="00BB240D">
              <w:rPr>
                <w:b/>
                <w:bCs/>
                <w:sz w:val="16"/>
                <w:szCs w:val="16"/>
              </w:rPr>
              <w:t>98 203 133</w:t>
            </w:r>
          </w:p>
        </w:tc>
      </w:tr>
      <w:tr w:rsidR="00AB34DE" w:rsidRPr="00BB240D" w14:paraId="7193DA6F" w14:textId="77777777" w:rsidTr="00895406">
        <w:trPr>
          <w:trHeight w:val="327"/>
          <w:jc w:val="center"/>
        </w:trPr>
        <w:tc>
          <w:tcPr>
            <w:tcW w:w="861" w:type="pct"/>
            <w:shd w:val="clear" w:color="000000" w:fill="E6E6E6"/>
            <w:vAlign w:val="center"/>
            <w:hideMark/>
          </w:tcPr>
          <w:p w14:paraId="28A44247" w14:textId="77777777" w:rsidR="00AB34DE" w:rsidRPr="00BB240D" w:rsidRDefault="00AB34DE">
            <w:pPr>
              <w:jc w:val="center"/>
              <w:rPr>
                <w:b/>
                <w:bCs/>
                <w:sz w:val="16"/>
                <w:szCs w:val="16"/>
              </w:rPr>
            </w:pPr>
            <w:r w:rsidRPr="00BB240D">
              <w:rPr>
                <w:b/>
                <w:bCs/>
                <w:sz w:val="16"/>
                <w:szCs w:val="16"/>
              </w:rPr>
              <w:t>0300.01.00</w:t>
            </w:r>
          </w:p>
        </w:tc>
        <w:tc>
          <w:tcPr>
            <w:tcW w:w="2341" w:type="pct"/>
            <w:shd w:val="clear" w:color="000000" w:fill="E6E6E6"/>
            <w:vAlign w:val="center"/>
            <w:hideMark/>
          </w:tcPr>
          <w:p w14:paraId="408F71A3" w14:textId="77777777" w:rsidR="00AB34DE" w:rsidRPr="00BB240D" w:rsidRDefault="00AB34DE">
            <w:pPr>
              <w:rPr>
                <w:b/>
                <w:bCs/>
                <w:sz w:val="16"/>
                <w:szCs w:val="16"/>
              </w:rPr>
            </w:pPr>
            <w:r w:rsidRPr="00BB240D">
              <w:rPr>
                <w:b/>
                <w:bCs/>
                <w:sz w:val="16"/>
                <w:szCs w:val="16"/>
              </w:rPr>
              <w:t>Област „Осигуряване дейността и организацията на работата на Министерския съвет”</w:t>
            </w:r>
          </w:p>
        </w:tc>
        <w:tc>
          <w:tcPr>
            <w:tcW w:w="626" w:type="pct"/>
            <w:shd w:val="clear" w:color="000000" w:fill="E6E6E6"/>
            <w:vAlign w:val="center"/>
            <w:hideMark/>
          </w:tcPr>
          <w:p w14:paraId="5A075DDE" w14:textId="77777777" w:rsidR="00AB34DE" w:rsidRPr="00BB240D" w:rsidRDefault="00AB34DE">
            <w:pPr>
              <w:jc w:val="right"/>
              <w:rPr>
                <w:b/>
                <w:bCs/>
                <w:sz w:val="16"/>
                <w:szCs w:val="16"/>
              </w:rPr>
            </w:pPr>
            <w:r w:rsidRPr="00BB240D">
              <w:rPr>
                <w:b/>
                <w:bCs/>
                <w:sz w:val="16"/>
                <w:szCs w:val="16"/>
              </w:rPr>
              <w:t>22 052 000</w:t>
            </w:r>
          </w:p>
        </w:tc>
        <w:tc>
          <w:tcPr>
            <w:tcW w:w="626" w:type="pct"/>
            <w:shd w:val="clear" w:color="000000" w:fill="E6E6E6"/>
            <w:vAlign w:val="center"/>
            <w:hideMark/>
          </w:tcPr>
          <w:p w14:paraId="67A8FDD0" w14:textId="77777777" w:rsidR="00AB34DE" w:rsidRPr="00BB240D" w:rsidRDefault="00AB34DE">
            <w:pPr>
              <w:jc w:val="right"/>
              <w:rPr>
                <w:b/>
                <w:bCs/>
                <w:sz w:val="16"/>
                <w:szCs w:val="16"/>
              </w:rPr>
            </w:pPr>
            <w:r w:rsidRPr="00BB240D">
              <w:rPr>
                <w:b/>
                <w:bCs/>
                <w:sz w:val="16"/>
                <w:szCs w:val="16"/>
              </w:rPr>
              <w:t>22 052 000</w:t>
            </w:r>
          </w:p>
        </w:tc>
        <w:tc>
          <w:tcPr>
            <w:tcW w:w="547" w:type="pct"/>
            <w:shd w:val="clear" w:color="000000" w:fill="E6E6E6"/>
            <w:vAlign w:val="center"/>
            <w:hideMark/>
          </w:tcPr>
          <w:p w14:paraId="591E118B" w14:textId="77777777" w:rsidR="00AB34DE" w:rsidRPr="00BB240D" w:rsidRDefault="00AB34DE">
            <w:pPr>
              <w:jc w:val="right"/>
              <w:rPr>
                <w:b/>
                <w:bCs/>
                <w:sz w:val="16"/>
                <w:szCs w:val="16"/>
              </w:rPr>
            </w:pPr>
            <w:r w:rsidRPr="00BB240D">
              <w:rPr>
                <w:b/>
                <w:bCs/>
                <w:sz w:val="16"/>
                <w:szCs w:val="16"/>
              </w:rPr>
              <w:t>9 098 124</w:t>
            </w:r>
          </w:p>
        </w:tc>
      </w:tr>
      <w:tr w:rsidR="00AB34DE" w:rsidRPr="00BB240D" w14:paraId="29700088" w14:textId="77777777" w:rsidTr="00895406">
        <w:trPr>
          <w:trHeight w:val="375"/>
          <w:jc w:val="center"/>
        </w:trPr>
        <w:tc>
          <w:tcPr>
            <w:tcW w:w="861" w:type="pct"/>
            <w:shd w:val="clear" w:color="auto" w:fill="auto"/>
            <w:vAlign w:val="center"/>
            <w:hideMark/>
          </w:tcPr>
          <w:p w14:paraId="502FC577" w14:textId="77777777" w:rsidR="00AB34DE" w:rsidRPr="00BB240D" w:rsidRDefault="00AB34DE">
            <w:pPr>
              <w:jc w:val="center"/>
              <w:rPr>
                <w:sz w:val="16"/>
                <w:szCs w:val="16"/>
              </w:rPr>
            </w:pPr>
            <w:r w:rsidRPr="00BB240D">
              <w:rPr>
                <w:sz w:val="16"/>
                <w:szCs w:val="16"/>
              </w:rPr>
              <w:t>0300.01.01</w:t>
            </w:r>
          </w:p>
        </w:tc>
        <w:tc>
          <w:tcPr>
            <w:tcW w:w="2341" w:type="pct"/>
            <w:shd w:val="clear" w:color="auto" w:fill="auto"/>
            <w:vAlign w:val="center"/>
            <w:hideMark/>
          </w:tcPr>
          <w:p w14:paraId="53B74ADC" w14:textId="77777777" w:rsidR="00AB34DE" w:rsidRPr="00BB240D" w:rsidRDefault="00AB34DE">
            <w:pPr>
              <w:rPr>
                <w:sz w:val="16"/>
                <w:szCs w:val="16"/>
              </w:rPr>
            </w:pPr>
            <w:r w:rsidRPr="00BB240D">
              <w:rPr>
                <w:sz w:val="16"/>
                <w:szCs w:val="16"/>
              </w:rPr>
              <w:t>Бюджетна програма „Министерски съвет и организация на дейността му”</w:t>
            </w:r>
          </w:p>
        </w:tc>
        <w:tc>
          <w:tcPr>
            <w:tcW w:w="626" w:type="pct"/>
            <w:shd w:val="clear" w:color="auto" w:fill="auto"/>
            <w:vAlign w:val="center"/>
            <w:hideMark/>
          </w:tcPr>
          <w:p w14:paraId="39BFB197" w14:textId="77777777" w:rsidR="00AB34DE" w:rsidRPr="00BB240D" w:rsidRDefault="00AB34DE">
            <w:pPr>
              <w:jc w:val="right"/>
              <w:rPr>
                <w:sz w:val="16"/>
                <w:szCs w:val="16"/>
              </w:rPr>
            </w:pPr>
            <w:r w:rsidRPr="00BB240D">
              <w:rPr>
                <w:sz w:val="16"/>
                <w:szCs w:val="16"/>
              </w:rPr>
              <w:t>11 679 000</w:t>
            </w:r>
          </w:p>
        </w:tc>
        <w:tc>
          <w:tcPr>
            <w:tcW w:w="626" w:type="pct"/>
            <w:shd w:val="clear" w:color="auto" w:fill="auto"/>
            <w:vAlign w:val="center"/>
            <w:hideMark/>
          </w:tcPr>
          <w:p w14:paraId="0A0CB544" w14:textId="77777777" w:rsidR="00AB34DE" w:rsidRPr="00BB240D" w:rsidRDefault="00AB34DE">
            <w:pPr>
              <w:jc w:val="right"/>
              <w:rPr>
                <w:sz w:val="16"/>
                <w:szCs w:val="16"/>
              </w:rPr>
            </w:pPr>
            <w:r w:rsidRPr="00BB240D">
              <w:rPr>
                <w:sz w:val="16"/>
                <w:szCs w:val="16"/>
              </w:rPr>
              <w:t>11 679 000</w:t>
            </w:r>
          </w:p>
        </w:tc>
        <w:tc>
          <w:tcPr>
            <w:tcW w:w="547" w:type="pct"/>
            <w:shd w:val="clear" w:color="auto" w:fill="auto"/>
            <w:vAlign w:val="center"/>
            <w:hideMark/>
          </w:tcPr>
          <w:p w14:paraId="2492A927" w14:textId="77777777" w:rsidR="00AB34DE" w:rsidRPr="00BB240D" w:rsidRDefault="00AB34DE">
            <w:pPr>
              <w:jc w:val="right"/>
              <w:rPr>
                <w:sz w:val="16"/>
                <w:szCs w:val="16"/>
              </w:rPr>
            </w:pPr>
            <w:r w:rsidRPr="00BB240D">
              <w:rPr>
                <w:sz w:val="16"/>
                <w:szCs w:val="16"/>
              </w:rPr>
              <w:t>5 213 687</w:t>
            </w:r>
          </w:p>
        </w:tc>
      </w:tr>
      <w:tr w:rsidR="00AB34DE" w:rsidRPr="00BB240D" w14:paraId="1A2FB91B" w14:textId="77777777" w:rsidTr="00895406">
        <w:trPr>
          <w:trHeight w:val="395"/>
          <w:jc w:val="center"/>
        </w:trPr>
        <w:tc>
          <w:tcPr>
            <w:tcW w:w="861" w:type="pct"/>
            <w:shd w:val="clear" w:color="auto" w:fill="auto"/>
            <w:vAlign w:val="center"/>
            <w:hideMark/>
          </w:tcPr>
          <w:p w14:paraId="48D12032" w14:textId="77777777" w:rsidR="00AB34DE" w:rsidRPr="00BB240D" w:rsidRDefault="00AB34DE">
            <w:pPr>
              <w:jc w:val="center"/>
              <w:rPr>
                <w:sz w:val="16"/>
                <w:szCs w:val="16"/>
              </w:rPr>
            </w:pPr>
            <w:r w:rsidRPr="00BB240D">
              <w:rPr>
                <w:sz w:val="16"/>
                <w:szCs w:val="16"/>
              </w:rPr>
              <w:t>0300.01.02</w:t>
            </w:r>
          </w:p>
        </w:tc>
        <w:tc>
          <w:tcPr>
            <w:tcW w:w="2341" w:type="pct"/>
            <w:shd w:val="clear" w:color="auto" w:fill="auto"/>
            <w:vAlign w:val="center"/>
            <w:hideMark/>
          </w:tcPr>
          <w:p w14:paraId="19CD003F" w14:textId="77777777" w:rsidR="00AB34DE" w:rsidRPr="00BB240D" w:rsidRDefault="00AB34DE">
            <w:pPr>
              <w:rPr>
                <w:sz w:val="16"/>
                <w:szCs w:val="16"/>
              </w:rPr>
            </w:pPr>
            <w:r w:rsidRPr="00BB240D">
              <w:rPr>
                <w:sz w:val="16"/>
                <w:szCs w:val="16"/>
              </w:rPr>
              <w:t>Бюджетна програма „Координация и мониторинг на хоризонтални политики”</w:t>
            </w:r>
          </w:p>
        </w:tc>
        <w:tc>
          <w:tcPr>
            <w:tcW w:w="626" w:type="pct"/>
            <w:shd w:val="clear" w:color="auto" w:fill="auto"/>
            <w:vAlign w:val="center"/>
            <w:hideMark/>
          </w:tcPr>
          <w:p w14:paraId="688F41CF" w14:textId="77777777" w:rsidR="00AB34DE" w:rsidRPr="00BB240D" w:rsidRDefault="00AB34DE">
            <w:pPr>
              <w:jc w:val="right"/>
              <w:rPr>
                <w:sz w:val="16"/>
                <w:szCs w:val="16"/>
              </w:rPr>
            </w:pPr>
            <w:r w:rsidRPr="00BB240D">
              <w:rPr>
                <w:sz w:val="16"/>
                <w:szCs w:val="16"/>
              </w:rPr>
              <w:t>10 373 000</w:t>
            </w:r>
          </w:p>
        </w:tc>
        <w:tc>
          <w:tcPr>
            <w:tcW w:w="626" w:type="pct"/>
            <w:shd w:val="clear" w:color="auto" w:fill="auto"/>
            <w:vAlign w:val="center"/>
            <w:hideMark/>
          </w:tcPr>
          <w:p w14:paraId="5ADC82A1" w14:textId="77777777" w:rsidR="00AB34DE" w:rsidRPr="00BB240D" w:rsidRDefault="00AB34DE">
            <w:pPr>
              <w:jc w:val="right"/>
              <w:rPr>
                <w:sz w:val="16"/>
                <w:szCs w:val="16"/>
              </w:rPr>
            </w:pPr>
            <w:r w:rsidRPr="00BB240D">
              <w:rPr>
                <w:sz w:val="16"/>
                <w:szCs w:val="16"/>
              </w:rPr>
              <w:t>10 373 000</w:t>
            </w:r>
          </w:p>
        </w:tc>
        <w:tc>
          <w:tcPr>
            <w:tcW w:w="547" w:type="pct"/>
            <w:shd w:val="clear" w:color="auto" w:fill="auto"/>
            <w:vAlign w:val="center"/>
            <w:hideMark/>
          </w:tcPr>
          <w:p w14:paraId="588C51EC" w14:textId="77777777" w:rsidR="00AB34DE" w:rsidRPr="00BB240D" w:rsidRDefault="00AB34DE">
            <w:pPr>
              <w:jc w:val="right"/>
              <w:rPr>
                <w:sz w:val="16"/>
                <w:szCs w:val="16"/>
              </w:rPr>
            </w:pPr>
            <w:r w:rsidRPr="00BB240D">
              <w:rPr>
                <w:sz w:val="16"/>
                <w:szCs w:val="16"/>
              </w:rPr>
              <w:t>3 884 437</w:t>
            </w:r>
          </w:p>
        </w:tc>
      </w:tr>
      <w:tr w:rsidR="00AB34DE" w:rsidRPr="00BB240D" w14:paraId="50C634EC" w14:textId="77777777" w:rsidTr="00895406">
        <w:trPr>
          <w:trHeight w:val="117"/>
          <w:jc w:val="center"/>
        </w:trPr>
        <w:tc>
          <w:tcPr>
            <w:tcW w:w="861" w:type="pct"/>
            <w:shd w:val="clear" w:color="auto" w:fill="auto"/>
            <w:vAlign w:val="center"/>
            <w:hideMark/>
          </w:tcPr>
          <w:p w14:paraId="33DD09A4" w14:textId="77777777" w:rsidR="00AB34DE" w:rsidRPr="00BB240D" w:rsidRDefault="00AB34DE">
            <w:pPr>
              <w:jc w:val="both"/>
              <w:rPr>
                <w:sz w:val="16"/>
                <w:szCs w:val="16"/>
              </w:rPr>
            </w:pPr>
            <w:r w:rsidRPr="00BB240D">
              <w:rPr>
                <w:sz w:val="16"/>
                <w:szCs w:val="16"/>
              </w:rPr>
              <w:t> </w:t>
            </w:r>
          </w:p>
        </w:tc>
        <w:tc>
          <w:tcPr>
            <w:tcW w:w="2341" w:type="pct"/>
            <w:shd w:val="clear" w:color="auto" w:fill="auto"/>
            <w:vAlign w:val="center"/>
            <w:hideMark/>
          </w:tcPr>
          <w:p w14:paraId="41C7A155" w14:textId="77777777" w:rsidR="00AB34DE" w:rsidRPr="00BB240D" w:rsidRDefault="00AB34DE">
            <w:pPr>
              <w:jc w:val="both"/>
              <w:rPr>
                <w:sz w:val="16"/>
                <w:szCs w:val="16"/>
              </w:rPr>
            </w:pPr>
            <w:r w:rsidRPr="00BB240D">
              <w:rPr>
                <w:sz w:val="16"/>
                <w:szCs w:val="16"/>
              </w:rPr>
              <w:t> </w:t>
            </w:r>
          </w:p>
        </w:tc>
        <w:tc>
          <w:tcPr>
            <w:tcW w:w="626" w:type="pct"/>
            <w:shd w:val="clear" w:color="auto" w:fill="auto"/>
            <w:vAlign w:val="center"/>
            <w:hideMark/>
          </w:tcPr>
          <w:p w14:paraId="22852208" w14:textId="77777777" w:rsidR="00AB34DE" w:rsidRPr="00BB240D" w:rsidRDefault="00AB34DE">
            <w:pPr>
              <w:rPr>
                <w:sz w:val="16"/>
                <w:szCs w:val="16"/>
              </w:rPr>
            </w:pPr>
            <w:r w:rsidRPr="00BB240D">
              <w:rPr>
                <w:sz w:val="16"/>
                <w:szCs w:val="16"/>
              </w:rPr>
              <w:t> </w:t>
            </w:r>
          </w:p>
        </w:tc>
        <w:tc>
          <w:tcPr>
            <w:tcW w:w="626" w:type="pct"/>
            <w:shd w:val="clear" w:color="auto" w:fill="auto"/>
            <w:vAlign w:val="center"/>
            <w:hideMark/>
          </w:tcPr>
          <w:p w14:paraId="687752D0" w14:textId="77777777" w:rsidR="00AB34DE" w:rsidRPr="00BB240D" w:rsidRDefault="00AB34DE">
            <w:pPr>
              <w:rPr>
                <w:sz w:val="16"/>
                <w:szCs w:val="16"/>
              </w:rPr>
            </w:pPr>
            <w:r w:rsidRPr="00BB240D">
              <w:rPr>
                <w:sz w:val="16"/>
                <w:szCs w:val="16"/>
              </w:rPr>
              <w:t> </w:t>
            </w:r>
          </w:p>
        </w:tc>
        <w:tc>
          <w:tcPr>
            <w:tcW w:w="547" w:type="pct"/>
            <w:shd w:val="clear" w:color="auto" w:fill="auto"/>
            <w:vAlign w:val="center"/>
            <w:hideMark/>
          </w:tcPr>
          <w:p w14:paraId="44B0E176" w14:textId="77777777" w:rsidR="00AB34DE" w:rsidRPr="00BB240D" w:rsidRDefault="00AB34DE">
            <w:pPr>
              <w:rPr>
                <w:sz w:val="16"/>
                <w:szCs w:val="16"/>
              </w:rPr>
            </w:pPr>
            <w:r w:rsidRPr="00BB240D">
              <w:rPr>
                <w:sz w:val="16"/>
                <w:szCs w:val="16"/>
              </w:rPr>
              <w:t> </w:t>
            </w:r>
          </w:p>
        </w:tc>
      </w:tr>
      <w:tr w:rsidR="00AB34DE" w:rsidRPr="00BB240D" w14:paraId="68B3C452" w14:textId="77777777" w:rsidTr="00895406">
        <w:trPr>
          <w:trHeight w:val="330"/>
          <w:jc w:val="center"/>
        </w:trPr>
        <w:tc>
          <w:tcPr>
            <w:tcW w:w="861" w:type="pct"/>
            <w:shd w:val="clear" w:color="000000" w:fill="E6E6E6"/>
            <w:vAlign w:val="center"/>
            <w:hideMark/>
          </w:tcPr>
          <w:p w14:paraId="5EE91F65" w14:textId="77777777" w:rsidR="00AB34DE" w:rsidRPr="00BB240D" w:rsidRDefault="00AB34DE">
            <w:pPr>
              <w:jc w:val="center"/>
              <w:rPr>
                <w:b/>
                <w:bCs/>
                <w:sz w:val="16"/>
                <w:szCs w:val="16"/>
              </w:rPr>
            </w:pPr>
            <w:r w:rsidRPr="00BB240D">
              <w:rPr>
                <w:b/>
                <w:bCs/>
                <w:sz w:val="16"/>
                <w:szCs w:val="16"/>
              </w:rPr>
              <w:t>0300.02.00</w:t>
            </w:r>
          </w:p>
        </w:tc>
        <w:tc>
          <w:tcPr>
            <w:tcW w:w="2341" w:type="pct"/>
            <w:shd w:val="clear" w:color="000000" w:fill="E6E6E6"/>
            <w:vAlign w:val="center"/>
            <w:hideMark/>
          </w:tcPr>
          <w:p w14:paraId="3066417B" w14:textId="77777777" w:rsidR="00AB34DE" w:rsidRPr="00BB240D" w:rsidRDefault="00AB34DE">
            <w:pPr>
              <w:rPr>
                <w:b/>
                <w:bCs/>
                <w:sz w:val="16"/>
                <w:szCs w:val="16"/>
              </w:rPr>
            </w:pPr>
            <w:r w:rsidRPr="00BB240D">
              <w:rPr>
                <w:b/>
                <w:bCs/>
                <w:sz w:val="16"/>
                <w:szCs w:val="16"/>
              </w:rPr>
              <w:t>Политика в областта на управлението на средствата от ЕС</w:t>
            </w:r>
          </w:p>
        </w:tc>
        <w:tc>
          <w:tcPr>
            <w:tcW w:w="626" w:type="pct"/>
            <w:shd w:val="clear" w:color="000000" w:fill="E6E6E6"/>
            <w:vAlign w:val="center"/>
            <w:hideMark/>
          </w:tcPr>
          <w:p w14:paraId="5DEAD2B7" w14:textId="77777777" w:rsidR="00AB34DE" w:rsidRPr="00BB240D" w:rsidRDefault="00AB34DE">
            <w:pPr>
              <w:jc w:val="right"/>
              <w:rPr>
                <w:b/>
                <w:bCs/>
                <w:sz w:val="16"/>
                <w:szCs w:val="16"/>
              </w:rPr>
            </w:pPr>
            <w:r w:rsidRPr="00BB240D">
              <w:rPr>
                <w:b/>
                <w:bCs/>
                <w:sz w:val="16"/>
                <w:szCs w:val="16"/>
              </w:rPr>
              <w:t>501 800</w:t>
            </w:r>
          </w:p>
        </w:tc>
        <w:tc>
          <w:tcPr>
            <w:tcW w:w="626" w:type="pct"/>
            <w:shd w:val="clear" w:color="000000" w:fill="E6E6E6"/>
            <w:vAlign w:val="center"/>
            <w:hideMark/>
          </w:tcPr>
          <w:p w14:paraId="14A297D1" w14:textId="77777777" w:rsidR="00AB34DE" w:rsidRPr="00BB240D" w:rsidRDefault="00AB34DE">
            <w:pPr>
              <w:jc w:val="right"/>
              <w:rPr>
                <w:b/>
                <w:bCs/>
                <w:sz w:val="16"/>
                <w:szCs w:val="16"/>
              </w:rPr>
            </w:pPr>
            <w:r w:rsidRPr="00BB240D">
              <w:rPr>
                <w:b/>
                <w:bCs/>
                <w:sz w:val="16"/>
                <w:szCs w:val="16"/>
              </w:rPr>
              <w:t>501 800</w:t>
            </w:r>
          </w:p>
        </w:tc>
        <w:tc>
          <w:tcPr>
            <w:tcW w:w="547" w:type="pct"/>
            <w:shd w:val="clear" w:color="000000" w:fill="E6E6E6"/>
            <w:vAlign w:val="center"/>
            <w:hideMark/>
          </w:tcPr>
          <w:p w14:paraId="3CA6DE87" w14:textId="77777777" w:rsidR="00AB34DE" w:rsidRPr="00BB240D" w:rsidRDefault="00AB34DE">
            <w:pPr>
              <w:jc w:val="right"/>
              <w:rPr>
                <w:b/>
                <w:bCs/>
                <w:sz w:val="16"/>
                <w:szCs w:val="16"/>
              </w:rPr>
            </w:pPr>
            <w:r w:rsidRPr="00BB240D">
              <w:rPr>
                <w:b/>
                <w:bCs/>
                <w:sz w:val="16"/>
                <w:szCs w:val="16"/>
              </w:rPr>
              <w:t>256 058</w:t>
            </w:r>
          </w:p>
        </w:tc>
      </w:tr>
      <w:tr w:rsidR="00AB34DE" w:rsidRPr="00BB240D" w14:paraId="30D87BC7" w14:textId="77777777" w:rsidTr="00895406">
        <w:trPr>
          <w:trHeight w:val="311"/>
          <w:jc w:val="center"/>
        </w:trPr>
        <w:tc>
          <w:tcPr>
            <w:tcW w:w="861" w:type="pct"/>
            <w:shd w:val="clear" w:color="auto" w:fill="auto"/>
            <w:vAlign w:val="center"/>
            <w:hideMark/>
          </w:tcPr>
          <w:p w14:paraId="537F717A" w14:textId="77777777" w:rsidR="00AB34DE" w:rsidRPr="00BB240D" w:rsidRDefault="00AB34DE">
            <w:pPr>
              <w:jc w:val="center"/>
              <w:rPr>
                <w:sz w:val="16"/>
                <w:szCs w:val="16"/>
              </w:rPr>
            </w:pPr>
            <w:r w:rsidRPr="00BB240D">
              <w:rPr>
                <w:sz w:val="16"/>
                <w:szCs w:val="16"/>
              </w:rPr>
              <w:t>0300.02.01</w:t>
            </w:r>
          </w:p>
        </w:tc>
        <w:tc>
          <w:tcPr>
            <w:tcW w:w="2341" w:type="pct"/>
            <w:shd w:val="clear" w:color="auto" w:fill="auto"/>
            <w:vAlign w:val="center"/>
            <w:hideMark/>
          </w:tcPr>
          <w:p w14:paraId="5B31408B" w14:textId="77777777" w:rsidR="00AB34DE" w:rsidRPr="00BB240D" w:rsidRDefault="00AB34DE">
            <w:pPr>
              <w:rPr>
                <w:sz w:val="16"/>
                <w:szCs w:val="16"/>
              </w:rPr>
            </w:pPr>
            <w:r w:rsidRPr="00BB240D">
              <w:rPr>
                <w:sz w:val="16"/>
                <w:szCs w:val="16"/>
              </w:rPr>
              <w:t>Бюджетна програма „Координация при управление на средствата от ЕС”</w:t>
            </w:r>
          </w:p>
        </w:tc>
        <w:tc>
          <w:tcPr>
            <w:tcW w:w="626" w:type="pct"/>
            <w:shd w:val="clear" w:color="auto" w:fill="auto"/>
            <w:vAlign w:val="center"/>
            <w:hideMark/>
          </w:tcPr>
          <w:p w14:paraId="0B85EB91" w14:textId="77777777" w:rsidR="00AB34DE" w:rsidRPr="00BB240D" w:rsidRDefault="00AB34DE">
            <w:pPr>
              <w:jc w:val="right"/>
              <w:rPr>
                <w:sz w:val="16"/>
                <w:szCs w:val="16"/>
              </w:rPr>
            </w:pPr>
            <w:r w:rsidRPr="00BB240D">
              <w:rPr>
                <w:sz w:val="16"/>
                <w:szCs w:val="16"/>
              </w:rPr>
              <w:t>501 800</w:t>
            </w:r>
          </w:p>
        </w:tc>
        <w:tc>
          <w:tcPr>
            <w:tcW w:w="626" w:type="pct"/>
            <w:shd w:val="clear" w:color="auto" w:fill="auto"/>
            <w:vAlign w:val="center"/>
            <w:hideMark/>
          </w:tcPr>
          <w:p w14:paraId="2BAACFB3" w14:textId="77777777" w:rsidR="00AB34DE" w:rsidRPr="00BB240D" w:rsidRDefault="00AB34DE">
            <w:pPr>
              <w:jc w:val="right"/>
              <w:rPr>
                <w:sz w:val="16"/>
                <w:szCs w:val="16"/>
              </w:rPr>
            </w:pPr>
            <w:r w:rsidRPr="00BB240D">
              <w:rPr>
                <w:sz w:val="16"/>
                <w:szCs w:val="16"/>
              </w:rPr>
              <w:t>501 800</w:t>
            </w:r>
          </w:p>
        </w:tc>
        <w:tc>
          <w:tcPr>
            <w:tcW w:w="547" w:type="pct"/>
            <w:shd w:val="clear" w:color="auto" w:fill="auto"/>
            <w:vAlign w:val="center"/>
            <w:hideMark/>
          </w:tcPr>
          <w:p w14:paraId="52EEDE71" w14:textId="77777777" w:rsidR="00AB34DE" w:rsidRPr="00BB240D" w:rsidRDefault="00AB34DE">
            <w:pPr>
              <w:jc w:val="right"/>
              <w:rPr>
                <w:sz w:val="16"/>
                <w:szCs w:val="16"/>
              </w:rPr>
            </w:pPr>
            <w:r w:rsidRPr="00BB240D">
              <w:rPr>
                <w:sz w:val="16"/>
                <w:szCs w:val="16"/>
              </w:rPr>
              <w:t>256 058</w:t>
            </w:r>
          </w:p>
        </w:tc>
      </w:tr>
      <w:tr w:rsidR="00AB34DE" w:rsidRPr="00BB240D" w14:paraId="4CC08748" w14:textId="77777777" w:rsidTr="00895406">
        <w:trPr>
          <w:trHeight w:val="132"/>
          <w:jc w:val="center"/>
        </w:trPr>
        <w:tc>
          <w:tcPr>
            <w:tcW w:w="861" w:type="pct"/>
            <w:shd w:val="clear" w:color="auto" w:fill="auto"/>
            <w:vAlign w:val="center"/>
            <w:hideMark/>
          </w:tcPr>
          <w:p w14:paraId="7C115C41" w14:textId="77777777" w:rsidR="00AB34DE" w:rsidRPr="00BB240D" w:rsidRDefault="00AB34DE">
            <w:pPr>
              <w:jc w:val="center"/>
              <w:rPr>
                <w:sz w:val="16"/>
                <w:szCs w:val="16"/>
              </w:rPr>
            </w:pPr>
            <w:r w:rsidRPr="00BB240D">
              <w:rPr>
                <w:sz w:val="16"/>
                <w:szCs w:val="16"/>
              </w:rPr>
              <w:t> </w:t>
            </w:r>
          </w:p>
        </w:tc>
        <w:tc>
          <w:tcPr>
            <w:tcW w:w="2341" w:type="pct"/>
            <w:shd w:val="clear" w:color="auto" w:fill="auto"/>
            <w:vAlign w:val="center"/>
            <w:hideMark/>
          </w:tcPr>
          <w:p w14:paraId="410D1715" w14:textId="77777777" w:rsidR="00AB34DE" w:rsidRPr="00BB240D" w:rsidRDefault="00AB34DE">
            <w:pPr>
              <w:rPr>
                <w:sz w:val="16"/>
                <w:szCs w:val="16"/>
              </w:rPr>
            </w:pPr>
            <w:r w:rsidRPr="00BB240D">
              <w:rPr>
                <w:sz w:val="16"/>
                <w:szCs w:val="16"/>
              </w:rPr>
              <w:t> </w:t>
            </w:r>
          </w:p>
        </w:tc>
        <w:tc>
          <w:tcPr>
            <w:tcW w:w="626" w:type="pct"/>
            <w:shd w:val="clear" w:color="auto" w:fill="auto"/>
            <w:vAlign w:val="center"/>
            <w:hideMark/>
          </w:tcPr>
          <w:p w14:paraId="2E3B6901" w14:textId="77777777" w:rsidR="00AB34DE" w:rsidRPr="00BB240D" w:rsidRDefault="00AB34DE">
            <w:pPr>
              <w:rPr>
                <w:sz w:val="16"/>
                <w:szCs w:val="16"/>
              </w:rPr>
            </w:pPr>
            <w:r w:rsidRPr="00BB240D">
              <w:rPr>
                <w:sz w:val="16"/>
                <w:szCs w:val="16"/>
              </w:rPr>
              <w:t> </w:t>
            </w:r>
          </w:p>
        </w:tc>
        <w:tc>
          <w:tcPr>
            <w:tcW w:w="626" w:type="pct"/>
            <w:shd w:val="clear" w:color="auto" w:fill="auto"/>
            <w:vAlign w:val="center"/>
            <w:hideMark/>
          </w:tcPr>
          <w:p w14:paraId="3838262D" w14:textId="77777777" w:rsidR="00AB34DE" w:rsidRPr="00BB240D" w:rsidRDefault="00AB34DE">
            <w:pPr>
              <w:rPr>
                <w:sz w:val="16"/>
                <w:szCs w:val="16"/>
              </w:rPr>
            </w:pPr>
            <w:r w:rsidRPr="00BB240D">
              <w:rPr>
                <w:sz w:val="16"/>
                <w:szCs w:val="16"/>
              </w:rPr>
              <w:t> </w:t>
            </w:r>
          </w:p>
        </w:tc>
        <w:tc>
          <w:tcPr>
            <w:tcW w:w="547" w:type="pct"/>
            <w:shd w:val="clear" w:color="auto" w:fill="auto"/>
            <w:vAlign w:val="center"/>
            <w:hideMark/>
          </w:tcPr>
          <w:p w14:paraId="5D1D6BE1" w14:textId="77777777" w:rsidR="00AB34DE" w:rsidRPr="00BB240D" w:rsidRDefault="00AB34DE">
            <w:pPr>
              <w:rPr>
                <w:sz w:val="16"/>
                <w:szCs w:val="16"/>
              </w:rPr>
            </w:pPr>
            <w:r w:rsidRPr="00BB240D">
              <w:rPr>
                <w:sz w:val="16"/>
                <w:szCs w:val="16"/>
              </w:rPr>
              <w:t> </w:t>
            </w:r>
          </w:p>
        </w:tc>
      </w:tr>
      <w:tr w:rsidR="00AB34DE" w:rsidRPr="00BB240D" w14:paraId="2089B580" w14:textId="77777777" w:rsidTr="00895406">
        <w:trPr>
          <w:trHeight w:val="435"/>
          <w:jc w:val="center"/>
        </w:trPr>
        <w:tc>
          <w:tcPr>
            <w:tcW w:w="861" w:type="pct"/>
            <w:shd w:val="clear" w:color="000000" w:fill="E6E6E6"/>
            <w:vAlign w:val="center"/>
            <w:hideMark/>
          </w:tcPr>
          <w:p w14:paraId="1112A841" w14:textId="77777777" w:rsidR="00AB34DE" w:rsidRPr="00BB240D" w:rsidRDefault="00AB34DE">
            <w:pPr>
              <w:jc w:val="center"/>
              <w:rPr>
                <w:b/>
                <w:bCs/>
                <w:sz w:val="16"/>
                <w:szCs w:val="16"/>
              </w:rPr>
            </w:pPr>
            <w:r w:rsidRPr="00BB240D">
              <w:rPr>
                <w:b/>
                <w:bCs/>
                <w:sz w:val="16"/>
                <w:szCs w:val="16"/>
              </w:rPr>
              <w:t>0300.03.00</w:t>
            </w:r>
          </w:p>
        </w:tc>
        <w:tc>
          <w:tcPr>
            <w:tcW w:w="2341" w:type="pct"/>
            <w:shd w:val="clear" w:color="000000" w:fill="E6E6E6"/>
            <w:vAlign w:val="center"/>
            <w:hideMark/>
          </w:tcPr>
          <w:p w14:paraId="13CD89F3" w14:textId="77777777" w:rsidR="00AB34DE" w:rsidRPr="00BB240D" w:rsidRDefault="00AB34DE">
            <w:pPr>
              <w:rPr>
                <w:b/>
                <w:bCs/>
                <w:sz w:val="16"/>
                <w:szCs w:val="16"/>
              </w:rPr>
            </w:pPr>
            <w:r w:rsidRPr="00BB240D">
              <w:rPr>
                <w:b/>
                <w:bCs/>
                <w:sz w:val="16"/>
                <w:szCs w:val="16"/>
              </w:rPr>
              <w:t>Политика в областта на осъществяването на държавните функции на територията на областите в България</w:t>
            </w:r>
          </w:p>
        </w:tc>
        <w:tc>
          <w:tcPr>
            <w:tcW w:w="626" w:type="pct"/>
            <w:shd w:val="clear" w:color="000000" w:fill="E6E6E6"/>
            <w:vAlign w:val="center"/>
            <w:hideMark/>
          </w:tcPr>
          <w:p w14:paraId="4F31FBEE" w14:textId="77777777" w:rsidR="00AB34DE" w:rsidRPr="00BB240D" w:rsidRDefault="00AB34DE">
            <w:pPr>
              <w:jc w:val="right"/>
              <w:rPr>
                <w:b/>
                <w:bCs/>
                <w:sz w:val="16"/>
                <w:szCs w:val="16"/>
              </w:rPr>
            </w:pPr>
            <w:r w:rsidRPr="00BB240D">
              <w:rPr>
                <w:b/>
                <w:bCs/>
                <w:sz w:val="16"/>
                <w:szCs w:val="16"/>
              </w:rPr>
              <w:t>72 493 600</w:t>
            </w:r>
          </w:p>
        </w:tc>
        <w:tc>
          <w:tcPr>
            <w:tcW w:w="626" w:type="pct"/>
            <w:shd w:val="clear" w:color="000000" w:fill="E6E6E6"/>
            <w:vAlign w:val="center"/>
            <w:hideMark/>
          </w:tcPr>
          <w:p w14:paraId="4B9AAC55" w14:textId="77777777" w:rsidR="00AB34DE" w:rsidRPr="00BB240D" w:rsidRDefault="00AB34DE">
            <w:pPr>
              <w:jc w:val="right"/>
              <w:rPr>
                <w:b/>
                <w:bCs/>
                <w:sz w:val="16"/>
                <w:szCs w:val="16"/>
              </w:rPr>
            </w:pPr>
            <w:r w:rsidRPr="00BB240D">
              <w:rPr>
                <w:b/>
                <w:bCs/>
                <w:sz w:val="16"/>
                <w:szCs w:val="16"/>
              </w:rPr>
              <w:t>73 197 760</w:t>
            </w:r>
          </w:p>
        </w:tc>
        <w:tc>
          <w:tcPr>
            <w:tcW w:w="547" w:type="pct"/>
            <w:shd w:val="clear" w:color="000000" w:fill="E6E6E6"/>
            <w:vAlign w:val="center"/>
            <w:hideMark/>
          </w:tcPr>
          <w:p w14:paraId="07D20EAD" w14:textId="77777777" w:rsidR="00AB34DE" w:rsidRPr="00BB240D" w:rsidRDefault="00AB34DE">
            <w:pPr>
              <w:jc w:val="right"/>
              <w:rPr>
                <w:b/>
                <w:bCs/>
                <w:sz w:val="16"/>
                <w:szCs w:val="16"/>
              </w:rPr>
            </w:pPr>
            <w:r w:rsidRPr="00BB240D">
              <w:rPr>
                <w:b/>
                <w:bCs/>
                <w:sz w:val="16"/>
                <w:szCs w:val="16"/>
              </w:rPr>
              <w:t>22 873 568</w:t>
            </w:r>
          </w:p>
        </w:tc>
      </w:tr>
      <w:tr w:rsidR="00AB34DE" w:rsidRPr="00BB240D" w14:paraId="3EEA6E8B" w14:textId="77777777" w:rsidTr="00895406">
        <w:trPr>
          <w:trHeight w:val="327"/>
          <w:jc w:val="center"/>
        </w:trPr>
        <w:tc>
          <w:tcPr>
            <w:tcW w:w="861" w:type="pct"/>
            <w:shd w:val="clear" w:color="auto" w:fill="auto"/>
            <w:vAlign w:val="center"/>
            <w:hideMark/>
          </w:tcPr>
          <w:p w14:paraId="5E04C13F" w14:textId="77777777" w:rsidR="00AB34DE" w:rsidRPr="00BB240D" w:rsidRDefault="00AB34DE">
            <w:pPr>
              <w:jc w:val="center"/>
              <w:rPr>
                <w:sz w:val="16"/>
                <w:szCs w:val="16"/>
              </w:rPr>
            </w:pPr>
            <w:r w:rsidRPr="00BB240D">
              <w:rPr>
                <w:sz w:val="16"/>
                <w:szCs w:val="16"/>
              </w:rPr>
              <w:t>0300.03.01</w:t>
            </w:r>
          </w:p>
        </w:tc>
        <w:tc>
          <w:tcPr>
            <w:tcW w:w="2341" w:type="pct"/>
            <w:shd w:val="clear" w:color="auto" w:fill="auto"/>
            <w:vAlign w:val="center"/>
            <w:hideMark/>
          </w:tcPr>
          <w:p w14:paraId="77766E3E" w14:textId="77777777" w:rsidR="00AB34DE" w:rsidRPr="00BB240D" w:rsidRDefault="00AB34DE">
            <w:pPr>
              <w:rPr>
                <w:sz w:val="16"/>
                <w:szCs w:val="16"/>
              </w:rPr>
            </w:pPr>
            <w:r w:rsidRPr="00BB240D">
              <w:rPr>
                <w:sz w:val="16"/>
                <w:szCs w:val="16"/>
              </w:rPr>
              <w:t>Бюджетна програма „Осъществяване на държавната политика на областно ниво”</w:t>
            </w:r>
          </w:p>
        </w:tc>
        <w:tc>
          <w:tcPr>
            <w:tcW w:w="626" w:type="pct"/>
            <w:shd w:val="clear" w:color="auto" w:fill="auto"/>
            <w:vAlign w:val="center"/>
            <w:hideMark/>
          </w:tcPr>
          <w:p w14:paraId="157030FE" w14:textId="77777777" w:rsidR="00AB34DE" w:rsidRPr="00BB240D" w:rsidRDefault="00AB34DE">
            <w:pPr>
              <w:jc w:val="right"/>
              <w:rPr>
                <w:sz w:val="16"/>
                <w:szCs w:val="16"/>
              </w:rPr>
            </w:pPr>
            <w:r w:rsidRPr="00BB240D">
              <w:rPr>
                <w:sz w:val="16"/>
                <w:szCs w:val="16"/>
              </w:rPr>
              <w:t>72 493 600</w:t>
            </w:r>
          </w:p>
        </w:tc>
        <w:tc>
          <w:tcPr>
            <w:tcW w:w="626" w:type="pct"/>
            <w:shd w:val="clear" w:color="auto" w:fill="auto"/>
            <w:vAlign w:val="center"/>
            <w:hideMark/>
          </w:tcPr>
          <w:p w14:paraId="0C144C7B" w14:textId="77777777" w:rsidR="00AB34DE" w:rsidRPr="00BB240D" w:rsidRDefault="00AB34DE">
            <w:pPr>
              <w:jc w:val="right"/>
              <w:rPr>
                <w:sz w:val="16"/>
                <w:szCs w:val="16"/>
              </w:rPr>
            </w:pPr>
            <w:r w:rsidRPr="00BB240D">
              <w:rPr>
                <w:sz w:val="16"/>
                <w:szCs w:val="16"/>
              </w:rPr>
              <w:t>73 197 760</w:t>
            </w:r>
          </w:p>
        </w:tc>
        <w:tc>
          <w:tcPr>
            <w:tcW w:w="547" w:type="pct"/>
            <w:shd w:val="clear" w:color="auto" w:fill="auto"/>
            <w:vAlign w:val="center"/>
            <w:hideMark/>
          </w:tcPr>
          <w:p w14:paraId="01C6B3C0" w14:textId="77777777" w:rsidR="00AB34DE" w:rsidRPr="00BB240D" w:rsidRDefault="00AB34DE">
            <w:pPr>
              <w:jc w:val="right"/>
              <w:rPr>
                <w:sz w:val="16"/>
                <w:szCs w:val="16"/>
              </w:rPr>
            </w:pPr>
            <w:r w:rsidRPr="00BB240D">
              <w:rPr>
                <w:sz w:val="16"/>
                <w:szCs w:val="16"/>
              </w:rPr>
              <w:t>22 873 568</w:t>
            </w:r>
          </w:p>
        </w:tc>
      </w:tr>
      <w:tr w:rsidR="00AB34DE" w:rsidRPr="00BB240D" w14:paraId="2C850BE4" w14:textId="77777777" w:rsidTr="00895406">
        <w:trPr>
          <w:trHeight w:val="91"/>
          <w:jc w:val="center"/>
        </w:trPr>
        <w:tc>
          <w:tcPr>
            <w:tcW w:w="861" w:type="pct"/>
            <w:shd w:val="clear" w:color="auto" w:fill="auto"/>
            <w:vAlign w:val="center"/>
            <w:hideMark/>
          </w:tcPr>
          <w:p w14:paraId="429FA144" w14:textId="77777777" w:rsidR="00AB34DE" w:rsidRPr="00BB240D" w:rsidRDefault="00AB34DE">
            <w:pPr>
              <w:jc w:val="center"/>
              <w:rPr>
                <w:sz w:val="16"/>
                <w:szCs w:val="16"/>
              </w:rPr>
            </w:pPr>
            <w:r w:rsidRPr="00BB240D">
              <w:rPr>
                <w:sz w:val="16"/>
                <w:szCs w:val="16"/>
              </w:rPr>
              <w:t> </w:t>
            </w:r>
          </w:p>
        </w:tc>
        <w:tc>
          <w:tcPr>
            <w:tcW w:w="2341" w:type="pct"/>
            <w:shd w:val="clear" w:color="auto" w:fill="auto"/>
            <w:vAlign w:val="center"/>
            <w:hideMark/>
          </w:tcPr>
          <w:p w14:paraId="00FA8539" w14:textId="77777777" w:rsidR="00AB34DE" w:rsidRPr="00BB240D" w:rsidRDefault="00AB34DE">
            <w:pPr>
              <w:rPr>
                <w:sz w:val="16"/>
                <w:szCs w:val="16"/>
              </w:rPr>
            </w:pPr>
            <w:r w:rsidRPr="00BB240D">
              <w:rPr>
                <w:sz w:val="16"/>
                <w:szCs w:val="16"/>
              </w:rPr>
              <w:t> </w:t>
            </w:r>
          </w:p>
        </w:tc>
        <w:tc>
          <w:tcPr>
            <w:tcW w:w="626" w:type="pct"/>
            <w:shd w:val="clear" w:color="auto" w:fill="auto"/>
            <w:vAlign w:val="center"/>
            <w:hideMark/>
          </w:tcPr>
          <w:p w14:paraId="25D5952E" w14:textId="77777777" w:rsidR="00AB34DE" w:rsidRPr="00BB240D" w:rsidRDefault="00AB34DE">
            <w:pPr>
              <w:rPr>
                <w:sz w:val="16"/>
                <w:szCs w:val="16"/>
              </w:rPr>
            </w:pPr>
            <w:r w:rsidRPr="00BB240D">
              <w:rPr>
                <w:sz w:val="16"/>
                <w:szCs w:val="16"/>
              </w:rPr>
              <w:t> </w:t>
            </w:r>
          </w:p>
        </w:tc>
        <w:tc>
          <w:tcPr>
            <w:tcW w:w="626" w:type="pct"/>
            <w:shd w:val="clear" w:color="auto" w:fill="auto"/>
            <w:vAlign w:val="center"/>
            <w:hideMark/>
          </w:tcPr>
          <w:p w14:paraId="0DC8C568" w14:textId="77777777" w:rsidR="00AB34DE" w:rsidRPr="00BB240D" w:rsidRDefault="00AB34DE">
            <w:pPr>
              <w:rPr>
                <w:sz w:val="16"/>
                <w:szCs w:val="16"/>
              </w:rPr>
            </w:pPr>
            <w:r w:rsidRPr="00BB240D">
              <w:rPr>
                <w:sz w:val="16"/>
                <w:szCs w:val="16"/>
              </w:rPr>
              <w:t> </w:t>
            </w:r>
          </w:p>
        </w:tc>
        <w:tc>
          <w:tcPr>
            <w:tcW w:w="547" w:type="pct"/>
            <w:shd w:val="clear" w:color="auto" w:fill="auto"/>
            <w:vAlign w:val="center"/>
            <w:hideMark/>
          </w:tcPr>
          <w:p w14:paraId="6A49CE87" w14:textId="77777777" w:rsidR="00AB34DE" w:rsidRPr="00BB240D" w:rsidRDefault="00AB34DE">
            <w:pPr>
              <w:rPr>
                <w:sz w:val="16"/>
                <w:szCs w:val="16"/>
              </w:rPr>
            </w:pPr>
            <w:r w:rsidRPr="00BB240D">
              <w:rPr>
                <w:sz w:val="16"/>
                <w:szCs w:val="16"/>
              </w:rPr>
              <w:t> </w:t>
            </w:r>
          </w:p>
        </w:tc>
      </w:tr>
      <w:tr w:rsidR="00AB34DE" w:rsidRPr="00BB240D" w14:paraId="4813FAC6" w14:textId="77777777" w:rsidTr="00895406">
        <w:trPr>
          <w:trHeight w:val="251"/>
          <w:jc w:val="center"/>
        </w:trPr>
        <w:tc>
          <w:tcPr>
            <w:tcW w:w="861" w:type="pct"/>
            <w:shd w:val="clear" w:color="000000" w:fill="E6E6E6"/>
            <w:vAlign w:val="center"/>
            <w:hideMark/>
          </w:tcPr>
          <w:p w14:paraId="0725E8C6" w14:textId="77777777" w:rsidR="00AB34DE" w:rsidRPr="00BB240D" w:rsidRDefault="00AB34DE">
            <w:pPr>
              <w:jc w:val="center"/>
              <w:rPr>
                <w:b/>
                <w:bCs/>
                <w:sz w:val="16"/>
                <w:szCs w:val="16"/>
              </w:rPr>
            </w:pPr>
            <w:r w:rsidRPr="00BB240D">
              <w:rPr>
                <w:b/>
                <w:bCs/>
                <w:sz w:val="16"/>
                <w:szCs w:val="16"/>
              </w:rPr>
              <w:t>0300.04.00</w:t>
            </w:r>
          </w:p>
        </w:tc>
        <w:tc>
          <w:tcPr>
            <w:tcW w:w="2341" w:type="pct"/>
            <w:shd w:val="clear" w:color="000000" w:fill="E6E6E6"/>
            <w:vAlign w:val="center"/>
            <w:hideMark/>
          </w:tcPr>
          <w:p w14:paraId="545F9738" w14:textId="77777777" w:rsidR="00AB34DE" w:rsidRPr="00BB240D" w:rsidRDefault="00AB34DE">
            <w:pPr>
              <w:rPr>
                <w:b/>
                <w:bCs/>
                <w:sz w:val="16"/>
                <w:szCs w:val="16"/>
              </w:rPr>
            </w:pPr>
            <w:r w:rsidRPr="00BB240D">
              <w:rPr>
                <w:b/>
                <w:bCs/>
                <w:sz w:val="16"/>
                <w:szCs w:val="16"/>
              </w:rPr>
              <w:t>Политика в областта на правото на вероизповедание</w:t>
            </w:r>
          </w:p>
        </w:tc>
        <w:tc>
          <w:tcPr>
            <w:tcW w:w="626" w:type="pct"/>
            <w:shd w:val="clear" w:color="000000" w:fill="E6E6E6"/>
            <w:vAlign w:val="center"/>
            <w:hideMark/>
          </w:tcPr>
          <w:p w14:paraId="72392E62" w14:textId="77777777" w:rsidR="00AB34DE" w:rsidRPr="00BB240D" w:rsidRDefault="00AB34DE">
            <w:pPr>
              <w:jc w:val="right"/>
              <w:rPr>
                <w:b/>
                <w:bCs/>
                <w:sz w:val="16"/>
                <w:szCs w:val="16"/>
              </w:rPr>
            </w:pPr>
            <w:r w:rsidRPr="00BB240D">
              <w:rPr>
                <w:b/>
                <w:bCs/>
                <w:sz w:val="16"/>
                <w:szCs w:val="16"/>
              </w:rPr>
              <w:t>78 368 600</w:t>
            </w:r>
          </w:p>
        </w:tc>
        <w:tc>
          <w:tcPr>
            <w:tcW w:w="626" w:type="pct"/>
            <w:shd w:val="clear" w:color="000000" w:fill="E6E6E6"/>
            <w:vAlign w:val="center"/>
            <w:hideMark/>
          </w:tcPr>
          <w:p w14:paraId="16B56D26" w14:textId="77777777" w:rsidR="00AB34DE" w:rsidRPr="00BB240D" w:rsidRDefault="00AB34DE">
            <w:pPr>
              <w:jc w:val="right"/>
              <w:rPr>
                <w:b/>
                <w:bCs/>
                <w:sz w:val="16"/>
                <w:szCs w:val="16"/>
              </w:rPr>
            </w:pPr>
            <w:r w:rsidRPr="00BB240D">
              <w:rPr>
                <w:b/>
                <w:bCs/>
                <w:sz w:val="16"/>
                <w:szCs w:val="16"/>
              </w:rPr>
              <w:t>82 313 687</w:t>
            </w:r>
          </w:p>
        </w:tc>
        <w:tc>
          <w:tcPr>
            <w:tcW w:w="547" w:type="pct"/>
            <w:shd w:val="clear" w:color="000000" w:fill="E6E6E6"/>
            <w:vAlign w:val="center"/>
            <w:hideMark/>
          </w:tcPr>
          <w:p w14:paraId="492914E9" w14:textId="77777777" w:rsidR="00AB34DE" w:rsidRPr="00BB240D" w:rsidRDefault="00AB34DE">
            <w:pPr>
              <w:jc w:val="right"/>
              <w:rPr>
                <w:b/>
                <w:bCs/>
                <w:sz w:val="16"/>
                <w:szCs w:val="16"/>
              </w:rPr>
            </w:pPr>
            <w:r w:rsidRPr="00BB240D">
              <w:rPr>
                <w:b/>
                <w:bCs/>
                <w:sz w:val="16"/>
                <w:szCs w:val="16"/>
              </w:rPr>
              <w:t>39 083 117</w:t>
            </w:r>
          </w:p>
        </w:tc>
      </w:tr>
      <w:tr w:rsidR="00AB34DE" w:rsidRPr="00BB240D" w14:paraId="39434017" w14:textId="77777777" w:rsidTr="00895406">
        <w:trPr>
          <w:trHeight w:val="269"/>
          <w:jc w:val="center"/>
        </w:trPr>
        <w:tc>
          <w:tcPr>
            <w:tcW w:w="861" w:type="pct"/>
            <w:shd w:val="clear" w:color="auto" w:fill="auto"/>
            <w:vAlign w:val="center"/>
            <w:hideMark/>
          </w:tcPr>
          <w:p w14:paraId="41884663" w14:textId="77777777" w:rsidR="00AB34DE" w:rsidRPr="00BB240D" w:rsidRDefault="00AB34DE">
            <w:pPr>
              <w:jc w:val="center"/>
              <w:rPr>
                <w:sz w:val="16"/>
                <w:szCs w:val="16"/>
              </w:rPr>
            </w:pPr>
            <w:r w:rsidRPr="00BB240D">
              <w:rPr>
                <w:sz w:val="16"/>
                <w:szCs w:val="16"/>
              </w:rPr>
              <w:t>0300.04.01</w:t>
            </w:r>
          </w:p>
        </w:tc>
        <w:tc>
          <w:tcPr>
            <w:tcW w:w="2341" w:type="pct"/>
            <w:shd w:val="clear" w:color="auto" w:fill="auto"/>
            <w:vAlign w:val="center"/>
            <w:hideMark/>
          </w:tcPr>
          <w:p w14:paraId="2401103E" w14:textId="77777777" w:rsidR="00AB34DE" w:rsidRPr="00BB240D" w:rsidRDefault="00AB34DE">
            <w:pPr>
              <w:rPr>
                <w:sz w:val="16"/>
                <w:szCs w:val="16"/>
              </w:rPr>
            </w:pPr>
            <w:r w:rsidRPr="00BB240D">
              <w:rPr>
                <w:sz w:val="16"/>
                <w:szCs w:val="16"/>
              </w:rPr>
              <w:t>Бюджетна програма „Вероизповедания”</w:t>
            </w:r>
          </w:p>
        </w:tc>
        <w:tc>
          <w:tcPr>
            <w:tcW w:w="626" w:type="pct"/>
            <w:shd w:val="clear" w:color="auto" w:fill="auto"/>
            <w:vAlign w:val="center"/>
            <w:hideMark/>
          </w:tcPr>
          <w:p w14:paraId="57D8F0EA" w14:textId="77777777" w:rsidR="00AB34DE" w:rsidRPr="00BB240D" w:rsidRDefault="00AB34DE">
            <w:pPr>
              <w:jc w:val="right"/>
              <w:rPr>
                <w:sz w:val="16"/>
                <w:szCs w:val="16"/>
              </w:rPr>
            </w:pPr>
            <w:r w:rsidRPr="00BB240D">
              <w:rPr>
                <w:sz w:val="16"/>
                <w:szCs w:val="16"/>
              </w:rPr>
              <w:t>78 368 600</w:t>
            </w:r>
          </w:p>
        </w:tc>
        <w:tc>
          <w:tcPr>
            <w:tcW w:w="626" w:type="pct"/>
            <w:shd w:val="clear" w:color="auto" w:fill="auto"/>
            <w:vAlign w:val="center"/>
            <w:hideMark/>
          </w:tcPr>
          <w:p w14:paraId="389F2B68" w14:textId="77777777" w:rsidR="00AB34DE" w:rsidRPr="00BB240D" w:rsidRDefault="00AB34DE">
            <w:pPr>
              <w:jc w:val="right"/>
              <w:rPr>
                <w:sz w:val="16"/>
                <w:szCs w:val="16"/>
              </w:rPr>
            </w:pPr>
            <w:r w:rsidRPr="00BB240D">
              <w:rPr>
                <w:sz w:val="16"/>
                <w:szCs w:val="16"/>
              </w:rPr>
              <w:t>82 313 687</w:t>
            </w:r>
          </w:p>
        </w:tc>
        <w:tc>
          <w:tcPr>
            <w:tcW w:w="547" w:type="pct"/>
            <w:shd w:val="clear" w:color="auto" w:fill="auto"/>
            <w:vAlign w:val="center"/>
            <w:hideMark/>
          </w:tcPr>
          <w:p w14:paraId="4D510BEC" w14:textId="77777777" w:rsidR="00AB34DE" w:rsidRPr="00BB240D" w:rsidRDefault="00AB34DE">
            <w:pPr>
              <w:jc w:val="right"/>
              <w:rPr>
                <w:sz w:val="16"/>
                <w:szCs w:val="16"/>
              </w:rPr>
            </w:pPr>
            <w:r w:rsidRPr="00BB240D">
              <w:rPr>
                <w:sz w:val="16"/>
                <w:szCs w:val="16"/>
              </w:rPr>
              <w:t>39 083 117</w:t>
            </w:r>
          </w:p>
        </w:tc>
      </w:tr>
      <w:tr w:rsidR="00AB34DE" w:rsidRPr="00BB240D" w14:paraId="6D6ADFF5" w14:textId="77777777" w:rsidTr="00895406">
        <w:trPr>
          <w:trHeight w:val="173"/>
          <w:jc w:val="center"/>
        </w:trPr>
        <w:tc>
          <w:tcPr>
            <w:tcW w:w="861" w:type="pct"/>
            <w:shd w:val="clear" w:color="auto" w:fill="auto"/>
            <w:vAlign w:val="center"/>
            <w:hideMark/>
          </w:tcPr>
          <w:p w14:paraId="63FE86A6" w14:textId="77777777" w:rsidR="00AB34DE" w:rsidRPr="00BB240D" w:rsidRDefault="00AB34DE">
            <w:pPr>
              <w:jc w:val="center"/>
              <w:rPr>
                <w:sz w:val="16"/>
                <w:szCs w:val="16"/>
              </w:rPr>
            </w:pPr>
            <w:r w:rsidRPr="00BB240D">
              <w:rPr>
                <w:sz w:val="16"/>
                <w:szCs w:val="16"/>
              </w:rPr>
              <w:t> </w:t>
            </w:r>
          </w:p>
        </w:tc>
        <w:tc>
          <w:tcPr>
            <w:tcW w:w="2341" w:type="pct"/>
            <w:shd w:val="clear" w:color="auto" w:fill="auto"/>
            <w:vAlign w:val="center"/>
            <w:hideMark/>
          </w:tcPr>
          <w:p w14:paraId="36807568" w14:textId="77777777" w:rsidR="00AB34DE" w:rsidRPr="00BB240D" w:rsidRDefault="00AB34DE">
            <w:pPr>
              <w:rPr>
                <w:sz w:val="16"/>
                <w:szCs w:val="16"/>
              </w:rPr>
            </w:pPr>
            <w:r w:rsidRPr="00BB240D">
              <w:rPr>
                <w:sz w:val="16"/>
                <w:szCs w:val="16"/>
              </w:rPr>
              <w:t> </w:t>
            </w:r>
          </w:p>
        </w:tc>
        <w:tc>
          <w:tcPr>
            <w:tcW w:w="626" w:type="pct"/>
            <w:shd w:val="clear" w:color="auto" w:fill="auto"/>
            <w:vAlign w:val="center"/>
            <w:hideMark/>
          </w:tcPr>
          <w:p w14:paraId="7924EE38" w14:textId="77777777" w:rsidR="00AB34DE" w:rsidRPr="00BB240D" w:rsidRDefault="00AB34DE">
            <w:pPr>
              <w:rPr>
                <w:sz w:val="16"/>
                <w:szCs w:val="16"/>
              </w:rPr>
            </w:pPr>
            <w:r w:rsidRPr="00BB240D">
              <w:rPr>
                <w:sz w:val="16"/>
                <w:szCs w:val="16"/>
              </w:rPr>
              <w:t> </w:t>
            </w:r>
          </w:p>
        </w:tc>
        <w:tc>
          <w:tcPr>
            <w:tcW w:w="626" w:type="pct"/>
            <w:shd w:val="clear" w:color="auto" w:fill="auto"/>
            <w:vAlign w:val="center"/>
            <w:hideMark/>
          </w:tcPr>
          <w:p w14:paraId="18D3D993" w14:textId="77777777" w:rsidR="00AB34DE" w:rsidRPr="00BB240D" w:rsidRDefault="00AB34DE">
            <w:pPr>
              <w:rPr>
                <w:sz w:val="16"/>
                <w:szCs w:val="16"/>
              </w:rPr>
            </w:pPr>
            <w:r w:rsidRPr="00BB240D">
              <w:rPr>
                <w:sz w:val="16"/>
                <w:szCs w:val="16"/>
              </w:rPr>
              <w:t> </w:t>
            </w:r>
          </w:p>
        </w:tc>
        <w:tc>
          <w:tcPr>
            <w:tcW w:w="547" w:type="pct"/>
            <w:shd w:val="clear" w:color="auto" w:fill="auto"/>
            <w:vAlign w:val="center"/>
            <w:hideMark/>
          </w:tcPr>
          <w:p w14:paraId="124EA05E" w14:textId="77777777" w:rsidR="00AB34DE" w:rsidRPr="00BB240D" w:rsidRDefault="00AB34DE">
            <w:pPr>
              <w:rPr>
                <w:sz w:val="16"/>
                <w:szCs w:val="16"/>
              </w:rPr>
            </w:pPr>
            <w:r w:rsidRPr="00BB240D">
              <w:rPr>
                <w:sz w:val="16"/>
                <w:szCs w:val="16"/>
              </w:rPr>
              <w:t> </w:t>
            </w:r>
          </w:p>
        </w:tc>
      </w:tr>
      <w:tr w:rsidR="00AB34DE" w:rsidRPr="00BB240D" w14:paraId="1A61DC51" w14:textId="77777777" w:rsidTr="00895406">
        <w:trPr>
          <w:trHeight w:val="249"/>
          <w:jc w:val="center"/>
        </w:trPr>
        <w:tc>
          <w:tcPr>
            <w:tcW w:w="861" w:type="pct"/>
            <w:shd w:val="clear" w:color="000000" w:fill="E6E6E6"/>
            <w:vAlign w:val="center"/>
            <w:hideMark/>
          </w:tcPr>
          <w:p w14:paraId="381EA17B" w14:textId="77777777" w:rsidR="00AB34DE" w:rsidRPr="00BB240D" w:rsidRDefault="00AB34DE">
            <w:pPr>
              <w:jc w:val="center"/>
              <w:rPr>
                <w:b/>
                <w:bCs/>
                <w:sz w:val="16"/>
                <w:szCs w:val="16"/>
              </w:rPr>
            </w:pPr>
            <w:r w:rsidRPr="00BB240D">
              <w:rPr>
                <w:b/>
                <w:bCs/>
                <w:sz w:val="16"/>
                <w:szCs w:val="16"/>
              </w:rPr>
              <w:t>0300.05.00</w:t>
            </w:r>
          </w:p>
        </w:tc>
        <w:tc>
          <w:tcPr>
            <w:tcW w:w="2341" w:type="pct"/>
            <w:shd w:val="clear" w:color="000000" w:fill="E6E6E6"/>
            <w:vAlign w:val="center"/>
            <w:hideMark/>
          </w:tcPr>
          <w:p w14:paraId="0A25BFAF" w14:textId="77777777" w:rsidR="00AB34DE" w:rsidRPr="00BB240D" w:rsidRDefault="00AB34DE">
            <w:pPr>
              <w:rPr>
                <w:b/>
                <w:bCs/>
                <w:sz w:val="16"/>
                <w:szCs w:val="16"/>
              </w:rPr>
            </w:pPr>
            <w:r w:rsidRPr="00BB240D">
              <w:rPr>
                <w:b/>
                <w:bCs/>
                <w:sz w:val="16"/>
                <w:szCs w:val="16"/>
              </w:rPr>
              <w:t>Политика в областта на архивното дело</w:t>
            </w:r>
          </w:p>
        </w:tc>
        <w:tc>
          <w:tcPr>
            <w:tcW w:w="626" w:type="pct"/>
            <w:shd w:val="clear" w:color="000000" w:fill="E6E6E6"/>
            <w:vAlign w:val="center"/>
            <w:hideMark/>
          </w:tcPr>
          <w:p w14:paraId="65374170" w14:textId="77777777" w:rsidR="00AB34DE" w:rsidRPr="00BB240D" w:rsidRDefault="00AB34DE">
            <w:pPr>
              <w:jc w:val="right"/>
              <w:rPr>
                <w:b/>
                <w:bCs/>
                <w:sz w:val="16"/>
                <w:szCs w:val="16"/>
              </w:rPr>
            </w:pPr>
            <w:r w:rsidRPr="00BB240D">
              <w:rPr>
                <w:b/>
                <w:bCs/>
                <w:sz w:val="16"/>
                <w:szCs w:val="16"/>
              </w:rPr>
              <w:t>13 746 700</w:t>
            </w:r>
          </w:p>
        </w:tc>
        <w:tc>
          <w:tcPr>
            <w:tcW w:w="626" w:type="pct"/>
            <w:shd w:val="clear" w:color="000000" w:fill="E6E6E6"/>
            <w:vAlign w:val="center"/>
            <w:hideMark/>
          </w:tcPr>
          <w:p w14:paraId="13D64D9E" w14:textId="77777777" w:rsidR="00AB34DE" w:rsidRPr="00BB240D" w:rsidRDefault="00AB34DE">
            <w:pPr>
              <w:jc w:val="right"/>
              <w:rPr>
                <w:b/>
                <w:bCs/>
                <w:sz w:val="16"/>
                <w:szCs w:val="16"/>
              </w:rPr>
            </w:pPr>
            <w:r w:rsidRPr="00BB240D">
              <w:rPr>
                <w:b/>
                <w:bCs/>
                <w:sz w:val="16"/>
                <w:szCs w:val="16"/>
              </w:rPr>
              <w:t>13 746 700</w:t>
            </w:r>
          </w:p>
        </w:tc>
        <w:tc>
          <w:tcPr>
            <w:tcW w:w="547" w:type="pct"/>
            <w:shd w:val="clear" w:color="000000" w:fill="E6E6E6"/>
            <w:vAlign w:val="center"/>
            <w:hideMark/>
          </w:tcPr>
          <w:p w14:paraId="1F6C5767" w14:textId="77777777" w:rsidR="00AB34DE" w:rsidRPr="00BB240D" w:rsidRDefault="00AB34DE">
            <w:pPr>
              <w:jc w:val="right"/>
              <w:rPr>
                <w:b/>
                <w:bCs/>
                <w:sz w:val="16"/>
                <w:szCs w:val="16"/>
              </w:rPr>
            </w:pPr>
            <w:r w:rsidRPr="00BB240D">
              <w:rPr>
                <w:b/>
                <w:bCs/>
                <w:sz w:val="16"/>
                <w:szCs w:val="16"/>
              </w:rPr>
              <w:t>6 218 270</w:t>
            </w:r>
          </w:p>
        </w:tc>
      </w:tr>
      <w:tr w:rsidR="00AB34DE" w:rsidRPr="00BB240D" w14:paraId="008A6253" w14:textId="77777777" w:rsidTr="00895406">
        <w:trPr>
          <w:trHeight w:val="267"/>
          <w:jc w:val="center"/>
        </w:trPr>
        <w:tc>
          <w:tcPr>
            <w:tcW w:w="861" w:type="pct"/>
            <w:shd w:val="clear" w:color="auto" w:fill="auto"/>
            <w:vAlign w:val="center"/>
            <w:hideMark/>
          </w:tcPr>
          <w:p w14:paraId="374DD75C" w14:textId="77777777" w:rsidR="00AB34DE" w:rsidRPr="00BB240D" w:rsidRDefault="00AB34DE">
            <w:pPr>
              <w:jc w:val="center"/>
              <w:rPr>
                <w:sz w:val="16"/>
                <w:szCs w:val="16"/>
              </w:rPr>
            </w:pPr>
            <w:r w:rsidRPr="00BB240D">
              <w:rPr>
                <w:sz w:val="16"/>
                <w:szCs w:val="16"/>
              </w:rPr>
              <w:t>0300.05.01</w:t>
            </w:r>
          </w:p>
        </w:tc>
        <w:tc>
          <w:tcPr>
            <w:tcW w:w="2341" w:type="pct"/>
            <w:shd w:val="clear" w:color="auto" w:fill="auto"/>
            <w:vAlign w:val="center"/>
            <w:hideMark/>
          </w:tcPr>
          <w:p w14:paraId="404BA649" w14:textId="77777777" w:rsidR="00AB34DE" w:rsidRPr="00BB240D" w:rsidRDefault="00AB34DE">
            <w:pPr>
              <w:rPr>
                <w:sz w:val="16"/>
                <w:szCs w:val="16"/>
              </w:rPr>
            </w:pPr>
            <w:r w:rsidRPr="00BB240D">
              <w:rPr>
                <w:sz w:val="16"/>
                <w:szCs w:val="16"/>
              </w:rPr>
              <w:t>Бюджетна програма „Национален архивен фонд”</w:t>
            </w:r>
          </w:p>
        </w:tc>
        <w:tc>
          <w:tcPr>
            <w:tcW w:w="626" w:type="pct"/>
            <w:shd w:val="clear" w:color="auto" w:fill="auto"/>
            <w:vAlign w:val="center"/>
            <w:hideMark/>
          </w:tcPr>
          <w:p w14:paraId="31370B66" w14:textId="77777777" w:rsidR="00AB34DE" w:rsidRPr="00BB240D" w:rsidRDefault="00AB34DE">
            <w:pPr>
              <w:jc w:val="right"/>
              <w:rPr>
                <w:sz w:val="16"/>
                <w:szCs w:val="16"/>
              </w:rPr>
            </w:pPr>
            <w:r w:rsidRPr="00BB240D">
              <w:rPr>
                <w:sz w:val="16"/>
                <w:szCs w:val="16"/>
              </w:rPr>
              <w:t>13 746 700</w:t>
            </w:r>
          </w:p>
        </w:tc>
        <w:tc>
          <w:tcPr>
            <w:tcW w:w="626" w:type="pct"/>
            <w:shd w:val="clear" w:color="auto" w:fill="auto"/>
            <w:vAlign w:val="center"/>
            <w:hideMark/>
          </w:tcPr>
          <w:p w14:paraId="27BD0978" w14:textId="77777777" w:rsidR="00AB34DE" w:rsidRPr="00BB240D" w:rsidRDefault="00AB34DE">
            <w:pPr>
              <w:jc w:val="right"/>
              <w:rPr>
                <w:sz w:val="16"/>
                <w:szCs w:val="16"/>
              </w:rPr>
            </w:pPr>
            <w:r w:rsidRPr="00BB240D">
              <w:rPr>
                <w:sz w:val="16"/>
                <w:szCs w:val="16"/>
              </w:rPr>
              <w:t>13 746 700</w:t>
            </w:r>
          </w:p>
        </w:tc>
        <w:tc>
          <w:tcPr>
            <w:tcW w:w="547" w:type="pct"/>
            <w:shd w:val="clear" w:color="auto" w:fill="auto"/>
            <w:vAlign w:val="center"/>
            <w:hideMark/>
          </w:tcPr>
          <w:p w14:paraId="1A210A07" w14:textId="77777777" w:rsidR="00AB34DE" w:rsidRPr="00BB240D" w:rsidRDefault="00AB34DE">
            <w:pPr>
              <w:jc w:val="right"/>
              <w:rPr>
                <w:sz w:val="16"/>
                <w:szCs w:val="16"/>
              </w:rPr>
            </w:pPr>
            <w:r w:rsidRPr="00BB240D">
              <w:rPr>
                <w:sz w:val="16"/>
                <w:szCs w:val="16"/>
              </w:rPr>
              <w:t>6 218 270</w:t>
            </w:r>
          </w:p>
        </w:tc>
      </w:tr>
      <w:tr w:rsidR="00AB34DE" w:rsidRPr="00BB240D" w14:paraId="76829A5F" w14:textId="77777777" w:rsidTr="00895406">
        <w:trPr>
          <w:trHeight w:val="167"/>
          <w:jc w:val="center"/>
        </w:trPr>
        <w:tc>
          <w:tcPr>
            <w:tcW w:w="861" w:type="pct"/>
            <w:shd w:val="clear" w:color="auto" w:fill="auto"/>
            <w:vAlign w:val="center"/>
            <w:hideMark/>
          </w:tcPr>
          <w:p w14:paraId="57EAAAF8" w14:textId="77777777" w:rsidR="00AB34DE" w:rsidRPr="00BB240D" w:rsidRDefault="00AB34DE">
            <w:pPr>
              <w:jc w:val="center"/>
              <w:rPr>
                <w:sz w:val="16"/>
                <w:szCs w:val="16"/>
              </w:rPr>
            </w:pPr>
            <w:r w:rsidRPr="00BB240D">
              <w:rPr>
                <w:sz w:val="16"/>
                <w:szCs w:val="16"/>
              </w:rPr>
              <w:t> </w:t>
            </w:r>
          </w:p>
        </w:tc>
        <w:tc>
          <w:tcPr>
            <w:tcW w:w="2341" w:type="pct"/>
            <w:shd w:val="clear" w:color="auto" w:fill="auto"/>
            <w:vAlign w:val="center"/>
            <w:hideMark/>
          </w:tcPr>
          <w:p w14:paraId="60ADDB5D" w14:textId="77777777" w:rsidR="00AB34DE" w:rsidRPr="00BB240D" w:rsidRDefault="00AB34DE">
            <w:pPr>
              <w:rPr>
                <w:sz w:val="16"/>
                <w:szCs w:val="16"/>
              </w:rPr>
            </w:pPr>
            <w:r w:rsidRPr="00BB240D">
              <w:rPr>
                <w:sz w:val="16"/>
                <w:szCs w:val="16"/>
              </w:rPr>
              <w:t> </w:t>
            </w:r>
          </w:p>
        </w:tc>
        <w:tc>
          <w:tcPr>
            <w:tcW w:w="626" w:type="pct"/>
            <w:shd w:val="clear" w:color="auto" w:fill="auto"/>
            <w:vAlign w:val="center"/>
            <w:hideMark/>
          </w:tcPr>
          <w:p w14:paraId="08C559FA" w14:textId="77777777" w:rsidR="00AB34DE" w:rsidRPr="00BB240D" w:rsidRDefault="00AB34DE">
            <w:pPr>
              <w:rPr>
                <w:sz w:val="16"/>
                <w:szCs w:val="16"/>
              </w:rPr>
            </w:pPr>
            <w:r w:rsidRPr="00BB240D">
              <w:rPr>
                <w:sz w:val="16"/>
                <w:szCs w:val="16"/>
              </w:rPr>
              <w:t> </w:t>
            </w:r>
          </w:p>
        </w:tc>
        <w:tc>
          <w:tcPr>
            <w:tcW w:w="626" w:type="pct"/>
            <w:shd w:val="clear" w:color="auto" w:fill="auto"/>
            <w:vAlign w:val="center"/>
            <w:hideMark/>
          </w:tcPr>
          <w:p w14:paraId="16198179" w14:textId="77777777" w:rsidR="00AB34DE" w:rsidRPr="00BB240D" w:rsidRDefault="00AB34DE">
            <w:pPr>
              <w:rPr>
                <w:sz w:val="16"/>
                <w:szCs w:val="16"/>
              </w:rPr>
            </w:pPr>
            <w:r w:rsidRPr="00BB240D">
              <w:rPr>
                <w:sz w:val="16"/>
                <w:szCs w:val="16"/>
              </w:rPr>
              <w:t> </w:t>
            </w:r>
          </w:p>
        </w:tc>
        <w:tc>
          <w:tcPr>
            <w:tcW w:w="547" w:type="pct"/>
            <w:shd w:val="clear" w:color="auto" w:fill="auto"/>
            <w:vAlign w:val="center"/>
            <w:hideMark/>
          </w:tcPr>
          <w:p w14:paraId="6B88B487" w14:textId="77777777" w:rsidR="00AB34DE" w:rsidRPr="00BB240D" w:rsidRDefault="00AB34DE">
            <w:pPr>
              <w:rPr>
                <w:sz w:val="16"/>
                <w:szCs w:val="16"/>
              </w:rPr>
            </w:pPr>
            <w:r w:rsidRPr="00BB240D">
              <w:rPr>
                <w:sz w:val="16"/>
                <w:szCs w:val="16"/>
              </w:rPr>
              <w:t> </w:t>
            </w:r>
          </w:p>
        </w:tc>
      </w:tr>
      <w:tr w:rsidR="00AB34DE" w:rsidRPr="00BB240D" w14:paraId="26DE386A" w14:textId="77777777" w:rsidTr="00895406">
        <w:trPr>
          <w:trHeight w:val="242"/>
          <w:jc w:val="center"/>
        </w:trPr>
        <w:tc>
          <w:tcPr>
            <w:tcW w:w="861" w:type="pct"/>
            <w:shd w:val="clear" w:color="000000" w:fill="E6E6E6"/>
            <w:vAlign w:val="center"/>
            <w:hideMark/>
          </w:tcPr>
          <w:p w14:paraId="0B692E1E" w14:textId="77777777" w:rsidR="00AB34DE" w:rsidRPr="00BB240D" w:rsidRDefault="00AB34DE">
            <w:pPr>
              <w:jc w:val="center"/>
              <w:rPr>
                <w:b/>
                <w:bCs/>
                <w:sz w:val="16"/>
                <w:szCs w:val="16"/>
              </w:rPr>
            </w:pPr>
            <w:r w:rsidRPr="00BB240D">
              <w:rPr>
                <w:b/>
                <w:bCs/>
                <w:sz w:val="16"/>
                <w:szCs w:val="16"/>
              </w:rPr>
              <w:t>0300.06.00</w:t>
            </w:r>
          </w:p>
        </w:tc>
        <w:tc>
          <w:tcPr>
            <w:tcW w:w="2341" w:type="pct"/>
            <w:shd w:val="clear" w:color="000000" w:fill="E6E6E6"/>
            <w:vAlign w:val="center"/>
            <w:hideMark/>
          </w:tcPr>
          <w:p w14:paraId="5D1AF543" w14:textId="77777777" w:rsidR="00AB34DE" w:rsidRPr="00BB240D" w:rsidRDefault="00AB34DE">
            <w:pPr>
              <w:rPr>
                <w:b/>
                <w:bCs/>
                <w:sz w:val="16"/>
                <w:szCs w:val="16"/>
              </w:rPr>
            </w:pPr>
            <w:r w:rsidRPr="00BB240D">
              <w:rPr>
                <w:b/>
                <w:bCs/>
                <w:sz w:val="16"/>
                <w:szCs w:val="16"/>
              </w:rPr>
              <w:t>Бюджетна програма „Администрация”</w:t>
            </w:r>
          </w:p>
        </w:tc>
        <w:tc>
          <w:tcPr>
            <w:tcW w:w="626" w:type="pct"/>
            <w:shd w:val="clear" w:color="000000" w:fill="E6E6E6"/>
            <w:vAlign w:val="center"/>
            <w:hideMark/>
          </w:tcPr>
          <w:p w14:paraId="6E3FE64D" w14:textId="77777777" w:rsidR="00AB34DE" w:rsidRPr="00BB240D" w:rsidRDefault="00AB34DE">
            <w:pPr>
              <w:jc w:val="right"/>
              <w:rPr>
                <w:b/>
                <w:bCs/>
                <w:sz w:val="16"/>
                <w:szCs w:val="16"/>
              </w:rPr>
            </w:pPr>
            <w:r w:rsidRPr="00BB240D">
              <w:rPr>
                <w:b/>
                <w:bCs/>
                <w:sz w:val="16"/>
                <w:szCs w:val="16"/>
              </w:rPr>
              <w:t>14 832 900</w:t>
            </w:r>
          </w:p>
        </w:tc>
        <w:tc>
          <w:tcPr>
            <w:tcW w:w="626" w:type="pct"/>
            <w:shd w:val="clear" w:color="000000" w:fill="E6E6E6"/>
            <w:vAlign w:val="center"/>
            <w:hideMark/>
          </w:tcPr>
          <w:p w14:paraId="24730572" w14:textId="77777777" w:rsidR="00AB34DE" w:rsidRPr="00BB240D" w:rsidRDefault="00AB34DE">
            <w:pPr>
              <w:jc w:val="right"/>
              <w:rPr>
                <w:b/>
                <w:bCs/>
                <w:sz w:val="16"/>
                <w:szCs w:val="16"/>
              </w:rPr>
            </w:pPr>
            <w:r w:rsidRPr="00BB240D">
              <w:rPr>
                <w:b/>
                <w:bCs/>
                <w:sz w:val="16"/>
                <w:szCs w:val="16"/>
              </w:rPr>
              <w:t>14 730 428</w:t>
            </w:r>
          </w:p>
        </w:tc>
        <w:tc>
          <w:tcPr>
            <w:tcW w:w="547" w:type="pct"/>
            <w:shd w:val="clear" w:color="000000" w:fill="E6E6E6"/>
            <w:vAlign w:val="center"/>
            <w:hideMark/>
          </w:tcPr>
          <w:p w14:paraId="6BA4A86C" w14:textId="77777777" w:rsidR="00AB34DE" w:rsidRPr="00BB240D" w:rsidRDefault="00AB34DE">
            <w:pPr>
              <w:jc w:val="right"/>
              <w:rPr>
                <w:b/>
                <w:bCs/>
                <w:sz w:val="16"/>
                <w:szCs w:val="16"/>
              </w:rPr>
            </w:pPr>
            <w:r w:rsidRPr="00BB240D">
              <w:rPr>
                <w:b/>
                <w:bCs/>
                <w:sz w:val="16"/>
                <w:szCs w:val="16"/>
              </w:rPr>
              <w:t>6 921 589</w:t>
            </w:r>
          </w:p>
        </w:tc>
      </w:tr>
      <w:tr w:rsidR="00AB34DE" w:rsidRPr="00BB240D" w14:paraId="51CF3431" w14:textId="77777777" w:rsidTr="00895406">
        <w:trPr>
          <w:trHeight w:val="131"/>
          <w:jc w:val="center"/>
        </w:trPr>
        <w:tc>
          <w:tcPr>
            <w:tcW w:w="861" w:type="pct"/>
            <w:shd w:val="clear" w:color="auto" w:fill="auto"/>
            <w:vAlign w:val="center"/>
            <w:hideMark/>
          </w:tcPr>
          <w:p w14:paraId="3626F3AE" w14:textId="77777777" w:rsidR="00AB34DE" w:rsidRPr="00BB240D" w:rsidRDefault="00AB34DE">
            <w:pPr>
              <w:jc w:val="center"/>
              <w:rPr>
                <w:sz w:val="16"/>
                <w:szCs w:val="16"/>
              </w:rPr>
            </w:pPr>
            <w:r w:rsidRPr="00BB240D">
              <w:rPr>
                <w:sz w:val="16"/>
                <w:szCs w:val="16"/>
              </w:rPr>
              <w:t> </w:t>
            </w:r>
          </w:p>
        </w:tc>
        <w:tc>
          <w:tcPr>
            <w:tcW w:w="2341" w:type="pct"/>
            <w:shd w:val="clear" w:color="auto" w:fill="auto"/>
            <w:vAlign w:val="center"/>
            <w:hideMark/>
          </w:tcPr>
          <w:p w14:paraId="0F5F2465" w14:textId="77777777" w:rsidR="00AB34DE" w:rsidRPr="00BB240D" w:rsidRDefault="00AB34DE">
            <w:pPr>
              <w:rPr>
                <w:sz w:val="16"/>
                <w:szCs w:val="16"/>
              </w:rPr>
            </w:pPr>
            <w:r w:rsidRPr="00BB240D">
              <w:rPr>
                <w:sz w:val="16"/>
                <w:szCs w:val="16"/>
              </w:rPr>
              <w:t> </w:t>
            </w:r>
          </w:p>
        </w:tc>
        <w:tc>
          <w:tcPr>
            <w:tcW w:w="626" w:type="pct"/>
            <w:shd w:val="clear" w:color="auto" w:fill="auto"/>
            <w:vAlign w:val="center"/>
            <w:hideMark/>
          </w:tcPr>
          <w:p w14:paraId="5003E36C" w14:textId="77777777" w:rsidR="00AB34DE" w:rsidRPr="00BB240D" w:rsidRDefault="00AB34DE">
            <w:pPr>
              <w:rPr>
                <w:sz w:val="16"/>
                <w:szCs w:val="16"/>
              </w:rPr>
            </w:pPr>
            <w:r w:rsidRPr="00BB240D">
              <w:rPr>
                <w:sz w:val="16"/>
                <w:szCs w:val="16"/>
              </w:rPr>
              <w:t> </w:t>
            </w:r>
          </w:p>
        </w:tc>
        <w:tc>
          <w:tcPr>
            <w:tcW w:w="626" w:type="pct"/>
            <w:shd w:val="clear" w:color="auto" w:fill="auto"/>
            <w:vAlign w:val="center"/>
            <w:hideMark/>
          </w:tcPr>
          <w:p w14:paraId="403890EF" w14:textId="77777777" w:rsidR="00AB34DE" w:rsidRPr="00BB240D" w:rsidRDefault="00AB34DE">
            <w:pPr>
              <w:rPr>
                <w:sz w:val="16"/>
                <w:szCs w:val="16"/>
              </w:rPr>
            </w:pPr>
            <w:r w:rsidRPr="00BB240D">
              <w:rPr>
                <w:sz w:val="16"/>
                <w:szCs w:val="16"/>
              </w:rPr>
              <w:t> </w:t>
            </w:r>
          </w:p>
        </w:tc>
        <w:tc>
          <w:tcPr>
            <w:tcW w:w="547" w:type="pct"/>
            <w:shd w:val="clear" w:color="auto" w:fill="auto"/>
            <w:vAlign w:val="center"/>
            <w:hideMark/>
          </w:tcPr>
          <w:p w14:paraId="551CED7A" w14:textId="77777777" w:rsidR="00AB34DE" w:rsidRPr="00BB240D" w:rsidRDefault="00AB34DE">
            <w:pPr>
              <w:rPr>
                <w:sz w:val="16"/>
                <w:szCs w:val="16"/>
              </w:rPr>
            </w:pPr>
            <w:r w:rsidRPr="00BB240D">
              <w:rPr>
                <w:sz w:val="16"/>
                <w:szCs w:val="16"/>
              </w:rPr>
              <w:t> </w:t>
            </w:r>
          </w:p>
        </w:tc>
      </w:tr>
      <w:tr w:rsidR="00AB34DE" w:rsidRPr="00BB240D" w14:paraId="292ABAC7" w14:textId="77777777" w:rsidTr="00895406">
        <w:trPr>
          <w:trHeight w:val="330"/>
          <w:jc w:val="center"/>
        </w:trPr>
        <w:tc>
          <w:tcPr>
            <w:tcW w:w="861" w:type="pct"/>
            <w:shd w:val="clear" w:color="000000" w:fill="E6E6E6"/>
            <w:vAlign w:val="center"/>
            <w:hideMark/>
          </w:tcPr>
          <w:p w14:paraId="15121199" w14:textId="77777777" w:rsidR="00AB34DE" w:rsidRPr="00BB240D" w:rsidRDefault="00AB34DE">
            <w:pPr>
              <w:jc w:val="center"/>
              <w:rPr>
                <w:b/>
                <w:bCs/>
                <w:sz w:val="16"/>
                <w:szCs w:val="16"/>
              </w:rPr>
            </w:pPr>
            <w:r w:rsidRPr="00BB240D">
              <w:rPr>
                <w:b/>
                <w:bCs/>
                <w:sz w:val="16"/>
                <w:szCs w:val="16"/>
              </w:rPr>
              <w:t>0300.07.00</w:t>
            </w:r>
          </w:p>
        </w:tc>
        <w:tc>
          <w:tcPr>
            <w:tcW w:w="2341" w:type="pct"/>
            <w:shd w:val="clear" w:color="000000" w:fill="E6E6E6"/>
            <w:vAlign w:val="center"/>
            <w:hideMark/>
          </w:tcPr>
          <w:p w14:paraId="7139CD3B" w14:textId="77777777" w:rsidR="00AB34DE" w:rsidRPr="00BB240D" w:rsidRDefault="00AB34DE">
            <w:pPr>
              <w:rPr>
                <w:b/>
                <w:bCs/>
                <w:sz w:val="16"/>
                <w:szCs w:val="16"/>
              </w:rPr>
            </w:pPr>
            <w:r w:rsidRPr="00BB240D">
              <w:rPr>
                <w:b/>
                <w:bCs/>
                <w:sz w:val="16"/>
                <w:szCs w:val="16"/>
              </w:rPr>
              <w:t>Други бюджетни програми</w:t>
            </w:r>
          </w:p>
        </w:tc>
        <w:tc>
          <w:tcPr>
            <w:tcW w:w="626" w:type="pct"/>
            <w:shd w:val="clear" w:color="000000" w:fill="E6E6E6"/>
            <w:vAlign w:val="center"/>
            <w:hideMark/>
          </w:tcPr>
          <w:p w14:paraId="5183488B" w14:textId="77777777" w:rsidR="00AB34DE" w:rsidRPr="00BB240D" w:rsidRDefault="00AB34DE">
            <w:pPr>
              <w:jc w:val="right"/>
              <w:rPr>
                <w:b/>
                <w:bCs/>
                <w:sz w:val="16"/>
                <w:szCs w:val="16"/>
              </w:rPr>
            </w:pPr>
            <w:r w:rsidRPr="00BB240D">
              <w:rPr>
                <w:b/>
                <w:bCs/>
                <w:sz w:val="16"/>
                <w:szCs w:val="16"/>
              </w:rPr>
              <w:t>41 833 900</w:t>
            </w:r>
          </w:p>
        </w:tc>
        <w:tc>
          <w:tcPr>
            <w:tcW w:w="626" w:type="pct"/>
            <w:shd w:val="clear" w:color="000000" w:fill="E6E6E6"/>
            <w:vAlign w:val="center"/>
            <w:hideMark/>
          </w:tcPr>
          <w:p w14:paraId="3482DCEE" w14:textId="77777777" w:rsidR="00AB34DE" w:rsidRPr="00BB240D" w:rsidRDefault="00AB34DE">
            <w:pPr>
              <w:jc w:val="right"/>
              <w:rPr>
                <w:b/>
                <w:bCs/>
                <w:sz w:val="16"/>
                <w:szCs w:val="16"/>
              </w:rPr>
            </w:pPr>
            <w:r w:rsidRPr="00BB240D">
              <w:rPr>
                <w:b/>
                <w:bCs/>
                <w:sz w:val="16"/>
                <w:szCs w:val="16"/>
              </w:rPr>
              <w:t>41 994 074</w:t>
            </w:r>
          </w:p>
        </w:tc>
        <w:tc>
          <w:tcPr>
            <w:tcW w:w="547" w:type="pct"/>
            <w:shd w:val="clear" w:color="000000" w:fill="E6E6E6"/>
            <w:vAlign w:val="center"/>
            <w:hideMark/>
          </w:tcPr>
          <w:p w14:paraId="1B626789" w14:textId="77777777" w:rsidR="00AB34DE" w:rsidRPr="00BB240D" w:rsidRDefault="00AB34DE">
            <w:pPr>
              <w:jc w:val="right"/>
              <w:rPr>
                <w:b/>
                <w:bCs/>
                <w:sz w:val="16"/>
                <w:szCs w:val="16"/>
              </w:rPr>
            </w:pPr>
            <w:r w:rsidRPr="00BB240D">
              <w:rPr>
                <w:b/>
                <w:bCs/>
                <w:sz w:val="16"/>
                <w:szCs w:val="16"/>
              </w:rPr>
              <w:t>13 752 407</w:t>
            </w:r>
          </w:p>
        </w:tc>
      </w:tr>
      <w:tr w:rsidR="00AB34DE" w:rsidRPr="00BB240D" w14:paraId="0390D260" w14:textId="77777777" w:rsidTr="00895406">
        <w:trPr>
          <w:trHeight w:val="272"/>
          <w:jc w:val="center"/>
        </w:trPr>
        <w:tc>
          <w:tcPr>
            <w:tcW w:w="861" w:type="pct"/>
            <w:shd w:val="clear" w:color="auto" w:fill="auto"/>
            <w:vAlign w:val="center"/>
            <w:hideMark/>
          </w:tcPr>
          <w:p w14:paraId="674C2D1F" w14:textId="77777777" w:rsidR="00AB34DE" w:rsidRPr="00BB240D" w:rsidRDefault="00AB34DE">
            <w:pPr>
              <w:jc w:val="center"/>
              <w:rPr>
                <w:sz w:val="16"/>
                <w:szCs w:val="16"/>
              </w:rPr>
            </w:pPr>
            <w:r w:rsidRPr="00BB240D">
              <w:rPr>
                <w:sz w:val="16"/>
                <w:szCs w:val="16"/>
              </w:rPr>
              <w:t>0300.07.01</w:t>
            </w:r>
          </w:p>
        </w:tc>
        <w:tc>
          <w:tcPr>
            <w:tcW w:w="2341" w:type="pct"/>
            <w:shd w:val="clear" w:color="auto" w:fill="auto"/>
            <w:vAlign w:val="center"/>
            <w:hideMark/>
          </w:tcPr>
          <w:p w14:paraId="706BED61" w14:textId="77777777" w:rsidR="00AB34DE" w:rsidRPr="00BB240D" w:rsidRDefault="00AB34DE">
            <w:pPr>
              <w:rPr>
                <w:sz w:val="16"/>
                <w:szCs w:val="16"/>
              </w:rPr>
            </w:pPr>
            <w:r w:rsidRPr="00BB240D">
              <w:rPr>
                <w:sz w:val="16"/>
                <w:szCs w:val="16"/>
              </w:rPr>
              <w:t>Бюджетна програма „Други дейности и услуги”</w:t>
            </w:r>
          </w:p>
        </w:tc>
        <w:tc>
          <w:tcPr>
            <w:tcW w:w="626" w:type="pct"/>
            <w:shd w:val="clear" w:color="auto" w:fill="auto"/>
            <w:vAlign w:val="center"/>
            <w:hideMark/>
          </w:tcPr>
          <w:p w14:paraId="777E8A63" w14:textId="77777777" w:rsidR="00AB34DE" w:rsidRPr="00BB240D" w:rsidRDefault="00AB34DE">
            <w:pPr>
              <w:jc w:val="right"/>
              <w:rPr>
                <w:sz w:val="16"/>
                <w:szCs w:val="16"/>
              </w:rPr>
            </w:pPr>
            <w:r w:rsidRPr="00BB240D">
              <w:rPr>
                <w:sz w:val="16"/>
                <w:szCs w:val="16"/>
              </w:rPr>
              <w:t>25 430 000</w:t>
            </w:r>
          </w:p>
        </w:tc>
        <w:tc>
          <w:tcPr>
            <w:tcW w:w="626" w:type="pct"/>
            <w:shd w:val="clear" w:color="auto" w:fill="auto"/>
            <w:vAlign w:val="center"/>
            <w:hideMark/>
          </w:tcPr>
          <w:p w14:paraId="4C8FE463" w14:textId="77777777" w:rsidR="00AB34DE" w:rsidRPr="00BB240D" w:rsidRDefault="00AB34DE">
            <w:pPr>
              <w:jc w:val="right"/>
              <w:rPr>
                <w:sz w:val="16"/>
                <w:szCs w:val="16"/>
              </w:rPr>
            </w:pPr>
            <w:r w:rsidRPr="00BB240D">
              <w:rPr>
                <w:sz w:val="16"/>
                <w:szCs w:val="16"/>
              </w:rPr>
              <w:t>25 576 022</w:t>
            </w:r>
          </w:p>
        </w:tc>
        <w:tc>
          <w:tcPr>
            <w:tcW w:w="547" w:type="pct"/>
            <w:shd w:val="clear" w:color="auto" w:fill="auto"/>
            <w:vAlign w:val="center"/>
            <w:hideMark/>
          </w:tcPr>
          <w:p w14:paraId="47397D83" w14:textId="77777777" w:rsidR="00AB34DE" w:rsidRPr="00BB240D" w:rsidRDefault="00AB34DE">
            <w:pPr>
              <w:jc w:val="right"/>
              <w:rPr>
                <w:sz w:val="16"/>
                <w:szCs w:val="16"/>
              </w:rPr>
            </w:pPr>
            <w:r w:rsidRPr="00BB240D">
              <w:rPr>
                <w:sz w:val="16"/>
                <w:szCs w:val="16"/>
              </w:rPr>
              <w:t>8 332 908</w:t>
            </w:r>
          </w:p>
        </w:tc>
      </w:tr>
      <w:tr w:rsidR="00AB34DE" w:rsidRPr="00BB240D" w14:paraId="35359182" w14:textId="77777777" w:rsidTr="00895406">
        <w:trPr>
          <w:trHeight w:val="330"/>
          <w:jc w:val="center"/>
        </w:trPr>
        <w:tc>
          <w:tcPr>
            <w:tcW w:w="861" w:type="pct"/>
            <w:shd w:val="clear" w:color="auto" w:fill="auto"/>
            <w:vAlign w:val="center"/>
            <w:hideMark/>
          </w:tcPr>
          <w:p w14:paraId="65E360CC" w14:textId="77777777" w:rsidR="00AB34DE" w:rsidRPr="00BB240D" w:rsidRDefault="00AB34DE">
            <w:pPr>
              <w:jc w:val="center"/>
              <w:rPr>
                <w:sz w:val="16"/>
                <w:szCs w:val="16"/>
              </w:rPr>
            </w:pPr>
            <w:r w:rsidRPr="00BB240D">
              <w:rPr>
                <w:sz w:val="16"/>
                <w:szCs w:val="16"/>
              </w:rPr>
              <w:t>0300.07.02</w:t>
            </w:r>
          </w:p>
        </w:tc>
        <w:tc>
          <w:tcPr>
            <w:tcW w:w="2341" w:type="pct"/>
            <w:shd w:val="clear" w:color="auto" w:fill="auto"/>
            <w:vAlign w:val="center"/>
            <w:hideMark/>
          </w:tcPr>
          <w:p w14:paraId="5F056D97" w14:textId="77777777" w:rsidR="00AB34DE" w:rsidRPr="00BB240D" w:rsidRDefault="00AB34DE">
            <w:pPr>
              <w:rPr>
                <w:sz w:val="16"/>
                <w:szCs w:val="16"/>
              </w:rPr>
            </w:pPr>
            <w:r w:rsidRPr="00BB240D">
              <w:rPr>
                <w:sz w:val="16"/>
                <w:szCs w:val="16"/>
              </w:rPr>
              <w:t>Бюджетна програма „Убежище и бежанци”</w:t>
            </w:r>
          </w:p>
        </w:tc>
        <w:tc>
          <w:tcPr>
            <w:tcW w:w="626" w:type="pct"/>
            <w:shd w:val="clear" w:color="auto" w:fill="auto"/>
            <w:vAlign w:val="center"/>
            <w:hideMark/>
          </w:tcPr>
          <w:p w14:paraId="6E4A20E1" w14:textId="77777777" w:rsidR="00AB34DE" w:rsidRPr="00BB240D" w:rsidRDefault="00AB34DE">
            <w:pPr>
              <w:jc w:val="right"/>
              <w:rPr>
                <w:sz w:val="16"/>
                <w:szCs w:val="16"/>
              </w:rPr>
            </w:pPr>
            <w:r w:rsidRPr="00BB240D">
              <w:rPr>
                <w:sz w:val="16"/>
                <w:szCs w:val="16"/>
              </w:rPr>
              <w:t>16 403 900</w:t>
            </w:r>
          </w:p>
        </w:tc>
        <w:tc>
          <w:tcPr>
            <w:tcW w:w="626" w:type="pct"/>
            <w:shd w:val="clear" w:color="auto" w:fill="auto"/>
            <w:vAlign w:val="center"/>
            <w:hideMark/>
          </w:tcPr>
          <w:p w14:paraId="2CDC4E93" w14:textId="77777777" w:rsidR="00AB34DE" w:rsidRPr="00BB240D" w:rsidRDefault="00AB34DE">
            <w:pPr>
              <w:jc w:val="right"/>
              <w:rPr>
                <w:sz w:val="16"/>
                <w:szCs w:val="16"/>
              </w:rPr>
            </w:pPr>
            <w:r w:rsidRPr="00BB240D">
              <w:rPr>
                <w:sz w:val="16"/>
                <w:szCs w:val="16"/>
              </w:rPr>
              <w:t>16 418 052</w:t>
            </w:r>
          </w:p>
        </w:tc>
        <w:tc>
          <w:tcPr>
            <w:tcW w:w="547" w:type="pct"/>
            <w:shd w:val="clear" w:color="auto" w:fill="auto"/>
            <w:vAlign w:val="center"/>
            <w:hideMark/>
          </w:tcPr>
          <w:p w14:paraId="1ABF3A8A" w14:textId="77777777" w:rsidR="00AB34DE" w:rsidRPr="00BB240D" w:rsidRDefault="00AB34DE">
            <w:pPr>
              <w:jc w:val="right"/>
              <w:rPr>
                <w:sz w:val="16"/>
                <w:szCs w:val="16"/>
              </w:rPr>
            </w:pPr>
            <w:r w:rsidRPr="00BB240D">
              <w:rPr>
                <w:sz w:val="16"/>
                <w:szCs w:val="16"/>
              </w:rPr>
              <w:t>5 419 499</w:t>
            </w:r>
          </w:p>
        </w:tc>
      </w:tr>
    </w:tbl>
    <w:p w14:paraId="504EFF5A" w14:textId="6C892EE6" w:rsidR="009831D9" w:rsidRPr="005E1F86" w:rsidRDefault="002657E5" w:rsidP="00CB68C3">
      <w:pPr>
        <w:shd w:val="clear" w:color="auto" w:fill="FFFFFF" w:themeFill="background1"/>
        <w:spacing w:before="120"/>
        <w:rPr>
          <w:i/>
          <w:iCs/>
          <w:sz w:val="20"/>
          <w:szCs w:val="20"/>
        </w:rPr>
      </w:pPr>
      <w:r w:rsidRPr="002657E5">
        <w:rPr>
          <w:i/>
          <w:iCs/>
          <w:sz w:val="18"/>
          <w:szCs w:val="18"/>
        </w:rPr>
        <w:t xml:space="preserve">* </w:t>
      </w:r>
      <w:r w:rsidRPr="00CB68C3">
        <w:rPr>
          <w:i/>
          <w:iCs/>
          <w:sz w:val="20"/>
          <w:szCs w:val="20"/>
          <w:shd w:val="clear" w:color="auto" w:fill="FFFFFF" w:themeFill="background1"/>
        </w:rPr>
        <w:t>Класификационен код съгласно Решение № 780 на Министерския съвет от 2023 г.</w:t>
      </w:r>
    </w:p>
    <w:p w14:paraId="07D51F64" w14:textId="77777777" w:rsidR="009831D9" w:rsidRPr="00382549" w:rsidRDefault="009831D9" w:rsidP="009831D9">
      <w:pPr>
        <w:shd w:val="clear" w:color="auto" w:fill="FFFFFF"/>
        <w:rPr>
          <w:i/>
          <w:iCs/>
          <w:sz w:val="20"/>
          <w:szCs w:val="20"/>
        </w:rPr>
      </w:pPr>
    </w:p>
    <w:p w14:paraId="3CD10847" w14:textId="77777777" w:rsidR="000816C2" w:rsidRPr="00667B09" w:rsidRDefault="000816C2" w:rsidP="00F8609E">
      <w:pPr>
        <w:rPr>
          <w:b/>
          <w:bCs/>
          <w:sz w:val="20"/>
          <w:szCs w:val="20"/>
        </w:rPr>
        <w:sectPr w:rsidR="000816C2" w:rsidRPr="00667B09" w:rsidSect="00522968">
          <w:footerReference w:type="even" r:id="rId8"/>
          <w:footerReference w:type="default" r:id="rId9"/>
          <w:pgSz w:w="11906" w:h="16838"/>
          <w:pgMar w:top="1418" w:right="1418" w:bottom="1418" w:left="1418" w:header="709" w:footer="79" w:gutter="0"/>
          <w:cols w:space="708"/>
          <w:titlePg/>
          <w:docGrid w:linePitch="360"/>
        </w:sectPr>
      </w:pPr>
    </w:p>
    <w:p w14:paraId="49F5F923" w14:textId="5F967C3A" w:rsidR="00C15BD2" w:rsidRPr="006F5056" w:rsidRDefault="006F5056" w:rsidP="00CB68C3">
      <w:pPr>
        <w:shd w:val="clear" w:color="auto" w:fill="FFFFFF" w:themeFill="background1"/>
        <w:jc w:val="right"/>
        <w:rPr>
          <w:b/>
          <w:bCs/>
          <w:i/>
          <w:iCs/>
          <w:sz w:val="20"/>
          <w:szCs w:val="20"/>
        </w:rPr>
      </w:pPr>
      <w:r w:rsidRPr="006F5056">
        <w:rPr>
          <w:b/>
          <w:bCs/>
          <w:i/>
          <w:iCs/>
          <w:sz w:val="20"/>
          <w:szCs w:val="20"/>
        </w:rPr>
        <w:lastRenderedPageBreak/>
        <w:t>Приложение № 2б</w:t>
      </w:r>
    </w:p>
    <w:p w14:paraId="10BEE355" w14:textId="6C0FA3E2" w:rsidR="00C15BD2" w:rsidRPr="00561D4F" w:rsidRDefault="00561D4F" w:rsidP="00CB68C3">
      <w:pPr>
        <w:shd w:val="clear" w:color="auto" w:fill="FFFFFF" w:themeFill="background1"/>
        <w:spacing w:after="120"/>
        <w:jc w:val="center"/>
        <w:rPr>
          <w:i/>
          <w:iCs/>
          <w:sz w:val="20"/>
          <w:szCs w:val="20"/>
        </w:rPr>
      </w:pPr>
      <w:r w:rsidRPr="00561D4F">
        <w:rPr>
          <w:i/>
          <w:iCs/>
          <w:sz w:val="20"/>
          <w:szCs w:val="20"/>
        </w:rPr>
        <w:t>Отчет на консолидираните разходи по бюджетните програми в рамките на съответните области на политики</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3361"/>
        <w:gridCol w:w="1083"/>
        <w:gridCol w:w="1000"/>
        <w:gridCol w:w="955"/>
        <w:gridCol w:w="1084"/>
        <w:gridCol w:w="938"/>
        <w:gridCol w:w="1080"/>
        <w:gridCol w:w="1400"/>
        <w:gridCol w:w="1207"/>
        <w:gridCol w:w="989"/>
      </w:tblGrid>
      <w:tr w:rsidR="003C01DC" w:rsidRPr="003C01DC" w14:paraId="2DCBF3C6" w14:textId="77777777" w:rsidTr="003C01DC">
        <w:trPr>
          <w:trHeight w:val="540"/>
          <w:jc w:val="center"/>
        </w:trPr>
        <w:tc>
          <w:tcPr>
            <w:tcW w:w="379" w:type="pct"/>
            <w:shd w:val="clear" w:color="000000" w:fill="F2F2F2"/>
            <w:vAlign w:val="center"/>
            <w:hideMark/>
          </w:tcPr>
          <w:p w14:paraId="2CEA2B7D" w14:textId="77777777" w:rsidR="00D32DA4" w:rsidRPr="003C01DC" w:rsidRDefault="00D32DA4">
            <w:pPr>
              <w:jc w:val="center"/>
              <w:rPr>
                <w:b/>
                <w:bCs/>
                <w:sz w:val="16"/>
                <w:szCs w:val="16"/>
              </w:rPr>
            </w:pPr>
            <w:r w:rsidRPr="003C01DC">
              <w:rPr>
                <w:b/>
                <w:bCs/>
                <w:sz w:val="16"/>
                <w:szCs w:val="16"/>
              </w:rPr>
              <w:t>Код*</w:t>
            </w:r>
          </w:p>
        </w:tc>
        <w:tc>
          <w:tcPr>
            <w:tcW w:w="1186" w:type="pct"/>
            <w:shd w:val="clear" w:color="000000" w:fill="E6E6E6"/>
            <w:vAlign w:val="center"/>
            <w:hideMark/>
          </w:tcPr>
          <w:p w14:paraId="2E9331C7" w14:textId="77777777" w:rsidR="00D32DA4" w:rsidRPr="003C01DC" w:rsidRDefault="00D32DA4">
            <w:pPr>
              <w:jc w:val="center"/>
              <w:rPr>
                <w:b/>
                <w:bCs/>
                <w:sz w:val="16"/>
                <w:szCs w:val="16"/>
              </w:rPr>
            </w:pPr>
            <w:r w:rsidRPr="003C01DC">
              <w:rPr>
                <w:b/>
                <w:bCs/>
                <w:sz w:val="16"/>
                <w:szCs w:val="16"/>
              </w:rPr>
              <w:t xml:space="preserve">ОБЛАСТИ НА ПОЛИТИКИ И БЮДЖЕТНИ ПРОГРАМИ </w:t>
            </w:r>
          </w:p>
        </w:tc>
        <w:tc>
          <w:tcPr>
            <w:tcW w:w="1072" w:type="pct"/>
            <w:gridSpan w:val="3"/>
            <w:shd w:val="clear" w:color="000000" w:fill="E6E6E6"/>
            <w:vAlign w:val="center"/>
            <w:hideMark/>
          </w:tcPr>
          <w:p w14:paraId="5FE97130" w14:textId="77777777" w:rsidR="00D32DA4" w:rsidRPr="003C01DC" w:rsidRDefault="00D32DA4">
            <w:pPr>
              <w:jc w:val="center"/>
              <w:rPr>
                <w:b/>
                <w:bCs/>
                <w:sz w:val="16"/>
                <w:szCs w:val="16"/>
              </w:rPr>
            </w:pPr>
            <w:r w:rsidRPr="003C01DC">
              <w:rPr>
                <w:b/>
                <w:bCs/>
                <w:sz w:val="16"/>
                <w:szCs w:val="16"/>
              </w:rPr>
              <w:t>Консолидирани разходи</w:t>
            </w:r>
          </w:p>
        </w:tc>
        <w:tc>
          <w:tcPr>
            <w:tcW w:w="1094" w:type="pct"/>
            <w:gridSpan w:val="3"/>
            <w:shd w:val="clear" w:color="000000" w:fill="E6E6E6"/>
            <w:vAlign w:val="center"/>
            <w:hideMark/>
          </w:tcPr>
          <w:p w14:paraId="19A82CBC" w14:textId="77777777" w:rsidR="00D32DA4" w:rsidRPr="003C01DC" w:rsidRDefault="00D32DA4">
            <w:pPr>
              <w:jc w:val="center"/>
              <w:rPr>
                <w:b/>
                <w:bCs/>
                <w:sz w:val="16"/>
                <w:szCs w:val="16"/>
              </w:rPr>
            </w:pPr>
            <w:r w:rsidRPr="003C01DC">
              <w:rPr>
                <w:b/>
                <w:bCs/>
                <w:sz w:val="16"/>
                <w:szCs w:val="16"/>
              </w:rPr>
              <w:t>Ведомствени разходи</w:t>
            </w:r>
          </w:p>
        </w:tc>
        <w:tc>
          <w:tcPr>
            <w:tcW w:w="1270" w:type="pct"/>
            <w:gridSpan w:val="3"/>
            <w:shd w:val="clear" w:color="000000" w:fill="E6E6E6"/>
            <w:vAlign w:val="center"/>
            <w:hideMark/>
          </w:tcPr>
          <w:p w14:paraId="63C8EA28" w14:textId="77777777" w:rsidR="00D32DA4" w:rsidRPr="003C01DC" w:rsidRDefault="00D32DA4">
            <w:pPr>
              <w:jc w:val="center"/>
              <w:rPr>
                <w:b/>
                <w:bCs/>
                <w:sz w:val="16"/>
                <w:szCs w:val="16"/>
              </w:rPr>
            </w:pPr>
            <w:r w:rsidRPr="003C01DC">
              <w:rPr>
                <w:b/>
                <w:bCs/>
                <w:sz w:val="16"/>
                <w:szCs w:val="16"/>
              </w:rPr>
              <w:t>Администрирани разходи</w:t>
            </w:r>
          </w:p>
        </w:tc>
      </w:tr>
      <w:tr w:rsidR="003C15D2" w:rsidRPr="003C01DC" w14:paraId="37D0AD65" w14:textId="77777777" w:rsidTr="003C01DC">
        <w:trPr>
          <w:trHeight w:val="980"/>
          <w:jc w:val="center"/>
        </w:trPr>
        <w:tc>
          <w:tcPr>
            <w:tcW w:w="379" w:type="pct"/>
            <w:shd w:val="clear" w:color="000000" w:fill="FFFFFF"/>
            <w:vAlign w:val="center"/>
            <w:hideMark/>
          </w:tcPr>
          <w:p w14:paraId="0453B459" w14:textId="77777777" w:rsidR="00D32DA4" w:rsidRPr="003C01DC" w:rsidRDefault="00D32DA4">
            <w:pPr>
              <w:jc w:val="center"/>
              <w:rPr>
                <w:b/>
                <w:bCs/>
                <w:sz w:val="16"/>
                <w:szCs w:val="16"/>
              </w:rPr>
            </w:pPr>
            <w:r w:rsidRPr="003C01DC">
              <w:rPr>
                <w:b/>
                <w:bCs/>
                <w:sz w:val="16"/>
                <w:szCs w:val="16"/>
              </w:rPr>
              <w:t> </w:t>
            </w:r>
          </w:p>
        </w:tc>
        <w:tc>
          <w:tcPr>
            <w:tcW w:w="1186" w:type="pct"/>
            <w:shd w:val="clear" w:color="000000" w:fill="FFFFFF"/>
            <w:vAlign w:val="center"/>
            <w:hideMark/>
          </w:tcPr>
          <w:p w14:paraId="1A3A5D67" w14:textId="77777777" w:rsidR="00D32DA4" w:rsidRPr="003C01DC" w:rsidRDefault="00D32DA4">
            <w:pPr>
              <w:jc w:val="center"/>
              <w:rPr>
                <w:b/>
                <w:bCs/>
                <w:sz w:val="16"/>
                <w:szCs w:val="16"/>
              </w:rPr>
            </w:pPr>
            <w:r w:rsidRPr="003C01DC">
              <w:rPr>
                <w:b/>
                <w:bCs/>
                <w:sz w:val="16"/>
                <w:szCs w:val="16"/>
              </w:rPr>
              <w:t xml:space="preserve">НА МИНИСТЕРСКИЯ СЪВЕТ </w:t>
            </w:r>
            <w:r w:rsidRPr="003C01DC">
              <w:rPr>
                <w:b/>
                <w:bCs/>
                <w:sz w:val="16"/>
                <w:szCs w:val="16"/>
              </w:rPr>
              <w:br/>
              <w:t>(в лева)</w:t>
            </w:r>
          </w:p>
        </w:tc>
        <w:tc>
          <w:tcPr>
            <w:tcW w:w="382" w:type="pct"/>
            <w:shd w:val="clear" w:color="000000" w:fill="FFFFFF"/>
            <w:vAlign w:val="center"/>
            <w:hideMark/>
          </w:tcPr>
          <w:p w14:paraId="4C1DEC31" w14:textId="77777777" w:rsidR="00D32DA4" w:rsidRPr="003C01DC" w:rsidRDefault="00D32DA4">
            <w:pPr>
              <w:jc w:val="center"/>
              <w:rPr>
                <w:sz w:val="16"/>
                <w:szCs w:val="16"/>
              </w:rPr>
            </w:pPr>
            <w:r w:rsidRPr="003C01DC">
              <w:rPr>
                <w:sz w:val="16"/>
                <w:szCs w:val="16"/>
              </w:rPr>
              <w:t>Общо разходи</w:t>
            </w:r>
          </w:p>
        </w:tc>
        <w:tc>
          <w:tcPr>
            <w:tcW w:w="353" w:type="pct"/>
            <w:shd w:val="clear" w:color="000000" w:fill="FFFFFF"/>
            <w:vAlign w:val="center"/>
            <w:hideMark/>
          </w:tcPr>
          <w:p w14:paraId="32FB0159" w14:textId="77777777" w:rsidR="00D32DA4" w:rsidRPr="003C01DC" w:rsidRDefault="00D32DA4">
            <w:pPr>
              <w:jc w:val="center"/>
              <w:rPr>
                <w:i/>
                <w:iCs/>
                <w:sz w:val="16"/>
                <w:szCs w:val="16"/>
              </w:rPr>
            </w:pPr>
            <w:r w:rsidRPr="003C01DC">
              <w:rPr>
                <w:i/>
                <w:iCs/>
                <w:sz w:val="16"/>
                <w:szCs w:val="16"/>
              </w:rPr>
              <w:t>По бюджета на ПРБ</w:t>
            </w:r>
          </w:p>
        </w:tc>
        <w:tc>
          <w:tcPr>
            <w:tcW w:w="336" w:type="pct"/>
            <w:shd w:val="clear" w:color="000000" w:fill="FFFFFF"/>
            <w:vAlign w:val="center"/>
            <w:hideMark/>
          </w:tcPr>
          <w:p w14:paraId="626F7C3C" w14:textId="77777777" w:rsidR="00D32DA4" w:rsidRPr="003C01DC" w:rsidRDefault="00D32DA4">
            <w:pPr>
              <w:jc w:val="center"/>
              <w:rPr>
                <w:i/>
                <w:iCs/>
                <w:sz w:val="16"/>
                <w:szCs w:val="16"/>
              </w:rPr>
            </w:pPr>
            <w:r w:rsidRPr="003C01DC">
              <w:rPr>
                <w:i/>
                <w:iCs/>
                <w:sz w:val="16"/>
                <w:szCs w:val="16"/>
              </w:rPr>
              <w:t xml:space="preserve">По други бюджети и сметки за средства от ЕС </w:t>
            </w:r>
          </w:p>
        </w:tc>
        <w:tc>
          <w:tcPr>
            <w:tcW w:w="382" w:type="pct"/>
            <w:shd w:val="clear" w:color="000000" w:fill="FFFFFF"/>
            <w:vAlign w:val="center"/>
            <w:hideMark/>
          </w:tcPr>
          <w:p w14:paraId="69FDFFE2" w14:textId="7B5D89EB" w:rsidR="00D32DA4" w:rsidRPr="003C01DC" w:rsidRDefault="00D32DA4">
            <w:pPr>
              <w:jc w:val="center"/>
              <w:rPr>
                <w:sz w:val="16"/>
                <w:szCs w:val="16"/>
              </w:rPr>
            </w:pPr>
            <w:r w:rsidRPr="003C01DC">
              <w:rPr>
                <w:sz w:val="16"/>
                <w:szCs w:val="16"/>
              </w:rPr>
              <w:t>Общо ведомствени</w:t>
            </w:r>
          </w:p>
        </w:tc>
        <w:tc>
          <w:tcPr>
            <w:tcW w:w="331" w:type="pct"/>
            <w:shd w:val="clear" w:color="000000" w:fill="FFFFFF"/>
            <w:vAlign w:val="center"/>
            <w:hideMark/>
          </w:tcPr>
          <w:p w14:paraId="504E6521" w14:textId="77777777" w:rsidR="00D32DA4" w:rsidRPr="003C01DC" w:rsidRDefault="00D32DA4">
            <w:pPr>
              <w:jc w:val="center"/>
              <w:rPr>
                <w:i/>
                <w:iCs/>
                <w:sz w:val="16"/>
                <w:szCs w:val="16"/>
              </w:rPr>
            </w:pPr>
            <w:r w:rsidRPr="003C01DC">
              <w:rPr>
                <w:i/>
                <w:iCs/>
                <w:sz w:val="16"/>
                <w:szCs w:val="16"/>
              </w:rPr>
              <w:t>По бюджета на ПРБ</w:t>
            </w:r>
          </w:p>
        </w:tc>
        <w:tc>
          <w:tcPr>
            <w:tcW w:w="380" w:type="pct"/>
            <w:shd w:val="clear" w:color="000000" w:fill="FFFFFF"/>
            <w:vAlign w:val="center"/>
            <w:hideMark/>
          </w:tcPr>
          <w:p w14:paraId="6A8A8FA2" w14:textId="77777777" w:rsidR="00D32DA4" w:rsidRPr="003C01DC" w:rsidRDefault="00D32DA4">
            <w:pPr>
              <w:jc w:val="center"/>
              <w:rPr>
                <w:i/>
                <w:iCs/>
                <w:sz w:val="16"/>
                <w:szCs w:val="16"/>
              </w:rPr>
            </w:pPr>
            <w:r w:rsidRPr="003C01DC">
              <w:rPr>
                <w:i/>
                <w:iCs/>
                <w:sz w:val="16"/>
                <w:szCs w:val="16"/>
              </w:rPr>
              <w:t xml:space="preserve">По други бюджети и сметки за средства от ЕС </w:t>
            </w:r>
          </w:p>
        </w:tc>
        <w:tc>
          <w:tcPr>
            <w:tcW w:w="494" w:type="pct"/>
            <w:shd w:val="clear" w:color="000000" w:fill="FFFFFF"/>
            <w:vAlign w:val="center"/>
            <w:hideMark/>
          </w:tcPr>
          <w:p w14:paraId="60B5223A" w14:textId="77777777" w:rsidR="00D32DA4" w:rsidRPr="003C01DC" w:rsidRDefault="00D32DA4">
            <w:pPr>
              <w:jc w:val="center"/>
              <w:rPr>
                <w:sz w:val="16"/>
                <w:szCs w:val="16"/>
              </w:rPr>
            </w:pPr>
            <w:r w:rsidRPr="003C01DC">
              <w:rPr>
                <w:sz w:val="16"/>
                <w:szCs w:val="16"/>
              </w:rPr>
              <w:t>Общо Администрирани</w:t>
            </w:r>
          </w:p>
        </w:tc>
        <w:tc>
          <w:tcPr>
            <w:tcW w:w="426" w:type="pct"/>
            <w:shd w:val="clear" w:color="000000" w:fill="FFFFFF"/>
            <w:vAlign w:val="center"/>
            <w:hideMark/>
          </w:tcPr>
          <w:p w14:paraId="1FEEE5E3" w14:textId="77777777" w:rsidR="00D32DA4" w:rsidRPr="003C01DC" w:rsidRDefault="00D32DA4">
            <w:pPr>
              <w:jc w:val="center"/>
              <w:rPr>
                <w:i/>
                <w:iCs/>
                <w:sz w:val="16"/>
                <w:szCs w:val="16"/>
              </w:rPr>
            </w:pPr>
            <w:r w:rsidRPr="003C01DC">
              <w:rPr>
                <w:i/>
                <w:iCs/>
                <w:sz w:val="16"/>
                <w:szCs w:val="16"/>
              </w:rPr>
              <w:t>По бюджета на ПРБ</w:t>
            </w:r>
          </w:p>
        </w:tc>
        <w:tc>
          <w:tcPr>
            <w:tcW w:w="349" w:type="pct"/>
            <w:shd w:val="clear" w:color="000000" w:fill="FFFFFF"/>
            <w:vAlign w:val="center"/>
            <w:hideMark/>
          </w:tcPr>
          <w:p w14:paraId="2AF5EEA3" w14:textId="77777777" w:rsidR="00D32DA4" w:rsidRPr="003C01DC" w:rsidRDefault="00D32DA4">
            <w:pPr>
              <w:jc w:val="center"/>
              <w:rPr>
                <w:i/>
                <w:iCs/>
                <w:sz w:val="16"/>
                <w:szCs w:val="16"/>
              </w:rPr>
            </w:pPr>
            <w:r w:rsidRPr="003C01DC">
              <w:rPr>
                <w:i/>
                <w:iCs/>
                <w:sz w:val="16"/>
                <w:szCs w:val="16"/>
              </w:rPr>
              <w:t xml:space="preserve">По други бюджети и сметки за средства от ЕС </w:t>
            </w:r>
          </w:p>
        </w:tc>
      </w:tr>
      <w:tr w:rsidR="003C01DC" w:rsidRPr="003C01DC" w14:paraId="09BD3175" w14:textId="77777777" w:rsidTr="003C01DC">
        <w:trPr>
          <w:trHeight w:val="315"/>
          <w:jc w:val="center"/>
        </w:trPr>
        <w:tc>
          <w:tcPr>
            <w:tcW w:w="379" w:type="pct"/>
            <w:shd w:val="clear" w:color="auto" w:fill="auto"/>
            <w:vAlign w:val="center"/>
            <w:hideMark/>
          </w:tcPr>
          <w:p w14:paraId="5B98CEC9" w14:textId="77777777" w:rsidR="00D32DA4" w:rsidRPr="003C01DC" w:rsidRDefault="00D32DA4">
            <w:pPr>
              <w:jc w:val="center"/>
              <w:rPr>
                <w:b/>
                <w:bCs/>
                <w:sz w:val="16"/>
                <w:szCs w:val="16"/>
              </w:rPr>
            </w:pPr>
            <w:r w:rsidRPr="003C01DC">
              <w:rPr>
                <w:b/>
                <w:bCs/>
                <w:sz w:val="16"/>
                <w:szCs w:val="16"/>
              </w:rPr>
              <w:t> </w:t>
            </w:r>
          </w:p>
        </w:tc>
        <w:tc>
          <w:tcPr>
            <w:tcW w:w="1186" w:type="pct"/>
            <w:shd w:val="clear" w:color="auto" w:fill="auto"/>
            <w:vAlign w:val="center"/>
            <w:hideMark/>
          </w:tcPr>
          <w:p w14:paraId="1041DFB8" w14:textId="77777777" w:rsidR="00D32DA4" w:rsidRPr="003C01DC" w:rsidRDefault="00D32DA4">
            <w:pPr>
              <w:jc w:val="both"/>
              <w:rPr>
                <w:b/>
                <w:bCs/>
                <w:sz w:val="16"/>
                <w:szCs w:val="16"/>
              </w:rPr>
            </w:pPr>
            <w:r w:rsidRPr="003C01DC">
              <w:rPr>
                <w:b/>
                <w:bCs/>
                <w:sz w:val="16"/>
                <w:szCs w:val="16"/>
              </w:rPr>
              <w:t>Общо разходи</w:t>
            </w:r>
          </w:p>
        </w:tc>
        <w:tc>
          <w:tcPr>
            <w:tcW w:w="382" w:type="pct"/>
            <w:shd w:val="clear" w:color="auto" w:fill="auto"/>
            <w:vAlign w:val="center"/>
            <w:hideMark/>
          </w:tcPr>
          <w:p w14:paraId="4A30627F" w14:textId="77777777" w:rsidR="00D32DA4" w:rsidRPr="003C01DC" w:rsidRDefault="00D32DA4">
            <w:pPr>
              <w:jc w:val="right"/>
              <w:rPr>
                <w:b/>
                <w:bCs/>
                <w:sz w:val="16"/>
                <w:szCs w:val="16"/>
              </w:rPr>
            </w:pPr>
            <w:r w:rsidRPr="003C01DC">
              <w:rPr>
                <w:b/>
                <w:bCs/>
                <w:sz w:val="16"/>
                <w:szCs w:val="16"/>
              </w:rPr>
              <w:t>106 589 260</w:t>
            </w:r>
          </w:p>
        </w:tc>
        <w:tc>
          <w:tcPr>
            <w:tcW w:w="353" w:type="pct"/>
            <w:shd w:val="clear" w:color="auto" w:fill="auto"/>
            <w:vAlign w:val="center"/>
            <w:hideMark/>
          </w:tcPr>
          <w:p w14:paraId="3D3F7502" w14:textId="77777777" w:rsidR="00D32DA4" w:rsidRPr="003C01DC" w:rsidRDefault="00D32DA4">
            <w:pPr>
              <w:jc w:val="right"/>
              <w:rPr>
                <w:b/>
                <w:bCs/>
                <w:sz w:val="16"/>
                <w:szCs w:val="16"/>
              </w:rPr>
            </w:pPr>
            <w:r w:rsidRPr="003C01DC">
              <w:rPr>
                <w:b/>
                <w:bCs/>
                <w:sz w:val="16"/>
                <w:szCs w:val="16"/>
              </w:rPr>
              <w:t>98 203 133</w:t>
            </w:r>
          </w:p>
        </w:tc>
        <w:tc>
          <w:tcPr>
            <w:tcW w:w="336" w:type="pct"/>
            <w:shd w:val="clear" w:color="auto" w:fill="auto"/>
            <w:vAlign w:val="center"/>
            <w:hideMark/>
          </w:tcPr>
          <w:p w14:paraId="4678A385" w14:textId="77777777" w:rsidR="00D32DA4" w:rsidRPr="003C01DC" w:rsidRDefault="00D32DA4">
            <w:pPr>
              <w:jc w:val="right"/>
              <w:rPr>
                <w:b/>
                <w:bCs/>
                <w:sz w:val="16"/>
                <w:szCs w:val="16"/>
              </w:rPr>
            </w:pPr>
            <w:r w:rsidRPr="003C01DC">
              <w:rPr>
                <w:b/>
                <w:bCs/>
                <w:sz w:val="16"/>
                <w:szCs w:val="16"/>
              </w:rPr>
              <w:t>8 386 127</w:t>
            </w:r>
          </w:p>
        </w:tc>
        <w:tc>
          <w:tcPr>
            <w:tcW w:w="382" w:type="pct"/>
            <w:shd w:val="clear" w:color="auto" w:fill="auto"/>
            <w:vAlign w:val="center"/>
            <w:hideMark/>
          </w:tcPr>
          <w:p w14:paraId="1D25FE55" w14:textId="77777777" w:rsidR="00D32DA4" w:rsidRPr="003C01DC" w:rsidRDefault="00D32DA4">
            <w:pPr>
              <w:jc w:val="right"/>
              <w:rPr>
                <w:b/>
                <w:bCs/>
                <w:sz w:val="16"/>
                <w:szCs w:val="16"/>
              </w:rPr>
            </w:pPr>
            <w:r w:rsidRPr="003C01DC">
              <w:rPr>
                <w:b/>
                <w:bCs/>
                <w:sz w:val="16"/>
                <w:szCs w:val="16"/>
              </w:rPr>
              <w:t>66 637 994</w:t>
            </w:r>
          </w:p>
        </w:tc>
        <w:tc>
          <w:tcPr>
            <w:tcW w:w="331" w:type="pct"/>
            <w:shd w:val="clear" w:color="auto" w:fill="auto"/>
            <w:vAlign w:val="center"/>
            <w:hideMark/>
          </w:tcPr>
          <w:p w14:paraId="559AD4A0" w14:textId="77777777" w:rsidR="00D32DA4" w:rsidRPr="003C01DC" w:rsidRDefault="00D32DA4">
            <w:pPr>
              <w:jc w:val="right"/>
              <w:rPr>
                <w:b/>
                <w:bCs/>
                <w:sz w:val="16"/>
                <w:szCs w:val="16"/>
              </w:rPr>
            </w:pPr>
            <w:r w:rsidRPr="003C01DC">
              <w:rPr>
                <w:b/>
                <w:bCs/>
                <w:sz w:val="16"/>
                <w:szCs w:val="16"/>
              </w:rPr>
              <w:t>58 496 754</w:t>
            </w:r>
          </w:p>
        </w:tc>
        <w:tc>
          <w:tcPr>
            <w:tcW w:w="380" w:type="pct"/>
            <w:shd w:val="clear" w:color="auto" w:fill="auto"/>
            <w:vAlign w:val="center"/>
            <w:hideMark/>
          </w:tcPr>
          <w:p w14:paraId="2FDBDE7C" w14:textId="77777777" w:rsidR="00D32DA4" w:rsidRPr="003C01DC" w:rsidRDefault="00D32DA4">
            <w:pPr>
              <w:jc w:val="right"/>
              <w:rPr>
                <w:b/>
                <w:bCs/>
                <w:sz w:val="16"/>
                <w:szCs w:val="16"/>
              </w:rPr>
            </w:pPr>
            <w:r w:rsidRPr="003C01DC">
              <w:rPr>
                <w:b/>
                <w:bCs/>
                <w:sz w:val="16"/>
                <w:szCs w:val="16"/>
              </w:rPr>
              <w:t>8 141 240</w:t>
            </w:r>
          </w:p>
        </w:tc>
        <w:tc>
          <w:tcPr>
            <w:tcW w:w="494" w:type="pct"/>
            <w:shd w:val="clear" w:color="auto" w:fill="auto"/>
            <w:vAlign w:val="center"/>
            <w:hideMark/>
          </w:tcPr>
          <w:p w14:paraId="20F30527" w14:textId="77777777" w:rsidR="00D32DA4" w:rsidRPr="003C01DC" w:rsidRDefault="00D32DA4">
            <w:pPr>
              <w:jc w:val="right"/>
              <w:rPr>
                <w:b/>
                <w:bCs/>
                <w:sz w:val="16"/>
                <w:szCs w:val="16"/>
              </w:rPr>
            </w:pPr>
            <w:r w:rsidRPr="003C01DC">
              <w:rPr>
                <w:b/>
                <w:bCs/>
                <w:sz w:val="16"/>
                <w:szCs w:val="16"/>
              </w:rPr>
              <w:t>39 951 266</w:t>
            </w:r>
          </w:p>
        </w:tc>
        <w:tc>
          <w:tcPr>
            <w:tcW w:w="426" w:type="pct"/>
            <w:shd w:val="clear" w:color="auto" w:fill="auto"/>
            <w:vAlign w:val="center"/>
            <w:hideMark/>
          </w:tcPr>
          <w:p w14:paraId="2619754C" w14:textId="77777777" w:rsidR="00D32DA4" w:rsidRPr="003C01DC" w:rsidRDefault="00D32DA4">
            <w:pPr>
              <w:jc w:val="right"/>
              <w:rPr>
                <w:b/>
                <w:bCs/>
                <w:sz w:val="16"/>
                <w:szCs w:val="16"/>
              </w:rPr>
            </w:pPr>
            <w:r w:rsidRPr="003C01DC">
              <w:rPr>
                <w:b/>
                <w:bCs/>
                <w:sz w:val="16"/>
                <w:szCs w:val="16"/>
              </w:rPr>
              <w:t>39 706 379</w:t>
            </w:r>
          </w:p>
        </w:tc>
        <w:tc>
          <w:tcPr>
            <w:tcW w:w="349" w:type="pct"/>
            <w:shd w:val="clear" w:color="auto" w:fill="auto"/>
            <w:vAlign w:val="center"/>
            <w:hideMark/>
          </w:tcPr>
          <w:p w14:paraId="39B5AD11" w14:textId="77777777" w:rsidR="00D32DA4" w:rsidRPr="003C01DC" w:rsidRDefault="00D32DA4">
            <w:pPr>
              <w:jc w:val="right"/>
              <w:rPr>
                <w:b/>
                <w:bCs/>
                <w:sz w:val="16"/>
                <w:szCs w:val="16"/>
              </w:rPr>
            </w:pPr>
            <w:r w:rsidRPr="003C01DC">
              <w:rPr>
                <w:b/>
                <w:bCs/>
                <w:sz w:val="16"/>
                <w:szCs w:val="16"/>
              </w:rPr>
              <w:t>244 887</w:t>
            </w:r>
          </w:p>
        </w:tc>
      </w:tr>
      <w:tr w:rsidR="003C15D2" w:rsidRPr="003C01DC" w14:paraId="53C7F408" w14:textId="77777777" w:rsidTr="003C01DC">
        <w:trPr>
          <w:trHeight w:val="503"/>
          <w:jc w:val="center"/>
        </w:trPr>
        <w:tc>
          <w:tcPr>
            <w:tcW w:w="379" w:type="pct"/>
            <w:shd w:val="clear" w:color="000000" w:fill="E6E6E6"/>
            <w:vAlign w:val="center"/>
            <w:hideMark/>
          </w:tcPr>
          <w:p w14:paraId="3A1F0589" w14:textId="77777777" w:rsidR="00D32DA4" w:rsidRPr="003C01DC" w:rsidRDefault="00D32DA4">
            <w:pPr>
              <w:jc w:val="center"/>
              <w:rPr>
                <w:b/>
                <w:bCs/>
                <w:sz w:val="16"/>
                <w:szCs w:val="16"/>
              </w:rPr>
            </w:pPr>
            <w:r w:rsidRPr="003C01DC">
              <w:rPr>
                <w:b/>
                <w:bCs/>
                <w:sz w:val="16"/>
                <w:szCs w:val="16"/>
              </w:rPr>
              <w:t>0300.01.00</w:t>
            </w:r>
          </w:p>
        </w:tc>
        <w:tc>
          <w:tcPr>
            <w:tcW w:w="1186" w:type="pct"/>
            <w:shd w:val="clear" w:color="000000" w:fill="E6E6E6"/>
            <w:vAlign w:val="center"/>
            <w:hideMark/>
          </w:tcPr>
          <w:p w14:paraId="53241CCE" w14:textId="77777777" w:rsidR="00D32DA4" w:rsidRPr="003C01DC" w:rsidRDefault="00D32DA4">
            <w:pPr>
              <w:rPr>
                <w:b/>
                <w:bCs/>
                <w:sz w:val="16"/>
                <w:szCs w:val="16"/>
              </w:rPr>
            </w:pPr>
            <w:r w:rsidRPr="003C01DC">
              <w:rPr>
                <w:b/>
                <w:bCs/>
                <w:sz w:val="16"/>
                <w:szCs w:val="16"/>
              </w:rPr>
              <w:t>Област „Осигуряване дейността и организацията на работата на Министерския съвет”</w:t>
            </w:r>
          </w:p>
        </w:tc>
        <w:tc>
          <w:tcPr>
            <w:tcW w:w="382" w:type="pct"/>
            <w:shd w:val="clear" w:color="000000" w:fill="E6E6E6"/>
            <w:vAlign w:val="center"/>
            <w:hideMark/>
          </w:tcPr>
          <w:p w14:paraId="2B71E1FB" w14:textId="77777777" w:rsidR="00D32DA4" w:rsidRPr="003C01DC" w:rsidRDefault="00D32DA4">
            <w:pPr>
              <w:jc w:val="right"/>
              <w:rPr>
                <w:b/>
                <w:bCs/>
                <w:sz w:val="16"/>
                <w:szCs w:val="16"/>
              </w:rPr>
            </w:pPr>
            <w:r w:rsidRPr="003C01DC">
              <w:rPr>
                <w:b/>
                <w:bCs/>
                <w:sz w:val="16"/>
                <w:szCs w:val="16"/>
              </w:rPr>
              <w:t>9 098 124</w:t>
            </w:r>
          </w:p>
        </w:tc>
        <w:tc>
          <w:tcPr>
            <w:tcW w:w="353" w:type="pct"/>
            <w:shd w:val="clear" w:color="000000" w:fill="E6E6E6"/>
            <w:vAlign w:val="center"/>
            <w:hideMark/>
          </w:tcPr>
          <w:p w14:paraId="4AF7172D" w14:textId="77777777" w:rsidR="00D32DA4" w:rsidRPr="003C01DC" w:rsidRDefault="00D32DA4">
            <w:pPr>
              <w:jc w:val="right"/>
              <w:rPr>
                <w:b/>
                <w:bCs/>
                <w:sz w:val="16"/>
                <w:szCs w:val="16"/>
              </w:rPr>
            </w:pPr>
            <w:r w:rsidRPr="003C01DC">
              <w:rPr>
                <w:b/>
                <w:bCs/>
                <w:sz w:val="16"/>
                <w:szCs w:val="16"/>
              </w:rPr>
              <w:t>9 098 124</w:t>
            </w:r>
          </w:p>
        </w:tc>
        <w:tc>
          <w:tcPr>
            <w:tcW w:w="336" w:type="pct"/>
            <w:shd w:val="clear" w:color="000000" w:fill="E6E6E6"/>
            <w:vAlign w:val="center"/>
            <w:hideMark/>
          </w:tcPr>
          <w:p w14:paraId="0440EDA5" w14:textId="77777777" w:rsidR="00D32DA4" w:rsidRPr="003C01DC" w:rsidRDefault="00D32DA4">
            <w:pPr>
              <w:jc w:val="right"/>
              <w:rPr>
                <w:b/>
                <w:bCs/>
                <w:sz w:val="16"/>
                <w:szCs w:val="16"/>
              </w:rPr>
            </w:pPr>
            <w:r w:rsidRPr="003C01DC">
              <w:rPr>
                <w:b/>
                <w:bCs/>
                <w:sz w:val="16"/>
                <w:szCs w:val="16"/>
              </w:rPr>
              <w:t>0</w:t>
            </w:r>
          </w:p>
        </w:tc>
        <w:tc>
          <w:tcPr>
            <w:tcW w:w="382" w:type="pct"/>
            <w:shd w:val="clear" w:color="000000" w:fill="E6E6E6"/>
            <w:vAlign w:val="center"/>
            <w:hideMark/>
          </w:tcPr>
          <w:p w14:paraId="49E993AE" w14:textId="77777777" w:rsidR="00D32DA4" w:rsidRPr="003C01DC" w:rsidRDefault="00D32DA4">
            <w:pPr>
              <w:jc w:val="right"/>
              <w:rPr>
                <w:b/>
                <w:bCs/>
                <w:sz w:val="16"/>
                <w:szCs w:val="16"/>
              </w:rPr>
            </w:pPr>
            <w:r w:rsidRPr="003C01DC">
              <w:rPr>
                <w:b/>
                <w:bCs/>
                <w:sz w:val="16"/>
                <w:szCs w:val="16"/>
              </w:rPr>
              <w:t>9 098 124</w:t>
            </w:r>
          </w:p>
        </w:tc>
        <w:tc>
          <w:tcPr>
            <w:tcW w:w="331" w:type="pct"/>
            <w:shd w:val="clear" w:color="000000" w:fill="E6E6E6"/>
            <w:vAlign w:val="center"/>
            <w:hideMark/>
          </w:tcPr>
          <w:p w14:paraId="20D351A8" w14:textId="77777777" w:rsidR="00D32DA4" w:rsidRPr="003C01DC" w:rsidRDefault="00D32DA4">
            <w:pPr>
              <w:jc w:val="right"/>
              <w:rPr>
                <w:b/>
                <w:bCs/>
                <w:sz w:val="16"/>
                <w:szCs w:val="16"/>
              </w:rPr>
            </w:pPr>
            <w:r w:rsidRPr="003C01DC">
              <w:rPr>
                <w:b/>
                <w:bCs/>
                <w:sz w:val="16"/>
                <w:szCs w:val="16"/>
              </w:rPr>
              <w:t>9 098 124</w:t>
            </w:r>
          </w:p>
        </w:tc>
        <w:tc>
          <w:tcPr>
            <w:tcW w:w="380" w:type="pct"/>
            <w:shd w:val="clear" w:color="000000" w:fill="E6E6E6"/>
            <w:vAlign w:val="center"/>
            <w:hideMark/>
          </w:tcPr>
          <w:p w14:paraId="65F04C88" w14:textId="77777777" w:rsidR="00D32DA4" w:rsidRPr="003C01DC" w:rsidRDefault="00D32DA4">
            <w:pPr>
              <w:jc w:val="right"/>
              <w:rPr>
                <w:b/>
                <w:bCs/>
                <w:sz w:val="16"/>
                <w:szCs w:val="16"/>
              </w:rPr>
            </w:pPr>
            <w:r w:rsidRPr="003C01DC">
              <w:rPr>
                <w:b/>
                <w:bCs/>
                <w:sz w:val="16"/>
                <w:szCs w:val="16"/>
              </w:rPr>
              <w:t>0</w:t>
            </w:r>
          </w:p>
        </w:tc>
        <w:tc>
          <w:tcPr>
            <w:tcW w:w="494" w:type="pct"/>
            <w:shd w:val="clear" w:color="000000" w:fill="E6E6E6"/>
            <w:vAlign w:val="center"/>
            <w:hideMark/>
          </w:tcPr>
          <w:p w14:paraId="4EB4E794" w14:textId="77777777" w:rsidR="00D32DA4" w:rsidRPr="003C01DC" w:rsidRDefault="00D32DA4">
            <w:pPr>
              <w:jc w:val="right"/>
              <w:rPr>
                <w:b/>
                <w:bCs/>
                <w:sz w:val="16"/>
                <w:szCs w:val="16"/>
              </w:rPr>
            </w:pPr>
            <w:r w:rsidRPr="003C01DC">
              <w:rPr>
                <w:b/>
                <w:bCs/>
                <w:sz w:val="16"/>
                <w:szCs w:val="16"/>
              </w:rPr>
              <w:t>0</w:t>
            </w:r>
          </w:p>
        </w:tc>
        <w:tc>
          <w:tcPr>
            <w:tcW w:w="426" w:type="pct"/>
            <w:shd w:val="clear" w:color="000000" w:fill="E6E6E6"/>
            <w:vAlign w:val="center"/>
            <w:hideMark/>
          </w:tcPr>
          <w:p w14:paraId="0D25015E" w14:textId="77777777" w:rsidR="00D32DA4" w:rsidRPr="003C01DC" w:rsidRDefault="00D32DA4">
            <w:pPr>
              <w:jc w:val="right"/>
              <w:rPr>
                <w:b/>
                <w:bCs/>
                <w:sz w:val="16"/>
                <w:szCs w:val="16"/>
              </w:rPr>
            </w:pPr>
            <w:r w:rsidRPr="003C01DC">
              <w:rPr>
                <w:b/>
                <w:bCs/>
                <w:sz w:val="16"/>
                <w:szCs w:val="16"/>
              </w:rPr>
              <w:t>0</w:t>
            </w:r>
          </w:p>
        </w:tc>
        <w:tc>
          <w:tcPr>
            <w:tcW w:w="349" w:type="pct"/>
            <w:shd w:val="clear" w:color="000000" w:fill="E6E6E6"/>
            <w:vAlign w:val="center"/>
            <w:hideMark/>
          </w:tcPr>
          <w:p w14:paraId="5FB23C80" w14:textId="77777777" w:rsidR="00D32DA4" w:rsidRPr="003C01DC" w:rsidRDefault="00D32DA4">
            <w:pPr>
              <w:jc w:val="right"/>
              <w:rPr>
                <w:b/>
                <w:bCs/>
                <w:sz w:val="16"/>
                <w:szCs w:val="16"/>
              </w:rPr>
            </w:pPr>
            <w:r w:rsidRPr="003C01DC">
              <w:rPr>
                <w:b/>
                <w:bCs/>
                <w:sz w:val="16"/>
                <w:szCs w:val="16"/>
              </w:rPr>
              <w:t>0</w:t>
            </w:r>
          </w:p>
        </w:tc>
      </w:tr>
      <w:tr w:rsidR="003C15D2" w:rsidRPr="003C01DC" w14:paraId="68B904A5" w14:textId="77777777" w:rsidTr="003C01DC">
        <w:trPr>
          <w:trHeight w:val="355"/>
          <w:jc w:val="center"/>
        </w:trPr>
        <w:tc>
          <w:tcPr>
            <w:tcW w:w="379" w:type="pct"/>
            <w:shd w:val="clear" w:color="auto" w:fill="auto"/>
            <w:vAlign w:val="center"/>
            <w:hideMark/>
          </w:tcPr>
          <w:p w14:paraId="38E9C893" w14:textId="77777777" w:rsidR="00D32DA4" w:rsidRPr="003C01DC" w:rsidRDefault="00D32DA4">
            <w:pPr>
              <w:jc w:val="center"/>
              <w:rPr>
                <w:sz w:val="16"/>
                <w:szCs w:val="16"/>
              </w:rPr>
            </w:pPr>
            <w:r w:rsidRPr="003C01DC">
              <w:rPr>
                <w:sz w:val="16"/>
                <w:szCs w:val="16"/>
              </w:rPr>
              <w:t>0300.01.01</w:t>
            </w:r>
          </w:p>
        </w:tc>
        <w:tc>
          <w:tcPr>
            <w:tcW w:w="1186" w:type="pct"/>
            <w:shd w:val="clear" w:color="auto" w:fill="auto"/>
            <w:vAlign w:val="center"/>
            <w:hideMark/>
          </w:tcPr>
          <w:p w14:paraId="7BC077EE" w14:textId="77777777" w:rsidR="00D32DA4" w:rsidRPr="003C01DC" w:rsidRDefault="00D32DA4">
            <w:pPr>
              <w:rPr>
                <w:sz w:val="16"/>
                <w:szCs w:val="16"/>
              </w:rPr>
            </w:pPr>
            <w:r w:rsidRPr="003C01DC">
              <w:rPr>
                <w:sz w:val="16"/>
                <w:szCs w:val="16"/>
              </w:rPr>
              <w:t>Бюджетна програма „Министерски съвет и организация на дейността му”</w:t>
            </w:r>
          </w:p>
        </w:tc>
        <w:tc>
          <w:tcPr>
            <w:tcW w:w="382" w:type="pct"/>
            <w:shd w:val="clear" w:color="000000" w:fill="FFFFCC"/>
            <w:vAlign w:val="center"/>
            <w:hideMark/>
          </w:tcPr>
          <w:p w14:paraId="21C5DF12" w14:textId="77777777" w:rsidR="00D32DA4" w:rsidRPr="003C01DC" w:rsidRDefault="00D32DA4">
            <w:pPr>
              <w:jc w:val="right"/>
              <w:rPr>
                <w:sz w:val="16"/>
                <w:szCs w:val="16"/>
              </w:rPr>
            </w:pPr>
            <w:r w:rsidRPr="003C01DC">
              <w:rPr>
                <w:sz w:val="16"/>
                <w:szCs w:val="16"/>
              </w:rPr>
              <w:t>5 213 687</w:t>
            </w:r>
          </w:p>
        </w:tc>
        <w:tc>
          <w:tcPr>
            <w:tcW w:w="353" w:type="pct"/>
            <w:shd w:val="clear" w:color="auto" w:fill="auto"/>
            <w:vAlign w:val="center"/>
            <w:hideMark/>
          </w:tcPr>
          <w:p w14:paraId="3F0B87E3" w14:textId="77777777" w:rsidR="00D32DA4" w:rsidRPr="003C01DC" w:rsidRDefault="00D32DA4">
            <w:pPr>
              <w:jc w:val="right"/>
              <w:rPr>
                <w:sz w:val="16"/>
                <w:szCs w:val="16"/>
              </w:rPr>
            </w:pPr>
            <w:r w:rsidRPr="003C01DC">
              <w:rPr>
                <w:sz w:val="16"/>
                <w:szCs w:val="16"/>
              </w:rPr>
              <w:t>5 213 687</w:t>
            </w:r>
          </w:p>
        </w:tc>
        <w:tc>
          <w:tcPr>
            <w:tcW w:w="336" w:type="pct"/>
            <w:shd w:val="clear" w:color="auto" w:fill="auto"/>
            <w:vAlign w:val="center"/>
            <w:hideMark/>
          </w:tcPr>
          <w:p w14:paraId="3868DAD8" w14:textId="77777777" w:rsidR="00D32DA4" w:rsidRPr="003C01DC" w:rsidRDefault="00D32DA4">
            <w:pPr>
              <w:jc w:val="right"/>
              <w:rPr>
                <w:sz w:val="16"/>
                <w:szCs w:val="16"/>
              </w:rPr>
            </w:pPr>
            <w:r w:rsidRPr="003C01DC">
              <w:rPr>
                <w:sz w:val="16"/>
                <w:szCs w:val="16"/>
              </w:rPr>
              <w:t>0</w:t>
            </w:r>
          </w:p>
        </w:tc>
        <w:tc>
          <w:tcPr>
            <w:tcW w:w="382" w:type="pct"/>
            <w:shd w:val="clear" w:color="000000" w:fill="FFFFCC"/>
            <w:vAlign w:val="center"/>
            <w:hideMark/>
          </w:tcPr>
          <w:p w14:paraId="29A05FF8" w14:textId="77777777" w:rsidR="00D32DA4" w:rsidRPr="003C01DC" w:rsidRDefault="00D32DA4">
            <w:pPr>
              <w:jc w:val="right"/>
              <w:rPr>
                <w:sz w:val="16"/>
                <w:szCs w:val="16"/>
              </w:rPr>
            </w:pPr>
            <w:r w:rsidRPr="003C01DC">
              <w:rPr>
                <w:sz w:val="16"/>
                <w:szCs w:val="16"/>
              </w:rPr>
              <w:t>5 213 687</w:t>
            </w:r>
          </w:p>
        </w:tc>
        <w:tc>
          <w:tcPr>
            <w:tcW w:w="331" w:type="pct"/>
            <w:shd w:val="clear" w:color="000000" w:fill="FFFFFF"/>
            <w:vAlign w:val="center"/>
            <w:hideMark/>
          </w:tcPr>
          <w:p w14:paraId="088E7C39" w14:textId="77777777" w:rsidR="00D32DA4" w:rsidRPr="003C01DC" w:rsidRDefault="00D32DA4">
            <w:pPr>
              <w:jc w:val="right"/>
              <w:rPr>
                <w:sz w:val="16"/>
                <w:szCs w:val="16"/>
              </w:rPr>
            </w:pPr>
            <w:r w:rsidRPr="003C01DC">
              <w:rPr>
                <w:sz w:val="16"/>
                <w:szCs w:val="16"/>
              </w:rPr>
              <w:t>5 213 687</w:t>
            </w:r>
          </w:p>
        </w:tc>
        <w:tc>
          <w:tcPr>
            <w:tcW w:w="380" w:type="pct"/>
            <w:shd w:val="clear" w:color="000000" w:fill="FFFFFF"/>
            <w:vAlign w:val="center"/>
            <w:hideMark/>
          </w:tcPr>
          <w:p w14:paraId="5D4042FD" w14:textId="77777777" w:rsidR="00D32DA4" w:rsidRPr="003C01DC" w:rsidRDefault="00D32DA4">
            <w:pPr>
              <w:jc w:val="right"/>
              <w:rPr>
                <w:sz w:val="16"/>
                <w:szCs w:val="16"/>
              </w:rPr>
            </w:pPr>
            <w:r w:rsidRPr="003C01DC">
              <w:rPr>
                <w:sz w:val="16"/>
                <w:szCs w:val="16"/>
              </w:rPr>
              <w:t>0</w:t>
            </w:r>
          </w:p>
        </w:tc>
        <w:tc>
          <w:tcPr>
            <w:tcW w:w="494" w:type="pct"/>
            <w:shd w:val="clear" w:color="000000" w:fill="FFFFCC"/>
            <w:vAlign w:val="center"/>
            <w:hideMark/>
          </w:tcPr>
          <w:p w14:paraId="0556CB2A" w14:textId="77777777" w:rsidR="00D32DA4" w:rsidRPr="003C01DC" w:rsidRDefault="00D32DA4">
            <w:pPr>
              <w:jc w:val="right"/>
              <w:rPr>
                <w:sz w:val="16"/>
                <w:szCs w:val="16"/>
              </w:rPr>
            </w:pPr>
            <w:r w:rsidRPr="003C01DC">
              <w:rPr>
                <w:sz w:val="16"/>
                <w:szCs w:val="16"/>
              </w:rPr>
              <w:t>0</w:t>
            </w:r>
          </w:p>
        </w:tc>
        <w:tc>
          <w:tcPr>
            <w:tcW w:w="426" w:type="pct"/>
            <w:shd w:val="clear" w:color="000000" w:fill="FFFFFF"/>
            <w:vAlign w:val="center"/>
            <w:hideMark/>
          </w:tcPr>
          <w:p w14:paraId="6DBCC945" w14:textId="77777777" w:rsidR="00D32DA4" w:rsidRPr="003C01DC" w:rsidRDefault="00D32DA4">
            <w:pPr>
              <w:jc w:val="right"/>
              <w:rPr>
                <w:sz w:val="16"/>
                <w:szCs w:val="16"/>
              </w:rPr>
            </w:pPr>
            <w:r w:rsidRPr="003C01DC">
              <w:rPr>
                <w:sz w:val="16"/>
                <w:szCs w:val="16"/>
              </w:rPr>
              <w:t>0</w:t>
            </w:r>
          </w:p>
        </w:tc>
        <w:tc>
          <w:tcPr>
            <w:tcW w:w="349" w:type="pct"/>
            <w:shd w:val="clear" w:color="000000" w:fill="FFFFFF"/>
            <w:vAlign w:val="center"/>
            <w:hideMark/>
          </w:tcPr>
          <w:p w14:paraId="7E82530D" w14:textId="77777777" w:rsidR="00D32DA4" w:rsidRPr="003C01DC" w:rsidRDefault="00D32DA4">
            <w:pPr>
              <w:jc w:val="right"/>
              <w:rPr>
                <w:sz w:val="16"/>
                <w:szCs w:val="16"/>
              </w:rPr>
            </w:pPr>
            <w:r w:rsidRPr="003C01DC">
              <w:rPr>
                <w:sz w:val="16"/>
                <w:szCs w:val="16"/>
              </w:rPr>
              <w:t>0</w:t>
            </w:r>
          </w:p>
        </w:tc>
      </w:tr>
      <w:tr w:rsidR="003C15D2" w:rsidRPr="003C01DC" w14:paraId="4C30BE4B" w14:textId="77777777" w:rsidTr="00E1421E">
        <w:trPr>
          <w:trHeight w:val="303"/>
          <w:jc w:val="center"/>
        </w:trPr>
        <w:tc>
          <w:tcPr>
            <w:tcW w:w="379" w:type="pct"/>
            <w:shd w:val="clear" w:color="auto" w:fill="auto"/>
            <w:vAlign w:val="center"/>
            <w:hideMark/>
          </w:tcPr>
          <w:p w14:paraId="1CF40F93" w14:textId="77777777" w:rsidR="00D32DA4" w:rsidRPr="003C01DC" w:rsidRDefault="00D32DA4">
            <w:pPr>
              <w:jc w:val="center"/>
              <w:rPr>
                <w:sz w:val="16"/>
                <w:szCs w:val="16"/>
              </w:rPr>
            </w:pPr>
            <w:r w:rsidRPr="003C01DC">
              <w:rPr>
                <w:sz w:val="16"/>
                <w:szCs w:val="16"/>
              </w:rPr>
              <w:t>0300.01.02</w:t>
            </w:r>
          </w:p>
        </w:tc>
        <w:tc>
          <w:tcPr>
            <w:tcW w:w="1186" w:type="pct"/>
            <w:shd w:val="clear" w:color="auto" w:fill="auto"/>
            <w:vAlign w:val="center"/>
            <w:hideMark/>
          </w:tcPr>
          <w:p w14:paraId="5A0647E0" w14:textId="77777777" w:rsidR="00D32DA4" w:rsidRPr="003C01DC" w:rsidRDefault="00D32DA4">
            <w:pPr>
              <w:rPr>
                <w:sz w:val="16"/>
                <w:szCs w:val="16"/>
              </w:rPr>
            </w:pPr>
            <w:r w:rsidRPr="003C01DC">
              <w:rPr>
                <w:sz w:val="16"/>
                <w:szCs w:val="16"/>
              </w:rPr>
              <w:t>Бюджетна програма „Координация и мониторинг на хоризонтални политики”</w:t>
            </w:r>
          </w:p>
        </w:tc>
        <w:tc>
          <w:tcPr>
            <w:tcW w:w="382" w:type="pct"/>
            <w:shd w:val="clear" w:color="000000" w:fill="FFFFCC"/>
            <w:vAlign w:val="center"/>
            <w:hideMark/>
          </w:tcPr>
          <w:p w14:paraId="3E005589" w14:textId="77777777" w:rsidR="00D32DA4" w:rsidRPr="003C01DC" w:rsidRDefault="00D32DA4">
            <w:pPr>
              <w:jc w:val="right"/>
              <w:rPr>
                <w:sz w:val="16"/>
                <w:szCs w:val="16"/>
              </w:rPr>
            </w:pPr>
            <w:r w:rsidRPr="003C01DC">
              <w:rPr>
                <w:sz w:val="16"/>
                <w:szCs w:val="16"/>
              </w:rPr>
              <w:t>3 884 437</w:t>
            </w:r>
          </w:p>
        </w:tc>
        <w:tc>
          <w:tcPr>
            <w:tcW w:w="353" w:type="pct"/>
            <w:shd w:val="clear" w:color="auto" w:fill="auto"/>
            <w:vAlign w:val="center"/>
            <w:hideMark/>
          </w:tcPr>
          <w:p w14:paraId="2DDE3798" w14:textId="77777777" w:rsidR="00D32DA4" w:rsidRPr="003C01DC" w:rsidRDefault="00D32DA4">
            <w:pPr>
              <w:jc w:val="right"/>
              <w:rPr>
                <w:sz w:val="16"/>
                <w:szCs w:val="16"/>
              </w:rPr>
            </w:pPr>
            <w:r w:rsidRPr="003C01DC">
              <w:rPr>
                <w:sz w:val="16"/>
                <w:szCs w:val="16"/>
              </w:rPr>
              <w:t>3 884 437</w:t>
            </w:r>
          </w:p>
        </w:tc>
        <w:tc>
          <w:tcPr>
            <w:tcW w:w="336" w:type="pct"/>
            <w:shd w:val="clear" w:color="auto" w:fill="auto"/>
            <w:vAlign w:val="center"/>
            <w:hideMark/>
          </w:tcPr>
          <w:p w14:paraId="41079F5B" w14:textId="77777777" w:rsidR="00D32DA4" w:rsidRPr="003C01DC" w:rsidRDefault="00D32DA4">
            <w:pPr>
              <w:jc w:val="right"/>
              <w:rPr>
                <w:sz w:val="16"/>
                <w:szCs w:val="16"/>
              </w:rPr>
            </w:pPr>
            <w:r w:rsidRPr="003C01DC">
              <w:rPr>
                <w:sz w:val="16"/>
                <w:szCs w:val="16"/>
              </w:rPr>
              <w:t>0</w:t>
            </w:r>
          </w:p>
        </w:tc>
        <w:tc>
          <w:tcPr>
            <w:tcW w:w="382" w:type="pct"/>
            <w:shd w:val="clear" w:color="000000" w:fill="FFFFCC"/>
            <w:vAlign w:val="center"/>
            <w:hideMark/>
          </w:tcPr>
          <w:p w14:paraId="5C79376E" w14:textId="77777777" w:rsidR="00D32DA4" w:rsidRPr="003C01DC" w:rsidRDefault="00D32DA4">
            <w:pPr>
              <w:jc w:val="right"/>
              <w:rPr>
                <w:sz w:val="16"/>
                <w:szCs w:val="16"/>
              </w:rPr>
            </w:pPr>
            <w:r w:rsidRPr="003C01DC">
              <w:rPr>
                <w:sz w:val="16"/>
                <w:szCs w:val="16"/>
              </w:rPr>
              <w:t>3 884 437</w:t>
            </w:r>
          </w:p>
        </w:tc>
        <w:tc>
          <w:tcPr>
            <w:tcW w:w="331" w:type="pct"/>
            <w:shd w:val="clear" w:color="000000" w:fill="FFFFFF"/>
            <w:vAlign w:val="center"/>
            <w:hideMark/>
          </w:tcPr>
          <w:p w14:paraId="31505AD7" w14:textId="77777777" w:rsidR="00D32DA4" w:rsidRPr="003C01DC" w:rsidRDefault="00D32DA4">
            <w:pPr>
              <w:jc w:val="right"/>
              <w:rPr>
                <w:sz w:val="16"/>
                <w:szCs w:val="16"/>
              </w:rPr>
            </w:pPr>
            <w:r w:rsidRPr="003C01DC">
              <w:rPr>
                <w:sz w:val="16"/>
                <w:szCs w:val="16"/>
              </w:rPr>
              <w:t>3 884 437</w:t>
            </w:r>
          </w:p>
        </w:tc>
        <w:tc>
          <w:tcPr>
            <w:tcW w:w="380" w:type="pct"/>
            <w:shd w:val="clear" w:color="000000" w:fill="FFFFFF"/>
            <w:vAlign w:val="center"/>
            <w:hideMark/>
          </w:tcPr>
          <w:p w14:paraId="72B9C8D0" w14:textId="77777777" w:rsidR="00D32DA4" w:rsidRPr="003C01DC" w:rsidRDefault="00D32DA4">
            <w:pPr>
              <w:jc w:val="right"/>
              <w:rPr>
                <w:sz w:val="16"/>
                <w:szCs w:val="16"/>
              </w:rPr>
            </w:pPr>
            <w:r w:rsidRPr="003C01DC">
              <w:rPr>
                <w:sz w:val="16"/>
                <w:szCs w:val="16"/>
              </w:rPr>
              <w:t>0</w:t>
            </w:r>
          </w:p>
        </w:tc>
        <w:tc>
          <w:tcPr>
            <w:tcW w:w="494" w:type="pct"/>
            <w:shd w:val="clear" w:color="000000" w:fill="FFFFCC"/>
            <w:vAlign w:val="center"/>
            <w:hideMark/>
          </w:tcPr>
          <w:p w14:paraId="5C59C42E" w14:textId="77777777" w:rsidR="00D32DA4" w:rsidRPr="003C01DC" w:rsidRDefault="00D32DA4">
            <w:pPr>
              <w:jc w:val="right"/>
              <w:rPr>
                <w:sz w:val="16"/>
                <w:szCs w:val="16"/>
              </w:rPr>
            </w:pPr>
            <w:r w:rsidRPr="003C01DC">
              <w:rPr>
                <w:sz w:val="16"/>
                <w:szCs w:val="16"/>
              </w:rPr>
              <w:t>0</w:t>
            </w:r>
          </w:p>
        </w:tc>
        <w:tc>
          <w:tcPr>
            <w:tcW w:w="426" w:type="pct"/>
            <w:shd w:val="clear" w:color="000000" w:fill="FFFFFF"/>
            <w:vAlign w:val="center"/>
            <w:hideMark/>
          </w:tcPr>
          <w:p w14:paraId="7AC7F2D9" w14:textId="77777777" w:rsidR="00D32DA4" w:rsidRPr="003C01DC" w:rsidRDefault="00D32DA4">
            <w:pPr>
              <w:jc w:val="right"/>
              <w:rPr>
                <w:sz w:val="16"/>
                <w:szCs w:val="16"/>
              </w:rPr>
            </w:pPr>
            <w:r w:rsidRPr="003C01DC">
              <w:rPr>
                <w:sz w:val="16"/>
                <w:szCs w:val="16"/>
              </w:rPr>
              <w:t>0</w:t>
            </w:r>
          </w:p>
        </w:tc>
        <w:tc>
          <w:tcPr>
            <w:tcW w:w="349" w:type="pct"/>
            <w:shd w:val="clear" w:color="000000" w:fill="FFFFFF"/>
            <w:vAlign w:val="center"/>
            <w:hideMark/>
          </w:tcPr>
          <w:p w14:paraId="63BC5C60" w14:textId="77777777" w:rsidR="00D32DA4" w:rsidRPr="003C01DC" w:rsidRDefault="00D32DA4">
            <w:pPr>
              <w:jc w:val="right"/>
              <w:rPr>
                <w:sz w:val="16"/>
                <w:szCs w:val="16"/>
              </w:rPr>
            </w:pPr>
            <w:r w:rsidRPr="003C01DC">
              <w:rPr>
                <w:sz w:val="16"/>
                <w:szCs w:val="16"/>
              </w:rPr>
              <w:t>0</w:t>
            </w:r>
          </w:p>
        </w:tc>
      </w:tr>
      <w:tr w:rsidR="003C15D2" w:rsidRPr="003C01DC" w14:paraId="3BFE2CC7" w14:textId="77777777" w:rsidTr="003C01DC">
        <w:trPr>
          <w:trHeight w:val="409"/>
          <w:jc w:val="center"/>
        </w:trPr>
        <w:tc>
          <w:tcPr>
            <w:tcW w:w="379" w:type="pct"/>
            <w:shd w:val="clear" w:color="000000" w:fill="E6E6E6"/>
            <w:vAlign w:val="center"/>
            <w:hideMark/>
          </w:tcPr>
          <w:p w14:paraId="782A06AA" w14:textId="77777777" w:rsidR="00D32DA4" w:rsidRPr="003C01DC" w:rsidRDefault="00D32DA4">
            <w:pPr>
              <w:jc w:val="center"/>
              <w:rPr>
                <w:b/>
                <w:bCs/>
                <w:sz w:val="16"/>
                <w:szCs w:val="16"/>
              </w:rPr>
            </w:pPr>
            <w:r w:rsidRPr="003C01DC">
              <w:rPr>
                <w:b/>
                <w:bCs/>
                <w:sz w:val="16"/>
                <w:szCs w:val="16"/>
              </w:rPr>
              <w:t>0300.02.00</w:t>
            </w:r>
          </w:p>
        </w:tc>
        <w:tc>
          <w:tcPr>
            <w:tcW w:w="1186" w:type="pct"/>
            <w:shd w:val="clear" w:color="000000" w:fill="E6E6E6"/>
            <w:vAlign w:val="center"/>
            <w:hideMark/>
          </w:tcPr>
          <w:p w14:paraId="7F4EA51C" w14:textId="77777777" w:rsidR="00D32DA4" w:rsidRPr="003C01DC" w:rsidRDefault="00D32DA4">
            <w:pPr>
              <w:rPr>
                <w:b/>
                <w:bCs/>
                <w:sz w:val="16"/>
                <w:szCs w:val="16"/>
              </w:rPr>
            </w:pPr>
            <w:r w:rsidRPr="003C01DC">
              <w:rPr>
                <w:b/>
                <w:bCs/>
                <w:sz w:val="16"/>
                <w:szCs w:val="16"/>
              </w:rPr>
              <w:t>Политика в областта на управлението на средствата от ЕС</w:t>
            </w:r>
          </w:p>
        </w:tc>
        <w:tc>
          <w:tcPr>
            <w:tcW w:w="382" w:type="pct"/>
            <w:shd w:val="clear" w:color="000000" w:fill="E6E6E6"/>
            <w:vAlign w:val="center"/>
            <w:hideMark/>
          </w:tcPr>
          <w:p w14:paraId="07211F08" w14:textId="77777777" w:rsidR="00D32DA4" w:rsidRPr="003C01DC" w:rsidRDefault="00D32DA4">
            <w:pPr>
              <w:jc w:val="right"/>
              <w:rPr>
                <w:b/>
                <w:bCs/>
                <w:sz w:val="16"/>
                <w:szCs w:val="16"/>
              </w:rPr>
            </w:pPr>
            <w:r w:rsidRPr="003C01DC">
              <w:rPr>
                <w:b/>
                <w:bCs/>
                <w:sz w:val="16"/>
                <w:szCs w:val="16"/>
              </w:rPr>
              <w:t>4 662 273</w:t>
            </w:r>
          </w:p>
        </w:tc>
        <w:tc>
          <w:tcPr>
            <w:tcW w:w="353" w:type="pct"/>
            <w:shd w:val="clear" w:color="000000" w:fill="E6E6E6"/>
            <w:vAlign w:val="center"/>
            <w:hideMark/>
          </w:tcPr>
          <w:p w14:paraId="1CB03320" w14:textId="77777777" w:rsidR="00D32DA4" w:rsidRPr="003C01DC" w:rsidRDefault="00D32DA4">
            <w:pPr>
              <w:jc w:val="right"/>
              <w:rPr>
                <w:b/>
                <w:bCs/>
                <w:sz w:val="16"/>
                <w:szCs w:val="16"/>
              </w:rPr>
            </w:pPr>
            <w:r w:rsidRPr="003C01DC">
              <w:rPr>
                <w:b/>
                <w:bCs/>
                <w:sz w:val="16"/>
                <w:szCs w:val="16"/>
              </w:rPr>
              <w:t>256 058</w:t>
            </w:r>
          </w:p>
        </w:tc>
        <w:tc>
          <w:tcPr>
            <w:tcW w:w="336" w:type="pct"/>
            <w:shd w:val="clear" w:color="000000" w:fill="E6E6E6"/>
            <w:vAlign w:val="center"/>
            <w:hideMark/>
          </w:tcPr>
          <w:p w14:paraId="2EA61576" w14:textId="77777777" w:rsidR="00D32DA4" w:rsidRPr="003C01DC" w:rsidRDefault="00D32DA4">
            <w:pPr>
              <w:jc w:val="right"/>
              <w:rPr>
                <w:b/>
                <w:bCs/>
                <w:sz w:val="16"/>
                <w:szCs w:val="16"/>
              </w:rPr>
            </w:pPr>
            <w:r w:rsidRPr="003C01DC">
              <w:rPr>
                <w:b/>
                <w:bCs/>
                <w:sz w:val="16"/>
                <w:szCs w:val="16"/>
              </w:rPr>
              <w:t>4 406 215</w:t>
            </w:r>
          </w:p>
        </w:tc>
        <w:tc>
          <w:tcPr>
            <w:tcW w:w="382" w:type="pct"/>
            <w:shd w:val="clear" w:color="000000" w:fill="E6E6E6"/>
            <w:vAlign w:val="center"/>
            <w:hideMark/>
          </w:tcPr>
          <w:p w14:paraId="34922A9B" w14:textId="77777777" w:rsidR="00D32DA4" w:rsidRPr="003C01DC" w:rsidRDefault="00D32DA4">
            <w:pPr>
              <w:jc w:val="right"/>
              <w:rPr>
                <w:b/>
                <w:bCs/>
                <w:sz w:val="16"/>
                <w:szCs w:val="16"/>
              </w:rPr>
            </w:pPr>
            <w:r w:rsidRPr="003C01DC">
              <w:rPr>
                <w:b/>
                <w:bCs/>
                <w:sz w:val="16"/>
                <w:szCs w:val="16"/>
              </w:rPr>
              <w:t>4 662 273</w:t>
            </w:r>
          </w:p>
        </w:tc>
        <w:tc>
          <w:tcPr>
            <w:tcW w:w="331" w:type="pct"/>
            <w:shd w:val="clear" w:color="000000" w:fill="E6E6E6"/>
            <w:vAlign w:val="center"/>
            <w:hideMark/>
          </w:tcPr>
          <w:p w14:paraId="667954DF" w14:textId="77777777" w:rsidR="00D32DA4" w:rsidRPr="003C01DC" w:rsidRDefault="00D32DA4">
            <w:pPr>
              <w:jc w:val="right"/>
              <w:rPr>
                <w:b/>
                <w:bCs/>
                <w:sz w:val="16"/>
                <w:szCs w:val="16"/>
              </w:rPr>
            </w:pPr>
            <w:r w:rsidRPr="003C01DC">
              <w:rPr>
                <w:b/>
                <w:bCs/>
                <w:sz w:val="16"/>
                <w:szCs w:val="16"/>
              </w:rPr>
              <w:t>256 058</w:t>
            </w:r>
          </w:p>
        </w:tc>
        <w:tc>
          <w:tcPr>
            <w:tcW w:w="380" w:type="pct"/>
            <w:shd w:val="clear" w:color="000000" w:fill="E6E6E6"/>
            <w:vAlign w:val="center"/>
            <w:hideMark/>
          </w:tcPr>
          <w:p w14:paraId="57B9E3AD" w14:textId="77777777" w:rsidR="00D32DA4" w:rsidRPr="003C01DC" w:rsidRDefault="00D32DA4">
            <w:pPr>
              <w:jc w:val="right"/>
              <w:rPr>
                <w:b/>
                <w:bCs/>
                <w:sz w:val="16"/>
                <w:szCs w:val="16"/>
              </w:rPr>
            </w:pPr>
            <w:r w:rsidRPr="003C01DC">
              <w:rPr>
                <w:b/>
                <w:bCs/>
                <w:sz w:val="16"/>
                <w:szCs w:val="16"/>
              </w:rPr>
              <w:t>4 406 215</w:t>
            </w:r>
          </w:p>
        </w:tc>
        <w:tc>
          <w:tcPr>
            <w:tcW w:w="494" w:type="pct"/>
            <w:shd w:val="clear" w:color="000000" w:fill="E6E6E6"/>
            <w:vAlign w:val="center"/>
            <w:hideMark/>
          </w:tcPr>
          <w:p w14:paraId="11603692" w14:textId="77777777" w:rsidR="00D32DA4" w:rsidRPr="003C01DC" w:rsidRDefault="00D32DA4">
            <w:pPr>
              <w:jc w:val="right"/>
              <w:rPr>
                <w:b/>
                <w:bCs/>
                <w:sz w:val="16"/>
                <w:szCs w:val="16"/>
              </w:rPr>
            </w:pPr>
            <w:r w:rsidRPr="003C01DC">
              <w:rPr>
                <w:b/>
                <w:bCs/>
                <w:sz w:val="16"/>
                <w:szCs w:val="16"/>
              </w:rPr>
              <w:t>0</w:t>
            </w:r>
          </w:p>
        </w:tc>
        <w:tc>
          <w:tcPr>
            <w:tcW w:w="426" w:type="pct"/>
            <w:shd w:val="clear" w:color="000000" w:fill="E6E6E6"/>
            <w:vAlign w:val="center"/>
            <w:hideMark/>
          </w:tcPr>
          <w:p w14:paraId="331A46E5" w14:textId="77777777" w:rsidR="00D32DA4" w:rsidRPr="003C01DC" w:rsidRDefault="00D32DA4">
            <w:pPr>
              <w:jc w:val="right"/>
              <w:rPr>
                <w:b/>
                <w:bCs/>
                <w:sz w:val="16"/>
                <w:szCs w:val="16"/>
              </w:rPr>
            </w:pPr>
            <w:r w:rsidRPr="003C01DC">
              <w:rPr>
                <w:b/>
                <w:bCs/>
                <w:sz w:val="16"/>
                <w:szCs w:val="16"/>
              </w:rPr>
              <w:t>0</w:t>
            </w:r>
          </w:p>
        </w:tc>
        <w:tc>
          <w:tcPr>
            <w:tcW w:w="349" w:type="pct"/>
            <w:shd w:val="clear" w:color="000000" w:fill="E6E6E6"/>
            <w:vAlign w:val="center"/>
            <w:hideMark/>
          </w:tcPr>
          <w:p w14:paraId="121EA074" w14:textId="77777777" w:rsidR="00D32DA4" w:rsidRPr="003C01DC" w:rsidRDefault="00D32DA4">
            <w:pPr>
              <w:jc w:val="right"/>
              <w:rPr>
                <w:b/>
                <w:bCs/>
                <w:sz w:val="16"/>
                <w:szCs w:val="16"/>
              </w:rPr>
            </w:pPr>
            <w:r w:rsidRPr="003C01DC">
              <w:rPr>
                <w:b/>
                <w:bCs/>
                <w:sz w:val="16"/>
                <w:szCs w:val="16"/>
              </w:rPr>
              <w:t>0</w:t>
            </w:r>
          </w:p>
        </w:tc>
      </w:tr>
      <w:tr w:rsidR="003C15D2" w:rsidRPr="003C01DC" w14:paraId="40DCA266" w14:textId="77777777" w:rsidTr="003C01DC">
        <w:trPr>
          <w:trHeight w:val="273"/>
          <w:jc w:val="center"/>
        </w:trPr>
        <w:tc>
          <w:tcPr>
            <w:tcW w:w="379" w:type="pct"/>
            <w:shd w:val="clear" w:color="auto" w:fill="auto"/>
            <w:vAlign w:val="center"/>
            <w:hideMark/>
          </w:tcPr>
          <w:p w14:paraId="21088F55" w14:textId="77777777" w:rsidR="00D32DA4" w:rsidRPr="003C01DC" w:rsidRDefault="00D32DA4">
            <w:pPr>
              <w:jc w:val="center"/>
              <w:rPr>
                <w:sz w:val="16"/>
                <w:szCs w:val="16"/>
              </w:rPr>
            </w:pPr>
            <w:r w:rsidRPr="003C01DC">
              <w:rPr>
                <w:sz w:val="16"/>
                <w:szCs w:val="16"/>
              </w:rPr>
              <w:t>0300.02.01</w:t>
            </w:r>
          </w:p>
        </w:tc>
        <w:tc>
          <w:tcPr>
            <w:tcW w:w="1186" w:type="pct"/>
            <w:shd w:val="clear" w:color="auto" w:fill="auto"/>
            <w:vAlign w:val="center"/>
            <w:hideMark/>
          </w:tcPr>
          <w:p w14:paraId="606F7CD4" w14:textId="77777777" w:rsidR="00D32DA4" w:rsidRPr="003C01DC" w:rsidRDefault="00D32DA4">
            <w:pPr>
              <w:rPr>
                <w:sz w:val="16"/>
                <w:szCs w:val="16"/>
              </w:rPr>
            </w:pPr>
            <w:r w:rsidRPr="003C01DC">
              <w:rPr>
                <w:sz w:val="16"/>
                <w:szCs w:val="16"/>
              </w:rPr>
              <w:t>Бюджетна програма „Координация при управление на средствата от ЕС”</w:t>
            </w:r>
          </w:p>
        </w:tc>
        <w:tc>
          <w:tcPr>
            <w:tcW w:w="382" w:type="pct"/>
            <w:shd w:val="clear" w:color="000000" w:fill="FFFFCC"/>
            <w:vAlign w:val="center"/>
            <w:hideMark/>
          </w:tcPr>
          <w:p w14:paraId="3014BFC3" w14:textId="77777777" w:rsidR="00D32DA4" w:rsidRPr="003C01DC" w:rsidRDefault="00D32DA4">
            <w:pPr>
              <w:jc w:val="right"/>
              <w:rPr>
                <w:sz w:val="16"/>
                <w:szCs w:val="16"/>
              </w:rPr>
            </w:pPr>
            <w:r w:rsidRPr="003C01DC">
              <w:rPr>
                <w:sz w:val="16"/>
                <w:szCs w:val="16"/>
              </w:rPr>
              <w:t>4 662 273</w:t>
            </w:r>
          </w:p>
        </w:tc>
        <w:tc>
          <w:tcPr>
            <w:tcW w:w="353" w:type="pct"/>
            <w:shd w:val="clear" w:color="auto" w:fill="auto"/>
            <w:vAlign w:val="center"/>
            <w:hideMark/>
          </w:tcPr>
          <w:p w14:paraId="270D6126" w14:textId="77777777" w:rsidR="00D32DA4" w:rsidRPr="003C01DC" w:rsidRDefault="00D32DA4">
            <w:pPr>
              <w:jc w:val="right"/>
              <w:rPr>
                <w:sz w:val="16"/>
                <w:szCs w:val="16"/>
              </w:rPr>
            </w:pPr>
            <w:r w:rsidRPr="003C01DC">
              <w:rPr>
                <w:sz w:val="16"/>
                <w:szCs w:val="16"/>
              </w:rPr>
              <w:t>256 058</w:t>
            </w:r>
          </w:p>
        </w:tc>
        <w:tc>
          <w:tcPr>
            <w:tcW w:w="336" w:type="pct"/>
            <w:shd w:val="clear" w:color="auto" w:fill="auto"/>
            <w:vAlign w:val="center"/>
            <w:hideMark/>
          </w:tcPr>
          <w:p w14:paraId="4754C951" w14:textId="77777777" w:rsidR="00D32DA4" w:rsidRPr="003C01DC" w:rsidRDefault="00D32DA4">
            <w:pPr>
              <w:jc w:val="right"/>
              <w:rPr>
                <w:sz w:val="16"/>
                <w:szCs w:val="16"/>
              </w:rPr>
            </w:pPr>
            <w:r w:rsidRPr="003C01DC">
              <w:rPr>
                <w:sz w:val="16"/>
                <w:szCs w:val="16"/>
              </w:rPr>
              <w:t>4 406 215</w:t>
            </w:r>
          </w:p>
        </w:tc>
        <w:tc>
          <w:tcPr>
            <w:tcW w:w="382" w:type="pct"/>
            <w:shd w:val="clear" w:color="000000" w:fill="FFFFCC"/>
            <w:vAlign w:val="center"/>
            <w:hideMark/>
          </w:tcPr>
          <w:p w14:paraId="1ABC1274" w14:textId="77777777" w:rsidR="00D32DA4" w:rsidRPr="003C01DC" w:rsidRDefault="00D32DA4">
            <w:pPr>
              <w:jc w:val="right"/>
              <w:rPr>
                <w:sz w:val="16"/>
                <w:szCs w:val="16"/>
              </w:rPr>
            </w:pPr>
            <w:r w:rsidRPr="003C01DC">
              <w:rPr>
                <w:sz w:val="16"/>
                <w:szCs w:val="16"/>
              </w:rPr>
              <w:t>4 662 273</w:t>
            </w:r>
          </w:p>
        </w:tc>
        <w:tc>
          <w:tcPr>
            <w:tcW w:w="331" w:type="pct"/>
            <w:shd w:val="clear" w:color="000000" w:fill="FFFFFF"/>
            <w:vAlign w:val="center"/>
            <w:hideMark/>
          </w:tcPr>
          <w:p w14:paraId="3C1CA071" w14:textId="77777777" w:rsidR="00D32DA4" w:rsidRPr="003C01DC" w:rsidRDefault="00D32DA4">
            <w:pPr>
              <w:jc w:val="right"/>
              <w:rPr>
                <w:sz w:val="16"/>
                <w:szCs w:val="16"/>
              </w:rPr>
            </w:pPr>
            <w:r w:rsidRPr="003C01DC">
              <w:rPr>
                <w:sz w:val="16"/>
                <w:szCs w:val="16"/>
              </w:rPr>
              <w:t>256 058</w:t>
            </w:r>
          </w:p>
        </w:tc>
        <w:tc>
          <w:tcPr>
            <w:tcW w:w="380" w:type="pct"/>
            <w:shd w:val="clear" w:color="000000" w:fill="FFFFFF"/>
            <w:vAlign w:val="center"/>
            <w:hideMark/>
          </w:tcPr>
          <w:p w14:paraId="3143E0A6" w14:textId="77777777" w:rsidR="00D32DA4" w:rsidRPr="003C01DC" w:rsidRDefault="00D32DA4">
            <w:pPr>
              <w:jc w:val="right"/>
              <w:rPr>
                <w:sz w:val="16"/>
                <w:szCs w:val="16"/>
              </w:rPr>
            </w:pPr>
            <w:r w:rsidRPr="003C01DC">
              <w:rPr>
                <w:sz w:val="16"/>
                <w:szCs w:val="16"/>
              </w:rPr>
              <w:t>4 406 215</w:t>
            </w:r>
          </w:p>
        </w:tc>
        <w:tc>
          <w:tcPr>
            <w:tcW w:w="494" w:type="pct"/>
            <w:shd w:val="clear" w:color="000000" w:fill="FFFFCC"/>
            <w:vAlign w:val="center"/>
            <w:hideMark/>
          </w:tcPr>
          <w:p w14:paraId="140E12BB" w14:textId="77777777" w:rsidR="00D32DA4" w:rsidRPr="003C01DC" w:rsidRDefault="00D32DA4">
            <w:pPr>
              <w:jc w:val="right"/>
              <w:rPr>
                <w:sz w:val="16"/>
                <w:szCs w:val="16"/>
              </w:rPr>
            </w:pPr>
            <w:r w:rsidRPr="003C01DC">
              <w:rPr>
                <w:sz w:val="16"/>
                <w:szCs w:val="16"/>
              </w:rPr>
              <w:t>0</w:t>
            </w:r>
          </w:p>
        </w:tc>
        <w:tc>
          <w:tcPr>
            <w:tcW w:w="426" w:type="pct"/>
            <w:shd w:val="clear" w:color="000000" w:fill="FFFFFF"/>
            <w:vAlign w:val="center"/>
            <w:hideMark/>
          </w:tcPr>
          <w:p w14:paraId="7AF13BEA" w14:textId="77777777" w:rsidR="00D32DA4" w:rsidRPr="003C01DC" w:rsidRDefault="00D32DA4">
            <w:pPr>
              <w:jc w:val="right"/>
              <w:rPr>
                <w:sz w:val="16"/>
                <w:szCs w:val="16"/>
              </w:rPr>
            </w:pPr>
            <w:r w:rsidRPr="003C01DC">
              <w:rPr>
                <w:sz w:val="16"/>
                <w:szCs w:val="16"/>
              </w:rPr>
              <w:t>0</w:t>
            </w:r>
          </w:p>
        </w:tc>
        <w:tc>
          <w:tcPr>
            <w:tcW w:w="349" w:type="pct"/>
            <w:shd w:val="clear" w:color="000000" w:fill="FFFFFF"/>
            <w:vAlign w:val="center"/>
            <w:hideMark/>
          </w:tcPr>
          <w:p w14:paraId="139471C1" w14:textId="77777777" w:rsidR="00D32DA4" w:rsidRPr="003C01DC" w:rsidRDefault="00D32DA4">
            <w:pPr>
              <w:jc w:val="right"/>
              <w:rPr>
                <w:sz w:val="16"/>
                <w:szCs w:val="16"/>
              </w:rPr>
            </w:pPr>
            <w:r w:rsidRPr="003C01DC">
              <w:rPr>
                <w:sz w:val="16"/>
                <w:szCs w:val="16"/>
              </w:rPr>
              <w:t>0</w:t>
            </w:r>
          </w:p>
        </w:tc>
      </w:tr>
      <w:tr w:rsidR="003C15D2" w:rsidRPr="003C01DC" w14:paraId="3569F401" w14:textId="77777777" w:rsidTr="003C01DC">
        <w:trPr>
          <w:trHeight w:val="632"/>
          <w:jc w:val="center"/>
        </w:trPr>
        <w:tc>
          <w:tcPr>
            <w:tcW w:w="379" w:type="pct"/>
            <w:shd w:val="clear" w:color="000000" w:fill="E6E6E6"/>
            <w:vAlign w:val="center"/>
            <w:hideMark/>
          </w:tcPr>
          <w:p w14:paraId="2F9E8A39" w14:textId="77777777" w:rsidR="00D32DA4" w:rsidRPr="003C01DC" w:rsidRDefault="00D32DA4">
            <w:pPr>
              <w:jc w:val="center"/>
              <w:rPr>
                <w:b/>
                <w:bCs/>
                <w:sz w:val="16"/>
                <w:szCs w:val="16"/>
              </w:rPr>
            </w:pPr>
            <w:r w:rsidRPr="003C01DC">
              <w:rPr>
                <w:b/>
                <w:bCs/>
                <w:sz w:val="16"/>
                <w:szCs w:val="16"/>
              </w:rPr>
              <w:t>0300.03.00</w:t>
            </w:r>
          </w:p>
        </w:tc>
        <w:tc>
          <w:tcPr>
            <w:tcW w:w="1186" w:type="pct"/>
            <w:shd w:val="clear" w:color="000000" w:fill="E6E6E6"/>
            <w:vAlign w:val="center"/>
            <w:hideMark/>
          </w:tcPr>
          <w:p w14:paraId="702983D9" w14:textId="77777777" w:rsidR="00D32DA4" w:rsidRPr="003C01DC" w:rsidRDefault="00D32DA4">
            <w:pPr>
              <w:rPr>
                <w:b/>
                <w:bCs/>
                <w:sz w:val="16"/>
                <w:szCs w:val="16"/>
              </w:rPr>
            </w:pPr>
            <w:r w:rsidRPr="003C01DC">
              <w:rPr>
                <w:b/>
                <w:bCs/>
                <w:sz w:val="16"/>
                <w:szCs w:val="16"/>
              </w:rPr>
              <w:t>Политика в областта на осъществяването на държавните функции на територията на областите в България</w:t>
            </w:r>
          </w:p>
        </w:tc>
        <w:tc>
          <w:tcPr>
            <w:tcW w:w="382" w:type="pct"/>
            <w:shd w:val="clear" w:color="000000" w:fill="E6E6E6"/>
            <w:vAlign w:val="center"/>
            <w:hideMark/>
          </w:tcPr>
          <w:p w14:paraId="03B3FF31" w14:textId="77777777" w:rsidR="00D32DA4" w:rsidRPr="003C01DC" w:rsidRDefault="00D32DA4">
            <w:pPr>
              <w:jc w:val="right"/>
              <w:rPr>
                <w:b/>
                <w:bCs/>
                <w:sz w:val="16"/>
                <w:szCs w:val="16"/>
              </w:rPr>
            </w:pPr>
            <w:r w:rsidRPr="003C01DC">
              <w:rPr>
                <w:b/>
                <w:bCs/>
                <w:sz w:val="16"/>
                <w:szCs w:val="16"/>
              </w:rPr>
              <w:t>23 315 322</w:t>
            </w:r>
          </w:p>
        </w:tc>
        <w:tc>
          <w:tcPr>
            <w:tcW w:w="353" w:type="pct"/>
            <w:shd w:val="clear" w:color="000000" w:fill="E6E6E6"/>
            <w:vAlign w:val="center"/>
            <w:hideMark/>
          </w:tcPr>
          <w:p w14:paraId="2B51A8E2" w14:textId="77777777" w:rsidR="00D32DA4" w:rsidRPr="003C01DC" w:rsidRDefault="00D32DA4">
            <w:pPr>
              <w:jc w:val="right"/>
              <w:rPr>
                <w:b/>
                <w:bCs/>
                <w:sz w:val="16"/>
                <w:szCs w:val="16"/>
              </w:rPr>
            </w:pPr>
            <w:r w:rsidRPr="003C01DC">
              <w:rPr>
                <w:b/>
                <w:bCs/>
                <w:sz w:val="16"/>
                <w:szCs w:val="16"/>
              </w:rPr>
              <w:t>22 873 568</w:t>
            </w:r>
          </w:p>
        </w:tc>
        <w:tc>
          <w:tcPr>
            <w:tcW w:w="336" w:type="pct"/>
            <w:shd w:val="clear" w:color="000000" w:fill="E6E6E6"/>
            <w:vAlign w:val="center"/>
            <w:hideMark/>
          </w:tcPr>
          <w:p w14:paraId="76C8B4C6" w14:textId="77777777" w:rsidR="00D32DA4" w:rsidRPr="003C01DC" w:rsidRDefault="00D32DA4">
            <w:pPr>
              <w:jc w:val="right"/>
              <w:rPr>
                <w:b/>
                <w:bCs/>
                <w:sz w:val="16"/>
                <w:szCs w:val="16"/>
              </w:rPr>
            </w:pPr>
            <w:r w:rsidRPr="003C01DC">
              <w:rPr>
                <w:b/>
                <w:bCs/>
                <w:sz w:val="16"/>
                <w:szCs w:val="16"/>
              </w:rPr>
              <w:t>441 754</w:t>
            </w:r>
          </w:p>
        </w:tc>
        <w:tc>
          <w:tcPr>
            <w:tcW w:w="382" w:type="pct"/>
            <w:shd w:val="clear" w:color="000000" w:fill="E6E6E6"/>
            <w:vAlign w:val="center"/>
            <w:hideMark/>
          </w:tcPr>
          <w:p w14:paraId="0CCC057F" w14:textId="77777777" w:rsidR="00D32DA4" w:rsidRPr="003C01DC" w:rsidRDefault="00D32DA4">
            <w:pPr>
              <w:jc w:val="right"/>
              <w:rPr>
                <w:b/>
                <w:bCs/>
                <w:sz w:val="16"/>
                <w:szCs w:val="16"/>
              </w:rPr>
            </w:pPr>
            <w:r w:rsidRPr="003C01DC">
              <w:rPr>
                <w:b/>
                <w:bCs/>
                <w:sz w:val="16"/>
                <w:szCs w:val="16"/>
              </w:rPr>
              <w:t>22 199 716</w:t>
            </w:r>
          </w:p>
        </w:tc>
        <w:tc>
          <w:tcPr>
            <w:tcW w:w="331" w:type="pct"/>
            <w:shd w:val="clear" w:color="000000" w:fill="E6E6E6"/>
            <w:vAlign w:val="center"/>
            <w:hideMark/>
          </w:tcPr>
          <w:p w14:paraId="09FB8C77" w14:textId="77777777" w:rsidR="00D32DA4" w:rsidRPr="003C01DC" w:rsidRDefault="00D32DA4">
            <w:pPr>
              <w:jc w:val="right"/>
              <w:rPr>
                <w:b/>
                <w:bCs/>
                <w:sz w:val="16"/>
                <w:szCs w:val="16"/>
              </w:rPr>
            </w:pPr>
            <w:r w:rsidRPr="003C01DC">
              <w:rPr>
                <w:b/>
                <w:bCs/>
                <w:sz w:val="16"/>
                <w:szCs w:val="16"/>
              </w:rPr>
              <w:t>22 002 849</w:t>
            </w:r>
          </w:p>
        </w:tc>
        <w:tc>
          <w:tcPr>
            <w:tcW w:w="380" w:type="pct"/>
            <w:shd w:val="clear" w:color="000000" w:fill="E6E6E6"/>
            <w:vAlign w:val="center"/>
            <w:hideMark/>
          </w:tcPr>
          <w:p w14:paraId="124874F8" w14:textId="77777777" w:rsidR="00D32DA4" w:rsidRPr="003C01DC" w:rsidRDefault="00D32DA4">
            <w:pPr>
              <w:jc w:val="right"/>
              <w:rPr>
                <w:b/>
                <w:bCs/>
                <w:sz w:val="16"/>
                <w:szCs w:val="16"/>
              </w:rPr>
            </w:pPr>
            <w:r w:rsidRPr="003C01DC">
              <w:rPr>
                <w:b/>
                <w:bCs/>
                <w:sz w:val="16"/>
                <w:szCs w:val="16"/>
              </w:rPr>
              <w:t>196 867</w:t>
            </w:r>
          </w:p>
        </w:tc>
        <w:tc>
          <w:tcPr>
            <w:tcW w:w="494" w:type="pct"/>
            <w:shd w:val="clear" w:color="000000" w:fill="E6E6E6"/>
            <w:vAlign w:val="center"/>
            <w:hideMark/>
          </w:tcPr>
          <w:p w14:paraId="00BC095E" w14:textId="77777777" w:rsidR="00D32DA4" w:rsidRPr="003C01DC" w:rsidRDefault="00D32DA4">
            <w:pPr>
              <w:jc w:val="right"/>
              <w:rPr>
                <w:b/>
                <w:bCs/>
                <w:sz w:val="16"/>
                <w:szCs w:val="16"/>
              </w:rPr>
            </w:pPr>
            <w:r w:rsidRPr="003C01DC">
              <w:rPr>
                <w:b/>
                <w:bCs/>
                <w:sz w:val="16"/>
                <w:szCs w:val="16"/>
              </w:rPr>
              <w:t>1 115 606</w:t>
            </w:r>
          </w:p>
        </w:tc>
        <w:tc>
          <w:tcPr>
            <w:tcW w:w="426" w:type="pct"/>
            <w:shd w:val="clear" w:color="000000" w:fill="E6E6E6"/>
            <w:vAlign w:val="center"/>
            <w:hideMark/>
          </w:tcPr>
          <w:p w14:paraId="48C00243" w14:textId="77777777" w:rsidR="00D32DA4" w:rsidRPr="003C01DC" w:rsidRDefault="00D32DA4">
            <w:pPr>
              <w:jc w:val="right"/>
              <w:rPr>
                <w:b/>
                <w:bCs/>
                <w:sz w:val="16"/>
                <w:szCs w:val="16"/>
              </w:rPr>
            </w:pPr>
            <w:r w:rsidRPr="003C01DC">
              <w:rPr>
                <w:b/>
                <w:bCs/>
                <w:sz w:val="16"/>
                <w:szCs w:val="16"/>
              </w:rPr>
              <w:t>870 719</w:t>
            </w:r>
          </w:p>
        </w:tc>
        <w:tc>
          <w:tcPr>
            <w:tcW w:w="349" w:type="pct"/>
            <w:shd w:val="clear" w:color="000000" w:fill="E6E6E6"/>
            <w:vAlign w:val="center"/>
            <w:hideMark/>
          </w:tcPr>
          <w:p w14:paraId="09239724" w14:textId="77777777" w:rsidR="00D32DA4" w:rsidRPr="003C01DC" w:rsidRDefault="00D32DA4">
            <w:pPr>
              <w:jc w:val="right"/>
              <w:rPr>
                <w:b/>
                <w:bCs/>
                <w:sz w:val="16"/>
                <w:szCs w:val="16"/>
              </w:rPr>
            </w:pPr>
            <w:r w:rsidRPr="003C01DC">
              <w:rPr>
                <w:b/>
                <w:bCs/>
                <w:sz w:val="16"/>
                <w:szCs w:val="16"/>
              </w:rPr>
              <w:t>244 887</w:t>
            </w:r>
          </w:p>
        </w:tc>
      </w:tr>
      <w:tr w:rsidR="003C15D2" w:rsidRPr="003C01DC" w14:paraId="192A67E2" w14:textId="77777777" w:rsidTr="003C01DC">
        <w:trPr>
          <w:trHeight w:val="275"/>
          <w:jc w:val="center"/>
        </w:trPr>
        <w:tc>
          <w:tcPr>
            <w:tcW w:w="379" w:type="pct"/>
            <w:shd w:val="clear" w:color="auto" w:fill="auto"/>
            <w:vAlign w:val="center"/>
            <w:hideMark/>
          </w:tcPr>
          <w:p w14:paraId="3CC29F7B" w14:textId="77777777" w:rsidR="00D32DA4" w:rsidRPr="003C01DC" w:rsidRDefault="00D32DA4">
            <w:pPr>
              <w:jc w:val="center"/>
              <w:rPr>
                <w:sz w:val="16"/>
                <w:szCs w:val="16"/>
              </w:rPr>
            </w:pPr>
            <w:r w:rsidRPr="003C01DC">
              <w:rPr>
                <w:sz w:val="16"/>
                <w:szCs w:val="16"/>
              </w:rPr>
              <w:t>0300.03.01</w:t>
            </w:r>
          </w:p>
        </w:tc>
        <w:tc>
          <w:tcPr>
            <w:tcW w:w="1186" w:type="pct"/>
            <w:shd w:val="clear" w:color="auto" w:fill="auto"/>
            <w:vAlign w:val="center"/>
            <w:hideMark/>
          </w:tcPr>
          <w:p w14:paraId="116D18B7" w14:textId="77777777" w:rsidR="00D32DA4" w:rsidRPr="003C01DC" w:rsidRDefault="00D32DA4">
            <w:pPr>
              <w:rPr>
                <w:sz w:val="16"/>
                <w:szCs w:val="16"/>
              </w:rPr>
            </w:pPr>
            <w:r w:rsidRPr="003C01DC">
              <w:rPr>
                <w:sz w:val="16"/>
                <w:szCs w:val="16"/>
              </w:rPr>
              <w:t>Бюджетна програма „Осъществяване на държавната политика на областно ниво”</w:t>
            </w:r>
          </w:p>
        </w:tc>
        <w:tc>
          <w:tcPr>
            <w:tcW w:w="382" w:type="pct"/>
            <w:shd w:val="clear" w:color="000000" w:fill="FFFFCC"/>
            <w:vAlign w:val="center"/>
            <w:hideMark/>
          </w:tcPr>
          <w:p w14:paraId="2159CE98" w14:textId="77777777" w:rsidR="00D32DA4" w:rsidRPr="003C01DC" w:rsidRDefault="00D32DA4">
            <w:pPr>
              <w:jc w:val="right"/>
              <w:rPr>
                <w:sz w:val="16"/>
                <w:szCs w:val="16"/>
              </w:rPr>
            </w:pPr>
            <w:r w:rsidRPr="003C01DC">
              <w:rPr>
                <w:sz w:val="16"/>
                <w:szCs w:val="16"/>
              </w:rPr>
              <w:t>23 315 322</w:t>
            </w:r>
          </w:p>
        </w:tc>
        <w:tc>
          <w:tcPr>
            <w:tcW w:w="353" w:type="pct"/>
            <w:shd w:val="clear" w:color="auto" w:fill="auto"/>
            <w:vAlign w:val="center"/>
            <w:hideMark/>
          </w:tcPr>
          <w:p w14:paraId="0D5753D8" w14:textId="77777777" w:rsidR="00D32DA4" w:rsidRPr="003C01DC" w:rsidRDefault="00D32DA4">
            <w:pPr>
              <w:jc w:val="right"/>
              <w:rPr>
                <w:sz w:val="16"/>
                <w:szCs w:val="16"/>
              </w:rPr>
            </w:pPr>
            <w:r w:rsidRPr="003C01DC">
              <w:rPr>
                <w:sz w:val="16"/>
                <w:szCs w:val="16"/>
              </w:rPr>
              <w:t>22 873 568</w:t>
            </w:r>
          </w:p>
        </w:tc>
        <w:tc>
          <w:tcPr>
            <w:tcW w:w="336" w:type="pct"/>
            <w:shd w:val="clear" w:color="auto" w:fill="auto"/>
            <w:vAlign w:val="center"/>
            <w:hideMark/>
          </w:tcPr>
          <w:p w14:paraId="6A3848E7" w14:textId="77777777" w:rsidR="00D32DA4" w:rsidRPr="003C01DC" w:rsidRDefault="00D32DA4">
            <w:pPr>
              <w:jc w:val="right"/>
              <w:rPr>
                <w:sz w:val="16"/>
                <w:szCs w:val="16"/>
              </w:rPr>
            </w:pPr>
            <w:r w:rsidRPr="003C01DC">
              <w:rPr>
                <w:sz w:val="16"/>
                <w:szCs w:val="16"/>
              </w:rPr>
              <w:t>441 754</w:t>
            </w:r>
          </w:p>
        </w:tc>
        <w:tc>
          <w:tcPr>
            <w:tcW w:w="382" w:type="pct"/>
            <w:shd w:val="clear" w:color="000000" w:fill="FFFFCC"/>
            <w:vAlign w:val="center"/>
            <w:hideMark/>
          </w:tcPr>
          <w:p w14:paraId="0C51B20B" w14:textId="77777777" w:rsidR="00D32DA4" w:rsidRPr="003C01DC" w:rsidRDefault="00D32DA4">
            <w:pPr>
              <w:jc w:val="right"/>
              <w:rPr>
                <w:sz w:val="16"/>
                <w:szCs w:val="16"/>
              </w:rPr>
            </w:pPr>
            <w:r w:rsidRPr="003C01DC">
              <w:rPr>
                <w:sz w:val="16"/>
                <w:szCs w:val="16"/>
              </w:rPr>
              <w:t>22 199 716</w:t>
            </w:r>
          </w:p>
        </w:tc>
        <w:tc>
          <w:tcPr>
            <w:tcW w:w="331" w:type="pct"/>
            <w:shd w:val="clear" w:color="000000" w:fill="FFFFFF"/>
            <w:vAlign w:val="center"/>
            <w:hideMark/>
          </w:tcPr>
          <w:p w14:paraId="35280798" w14:textId="77777777" w:rsidR="00D32DA4" w:rsidRPr="003C01DC" w:rsidRDefault="00D32DA4">
            <w:pPr>
              <w:jc w:val="right"/>
              <w:rPr>
                <w:sz w:val="16"/>
                <w:szCs w:val="16"/>
              </w:rPr>
            </w:pPr>
            <w:r w:rsidRPr="003C01DC">
              <w:rPr>
                <w:sz w:val="16"/>
                <w:szCs w:val="16"/>
              </w:rPr>
              <w:t>22 002 849</w:t>
            </w:r>
          </w:p>
        </w:tc>
        <w:tc>
          <w:tcPr>
            <w:tcW w:w="380" w:type="pct"/>
            <w:shd w:val="clear" w:color="000000" w:fill="FFFFFF"/>
            <w:vAlign w:val="center"/>
            <w:hideMark/>
          </w:tcPr>
          <w:p w14:paraId="5BB82384" w14:textId="77777777" w:rsidR="00D32DA4" w:rsidRPr="003C01DC" w:rsidRDefault="00D32DA4">
            <w:pPr>
              <w:jc w:val="right"/>
              <w:rPr>
                <w:sz w:val="16"/>
                <w:szCs w:val="16"/>
              </w:rPr>
            </w:pPr>
            <w:r w:rsidRPr="003C01DC">
              <w:rPr>
                <w:sz w:val="16"/>
                <w:szCs w:val="16"/>
              </w:rPr>
              <w:t>196 867</w:t>
            </w:r>
          </w:p>
        </w:tc>
        <w:tc>
          <w:tcPr>
            <w:tcW w:w="494" w:type="pct"/>
            <w:shd w:val="clear" w:color="000000" w:fill="FFFFCC"/>
            <w:vAlign w:val="center"/>
            <w:hideMark/>
          </w:tcPr>
          <w:p w14:paraId="42375BDD" w14:textId="77777777" w:rsidR="00D32DA4" w:rsidRPr="003C01DC" w:rsidRDefault="00D32DA4">
            <w:pPr>
              <w:jc w:val="right"/>
              <w:rPr>
                <w:sz w:val="16"/>
                <w:szCs w:val="16"/>
              </w:rPr>
            </w:pPr>
            <w:r w:rsidRPr="003C01DC">
              <w:rPr>
                <w:sz w:val="16"/>
                <w:szCs w:val="16"/>
              </w:rPr>
              <w:t>1 115 606</w:t>
            </w:r>
          </w:p>
        </w:tc>
        <w:tc>
          <w:tcPr>
            <w:tcW w:w="426" w:type="pct"/>
            <w:shd w:val="clear" w:color="000000" w:fill="FFFFFF"/>
            <w:vAlign w:val="center"/>
            <w:hideMark/>
          </w:tcPr>
          <w:p w14:paraId="60CC101D" w14:textId="77777777" w:rsidR="00D32DA4" w:rsidRPr="003C01DC" w:rsidRDefault="00D32DA4">
            <w:pPr>
              <w:jc w:val="right"/>
              <w:rPr>
                <w:sz w:val="16"/>
                <w:szCs w:val="16"/>
              </w:rPr>
            </w:pPr>
            <w:r w:rsidRPr="003C01DC">
              <w:rPr>
                <w:sz w:val="16"/>
                <w:szCs w:val="16"/>
              </w:rPr>
              <w:t>870 719</w:t>
            </w:r>
          </w:p>
        </w:tc>
        <w:tc>
          <w:tcPr>
            <w:tcW w:w="349" w:type="pct"/>
            <w:shd w:val="clear" w:color="000000" w:fill="FFFFFF"/>
            <w:vAlign w:val="center"/>
            <w:hideMark/>
          </w:tcPr>
          <w:p w14:paraId="0F9318C8" w14:textId="77777777" w:rsidR="00D32DA4" w:rsidRPr="003C01DC" w:rsidRDefault="00D32DA4">
            <w:pPr>
              <w:jc w:val="right"/>
              <w:rPr>
                <w:sz w:val="16"/>
                <w:szCs w:val="16"/>
              </w:rPr>
            </w:pPr>
            <w:r w:rsidRPr="003C01DC">
              <w:rPr>
                <w:sz w:val="16"/>
                <w:szCs w:val="16"/>
              </w:rPr>
              <w:t>244 887</w:t>
            </w:r>
          </w:p>
        </w:tc>
      </w:tr>
      <w:tr w:rsidR="003C15D2" w:rsidRPr="003C01DC" w14:paraId="7F28F6FC" w14:textId="77777777" w:rsidTr="003C01DC">
        <w:trPr>
          <w:trHeight w:val="322"/>
          <w:jc w:val="center"/>
        </w:trPr>
        <w:tc>
          <w:tcPr>
            <w:tcW w:w="379" w:type="pct"/>
            <w:shd w:val="clear" w:color="000000" w:fill="E6E6E6"/>
            <w:vAlign w:val="center"/>
            <w:hideMark/>
          </w:tcPr>
          <w:p w14:paraId="7441566F" w14:textId="77777777" w:rsidR="00D32DA4" w:rsidRPr="003C01DC" w:rsidRDefault="00D32DA4">
            <w:pPr>
              <w:jc w:val="center"/>
              <w:rPr>
                <w:b/>
                <w:bCs/>
                <w:sz w:val="16"/>
                <w:szCs w:val="16"/>
              </w:rPr>
            </w:pPr>
            <w:r w:rsidRPr="003C01DC">
              <w:rPr>
                <w:b/>
                <w:bCs/>
                <w:sz w:val="16"/>
                <w:szCs w:val="16"/>
              </w:rPr>
              <w:t>0300.04.00</w:t>
            </w:r>
          </w:p>
        </w:tc>
        <w:tc>
          <w:tcPr>
            <w:tcW w:w="1186" w:type="pct"/>
            <w:shd w:val="clear" w:color="000000" w:fill="E6E6E6"/>
            <w:vAlign w:val="center"/>
            <w:hideMark/>
          </w:tcPr>
          <w:p w14:paraId="099DD4FE" w14:textId="77777777" w:rsidR="00D32DA4" w:rsidRPr="003C01DC" w:rsidRDefault="00D32DA4">
            <w:pPr>
              <w:rPr>
                <w:b/>
                <w:bCs/>
                <w:sz w:val="16"/>
                <w:szCs w:val="16"/>
              </w:rPr>
            </w:pPr>
            <w:r w:rsidRPr="003C01DC">
              <w:rPr>
                <w:b/>
                <w:bCs/>
                <w:sz w:val="16"/>
                <w:szCs w:val="16"/>
              </w:rPr>
              <w:t>Политика в областта на правото на вероизповедание</w:t>
            </w:r>
          </w:p>
        </w:tc>
        <w:tc>
          <w:tcPr>
            <w:tcW w:w="382" w:type="pct"/>
            <w:shd w:val="clear" w:color="000000" w:fill="E6E6E6"/>
            <w:vAlign w:val="center"/>
            <w:hideMark/>
          </w:tcPr>
          <w:p w14:paraId="0700C0B6" w14:textId="77777777" w:rsidR="00D32DA4" w:rsidRPr="003C01DC" w:rsidRDefault="00D32DA4">
            <w:pPr>
              <w:jc w:val="right"/>
              <w:rPr>
                <w:b/>
                <w:bCs/>
                <w:sz w:val="16"/>
                <w:szCs w:val="16"/>
              </w:rPr>
            </w:pPr>
            <w:r w:rsidRPr="003C01DC">
              <w:rPr>
                <w:b/>
                <w:bCs/>
                <w:sz w:val="16"/>
                <w:szCs w:val="16"/>
              </w:rPr>
              <w:t>39 083 117</w:t>
            </w:r>
          </w:p>
        </w:tc>
        <w:tc>
          <w:tcPr>
            <w:tcW w:w="353" w:type="pct"/>
            <w:shd w:val="clear" w:color="000000" w:fill="E6E6E6"/>
            <w:vAlign w:val="center"/>
            <w:hideMark/>
          </w:tcPr>
          <w:p w14:paraId="42EDAE94" w14:textId="77777777" w:rsidR="00D32DA4" w:rsidRPr="003C01DC" w:rsidRDefault="00D32DA4">
            <w:pPr>
              <w:jc w:val="right"/>
              <w:rPr>
                <w:b/>
                <w:bCs/>
                <w:sz w:val="16"/>
                <w:szCs w:val="16"/>
              </w:rPr>
            </w:pPr>
            <w:r w:rsidRPr="003C01DC">
              <w:rPr>
                <w:b/>
                <w:bCs/>
                <w:sz w:val="16"/>
                <w:szCs w:val="16"/>
              </w:rPr>
              <w:t>39 083 117</w:t>
            </w:r>
          </w:p>
        </w:tc>
        <w:tc>
          <w:tcPr>
            <w:tcW w:w="336" w:type="pct"/>
            <w:shd w:val="clear" w:color="000000" w:fill="E6E6E6"/>
            <w:vAlign w:val="center"/>
            <w:hideMark/>
          </w:tcPr>
          <w:p w14:paraId="334F40E7" w14:textId="77777777" w:rsidR="00D32DA4" w:rsidRPr="003C01DC" w:rsidRDefault="00D32DA4">
            <w:pPr>
              <w:jc w:val="right"/>
              <w:rPr>
                <w:b/>
                <w:bCs/>
                <w:sz w:val="16"/>
                <w:szCs w:val="16"/>
              </w:rPr>
            </w:pPr>
            <w:r w:rsidRPr="003C01DC">
              <w:rPr>
                <w:b/>
                <w:bCs/>
                <w:sz w:val="16"/>
                <w:szCs w:val="16"/>
              </w:rPr>
              <w:t>0</w:t>
            </w:r>
          </w:p>
        </w:tc>
        <w:tc>
          <w:tcPr>
            <w:tcW w:w="382" w:type="pct"/>
            <w:shd w:val="clear" w:color="000000" w:fill="E6E6E6"/>
            <w:vAlign w:val="center"/>
            <w:hideMark/>
          </w:tcPr>
          <w:p w14:paraId="0279AF4B" w14:textId="77777777" w:rsidR="00D32DA4" w:rsidRPr="003C01DC" w:rsidRDefault="00D32DA4">
            <w:pPr>
              <w:jc w:val="right"/>
              <w:rPr>
                <w:b/>
                <w:bCs/>
                <w:sz w:val="16"/>
                <w:szCs w:val="16"/>
              </w:rPr>
            </w:pPr>
            <w:r w:rsidRPr="003C01DC">
              <w:rPr>
                <w:b/>
                <w:bCs/>
                <w:sz w:val="16"/>
                <w:szCs w:val="16"/>
              </w:rPr>
              <w:t>247 457</w:t>
            </w:r>
          </w:p>
        </w:tc>
        <w:tc>
          <w:tcPr>
            <w:tcW w:w="331" w:type="pct"/>
            <w:shd w:val="clear" w:color="000000" w:fill="E6E6E6"/>
            <w:vAlign w:val="center"/>
            <w:hideMark/>
          </w:tcPr>
          <w:p w14:paraId="11468DC4" w14:textId="77777777" w:rsidR="00D32DA4" w:rsidRPr="003C01DC" w:rsidRDefault="00D32DA4">
            <w:pPr>
              <w:jc w:val="right"/>
              <w:rPr>
                <w:b/>
                <w:bCs/>
                <w:sz w:val="16"/>
                <w:szCs w:val="16"/>
              </w:rPr>
            </w:pPr>
            <w:r w:rsidRPr="003C01DC">
              <w:rPr>
                <w:b/>
                <w:bCs/>
                <w:sz w:val="16"/>
                <w:szCs w:val="16"/>
              </w:rPr>
              <w:t>247 457</w:t>
            </w:r>
          </w:p>
        </w:tc>
        <w:tc>
          <w:tcPr>
            <w:tcW w:w="380" w:type="pct"/>
            <w:shd w:val="clear" w:color="000000" w:fill="E6E6E6"/>
            <w:vAlign w:val="center"/>
            <w:hideMark/>
          </w:tcPr>
          <w:p w14:paraId="5AB9508D" w14:textId="77777777" w:rsidR="00D32DA4" w:rsidRPr="003C01DC" w:rsidRDefault="00D32DA4">
            <w:pPr>
              <w:jc w:val="right"/>
              <w:rPr>
                <w:b/>
                <w:bCs/>
                <w:sz w:val="16"/>
                <w:szCs w:val="16"/>
              </w:rPr>
            </w:pPr>
            <w:r w:rsidRPr="003C01DC">
              <w:rPr>
                <w:b/>
                <w:bCs/>
                <w:sz w:val="16"/>
                <w:szCs w:val="16"/>
              </w:rPr>
              <w:t>0</w:t>
            </w:r>
          </w:p>
        </w:tc>
        <w:tc>
          <w:tcPr>
            <w:tcW w:w="494" w:type="pct"/>
            <w:shd w:val="clear" w:color="000000" w:fill="E6E6E6"/>
            <w:vAlign w:val="center"/>
            <w:hideMark/>
          </w:tcPr>
          <w:p w14:paraId="1254127C" w14:textId="77777777" w:rsidR="00D32DA4" w:rsidRPr="003C01DC" w:rsidRDefault="00D32DA4">
            <w:pPr>
              <w:jc w:val="right"/>
              <w:rPr>
                <w:b/>
                <w:bCs/>
                <w:sz w:val="16"/>
                <w:szCs w:val="16"/>
              </w:rPr>
            </w:pPr>
            <w:r w:rsidRPr="003C01DC">
              <w:rPr>
                <w:b/>
                <w:bCs/>
                <w:sz w:val="16"/>
                <w:szCs w:val="16"/>
              </w:rPr>
              <w:t>38 835 660</w:t>
            </w:r>
          </w:p>
        </w:tc>
        <w:tc>
          <w:tcPr>
            <w:tcW w:w="426" w:type="pct"/>
            <w:shd w:val="clear" w:color="000000" w:fill="E6E6E6"/>
            <w:vAlign w:val="center"/>
            <w:hideMark/>
          </w:tcPr>
          <w:p w14:paraId="3E55C9AE" w14:textId="77777777" w:rsidR="00D32DA4" w:rsidRPr="003C01DC" w:rsidRDefault="00D32DA4">
            <w:pPr>
              <w:jc w:val="right"/>
              <w:rPr>
                <w:b/>
                <w:bCs/>
                <w:sz w:val="16"/>
                <w:szCs w:val="16"/>
              </w:rPr>
            </w:pPr>
            <w:r w:rsidRPr="003C01DC">
              <w:rPr>
                <w:b/>
                <w:bCs/>
                <w:sz w:val="16"/>
                <w:szCs w:val="16"/>
              </w:rPr>
              <w:t>38 835 660</w:t>
            </w:r>
          </w:p>
        </w:tc>
        <w:tc>
          <w:tcPr>
            <w:tcW w:w="349" w:type="pct"/>
            <w:shd w:val="clear" w:color="000000" w:fill="E6E6E6"/>
            <w:vAlign w:val="center"/>
            <w:hideMark/>
          </w:tcPr>
          <w:p w14:paraId="7C26FF9C" w14:textId="77777777" w:rsidR="00D32DA4" w:rsidRPr="003C01DC" w:rsidRDefault="00D32DA4">
            <w:pPr>
              <w:jc w:val="right"/>
              <w:rPr>
                <w:b/>
                <w:bCs/>
                <w:sz w:val="16"/>
                <w:szCs w:val="16"/>
              </w:rPr>
            </w:pPr>
            <w:r w:rsidRPr="003C01DC">
              <w:rPr>
                <w:b/>
                <w:bCs/>
                <w:sz w:val="16"/>
                <w:szCs w:val="16"/>
              </w:rPr>
              <w:t>0</w:t>
            </w:r>
          </w:p>
        </w:tc>
      </w:tr>
      <w:tr w:rsidR="003C15D2" w:rsidRPr="003C01DC" w14:paraId="58C49B80" w14:textId="77777777" w:rsidTr="00E1421E">
        <w:trPr>
          <w:trHeight w:val="383"/>
          <w:jc w:val="center"/>
        </w:trPr>
        <w:tc>
          <w:tcPr>
            <w:tcW w:w="379" w:type="pct"/>
            <w:shd w:val="clear" w:color="auto" w:fill="auto"/>
            <w:vAlign w:val="center"/>
            <w:hideMark/>
          </w:tcPr>
          <w:p w14:paraId="6198105D" w14:textId="77777777" w:rsidR="00D32DA4" w:rsidRPr="003C01DC" w:rsidRDefault="00D32DA4">
            <w:pPr>
              <w:jc w:val="center"/>
              <w:rPr>
                <w:sz w:val="16"/>
                <w:szCs w:val="16"/>
              </w:rPr>
            </w:pPr>
            <w:r w:rsidRPr="003C01DC">
              <w:rPr>
                <w:sz w:val="16"/>
                <w:szCs w:val="16"/>
              </w:rPr>
              <w:t>0300.04.01</w:t>
            </w:r>
          </w:p>
        </w:tc>
        <w:tc>
          <w:tcPr>
            <w:tcW w:w="1186" w:type="pct"/>
            <w:shd w:val="clear" w:color="auto" w:fill="auto"/>
            <w:vAlign w:val="center"/>
            <w:hideMark/>
          </w:tcPr>
          <w:p w14:paraId="21B8B281" w14:textId="77777777" w:rsidR="00D32DA4" w:rsidRPr="003C01DC" w:rsidRDefault="00D32DA4">
            <w:pPr>
              <w:rPr>
                <w:sz w:val="16"/>
                <w:szCs w:val="16"/>
              </w:rPr>
            </w:pPr>
            <w:r w:rsidRPr="003C01DC">
              <w:rPr>
                <w:sz w:val="16"/>
                <w:szCs w:val="16"/>
              </w:rPr>
              <w:t>Бюджетна програма „Вероизповедания”</w:t>
            </w:r>
          </w:p>
        </w:tc>
        <w:tc>
          <w:tcPr>
            <w:tcW w:w="382" w:type="pct"/>
            <w:shd w:val="clear" w:color="000000" w:fill="FFFFCC"/>
            <w:vAlign w:val="center"/>
            <w:hideMark/>
          </w:tcPr>
          <w:p w14:paraId="45A4B5DC" w14:textId="77777777" w:rsidR="00D32DA4" w:rsidRPr="003C01DC" w:rsidRDefault="00D32DA4">
            <w:pPr>
              <w:jc w:val="right"/>
              <w:rPr>
                <w:sz w:val="16"/>
                <w:szCs w:val="16"/>
              </w:rPr>
            </w:pPr>
            <w:r w:rsidRPr="003C01DC">
              <w:rPr>
                <w:sz w:val="16"/>
                <w:szCs w:val="16"/>
              </w:rPr>
              <w:t>39 083 117</w:t>
            </w:r>
          </w:p>
        </w:tc>
        <w:tc>
          <w:tcPr>
            <w:tcW w:w="353" w:type="pct"/>
            <w:shd w:val="clear" w:color="auto" w:fill="auto"/>
            <w:vAlign w:val="center"/>
            <w:hideMark/>
          </w:tcPr>
          <w:p w14:paraId="5AE19F33" w14:textId="77777777" w:rsidR="00D32DA4" w:rsidRPr="003C01DC" w:rsidRDefault="00D32DA4">
            <w:pPr>
              <w:jc w:val="right"/>
              <w:rPr>
                <w:sz w:val="16"/>
                <w:szCs w:val="16"/>
              </w:rPr>
            </w:pPr>
            <w:r w:rsidRPr="003C01DC">
              <w:rPr>
                <w:sz w:val="16"/>
                <w:szCs w:val="16"/>
              </w:rPr>
              <w:t>39 083 117</w:t>
            </w:r>
          </w:p>
        </w:tc>
        <w:tc>
          <w:tcPr>
            <w:tcW w:w="336" w:type="pct"/>
            <w:shd w:val="clear" w:color="auto" w:fill="auto"/>
            <w:vAlign w:val="center"/>
            <w:hideMark/>
          </w:tcPr>
          <w:p w14:paraId="1CA53F0C" w14:textId="77777777" w:rsidR="00D32DA4" w:rsidRPr="003C01DC" w:rsidRDefault="00D32DA4">
            <w:pPr>
              <w:jc w:val="right"/>
              <w:rPr>
                <w:sz w:val="16"/>
                <w:szCs w:val="16"/>
              </w:rPr>
            </w:pPr>
            <w:r w:rsidRPr="003C01DC">
              <w:rPr>
                <w:sz w:val="16"/>
                <w:szCs w:val="16"/>
              </w:rPr>
              <w:t>0</w:t>
            </w:r>
          </w:p>
        </w:tc>
        <w:tc>
          <w:tcPr>
            <w:tcW w:w="382" w:type="pct"/>
            <w:shd w:val="clear" w:color="000000" w:fill="FFFFCC"/>
            <w:vAlign w:val="center"/>
            <w:hideMark/>
          </w:tcPr>
          <w:p w14:paraId="0A7068D5" w14:textId="77777777" w:rsidR="00D32DA4" w:rsidRPr="003C01DC" w:rsidRDefault="00D32DA4">
            <w:pPr>
              <w:jc w:val="right"/>
              <w:rPr>
                <w:sz w:val="16"/>
                <w:szCs w:val="16"/>
              </w:rPr>
            </w:pPr>
            <w:r w:rsidRPr="003C01DC">
              <w:rPr>
                <w:sz w:val="16"/>
                <w:szCs w:val="16"/>
              </w:rPr>
              <w:t>247 457</w:t>
            </w:r>
          </w:p>
        </w:tc>
        <w:tc>
          <w:tcPr>
            <w:tcW w:w="331" w:type="pct"/>
            <w:shd w:val="clear" w:color="000000" w:fill="FFFFFF"/>
            <w:vAlign w:val="center"/>
            <w:hideMark/>
          </w:tcPr>
          <w:p w14:paraId="15727312" w14:textId="77777777" w:rsidR="00D32DA4" w:rsidRPr="003C01DC" w:rsidRDefault="00D32DA4">
            <w:pPr>
              <w:jc w:val="right"/>
              <w:rPr>
                <w:sz w:val="16"/>
                <w:szCs w:val="16"/>
              </w:rPr>
            </w:pPr>
            <w:r w:rsidRPr="003C01DC">
              <w:rPr>
                <w:sz w:val="16"/>
                <w:szCs w:val="16"/>
              </w:rPr>
              <w:t>247 457</w:t>
            </w:r>
          </w:p>
        </w:tc>
        <w:tc>
          <w:tcPr>
            <w:tcW w:w="380" w:type="pct"/>
            <w:shd w:val="clear" w:color="000000" w:fill="FFFFFF"/>
            <w:vAlign w:val="center"/>
            <w:hideMark/>
          </w:tcPr>
          <w:p w14:paraId="62B53C26" w14:textId="77777777" w:rsidR="00D32DA4" w:rsidRPr="003C01DC" w:rsidRDefault="00D32DA4">
            <w:pPr>
              <w:jc w:val="right"/>
              <w:rPr>
                <w:sz w:val="16"/>
                <w:szCs w:val="16"/>
              </w:rPr>
            </w:pPr>
            <w:r w:rsidRPr="003C01DC">
              <w:rPr>
                <w:sz w:val="16"/>
                <w:szCs w:val="16"/>
              </w:rPr>
              <w:t>0</w:t>
            </w:r>
          </w:p>
        </w:tc>
        <w:tc>
          <w:tcPr>
            <w:tcW w:w="494" w:type="pct"/>
            <w:shd w:val="clear" w:color="000000" w:fill="FFFFCC"/>
            <w:vAlign w:val="center"/>
            <w:hideMark/>
          </w:tcPr>
          <w:p w14:paraId="5DD16A00" w14:textId="77777777" w:rsidR="00D32DA4" w:rsidRPr="003C01DC" w:rsidRDefault="00D32DA4">
            <w:pPr>
              <w:jc w:val="right"/>
              <w:rPr>
                <w:sz w:val="16"/>
                <w:szCs w:val="16"/>
              </w:rPr>
            </w:pPr>
            <w:r w:rsidRPr="003C01DC">
              <w:rPr>
                <w:sz w:val="16"/>
                <w:szCs w:val="16"/>
              </w:rPr>
              <w:t>38 835 660</w:t>
            </w:r>
          </w:p>
        </w:tc>
        <w:tc>
          <w:tcPr>
            <w:tcW w:w="426" w:type="pct"/>
            <w:shd w:val="clear" w:color="000000" w:fill="FFFFFF"/>
            <w:vAlign w:val="center"/>
            <w:hideMark/>
          </w:tcPr>
          <w:p w14:paraId="45DC66EE" w14:textId="77777777" w:rsidR="00D32DA4" w:rsidRPr="003C01DC" w:rsidRDefault="00D32DA4">
            <w:pPr>
              <w:jc w:val="right"/>
              <w:rPr>
                <w:sz w:val="16"/>
                <w:szCs w:val="16"/>
              </w:rPr>
            </w:pPr>
            <w:r w:rsidRPr="003C01DC">
              <w:rPr>
                <w:sz w:val="16"/>
                <w:szCs w:val="16"/>
              </w:rPr>
              <w:t>38 835 660</w:t>
            </w:r>
          </w:p>
        </w:tc>
        <w:tc>
          <w:tcPr>
            <w:tcW w:w="349" w:type="pct"/>
            <w:shd w:val="clear" w:color="000000" w:fill="FFFFFF"/>
            <w:vAlign w:val="center"/>
            <w:hideMark/>
          </w:tcPr>
          <w:p w14:paraId="336585A3" w14:textId="77777777" w:rsidR="00D32DA4" w:rsidRPr="003C01DC" w:rsidRDefault="00D32DA4">
            <w:pPr>
              <w:jc w:val="right"/>
              <w:rPr>
                <w:sz w:val="16"/>
                <w:szCs w:val="16"/>
              </w:rPr>
            </w:pPr>
            <w:r w:rsidRPr="003C01DC">
              <w:rPr>
                <w:sz w:val="16"/>
                <w:szCs w:val="16"/>
              </w:rPr>
              <w:t>0</w:t>
            </w:r>
          </w:p>
        </w:tc>
      </w:tr>
      <w:tr w:rsidR="003C15D2" w:rsidRPr="003C01DC" w14:paraId="2ED3944A" w14:textId="77777777" w:rsidTr="00BB240D">
        <w:trPr>
          <w:trHeight w:val="316"/>
          <w:jc w:val="center"/>
        </w:trPr>
        <w:tc>
          <w:tcPr>
            <w:tcW w:w="379" w:type="pct"/>
            <w:shd w:val="clear" w:color="000000" w:fill="E6E6E6"/>
            <w:vAlign w:val="center"/>
            <w:hideMark/>
          </w:tcPr>
          <w:p w14:paraId="3C376969" w14:textId="77777777" w:rsidR="00D32DA4" w:rsidRPr="003C01DC" w:rsidRDefault="00D32DA4">
            <w:pPr>
              <w:jc w:val="center"/>
              <w:rPr>
                <w:b/>
                <w:bCs/>
                <w:sz w:val="16"/>
                <w:szCs w:val="16"/>
              </w:rPr>
            </w:pPr>
            <w:r w:rsidRPr="003C01DC">
              <w:rPr>
                <w:b/>
                <w:bCs/>
                <w:sz w:val="16"/>
                <w:szCs w:val="16"/>
              </w:rPr>
              <w:t>0300.05.00</w:t>
            </w:r>
          </w:p>
        </w:tc>
        <w:tc>
          <w:tcPr>
            <w:tcW w:w="1186" w:type="pct"/>
            <w:shd w:val="clear" w:color="000000" w:fill="E6E6E6"/>
            <w:vAlign w:val="center"/>
            <w:hideMark/>
          </w:tcPr>
          <w:p w14:paraId="34D3BDAF" w14:textId="77777777" w:rsidR="00D32DA4" w:rsidRPr="003C01DC" w:rsidRDefault="00D32DA4">
            <w:pPr>
              <w:rPr>
                <w:b/>
                <w:bCs/>
                <w:sz w:val="16"/>
                <w:szCs w:val="16"/>
              </w:rPr>
            </w:pPr>
            <w:r w:rsidRPr="003C01DC">
              <w:rPr>
                <w:b/>
                <w:bCs/>
                <w:sz w:val="16"/>
                <w:szCs w:val="16"/>
              </w:rPr>
              <w:t>Политика в областта на архивното дело</w:t>
            </w:r>
          </w:p>
        </w:tc>
        <w:tc>
          <w:tcPr>
            <w:tcW w:w="382" w:type="pct"/>
            <w:shd w:val="clear" w:color="000000" w:fill="E6E6E6"/>
            <w:vAlign w:val="center"/>
            <w:hideMark/>
          </w:tcPr>
          <w:p w14:paraId="3A20A290" w14:textId="77777777" w:rsidR="00D32DA4" w:rsidRPr="003C01DC" w:rsidRDefault="00D32DA4">
            <w:pPr>
              <w:jc w:val="right"/>
              <w:rPr>
                <w:b/>
                <w:bCs/>
                <w:sz w:val="16"/>
                <w:szCs w:val="16"/>
              </w:rPr>
            </w:pPr>
            <w:r w:rsidRPr="003C01DC">
              <w:rPr>
                <w:b/>
                <w:bCs/>
                <w:sz w:val="16"/>
                <w:szCs w:val="16"/>
              </w:rPr>
              <w:t>6 233 374</w:t>
            </w:r>
          </w:p>
        </w:tc>
        <w:tc>
          <w:tcPr>
            <w:tcW w:w="353" w:type="pct"/>
            <w:shd w:val="clear" w:color="000000" w:fill="E6E6E6"/>
            <w:vAlign w:val="center"/>
            <w:hideMark/>
          </w:tcPr>
          <w:p w14:paraId="11094CCD" w14:textId="77777777" w:rsidR="00D32DA4" w:rsidRPr="003C01DC" w:rsidRDefault="00D32DA4">
            <w:pPr>
              <w:jc w:val="right"/>
              <w:rPr>
                <w:b/>
                <w:bCs/>
                <w:sz w:val="16"/>
                <w:szCs w:val="16"/>
              </w:rPr>
            </w:pPr>
            <w:r w:rsidRPr="003C01DC">
              <w:rPr>
                <w:b/>
                <w:bCs/>
                <w:sz w:val="16"/>
                <w:szCs w:val="16"/>
              </w:rPr>
              <w:t>6 218 270</w:t>
            </w:r>
          </w:p>
        </w:tc>
        <w:tc>
          <w:tcPr>
            <w:tcW w:w="336" w:type="pct"/>
            <w:shd w:val="clear" w:color="000000" w:fill="E6E6E6"/>
            <w:vAlign w:val="center"/>
            <w:hideMark/>
          </w:tcPr>
          <w:p w14:paraId="2CD409D3" w14:textId="77777777" w:rsidR="00D32DA4" w:rsidRPr="003C01DC" w:rsidRDefault="00D32DA4">
            <w:pPr>
              <w:jc w:val="right"/>
              <w:rPr>
                <w:b/>
                <w:bCs/>
                <w:sz w:val="16"/>
                <w:szCs w:val="16"/>
              </w:rPr>
            </w:pPr>
            <w:r w:rsidRPr="003C01DC">
              <w:rPr>
                <w:b/>
                <w:bCs/>
                <w:sz w:val="16"/>
                <w:szCs w:val="16"/>
              </w:rPr>
              <w:t>15 104</w:t>
            </w:r>
          </w:p>
        </w:tc>
        <w:tc>
          <w:tcPr>
            <w:tcW w:w="382" w:type="pct"/>
            <w:shd w:val="clear" w:color="000000" w:fill="E6E6E6"/>
            <w:vAlign w:val="center"/>
            <w:hideMark/>
          </w:tcPr>
          <w:p w14:paraId="5D89A3B7" w14:textId="77777777" w:rsidR="00D32DA4" w:rsidRPr="003C01DC" w:rsidRDefault="00D32DA4">
            <w:pPr>
              <w:jc w:val="right"/>
              <w:rPr>
                <w:b/>
                <w:bCs/>
                <w:sz w:val="16"/>
                <w:szCs w:val="16"/>
              </w:rPr>
            </w:pPr>
            <w:r w:rsidRPr="003C01DC">
              <w:rPr>
                <w:b/>
                <w:bCs/>
                <w:sz w:val="16"/>
                <w:szCs w:val="16"/>
              </w:rPr>
              <w:t>6 233 374</w:t>
            </w:r>
          </w:p>
        </w:tc>
        <w:tc>
          <w:tcPr>
            <w:tcW w:w="331" w:type="pct"/>
            <w:shd w:val="clear" w:color="000000" w:fill="E6E6E6"/>
            <w:vAlign w:val="center"/>
            <w:hideMark/>
          </w:tcPr>
          <w:p w14:paraId="045A88F0" w14:textId="77777777" w:rsidR="00D32DA4" w:rsidRPr="003C01DC" w:rsidRDefault="00D32DA4">
            <w:pPr>
              <w:jc w:val="right"/>
              <w:rPr>
                <w:b/>
                <w:bCs/>
                <w:sz w:val="16"/>
                <w:szCs w:val="16"/>
              </w:rPr>
            </w:pPr>
            <w:r w:rsidRPr="003C01DC">
              <w:rPr>
                <w:b/>
                <w:bCs/>
                <w:sz w:val="16"/>
                <w:szCs w:val="16"/>
              </w:rPr>
              <w:t>6 218 270</w:t>
            </w:r>
          </w:p>
        </w:tc>
        <w:tc>
          <w:tcPr>
            <w:tcW w:w="380" w:type="pct"/>
            <w:shd w:val="clear" w:color="000000" w:fill="E6E6E6"/>
            <w:vAlign w:val="center"/>
            <w:hideMark/>
          </w:tcPr>
          <w:p w14:paraId="2044106B" w14:textId="77777777" w:rsidR="00D32DA4" w:rsidRPr="003C01DC" w:rsidRDefault="00D32DA4">
            <w:pPr>
              <w:jc w:val="right"/>
              <w:rPr>
                <w:b/>
                <w:bCs/>
                <w:sz w:val="16"/>
                <w:szCs w:val="16"/>
              </w:rPr>
            </w:pPr>
            <w:r w:rsidRPr="003C01DC">
              <w:rPr>
                <w:b/>
                <w:bCs/>
                <w:sz w:val="16"/>
                <w:szCs w:val="16"/>
              </w:rPr>
              <w:t>15 104</w:t>
            </w:r>
          </w:p>
        </w:tc>
        <w:tc>
          <w:tcPr>
            <w:tcW w:w="494" w:type="pct"/>
            <w:shd w:val="clear" w:color="000000" w:fill="E6E6E6"/>
            <w:vAlign w:val="center"/>
            <w:hideMark/>
          </w:tcPr>
          <w:p w14:paraId="6E36994F" w14:textId="77777777" w:rsidR="00D32DA4" w:rsidRPr="003C01DC" w:rsidRDefault="00D32DA4">
            <w:pPr>
              <w:jc w:val="right"/>
              <w:rPr>
                <w:b/>
                <w:bCs/>
                <w:sz w:val="16"/>
                <w:szCs w:val="16"/>
              </w:rPr>
            </w:pPr>
            <w:r w:rsidRPr="003C01DC">
              <w:rPr>
                <w:b/>
                <w:bCs/>
                <w:sz w:val="16"/>
                <w:szCs w:val="16"/>
              </w:rPr>
              <w:t>0</w:t>
            </w:r>
          </w:p>
        </w:tc>
        <w:tc>
          <w:tcPr>
            <w:tcW w:w="426" w:type="pct"/>
            <w:shd w:val="clear" w:color="000000" w:fill="E6E6E6"/>
            <w:vAlign w:val="center"/>
            <w:hideMark/>
          </w:tcPr>
          <w:p w14:paraId="3FA44DA1" w14:textId="77777777" w:rsidR="00D32DA4" w:rsidRPr="003C01DC" w:rsidRDefault="00D32DA4">
            <w:pPr>
              <w:jc w:val="right"/>
              <w:rPr>
                <w:b/>
                <w:bCs/>
                <w:sz w:val="16"/>
                <w:szCs w:val="16"/>
              </w:rPr>
            </w:pPr>
            <w:r w:rsidRPr="003C01DC">
              <w:rPr>
                <w:b/>
                <w:bCs/>
                <w:sz w:val="16"/>
                <w:szCs w:val="16"/>
              </w:rPr>
              <w:t>0</w:t>
            </w:r>
          </w:p>
        </w:tc>
        <w:tc>
          <w:tcPr>
            <w:tcW w:w="349" w:type="pct"/>
            <w:shd w:val="clear" w:color="000000" w:fill="E6E6E6"/>
            <w:vAlign w:val="center"/>
            <w:hideMark/>
          </w:tcPr>
          <w:p w14:paraId="1D4302EA" w14:textId="77777777" w:rsidR="00D32DA4" w:rsidRPr="003C01DC" w:rsidRDefault="00D32DA4">
            <w:pPr>
              <w:jc w:val="right"/>
              <w:rPr>
                <w:b/>
                <w:bCs/>
                <w:sz w:val="16"/>
                <w:szCs w:val="16"/>
              </w:rPr>
            </w:pPr>
            <w:r w:rsidRPr="003C01DC">
              <w:rPr>
                <w:b/>
                <w:bCs/>
                <w:sz w:val="16"/>
                <w:szCs w:val="16"/>
              </w:rPr>
              <w:t>0</w:t>
            </w:r>
          </w:p>
        </w:tc>
      </w:tr>
      <w:tr w:rsidR="003C15D2" w:rsidRPr="003C01DC" w14:paraId="7D5E45A4" w14:textId="77777777" w:rsidTr="003C01DC">
        <w:trPr>
          <w:trHeight w:val="267"/>
          <w:jc w:val="center"/>
        </w:trPr>
        <w:tc>
          <w:tcPr>
            <w:tcW w:w="379" w:type="pct"/>
            <w:shd w:val="clear" w:color="auto" w:fill="auto"/>
            <w:vAlign w:val="center"/>
            <w:hideMark/>
          </w:tcPr>
          <w:p w14:paraId="05ECA717" w14:textId="77777777" w:rsidR="00D32DA4" w:rsidRPr="003C01DC" w:rsidRDefault="00D32DA4">
            <w:pPr>
              <w:jc w:val="center"/>
              <w:rPr>
                <w:sz w:val="16"/>
                <w:szCs w:val="16"/>
              </w:rPr>
            </w:pPr>
            <w:r w:rsidRPr="003C01DC">
              <w:rPr>
                <w:sz w:val="16"/>
                <w:szCs w:val="16"/>
              </w:rPr>
              <w:t>0300.05.01</w:t>
            </w:r>
          </w:p>
        </w:tc>
        <w:tc>
          <w:tcPr>
            <w:tcW w:w="1186" w:type="pct"/>
            <w:shd w:val="clear" w:color="auto" w:fill="auto"/>
            <w:vAlign w:val="center"/>
            <w:hideMark/>
          </w:tcPr>
          <w:p w14:paraId="62D2C66A" w14:textId="77777777" w:rsidR="00D32DA4" w:rsidRPr="003C01DC" w:rsidRDefault="00D32DA4">
            <w:pPr>
              <w:rPr>
                <w:sz w:val="16"/>
                <w:szCs w:val="16"/>
              </w:rPr>
            </w:pPr>
            <w:r w:rsidRPr="003C01DC">
              <w:rPr>
                <w:sz w:val="16"/>
                <w:szCs w:val="16"/>
              </w:rPr>
              <w:t>Бюджетна програма „Национален архивен фонд”</w:t>
            </w:r>
          </w:p>
        </w:tc>
        <w:tc>
          <w:tcPr>
            <w:tcW w:w="382" w:type="pct"/>
            <w:shd w:val="clear" w:color="000000" w:fill="FFFFCC"/>
            <w:vAlign w:val="center"/>
            <w:hideMark/>
          </w:tcPr>
          <w:p w14:paraId="4B12BF07" w14:textId="77777777" w:rsidR="00D32DA4" w:rsidRPr="003C01DC" w:rsidRDefault="00D32DA4">
            <w:pPr>
              <w:jc w:val="right"/>
              <w:rPr>
                <w:sz w:val="16"/>
                <w:szCs w:val="16"/>
              </w:rPr>
            </w:pPr>
            <w:r w:rsidRPr="003C01DC">
              <w:rPr>
                <w:sz w:val="16"/>
                <w:szCs w:val="16"/>
              </w:rPr>
              <w:t>6 233 374</w:t>
            </w:r>
          </w:p>
        </w:tc>
        <w:tc>
          <w:tcPr>
            <w:tcW w:w="353" w:type="pct"/>
            <w:shd w:val="clear" w:color="auto" w:fill="auto"/>
            <w:vAlign w:val="center"/>
            <w:hideMark/>
          </w:tcPr>
          <w:p w14:paraId="29374650" w14:textId="77777777" w:rsidR="00D32DA4" w:rsidRPr="003C01DC" w:rsidRDefault="00D32DA4">
            <w:pPr>
              <w:jc w:val="right"/>
              <w:rPr>
                <w:sz w:val="16"/>
                <w:szCs w:val="16"/>
              </w:rPr>
            </w:pPr>
            <w:r w:rsidRPr="003C01DC">
              <w:rPr>
                <w:sz w:val="16"/>
                <w:szCs w:val="16"/>
              </w:rPr>
              <w:t>6 218 270</w:t>
            </w:r>
          </w:p>
        </w:tc>
        <w:tc>
          <w:tcPr>
            <w:tcW w:w="336" w:type="pct"/>
            <w:shd w:val="clear" w:color="auto" w:fill="auto"/>
            <w:vAlign w:val="center"/>
            <w:hideMark/>
          </w:tcPr>
          <w:p w14:paraId="48912B93" w14:textId="77777777" w:rsidR="00D32DA4" w:rsidRPr="003C01DC" w:rsidRDefault="00D32DA4">
            <w:pPr>
              <w:jc w:val="right"/>
              <w:rPr>
                <w:sz w:val="16"/>
                <w:szCs w:val="16"/>
              </w:rPr>
            </w:pPr>
            <w:r w:rsidRPr="003C01DC">
              <w:rPr>
                <w:sz w:val="16"/>
                <w:szCs w:val="16"/>
              </w:rPr>
              <w:t>15 104</w:t>
            </w:r>
          </w:p>
        </w:tc>
        <w:tc>
          <w:tcPr>
            <w:tcW w:w="382" w:type="pct"/>
            <w:shd w:val="clear" w:color="000000" w:fill="FFFFCC"/>
            <w:vAlign w:val="center"/>
            <w:hideMark/>
          </w:tcPr>
          <w:p w14:paraId="04418F4E" w14:textId="77777777" w:rsidR="00D32DA4" w:rsidRPr="003C01DC" w:rsidRDefault="00D32DA4">
            <w:pPr>
              <w:jc w:val="right"/>
              <w:rPr>
                <w:sz w:val="16"/>
                <w:szCs w:val="16"/>
              </w:rPr>
            </w:pPr>
            <w:r w:rsidRPr="003C01DC">
              <w:rPr>
                <w:sz w:val="16"/>
                <w:szCs w:val="16"/>
              </w:rPr>
              <w:t>6 233 374</w:t>
            </w:r>
          </w:p>
        </w:tc>
        <w:tc>
          <w:tcPr>
            <w:tcW w:w="331" w:type="pct"/>
            <w:shd w:val="clear" w:color="000000" w:fill="FFFFFF"/>
            <w:vAlign w:val="center"/>
            <w:hideMark/>
          </w:tcPr>
          <w:p w14:paraId="62236233" w14:textId="77777777" w:rsidR="00D32DA4" w:rsidRPr="003C01DC" w:rsidRDefault="00D32DA4">
            <w:pPr>
              <w:jc w:val="right"/>
              <w:rPr>
                <w:sz w:val="16"/>
                <w:szCs w:val="16"/>
              </w:rPr>
            </w:pPr>
            <w:r w:rsidRPr="003C01DC">
              <w:rPr>
                <w:sz w:val="16"/>
                <w:szCs w:val="16"/>
              </w:rPr>
              <w:t>6 218 270</w:t>
            </w:r>
          </w:p>
        </w:tc>
        <w:tc>
          <w:tcPr>
            <w:tcW w:w="380" w:type="pct"/>
            <w:shd w:val="clear" w:color="000000" w:fill="FFFFFF"/>
            <w:vAlign w:val="center"/>
            <w:hideMark/>
          </w:tcPr>
          <w:p w14:paraId="027B2795" w14:textId="77777777" w:rsidR="00D32DA4" w:rsidRPr="003C01DC" w:rsidRDefault="00D32DA4">
            <w:pPr>
              <w:jc w:val="right"/>
              <w:rPr>
                <w:sz w:val="16"/>
                <w:szCs w:val="16"/>
              </w:rPr>
            </w:pPr>
            <w:r w:rsidRPr="003C01DC">
              <w:rPr>
                <w:sz w:val="16"/>
                <w:szCs w:val="16"/>
              </w:rPr>
              <w:t>15 104</w:t>
            </w:r>
          </w:p>
        </w:tc>
        <w:tc>
          <w:tcPr>
            <w:tcW w:w="494" w:type="pct"/>
            <w:shd w:val="clear" w:color="000000" w:fill="FFFFCC"/>
            <w:vAlign w:val="center"/>
            <w:hideMark/>
          </w:tcPr>
          <w:p w14:paraId="49AA2591" w14:textId="77777777" w:rsidR="00D32DA4" w:rsidRPr="003C01DC" w:rsidRDefault="00D32DA4">
            <w:pPr>
              <w:jc w:val="right"/>
              <w:rPr>
                <w:sz w:val="16"/>
                <w:szCs w:val="16"/>
              </w:rPr>
            </w:pPr>
            <w:r w:rsidRPr="003C01DC">
              <w:rPr>
                <w:sz w:val="16"/>
                <w:szCs w:val="16"/>
              </w:rPr>
              <w:t>0</w:t>
            </w:r>
          </w:p>
        </w:tc>
        <w:tc>
          <w:tcPr>
            <w:tcW w:w="426" w:type="pct"/>
            <w:shd w:val="clear" w:color="000000" w:fill="FFFFFF"/>
            <w:vAlign w:val="center"/>
            <w:hideMark/>
          </w:tcPr>
          <w:p w14:paraId="1F700C7D" w14:textId="77777777" w:rsidR="00D32DA4" w:rsidRPr="003C01DC" w:rsidRDefault="00D32DA4">
            <w:pPr>
              <w:jc w:val="right"/>
              <w:rPr>
                <w:sz w:val="16"/>
                <w:szCs w:val="16"/>
              </w:rPr>
            </w:pPr>
            <w:r w:rsidRPr="003C01DC">
              <w:rPr>
                <w:sz w:val="16"/>
                <w:szCs w:val="16"/>
              </w:rPr>
              <w:t>0</w:t>
            </w:r>
          </w:p>
        </w:tc>
        <w:tc>
          <w:tcPr>
            <w:tcW w:w="349" w:type="pct"/>
            <w:shd w:val="clear" w:color="000000" w:fill="FFFFFF"/>
            <w:vAlign w:val="center"/>
            <w:hideMark/>
          </w:tcPr>
          <w:p w14:paraId="289BD59A" w14:textId="77777777" w:rsidR="00D32DA4" w:rsidRPr="003C01DC" w:rsidRDefault="00D32DA4">
            <w:pPr>
              <w:jc w:val="right"/>
              <w:rPr>
                <w:sz w:val="16"/>
                <w:szCs w:val="16"/>
              </w:rPr>
            </w:pPr>
            <w:r w:rsidRPr="003C01DC">
              <w:rPr>
                <w:sz w:val="16"/>
                <w:szCs w:val="16"/>
              </w:rPr>
              <w:t>0</w:t>
            </w:r>
          </w:p>
        </w:tc>
      </w:tr>
      <w:tr w:rsidR="003C15D2" w:rsidRPr="003C01DC" w14:paraId="53CB0412" w14:textId="77777777" w:rsidTr="003C01DC">
        <w:trPr>
          <w:trHeight w:val="315"/>
          <w:jc w:val="center"/>
        </w:trPr>
        <w:tc>
          <w:tcPr>
            <w:tcW w:w="379" w:type="pct"/>
            <w:shd w:val="clear" w:color="000000" w:fill="E6E6E6"/>
            <w:vAlign w:val="center"/>
            <w:hideMark/>
          </w:tcPr>
          <w:p w14:paraId="64445495" w14:textId="77777777" w:rsidR="00D32DA4" w:rsidRPr="003C01DC" w:rsidRDefault="00D32DA4">
            <w:pPr>
              <w:jc w:val="center"/>
              <w:rPr>
                <w:b/>
                <w:bCs/>
                <w:sz w:val="16"/>
                <w:szCs w:val="16"/>
              </w:rPr>
            </w:pPr>
            <w:r w:rsidRPr="003C01DC">
              <w:rPr>
                <w:b/>
                <w:bCs/>
                <w:sz w:val="16"/>
                <w:szCs w:val="16"/>
              </w:rPr>
              <w:t>0300.06.00</w:t>
            </w:r>
          </w:p>
        </w:tc>
        <w:tc>
          <w:tcPr>
            <w:tcW w:w="1186" w:type="pct"/>
            <w:shd w:val="clear" w:color="000000" w:fill="E6E6E6"/>
            <w:vAlign w:val="center"/>
            <w:hideMark/>
          </w:tcPr>
          <w:p w14:paraId="2C6DB484" w14:textId="77777777" w:rsidR="00D32DA4" w:rsidRPr="003C01DC" w:rsidRDefault="00D32DA4">
            <w:pPr>
              <w:rPr>
                <w:b/>
                <w:bCs/>
                <w:sz w:val="16"/>
                <w:szCs w:val="16"/>
              </w:rPr>
            </w:pPr>
            <w:r w:rsidRPr="003C01DC">
              <w:rPr>
                <w:b/>
                <w:bCs/>
                <w:sz w:val="16"/>
                <w:szCs w:val="16"/>
              </w:rPr>
              <w:t>Бюджетна програма „Администрация”</w:t>
            </w:r>
          </w:p>
        </w:tc>
        <w:tc>
          <w:tcPr>
            <w:tcW w:w="382" w:type="pct"/>
            <w:shd w:val="clear" w:color="000000" w:fill="E6E6E6"/>
            <w:vAlign w:val="center"/>
            <w:hideMark/>
          </w:tcPr>
          <w:p w14:paraId="07B3045F" w14:textId="77777777" w:rsidR="00D32DA4" w:rsidRPr="003C01DC" w:rsidRDefault="00D32DA4">
            <w:pPr>
              <w:jc w:val="right"/>
              <w:rPr>
                <w:b/>
                <w:bCs/>
                <w:sz w:val="16"/>
                <w:szCs w:val="16"/>
              </w:rPr>
            </w:pPr>
            <w:r w:rsidRPr="003C01DC">
              <w:rPr>
                <w:b/>
                <w:bCs/>
                <w:sz w:val="16"/>
                <w:szCs w:val="16"/>
              </w:rPr>
              <w:t>6 921 589</w:t>
            </w:r>
          </w:p>
        </w:tc>
        <w:tc>
          <w:tcPr>
            <w:tcW w:w="353" w:type="pct"/>
            <w:shd w:val="clear" w:color="000000" w:fill="E6E6E6"/>
            <w:vAlign w:val="center"/>
            <w:hideMark/>
          </w:tcPr>
          <w:p w14:paraId="79BB70DF" w14:textId="77777777" w:rsidR="00D32DA4" w:rsidRPr="003C01DC" w:rsidRDefault="00D32DA4">
            <w:pPr>
              <w:jc w:val="right"/>
              <w:rPr>
                <w:b/>
                <w:bCs/>
                <w:sz w:val="16"/>
                <w:szCs w:val="16"/>
              </w:rPr>
            </w:pPr>
            <w:r w:rsidRPr="003C01DC">
              <w:rPr>
                <w:b/>
                <w:bCs/>
                <w:sz w:val="16"/>
                <w:szCs w:val="16"/>
              </w:rPr>
              <w:t>6 921 589</w:t>
            </w:r>
          </w:p>
        </w:tc>
        <w:tc>
          <w:tcPr>
            <w:tcW w:w="336" w:type="pct"/>
            <w:shd w:val="clear" w:color="000000" w:fill="E6E6E6"/>
            <w:vAlign w:val="center"/>
            <w:hideMark/>
          </w:tcPr>
          <w:p w14:paraId="26E61C57" w14:textId="77777777" w:rsidR="00D32DA4" w:rsidRPr="003C01DC" w:rsidRDefault="00D32DA4">
            <w:pPr>
              <w:jc w:val="right"/>
              <w:rPr>
                <w:b/>
                <w:bCs/>
                <w:sz w:val="16"/>
                <w:szCs w:val="16"/>
              </w:rPr>
            </w:pPr>
            <w:r w:rsidRPr="003C01DC">
              <w:rPr>
                <w:b/>
                <w:bCs/>
                <w:sz w:val="16"/>
                <w:szCs w:val="16"/>
              </w:rPr>
              <w:t>0</w:t>
            </w:r>
          </w:p>
        </w:tc>
        <w:tc>
          <w:tcPr>
            <w:tcW w:w="382" w:type="pct"/>
            <w:shd w:val="clear" w:color="000000" w:fill="E6E6E6"/>
            <w:vAlign w:val="center"/>
            <w:hideMark/>
          </w:tcPr>
          <w:p w14:paraId="64D9FCDC" w14:textId="77777777" w:rsidR="00D32DA4" w:rsidRPr="003C01DC" w:rsidRDefault="00D32DA4">
            <w:pPr>
              <w:jc w:val="right"/>
              <w:rPr>
                <w:b/>
                <w:bCs/>
                <w:sz w:val="16"/>
                <w:szCs w:val="16"/>
              </w:rPr>
            </w:pPr>
            <w:r w:rsidRPr="003C01DC">
              <w:rPr>
                <w:b/>
                <w:bCs/>
                <w:sz w:val="16"/>
                <w:szCs w:val="16"/>
              </w:rPr>
              <w:t>6 921 589</w:t>
            </w:r>
          </w:p>
        </w:tc>
        <w:tc>
          <w:tcPr>
            <w:tcW w:w="331" w:type="pct"/>
            <w:shd w:val="clear" w:color="000000" w:fill="E6E6E6"/>
            <w:vAlign w:val="center"/>
            <w:hideMark/>
          </w:tcPr>
          <w:p w14:paraId="19C67A29" w14:textId="77777777" w:rsidR="00D32DA4" w:rsidRPr="003C01DC" w:rsidRDefault="00D32DA4">
            <w:pPr>
              <w:jc w:val="right"/>
              <w:rPr>
                <w:b/>
                <w:bCs/>
                <w:sz w:val="16"/>
                <w:szCs w:val="16"/>
              </w:rPr>
            </w:pPr>
            <w:r w:rsidRPr="003C01DC">
              <w:rPr>
                <w:b/>
                <w:bCs/>
                <w:sz w:val="16"/>
                <w:szCs w:val="16"/>
              </w:rPr>
              <w:t>6 921 589</w:t>
            </w:r>
          </w:p>
        </w:tc>
        <w:tc>
          <w:tcPr>
            <w:tcW w:w="380" w:type="pct"/>
            <w:shd w:val="clear" w:color="000000" w:fill="E6E6E6"/>
            <w:vAlign w:val="center"/>
            <w:hideMark/>
          </w:tcPr>
          <w:p w14:paraId="6E49427F" w14:textId="77777777" w:rsidR="00D32DA4" w:rsidRPr="003C01DC" w:rsidRDefault="00D32DA4">
            <w:pPr>
              <w:jc w:val="right"/>
              <w:rPr>
                <w:b/>
                <w:bCs/>
                <w:sz w:val="16"/>
                <w:szCs w:val="16"/>
              </w:rPr>
            </w:pPr>
            <w:r w:rsidRPr="003C01DC">
              <w:rPr>
                <w:b/>
                <w:bCs/>
                <w:sz w:val="16"/>
                <w:szCs w:val="16"/>
              </w:rPr>
              <w:t>0</w:t>
            </w:r>
          </w:p>
        </w:tc>
        <w:tc>
          <w:tcPr>
            <w:tcW w:w="494" w:type="pct"/>
            <w:shd w:val="clear" w:color="000000" w:fill="E6E6E6"/>
            <w:vAlign w:val="center"/>
            <w:hideMark/>
          </w:tcPr>
          <w:p w14:paraId="0B88E68B" w14:textId="77777777" w:rsidR="00D32DA4" w:rsidRPr="003C01DC" w:rsidRDefault="00D32DA4">
            <w:pPr>
              <w:jc w:val="right"/>
              <w:rPr>
                <w:b/>
                <w:bCs/>
                <w:sz w:val="16"/>
                <w:szCs w:val="16"/>
              </w:rPr>
            </w:pPr>
            <w:r w:rsidRPr="003C01DC">
              <w:rPr>
                <w:b/>
                <w:bCs/>
                <w:sz w:val="16"/>
                <w:szCs w:val="16"/>
              </w:rPr>
              <w:t>0</w:t>
            </w:r>
          </w:p>
        </w:tc>
        <w:tc>
          <w:tcPr>
            <w:tcW w:w="426" w:type="pct"/>
            <w:shd w:val="clear" w:color="000000" w:fill="E6E6E6"/>
            <w:vAlign w:val="center"/>
            <w:hideMark/>
          </w:tcPr>
          <w:p w14:paraId="1E012542" w14:textId="77777777" w:rsidR="00D32DA4" w:rsidRPr="003C01DC" w:rsidRDefault="00D32DA4">
            <w:pPr>
              <w:jc w:val="right"/>
              <w:rPr>
                <w:b/>
                <w:bCs/>
                <w:sz w:val="16"/>
                <w:szCs w:val="16"/>
              </w:rPr>
            </w:pPr>
            <w:r w:rsidRPr="003C01DC">
              <w:rPr>
                <w:b/>
                <w:bCs/>
                <w:sz w:val="16"/>
                <w:szCs w:val="16"/>
              </w:rPr>
              <w:t>0</w:t>
            </w:r>
          </w:p>
        </w:tc>
        <w:tc>
          <w:tcPr>
            <w:tcW w:w="349" w:type="pct"/>
            <w:shd w:val="clear" w:color="000000" w:fill="E6E6E6"/>
            <w:vAlign w:val="center"/>
            <w:hideMark/>
          </w:tcPr>
          <w:p w14:paraId="2CFF28BF" w14:textId="77777777" w:rsidR="00D32DA4" w:rsidRPr="003C01DC" w:rsidRDefault="00D32DA4">
            <w:pPr>
              <w:jc w:val="right"/>
              <w:rPr>
                <w:b/>
                <w:bCs/>
                <w:sz w:val="16"/>
                <w:szCs w:val="16"/>
              </w:rPr>
            </w:pPr>
            <w:r w:rsidRPr="003C01DC">
              <w:rPr>
                <w:b/>
                <w:bCs/>
                <w:sz w:val="16"/>
                <w:szCs w:val="16"/>
              </w:rPr>
              <w:t>0</w:t>
            </w:r>
          </w:p>
        </w:tc>
      </w:tr>
      <w:tr w:rsidR="003C15D2" w:rsidRPr="003C01DC" w14:paraId="639443CE" w14:textId="77777777" w:rsidTr="003C01DC">
        <w:trPr>
          <w:trHeight w:val="315"/>
          <w:jc w:val="center"/>
        </w:trPr>
        <w:tc>
          <w:tcPr>
            <w:tcW w:w="379" w:type="pct"/>
            <w:shd w:val="clear" w:color="000000" w:fill="E6E6E6"/>
            <w:vAlign w:val="center"/>
            <w:hideMark/>
          </w:tcPr>
          <w:p w14:paraId="5E450518" w14:textId="77777777" w:rsidR="00D32DA4" w:rsidRPr="003C01DC" w:rsidRDefault="00D32DA4">
            <w:pPr>
              <w:jc w:val="center"/>
              <w:rPr>
                <w:b/>
                <w:bCs/>
                <w:sz w:val="16"/>
                <w:szCs w:val="16"/>
              </w:rPr>
            </w:pPr>
            <w:r w:rsidRPr="003C01DC">
              <w:rPr>
                <w:b/>
                <w:bCs/>
                <w:sz w:val="16"/>
                <w:szCs w:val="16"/>
              </w:rPr>
              <w:t>0300.07.00</w:t>
            </w:r>
          </w:p>
        </w:tc>
        <w:tc>
          <w:tcPr>
            <w:tcW w:w="1186" w:type="pct"/>
            <w:shd w:val="clear" w:color="000000" w:fill="E6E6E6"/>
            <w:vAlign w:val="center"/>
            <w:hideMark/>
          </w:tcPr>
          <w:p w14:paraId="18E14595" w14:textId="77777777" w:rsidR="00D32DA4" w:rsidRPr="003C01DC" w:rsidRDefault="00D32DA4">
            <w:pPr>
              <w:rPr>
                <w:b/>
                <w:bCs/>
                <w:sz w:val="16"/>
                <w:szCs w:val="16"/>
              </w:rPr>
            </w:pPr>
            <w:r w:rsidRPr="003C01DC">
              <w:rPr>
                <w:b/>
                <w:bCs/>
                <w:sz w:val="16"/>
                <w:szCs w:val="16"/>
              </w:rPr>
              <w:t>Други бюджетни програми</w:t>
            </w:r>
          </w:p>
        </w:tc>
        <w:tc>
          <w:tcPr>
            <w:tcW w:w="382" w:type="pct"/>
            <w:shd w:val="clear" w:color="000000" w:fill="E6E6E6"/>
            <w:vAlign w:val="center"/>
            <w:hideMark/>
          </w:tcPr>
          <w:p w14:paraId="15373322" w14:textId="77777777" w:rsidR="00D32DA4" w:rsidRPr="003C01DC" w:rsidRDefault="00D32DA4">
            <w:pPr>
              <w:jc w:val="right"/>
              <w:rPr>
                <w:b/>
                <w:bCs/>
                <w:sz w:val="16"/>
                <w:szCs w:val="16"/>
              </w:rPr>
            </w:pPr>
            <w:r w:rsidRPr="003C01DC">
              <w:rPr>
                <w:b/>
                <w:bCs/>
                <w:sz w:val="16"/>
                <w:szCs w:val="16"/>
              </w:rPr>
              <w:t>17 275 461</w:t>
            </w:r>
          </w:p>
        </w:tc>
        <w:tc>
          <w:tcPr>
            <w:tcW w:w="353" w:type="pct"/>
            <w:shd w:val="clear" w:color="000000" w:fill="E6E6E6"/>
            <w:vAlign w:val="center"/>
            <w:hideMark/>
          </w:tcPr>
          <w:p w14:paraId="01B15634" w14:textId="77777777" w:rsidR="00D32DA4" w:rsidRPr="003C01DC" w:rsidRDefault="00D32DA4">
            <w:pPr>
              <w:jc w:val="right"/>
              <w:rPr>
                <w:b/>
                <w:bCs/>
                <w:sz w:val="16"/>
                <w:szCs w:val="16"/>
              </w:rPr>
            </w:pPr>
            <w:r w:rsidRPr="003C01DC">
              <w:rPr>
                <w:b/>
                <w:bCs/>
                <w:sz w:val="16"/>
                <w:szCs w:val="16"/>
              </w:rPr>
              <w:t>13 752 407</w:t>
            </w:r>
          </w:p>
        </w:tc>
        <w:tc>
          <w:tcPr>
            <w:tcW w:w="336" w:type="pct"/>
            <w:shd w:val="clear" w:color="000000" w:fill="E6E6E6"/>
            <w:vAlign w:val="center"/>
            <w:hideMark/>
          </w:tcPr>
          <w:p w14:paraId="0B44BADF" w14:textId="77777777" w:rsidR="00D32DA4" w:rsidRPr="003C01DC" w:rsidRDefault="00D32DA4">
            <w:pPr>
              <w:jc w:val="right"/>
              <w:rPr>
                <w:b/>
                <w:bCs/>
                <w:sz w:val="16"/>
                <w:szCs w:val="16"/>
              </w:rPr>
            </w:pPr>
            <w:r w:rsidRPr="003C01DC">
              <w:rPr>
                <w:b/>
                <w:bCs/>
                <w:sz w:val="16"/>
                <w:szCs w:val="16"/>
              </w:rPr>
              <w:t>3 523 054</w:t>
            </w:r>
          </w:p>
        </w:tc>
        <w:tc>
          <w:tcPr>
            <w:tcW w:w="382" w:type="pct"/>
            <w:shd w:val="clear" w:color="000000" w:fill="E6E6E6"/>
            <w:vAlign w:val="center"/>
            <w:hideMark/>
          </w:tcPr>
          <w:p w14:paraId="66C1B668" w14:textId="77777777" w:rsidR="00D32DA4" w:rsidRPr="003C01DC" w:rsidRDefault="00D32DA4">
            <w:pPr>
              <w:jc w:val="right"/>
              <w:rPr>
                <w:b/>
                <w:bCs/>
                <w:sz w:val="16"/>
                <w:szCs w:val="16"/>
              </w:rPr>
            </w:pPr>
            <w:r w:rsidRPr="003C01DC">
              <w:rPr>
                <w:b/>
                <w:bCs/>
                <w:sz w:val="16"/>
                <w:szCs w:val="16"/>
              </w:rPr>
              <w:t>17 275 461</w:t>
            </w:r>
          </w:p>
        </w:tc>
        <w:tc>
          <w:tcPr>
            <w:tcW w:w="331" w:type="pct"/>
            <w:shd w:val="clear" w:color="000000" w:fill="E6E6E6"/>
            <w:vAlign w:val="center"/>
            <w:hideMark/>
          </w:tcPr>
          <w:p w14:paraId="307FA9DC" w14:textId="77777777" w:rsidR="00D32DA4" w:rsidRPr="003C01DC" w:rsidRDefault="00D32DA4">
            <w:pPr>
              <w:jc w:val="right"/>
              <w:rPr>
                <w:b/>
                <w:bCs/>
                <w:sz w:val="16"/>
                <w:szCs w:val="16"/>
              </w:rPr>
            </w:pPr>
            <w:r w:rsidRPr="003C01DC">
              <w:rPr>
                <w:b/>
                <w:bCs/>
                <w:sz w:val="16"/>
                <w:szCs w:val="16"/>
              </w:rPr>
              <w:t>13 752 407</w:t>
            </w:r>
          </w:p>
        </w:tc>
        <w:tc>
          <w:tcPr>
            <w:tcW w:w="380" w:type="pct"/>
            <w:shd w:val="clear" w:color="000000" w:fill="E6E6E6"/>
            <w:vAlign w:val="center"/>
            <w:hideMark/>
          </w:tcPr>
          <w:p w14:paraId="2CA431AB" w14:textId="77777777" w:rsidR="00D32DA4" w:rsidRPr="003C01DC" w:rsidRDefault="00D32DA4">
            <w:pPr>
              <w:jc w:val="right"/>
              <w:rPr>
                <w:b/>
                <w:bCs/>
                <w:sz w:val="16"/>
                <w:szCs w:val="16"/>
              </w:rPr>
            </w:pPr>
            <w:r w:rsidRPr="003C01DC">
              <w:rPr>
                <w:b/>
                <w:bCs/>
                <w:sz w:val="16"/>
                <w:szCs w:val="16"/>
              </w:rPr>
              <w:t>3 523 054</w:t>
            </w:r>
          </w:p>
        </w:tc>
        <w:tc>
          <w:tcPr>
            <w:tcW w:w="494" w:type="pct"/>
            <w:shd w:val="clear" w:color="000000" w:fill="E6E6E6"/>
            <w:vAlign w:val="center"/>
            <w:hideMark/>
          </w:tcPr>
          <w:p w14:paraId="3212314F" w14:textId="77777777" w:rsidR="00D32DA4" w:rsidRPr="003C01DC" w:rsidRDefault="00D32DA4">
            <w:pPr>
              <w:jc w:val="right"/>
              <w:rPr>
                <w:b/>
                <w:bCs/>
                <w:sz w:val="16"/>
                <w:szCs w:val="16"/>
              </w:rPr>
            </w:pPr>
            <w:r w:rsidRPr="003C01DC">
              <w:rPr>
                <w:b/>
                <w:bCs/>
                <w:sz w:val="16"/>
                <w:szCs w:val="16"/>
              </w:rPr>
              <w:t>0</w:t>
            </w:r>
          </w:p>
        </w:tc>
        <w:tc>
          <w:tcPr>
            <w:tcW w:w="426" w:type="pct"/>
            <w:shd w:val="clear" w:color="000000" w:fill="E6E6E6"/>
            <w:vAlign w:val="center"/>
            <w:hideMark/>
          </w:tcPr>
          <w:p w14:paraId="7EFA6269" w14:textId="77777777" w:rsidR="00D32DA4" w:rsidRPr="003C01DC" w:rsidRDefault="00D32DA4">
            <w:pPr>
              <w:jc w:val="right"/>
              <w:rPr>
                <w:b/>
                <w:bCs/>
                <w:sz w:val="16"/>
                <w:szCs w:val="16"/>
              </w:rPr>
            </w:pPr>
            <w:r w:rsidRPr="003C01DC">
              <w:rPr>
                <w:b/>
                <w:bCs/>
                <w:sz w:val="16"/>
                <w:szCs w:val="16"/>
              </w:rPr>
              <w:t>0</w:t>
            </w:r>
          </w:p>
        </w:tc>
        <w:tc>
          <w:tcPr>
            <w:tcW w:w="349" w:type="pct"/>
            <w:shd w:val="clear" w:color="000000" w:fill="E6E6E6"/>
            <w:vAlign w:val="center"/>
            <w:hideMark/>
          </w:tcPr>
          <w:p w14:paraId="669E579E" w14:textId="77777777" w:rsidR="00D32DA4" w:rsidRPr="003C01DC" w:rsidRDefault="00D32DA4">
            <w:pPr>
              <w:jc w:val="right"/>
              <w:rPr>
                <w:b/>
                <w:bCs/>
                <w:sz w:val="16"/>
                <w:szCs w:val="16"/>
              </w:rPr>
            </w:pPr>
            <w:r w:rsidRPr="003C01DC">
              <w:rPr>
                <w:b/>
                <w:bCs/>
                <w:sz w:val="16"/>
                <w:szCs w:val="16"/>
              </w:rPr>
              <w:t>0</w:t>
            </w:r>
          </w:p>
        </w:tc>
      </w:tr>
      <w:tr w:rsidR="003C15D2" w:rsidRPr="003C01DC" w14:paraId="0080F5C9" w14:textId="77777777" w:rsidTr="003C01DC">
        <w:trPr>
          <w:trHeight w:val="381"/>
          <w:jc w:val="center"/>
        </w:trPr>
        <w:tc>
          <w:tcPr>
            <w:tcW w:w="379" w:type="pct"/>
            <w:shd w:val="clear" w:color="auto" w:fill="auto"/>
            <w:vAlign w:val="center"/>
            <w:hideMark/>
          </w:tcPr>
          <w:p w14:paraId="49FA15E5" w14:textId="77777777" w:rsidR="00D32DA4" w:rsidRPr="003C01DC" w:rsidRDefault="00D32DA4">
            <w:pPr>
              <w:jc w:val="center"/>
              <w:rPr>
                <w:sz w:val="16"/>
                <w:szCs w:val="16"/>
              </w:rPr>
            </w:pPr>
            <w:r w:rsidRPr="003C01DC">
              <w:rPr>
                <w:sz w:val="16"/>
                <w:szCs w:val="16"/>
              </w:rPr>
              <w:t>0300.07.01</w:t>
            </w:r>
          </w:p>
        </w:tc>
        <w:tc>
          <w:tcPr>
            <w:tcW w:w="1186" w:type="pct"/>
            <w:shd w:val="clear" w:color="auto" w:fill="auto"/>
            <w:vAlign w:val="center"/>
            <w:hideMark/>
          </w:tcPr>
          <w:p w14:paraId="1A26C6CA" w14:textId="77777777" w:rsidR="00D32DA4" w:rsidRPr="003C01DC" w:rsidRDefault="00D32DA4">
            <w:pPr>
              <w:rPr>
                <w:sz w:val="16"/>
                <w:szCs w:val="16"/>
              </w:rPr>
            </w:pPr>
            <w:r w:rsidRPr="003C01DC">
              <w:rPr>
                <w:sz w:val="16"/>
                <w:szCs w:val="16"/>
              </w:rPr>
              <w:t>Бюджетна програма „Други дейности и услуги”</w:t>
            </w:r>
          </w:p>
        </w:tc>
        <w:tc>
          <w:tcPr>
            <w:tcW w:w="382" w:type="pct"/>
            <w:shd w:val="clear" w:color="000000" w:fill="FFFFCC"/>
            <w:vAlign w:val="center"/>
            <w:hideMark/>
          </w:tcPr>
          <w:p w14:paraId="5CA4E9A1" w14:textId="77777777" w:rsidR="00D32DA4" w:rsidRPr="003C01DC" w:rsidRDefault="00D32DA4">
            <w:pPr>
              <w:jc w:val="right"/>
              <w:rPr>
                <w:sz w:val="16"/>
                <w:szCs w:val="16"/>
              </w:rPr>
            </w:pPr>
            <w:r w:rsidRPr="003C01DC">
              <w:rPr>
                <w:sz w:val="16"/>
                <w:szCs w:val="16"/>
              </w:rPr>
              <w:t>8 737 602</w:t>
            </w:r>
          </w:p>
        </w:tc>
        <w:tc>
          <w:tcPr>
            <w:tcW w:w="353" w:type="pct"/>
            <w:shd w:val="clear" w:color="auto" w:fill="auto"/>
            <w:vAlign w:val="center"/>
            <w:hideMark/>
          </w:tcPr>
          <w:p w14:paraId="3DA3B2CF" w14:textId="77777777" w:rsidR="00D32DA4" w:rsidRPr="003C01DC" w:rsidRDefault="00D32DA4">
            <w:pPr>
              <w:jc w:val="right"/>
              <w:rPr>
                <w:sz w:val="16"/>
                <w:szCs w:val="16"/>
              </w:rPr>
            </w:pPr>
            <w:r w:rsidRPr="003C01DC">
              <w:rPr>
                <w:sz w:val="16"/>
                <w:szCs w:val="16"/>
              </w:rPr>
              <w:t>8 332 908</w:t>
            </w:r>
          </w:p>
        </w:tc>
        <w:tc>
          <w:tcPr>
            <w:tcW w:w="336" w:type="pct"/>
            <w:shd w:val="clear" w:color="auto" w:fill="auto"/>
            <w:vAlign w:val="center"/>
            <w:hideMark/>
          </w:tcPr>
          <w:p w14:paraId="4C0F8990" w14:textId="77777777" w:rsidR="00D32DA4" w:rsidRPr="003C01DC" w:rsidRDefault="00D32DA4">
            <w:pPr>
              <w:jc w:val="right"/>
              <w:rPr>
                <w:sz w:val="16"/>
                <w:szCs w:val="16"/>
              </w:rPr>
            </w:pPr>
            <w:r w:rsidRPr="003C01DC">
              <w:rPr>
                <w:sz w:val="16"/>
                <w:szCs w:val="16"/>
              </w:rPr>
              <w:t>404 694</w:t>
            </w:r>
          </w:p>
        </w:tc>
        <w:tc>
          <w:tcPr>
            <w:tcW w:w="382" w:type="pct"/>
            <w:shd w:val="clear" w:color="000000" w:fill="FFFFCC"/>
            <w:vAlign w:val="center"/>
            <w:hideMark/>
          </w:tcPr>
          <w:p w14:paraId="0B1D3567" w14:textId="77777777" w:rsidR="00D32DA4" w:rsidRPr="003C01DC" w:rsidRDefault="00D32DA4">
            <w:pPr>
              <w:jc w:val="right"/>
              <w:rPr>
                <w:sz w:val="16"/>
                <w:szCs w:val="16"/>
              </w:rPr>
            </w:pPr>
            <w:r w:rsidRPr="003C01DC">
              <w:rPr>
                <w:sz w:val="16"/>
                <w:szCs w:val="16"/>
              </w:rPr>
              <w:t>8 737 602</w:t>
            </w:r>
          </w:p>
        </w:tc>
        <w:tc>
          <w:tcPr>
            <w:tcW w:w="331" w:type="pct"/>
            <w:shd w:val="clear" w:color="000000" w:fill="FFFFFF"/>
            <w:vAlign w:val="center"/>
            <w:hideMark/>
          </w:tcPr>
          <w:p w14:paraId="7A966CF5" w14:textId="77777777" w:rsidR="00D32DA4" w:rsidRPr="003C01DC" w:rsidRDefault="00D32DA4">
            <w:pPr>
              <w:jc w:val="right"/>
              <w:rPr>
                <w:sz w:val="16"/>
                <w:szCs w:val="16"/>
              </w:rPr>
            </w:pPr>
            <w:r w:rsidRPr="003C01DC">
              <w:rPr>
                <w:sz w:val="16"/>
                <w:szCs w:val="16"/>
              </w:rPr>
              <w:t>8 332 908</w:t>
            </w:r>
          </w:p>
        </w:tc>
        <w:tc>
          <w:tcPr>
            <w:tcW w:w="380" w:type="pct"/>
            <w:shd w:val="clear" w:color="000000" w:fill="FFFFFF"/>
            <w:vAlign w:val="center"/>
            <w:hideMark/>
          </w:tcPr>
          <w:p w14:paraId="77DEEA36" w14:textId="77777777" w:rsidR="00D32DA4" w:rsidRPr="003C01DC" w:rsidRDefault="00D32DA4">
            <w:pPr>
              <w:jc w:val="right"/>
              <w:rPr>
                <w:sz w:val="16"/>
                <w:szCs w:val="16"/>
              </w:rPr>
            </w:pPr>
            <w:r w:rsidRPr="003C01DC">
              <w:rPr>
                <w:sz w:val="16"/>
                <w:szCs w:val="16"/>
              </w:rPr>
              <w:t>404 694</w:t>
            </w:r>
          </w:p>
        </w:tc>
        <w:tc>
          <w:tcPr>
            <w:tcW w:w="494" w:type="pct"/>
            <w:shd w:val="clear" w:color="000000" w:fill="FFFFCC"/>
            <w:vAlign w:val="center"/>
            <w:hideMark/>
          </w:tcPr>
          <w:p w14:paraId="3DCC1985" w14:textId="77777777" w:rsidR="00D32DA4" w:rsidRPr="003C01DC" w:rsidRDefault="00D32DA4">
            <w:pPr>
              <w:jc w:val="right"/>
              <w:rPr>
                <w:sz w:val="16"/>
                <w:szCs w:val="16"/>
              </w:rPr>
            </w:pPr>
            <w:r w:rsidRPr="003C01DC">
              <w:rPr>
                <w:sz w:val="16"/>
                <w:szCs w:val="16"/>
              </w:rPr>
              <w:t>0</w:t>
            </w:r>
          </w:p>
        </w:tc>
        <w:tc>
          <w:tcPr>
            <w:tcW w:w="426" w:type="pct"/>
            <w:shd w:val="clear" w:color="000000" w:fill="FFFFFF"/>
            <w:vAlign w:val="center"/>
            <w:hideMark/>
          </w:tcPr>
          <w:p w14:paraId="59FBDF8D" w14:textId="77777777" w:rsidR="00D32DA4" w:rsidRPr="003C01DC" w:rsidRDefault="00D32DA4">
            <w:pPr>
              <w:jc w:val="right"/>
              <w:rPr>
                <w:sz w:val="16"/>
                <w:szCs w:val="16"/>
              </w:rPr>
            </w:pPr>
            <w:r w:rsidRPr="003C01DC">
              <w:rPr>
                <w:sz w:val="16"/>
                <w:szCs w:val="16"/>
              </w:rPr>
              <w:t>0</w:t>
            </w:r>
          </w:p>
        </w:tc>
        <w:tc>
          <w:tcPr>
            <w:tcW w:w="349" w:type="pct"/>
            <w:shd w:val="clear" w:color="000000" w:fill="FFFFFF"/>
            <w:vAlign w:val="center"/>
            <w:hideMark/>
          </w:tcPr>
          <w:p w14:paraId="2EBC1511" w14:textId="77777777" w:rsidR="00D32DA4" w:rsidRPr="003C01DC" w:rsidRDefault="00D32DA4">
            <w:pPr>
              <w:jc w:val="right"/>
              <w:rPr>
                <w:sz w:val="16"/>
                <w:szCs w:val="16"/>
              </w:rPr>
            </w:pPr>
            <w:r w:rsidRPr="003C01DC">
              <w:rPr>
                <w:sz w:val="16"/>
                <w:szCs w:val="16"/>
              </w:rPr>
              <w:t>0</w:t>
            </w:r>
          </w:p>
        </w:tc>
      </w:tr>
      <w:tr w:rsidR="003C15D2" w:rsidRPr="003C01DC" w14:paraId="3615EFDF" w14:textId="77777777" w:rsidTr="00BB240D">
        <w:trPr>
          <w:trHeight w:val="413"/>
          <w:jc w:val="center"/>
        </w:trPr>
        <w:tc>
          <w:tcPr>
            <w:tcW w:w="379" w:type="pct"/>
            <w:shd w:val="clear" w:color="auto" w:fill="auto"/>
            <w:vAlign w:val="center"/>
            <w:hideMark/>
          </w:tcPr>
          <w:p w14:paraId="6E61D3DE" w14:textId="77777777" w:rsidR="00D32DA4" w:rsidRPr="003C01DC" w:rsidRDefault="00D32DA4">
            <w:pPr>
              <w:jc w:val="center"/>
              <w:rPr>
                <w:sz w:val="16"/>
                <w:szCs w:val="16"/>
              </w:rPr>
            </w:pPr>
            <w:r w:rsidRPr="003C01DC">
              <w:rPr>
                <w:sz w:val="16"/>
                <w:szCs w:val="16"/>
              </w:rPr>
              <w:t>0300.07.02</w:t>
            </w:r>
          </w:p>
        </w:tc>
        <w:tc>
          <w:tcPr>
            <w:tcW w:w="1186" w:type="pct"/>
            <w:shd w:val="clear" w:color="auto" w:fill="auto"/>
            <w:vAlign w:val="center"/>
            <w:hideMark/>
          </w:tcPr>
          <w:p w14:paraId="3A09E02A" w14:textId="77777777" w:rsidR="00D32DA4" w:rsidRPr="003C01DC" w:rsidRDefault="00D32DA4">
            <w:pPr>
              <w:rPr>
                <w:sz w:val="16"/>
                <w:szCs w:val="16"/>
              </w:rPr>
            </w:pPr>
            <w:r w:rsidRPr="003C01DC">
              <w:rPr>
                <w:sz w:val="16"/>
                <w:szCs w:val="16"/>
              </w:rPr>
              <w:t>Бюджетна програма „Убежище и бежанци”</w:t>
            </w:r>
          </w:p>
        </w:tc>
        <w:tc>
          <w:tcPr>
            <w:tcW w:w="382" w:type="pct"/>
            <w:shd w:val="clear" w:color="000000" w:fill="FFFFCC"/>
            <w:vAlign w:val="center"/>
            <w:hideMark/>
          </w:tcPr>
          <w:p w14:paraId="27E97BA8" w14:textId="77777777" w:rsidR="00D32DA4" w:rsidRPr="003C01DC" w:rsidRDefault="00D32DA4">
            <w:pPr>
              <w:jc w:val="right"/>
              <w:rPr>
                <w:sz w:val="16"/>
                <w:szCs w:val="16"/>
              </w:rPr>
            </w:pPr>
            <w:r w:rsidRPr="003C01DC">
              <w:rPr>
                <w:sz w:val="16"/>
                <w:szCs w:val="16"/>
              </w:rPr>
              <w:t>8 537 859</w:t>
            </w:r>
          </w:p>
        </w:tc>
        <w:tc>
          <w:tcPr>
            <w:tcW w:w="353" w:type="pct"/>
            <w:shd w:val="clear" w:color="auto" w:fill="auto"/>
            <w:vAlign w:val="center"/>
            <w:hideMark/>
          </w:tcPr>
          <w:p w14:paraId="4339B20D" w14:textId="77777777" w:rsidR="00D32DA4" w:rsidRPr="003C01DC" w:rsidRDefault="00D32DA4">
            <w:pPr>
              <w:jc w:val="right"/>
              <w:rPr>
                <w:sz w:val="16"/>
                <w:szCs w:val="16"/>
              </w:rPr>
            </w:pPr>
            <w:r w:rsidRPr="003C01DC">
              <w:rPr>
                <w:sz w:val="16"/>
                <w:szCs w:val="16"/>
              </w:rPr>
              <w:t>5 419 499</w:t>
            </w:r>
          </w:p>
        </w:tc>
        <w:tc>
          <w:tcPr>
            <w:tcW w:w="336" w:type="pct"/>
            <w:shd w:val="clear" w:color="auto" w:fill="auto"/>
            <w:vAlign w:val="center"/>
            <w:hideMark/>
          </w:tcPr>
          <w:p w14:paraId="17706448" w14:textId="77777777" w:rsidR="00D32DA4" w:rsidRPr="003C01DC" w:rsidRDefault="00D32DA4">
            <w:pPr>
              <w:jc w:val="right"/>
              <w:rPr>
                <w:sz w:val="16"/>
                <w:szCs w:val="16"/>
              </w:rPr>
            </w:pPr>
            <w:r w:rsidRPr="003C01DC">
              <w:rPr>
                <w:sz w:val="16"/>
                <w:szCs w:val="16"/>
              </w:rPr>
              <w:t>3 118 360</w:t>
            </w:r>
          </w:p>
        </w:tc>
        <w:tc>
          <w:tcPr>
            <w:tcW w:w="382" w:type="pct"/>
            <w:shd w:val="clear" w:color="000000" w:fill="FFFFCC"/>
            <w:vAlign w:val="center"/>
            <w:hideMark/>
          </w:tcPr>
          <w:p w14:paraId="4DC3E38A" w14:textId="77777777" w:rsidR="00D32DA4" w:rsidRPr="003C01DC" w:rsidRDefault="00D32DA4">
            <w:pPr>
              <w:jc w:val="right"/>
              <w:rPr>
                <w:sz w:val="16"/>
                <w:szCs w:val="16"/>
              </w:rPr>
            </w:pPr>
            <w:r w:rsidRPr="003C01DC">
              <w:rPr>
                <w:sz w:val="16"/>
                <w:szCs w:val="16"/>
              </w:rPr>
              <w:t>8 537 859</w:t>
            </w:r>
          </w:p>
        </w:tc>
        <w:tc>
          <w:tcPr>
            <w:tcW w:w="331" w:type="pct"/>
            <w:shd w:val="clear" w:color="000000" w:fill="FFFFFF"/>
            <w:vAlign w:val="center"/>
            <w:hideMark/>
          </w:tcPr>
          <w:p w14:paraId="6EFD069D" w14:textId="77777777" w:rsidR="00D32DA4" w:rsidRPr="003C01DC" w:rsidRDefault="00D32DA4">
            <w:pPr>
              <w:jc w:val="right"/>
              <w:rPr>
                <w:sz w:val="16"/>
                <w:szCs w:val="16"/>
              </w:rPr>
            </w:pPr>
            <w:r w:rsidRPr="003C01DC">
              <w:rPr>
                <w:sz w:val="16"/>
                <w:szCs w:val="16"/>
              </w:rPr>
              <w:t>5 419 499</w:t>
            </w:r>
          </w:p>
        </w:tc>
        <w:tc>
          <w:tcPr>
            <w:tcW w:w="380" w:type="pct"/>
            <w:shd w:val="clear" w:color="000000" w:fill="FFFFFF"/>
            <w:vAlign w:val="center"/>
            <w:hideMark/>
          </w:tcPr>
          <w:p w14:paraId="7BF39AEF" w14:textId="77777777" w:rsidR="00D32DA4" w:rsidRPr="003C01DC" w:rsidRDefault="00D32DA4">
            <w:pPr>
              <w:jc w:val="right"/>
              <w:rPr>
                <w:sz w:val="16"/>
                <w:szCs w:val="16"/>
              </w:rPr>
            </w:pPr>
            <w:r w:rsidRPr="003C01DC">
              <w:rPr>
                <w:sz w:val="16"/>
                <w:szCs w:val="16"/>
              </w:rPr>
              <w:t>3 118 360</w:t>
            </w:r>
          </w:p>
        </w:tc>
        <w:tc>
          <w:tcPr>
            <w:tcW w:w="494" w:type="pct"/>
            <w:shd w:val="clear" w:color="000000" w:fill="FFFFCC"/>
            <w:vAlign w:val="center"/>
            <w:hideMark/>
          </w:tcPr>
          <w:p w14:paraId="4B8BC43A" w14:textId="77777777" w:rsidR="00D32DA4" w:rsidRPr="003C01DC" w:rsidRDefault="00D32DA4">
            <w:pPr>
              <w:jc w:val="right"/>
              <w:rPr>
                <w:sz w:val="16"/>
                <w:szCs w:val="16"/>
              </w:rPr>
            </w:pPr>
            <w:r w:rsidRPr="003C01DC">
              <w:rPr>
                <w:sz w:val="16"/>
                <w:szCs w:val="16"/>
              </w:rPr>
              <w:t>0</w:t>
            </w:r>
          </w:p>
        </w:tc>
        <w:tc>
          <w:tcPr>
            <w:tcW w:w="426" w:type="pct"/>
            <w:shd w:val="clear" w:color="000000" w:fill="FFFFFF"/>
            <w:vAlign w:val="center"/>
            <w:hideMark/>
          </w:tcPr>
          <w:p w14:paraId="4BF3B338" w14:textId="77777777" w:rsidR="00D32DA4" w:rsidRPr="003C01DC" w:rsidRDefault="00D32DA4">
            <w:pPr>
              <w:jc w:val="right"/>
              <w:rPr>
                <w:sz w:val="16"/>
                <w:szCs w:val="16"/>
              </w:rPr>
            </w:pPr>
            <w:r w:rsidRPr="003C01DC">
              <w:rPr>
                <w:sz w:val="16"/>
                <w:szCs w:val="16"/>
              </w:rPr>
              <w:t>0</w:t>
            </w:r>
          </w:p>
        </w:tc>
        <w:tc>
          <w:tcPr>
            <w:tcW w:w="349" w:type="pct"/>
            <w:shd w:val="clear" w:color="000000" w:fill="FFFFFF"/>
            <w:vAlign w:val="center"/>
            <w:hideMark/>
          </w:tcPr>
          <w:p w14:paraId="5F2F567D" w14:textId="77777777" w:rsidR="00D32DA4" w:rsidRPr="003C01DC" w:rsidRDefault="00D32DA4">
            <w:pPr>
              <w:jc w:val="right"/>
              <w:rPr>
                <w:sz w:val="16"/>
                <w:szCs w:val="16"/>
              </w:rPr>
            </w:pPr>
            <w:r w:rsidRPr="003C01DC">
              <w:rPr>
                <w:sz w:val="16"/>
                <w:szCs w:val="16"/>
              </w:rPr>
              <w:t>0</w:t>
            </w:r>
          </w:p>
        </w:tc>
      </w:tr>
    </w:tbl>
    <w:p w14:paraId="173AB7C3" w14:textId="77777777" w:rsidR="00FC2F39" w:rsidRDefault="00FC2F39">
      <w:r>
        <w:br w:type="page"/>
      </w:r>
    </w:p>
    <w:p w14:paraId="5EEEB59A" w14:textId="77777777" w:rsidR="00A36D38" w:rsidRPr="00667B09" w:rsidRDefault="00A36D38" w:rsidP="00661D57">
      <w:pPr>
        <w:jc w:val="both"/>
        <w:rPr>
          <w:sz w:val="22"/>
          <w:szCs w:val="22"/>
          <w:lang w:eastAsia="en-US"/>
        </w:rPr>
        <w:sectPr w:rsidR="00A36D38" w:rsidRPr="00667B09" w:rsidSect="000816C2">
          <w:pgSz w:w="16838" w:h="11906" w:orient="landscape"/>
          <w:pgMar w:top="1418" w:right="1134" w:bottom="1418" w:left="1276" w:header="709" w:footer="709" w:gutter="0"/>
          <w:cols w:space="708"/>
          <w:titlePg/>
          <w:docGrid w:linePitch="360"/>
        </w:sectPr>
      </w:pPr>
    </w:p>
    <w:p w14:paraId="088ED1F5" w14:textId="10924C27" w:rsidR="003A0BB1" w:rsidRPr="00003B36" w:rsidRDefault="00003B36" w:rsidP="00003B36">
      <w:pPr>
        <w:shd w:val="clear" w:color="auto" w:fill="FFFFFF"/>
        <w:ind w:firstLine="709"/>
        <w:jc w:val="right"/>
        <w:rPr>
          <w:b/>
          <w:bCs/>
          <w:i/>
          <w:iCs/>
          <w:sz w:val="20"/>
          <w:szCs w:val="20"/>
          <w:lang w:eastAsia="en-US"/>
        </w:rPr>
      </w:pPr>
      <w:r w:rsidRPr="00003B36">
        <w:rPr>
          <w:b/>
          <w:bCs/>
          <w:i/>
          <w:iCs/>
          <w:sz w:val="20"/>
          <w:szCs w:val="20"/>
          <w:lang w:eastAsia="en-US"/>
        </w:rPr>
        <w:lastRenderedPageBreak/>
        <w:t>Приложение № 3</w:t>
      </w:r>
    </w:p>
    <w:p w14:paraId="4F0961E0" w14:textId="01D22DA0" w:rsidR="00003B36" w:rsidRPr="00003B36" w:rsidRDefault="00003B36" w:rsidP="00682D52">
      <w:pPr>
        <w:shd w:val="clear" w:color="auto" w:fill="FFFFFF"/>
        <w:spacing w:after="120"/>
        <w:ind w:firstLine="709"/>
        <w:jc w:val="center"/>
        <w:rPr>
          <w:i/>
          <w:iCs/>
          <w:sz w:val="20"/>
          <w:szCs w:val="20"/>
          <w:lang w:eastAsia="en-US"/>
        </w:rPr>
      </w:pPr>
      <w:r w:rsidRPr="00003B36">
        <w:rPr>
          <w:i/>
          <w:iCs/>
          <w:sz w:val="20"/>
          <w:szCs w:val="20"/>
          <w:lang w:eastAsia="en-US"/>
        </w:rPr>
        <w:t>Финансиране на консолидираните разходи</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6"/>
        <w:gridCol w:w="1070"/>
        <w:gridCol w:w="1037"/>
        <w:gridCol w:w="1085"/>
      </w:tblGrid>
      <w:tr w:rsidR="00872E74" w:rsidRPr="004E16DF" w14:paraId="68AE96ED" w14:textId="77777777" w:rsidTr="004E16DF">
        <w:trPr>
          <w:trHeight w:val="315"/>
          <w:jc w:val="center"/>
        </w:trPr>
        <w:tc>
          <w:tcPr>
            <w:tcW w:w="3272" w:type="pct"/>
            <w:vMerge w:val="restart"/>
            <w:shd w:val="clear" w:color="000000" w:fill="E6E6E6"/>
            <w:vAlign w:val="center"/>
            <w:hideMark/>
          </w:tcPr>
          <w:p w14:paraId="03C95D20" w14:textId="77777777" w:rsidR="00682D52" w:rsidRPr="004E16DF" w:rsidRDefault="00682D52">
            <w:pPr>
              <w:jc w:val="center"/>
              <w:rPr>
                <w:b/>
                <w:bCs/>
                <w:sz w:val="16"/>
                <w:szCs w:val="16"/>
              </w:rPr>
            </w:pPr>
            <w:r w:rsidRPr="004E16DF">
              <w:rPr>
                <w:b/>
                <w:bCs/>
                <w:sz w:val="16"/>
                <w:szCs w:val="16"/>
              </w:rPr>
              <w:t>Финансиране на консолидираните разходи, обхванати в програмния бюджет</w:t>
            </w:r>
            <w:r w:rsidRPr="004E16DF">
              <w:rPr>
                <w:b/>
                <w:bCs/>
                <w:sz w:val="16"/>
                <w:szCs w:val="16"/>
              </w:rPr>
              <w:br/>
              <w:t xml:space="preserve"> (в лева)</w:t>
            </w:r>
          </w:p>
        </w:tc>
        <w:tc>
          <w:tcPr>
            <w:tcW w:w="579" w:type="pct"/>
            <w:vMerge w:val="restart"/>
            <w:shd w:val="clear" w:color="000000" w:fill="E6E6E6"/>
            <w:vAlign w:val="center"/>
            <w:hideMark/>
          </w:tcPr>
          <w:p w14:paraId="5F06433B" w14:textId="77777777" w:rsidR="00682D52" w:rsidRPr="004E16DF" w:rsidRDefault="00682D52">
            <w:pPr>
              <w:jc w:val="center"/>
              <w:rPr>
                <w:b/>
                <w:bCs/>
                <w:sz w:val="16"/>
                <w:szCs w:val="16"/>
              </w:rPr>
            </w:pPr>
            <w:r w:rsidRPr="004E16DF">
              <w:rPr>
                <w:b/>
                <w:bCs/>
                <w:sz w:val="16"/>
                <w:szCs w:val="16"/>
              </w:rPr>
              <w:t>Закон</w:t>
            </w:r>
          </w:p>
        </w:tc>
        <w:tc>
          <w:tcPr>
            <w:tcW w:w="561" w:type="pct"/>
            <w:vMerge w:val="restart"/>
            <w:shd w:val="clear" w:color="000000" w:fill="E6E6E6"/>
            <w:vAlign w:val="center"/>
            <w:hideMark/>
          </w:tcPr>
          <w:p w14:paraId="0E4E0787" w14:textId="77777777" w:rsidR="00682D52" w:rsidRPr="004E16DF" w:rsidRDefault="00682D52">
            <w:pPr>
              <w:jc w:val="center"/>
              <w:rPr>
                <w:b/>
                <w:bCs/>
                <w:sz w:val="16"/>
                <w:szCs w:val="16"/>
              </w:rPr>
            </w:pPr>
            <w:r w:rsidRPr="004E16DF">
              <w:rPr>
                <w:b/>
                <w:bCs/>
                <w:sz w:val="16"/>
                <w:szCs w:val="16"/>
              </w:rPr>
              <w:t>Уточнен план</w:t>
            </w:r>
          </w:p>
        </w:tc>
        <w:tc>
          <w:tcPr>
            <w:tcW w:w="587" w:type="pct"/>
            <w:vMerge w:val="restart"/>
            <w:shd w:val="clear" w:color="000000" w:fill="E6E6E6"/>
            <w:vAlign w:val="center"/>
            <w:hideMark/>
          </w:tcPr>
          <w:p w14:paraId="62837865" w14:textId="77777777" w:rsidR="00682D52" w:rsidRPr="004E16DF" w:rsidRDefault="00682D52">
            <w:pPr>
              <w:jc w:val="center"/>
              <w:rPr>
                <w:b/>
                <w:bCs/>
                <w:sz w:val="16"/>
                <w:szCs w:val="16"/>
              </w:rPr>
            </w:pPr>
            <w:r w:rsidRPr="004E16DF">
              <w:rPr>
                <w:b/>
                <w:bCs/>
                <w:sz w:val="16"/>
                <w:szCs w:val="16"/>
              </w:rPr>
              <w:t>Отчет</w:t>
            </w:r>
          </w:p>
        </w:tc>
      </w:tr>
      <w:tr w:rsidR="004E16DF" w:rsidRPr="004E16DF" w14:paraId="2AD0EE57" w14:textId="77777777" w:rsidTr="004E16DF">
        <w:trPr>
          <w:trHeight w:val="276"/>
          <w:jc w:val="center"/>
        </w:trPr>
        <w:tc>
          <w:tcPr>
            <w:tcW w:w="3272" w:type="pct"/>
            <w:vMerge/>
            <w:vAlign w:val="center"/>
            <w:hideMark/>
          </w:tcPr>
          <w:p w14:paraId="0CE0F2F1" w14:textId="77777777" w:rsidR="008C4D30" w:rsidRPr="004E16DF" w:rsidRDefault="008C4D30">
            <w:pPr>
              <w:rPr>
                <w:b/>
                <w:bCs/>
                <w:sz w:val="16"/>
                <w:szCs w:val="16"/>
              </w:rPr>
            </w:pPr>
          </w:p>
        </w:tc>
        <w:tc>
          <w:tcPr>
            <w:tcW w:w="579" w:type="pct"/>
            <w:vMerge/>
            <w:vAlign w:val="center"/>
            <w:hideMark/>
          </w:tcPr>
          <w:p w14:paraId="2CD4D028" w14:textId="77777777" w:rsidR="008C4D30" w:rsidRPr="004E16DF" w:rsidRDefault="008C4D30">
            <w:pPr>
              <w:rPr>
                <w:b/>
                <w:bCs/>
                <w:sz w:val="16"/>
                <w:szCs w:val="16"/>
              </w:rPr>
            </w:pPr>
          </w:p>
        </w:tc>
        <w:tc>
          <w:tcPr>
            <w:tcW w:w="561" w:type="pct"/>
            <w:vMerge/>
            <w:vAlign w:val="center"/>
            <w:hideMark/>
          </w:tcPr>
          <w:p w14:paraId="7B4268BE" w14:textId="77777777" w:rsidR="008C4D30" w:rsidRPr="004E16DF" w:rsidRDefault="008C4D30">
            <w:pPr>
              <w:rPr>
                <w:b/>
                <w:bCs/>
                <w:sz w:val="16"/>
                <w:szCs w:val="16"/>
              </w:rPr>
            </w:pPr>
          </w:p>
        </w:tc>
        <w:tc>
          <w:tcPr>
            <w:tcW w:w="587" w:type="pct"/>
            <w:vMerge/>
            <w:vAlign w:val="center"/>
            <w:hideMark/>
          </w:tcPr>
          <w:p w14:paraId="3DB9358A" w14:textId="77777777" w:rsidR="008C4D30" w:rsidRPr="004E16DF" w:rsidRDefault="008C4D30">
            <w:pPr>
              <w:rPr>
                <w:b/>
                <w:bCs/>
                <w:sz w:val="16"/>
                <w:szCs w:val="16"/>
              </w:rPr>
            </w:pPr>
          </w:p>
        </w:tc>
      </w:tr>
      <w:tr w:rsidR="004E16DF" w:rsidRPr="004E16DF" w14:paraId="34335E5D" w14:textId="77777777" w:rsidTr="004E16DF">
        <w:trPr>
          <w:trHeight w:val="264"/>
          <w:jc w:val="center"/>
        </w:trPr>
        <w:tc>
          <w:tcPr>
            <w:tcW w:w="3272" w:type="pct"/>
            <w:shd w:val="clear" w:color="000000" w:fill="E6E6E6"/>
            <w:vAlign w:val="center"/>
            <w:hideMark/>
          </w:tcPr>
          <w:p w14:paraId="2C545BFE" w14:textId="77777777" w:rsidR="008C4D30" w:rsidRPr="004E16DF" w:rsidRDefault="008C4D30">
            <w:pPr>
              <w:jc w:val="both"/>
              <w:rPr>
                <w:b/>
                <w:bCs/>
                <w:sz w:val="16"/>
                <w:szCs w:val="16"/>
              </w:rPr>
            </w:pPr>
            <w:r w:rsidRPr="004E16DF">
              <w:rPr>
                <w:b/>
                <w:bCs/>
                <w:sz w:val="16"/>
                <w:szCs w:val="16"/>
              </w:rPr>
              <w:t>Общо консолидирани разходи:</w:t>
            </w:r>
          </w:p>
        </w:tc>
        <w:tc>
          <w:tcPr>
            <w:tcW w:w="579" w:type="pct"/>
            <w:shd w:val="clear" w:color="000000" w:fill="E6E6E6"/>
            <w:vAlign w:val="center"/>
            <w:hideMark/>
          </w:tcPr>
          <w:p w14:paraId="3B59F7B0" w14:textId="77777777" w:rsidR="008C4D30" w:rsidRPr="004E16DF" w:rsidRDefault="008C4D30">
            <w:pPr>
              <w:jc w:val="right"/>
              <w:rPr>
                <w:b/>
                <w:bCs/>
                <w:sz w:val="16"/>
                <w:szCs w:val="16"/>
              </w:rPr>
            </w:pPr>
            <w:r w:rsidRPr="004E16DF">
              <w:rPr>
                <w:b/>
                <w:bCs/>
                <w:sz w:val="16"/>
                <w:szCs w:val="16"/>
              </w:rPr>
              <w:t>243 829 500</w:t>
            </w:r>
          </w:p>
        </w:tc>
        <w:tc>
          <w:tcPr>
            <w:tcW w:w="561" w:type="pct"/>
            <w:shd w:val="clear" w:color="000000" w:fill="E6E6E6"/>
            <w:vAlign w:val="center"/>
            <w:hideMark/>
          </w:tcPr>
          <w:p w14:paraId="058001AB" w14:textId="77777777" w:rsidR="008C4D30" w:rsidRPr="004E16DF" w:rsidRDefault="008C4D30">
            <w:pPr>
              <w:jc w:val="right"/>
              <w:rPr>
                <w:b/>
                <w:bCs/>
                <w:sz w:val="16"/>
                <w:szCs w:val="16"/>
              </w:rPr>
            </w:pPr>
            <w:r w:rsidRPr="004E16DF">
              <w:rPr>
                <w:b/>
                <w:bCs/>
                <w:sz w:val="16"/>
                <w:szCs w:val="16"/>
              </w:rPr>
              <w:t>248 536 449</w:t>
            </w:r>
          </w:p>
        </w:tc>
        <w:tc>
          <w:tcPr>
            <w:tcW w:w="587" w:type="pct"/>
            <w:shd w:val="clear" w:color="000000" w:fill="E6E6E6"/>
            <w:vAlign w:val="center"/>
            <w:hideMark/>
          </w:tcPr>
          <w:p w14:paraId="1ACCB1B9" w14:textId="77777777" w:rsidR="008C4D30" w:rsidRPr="004E16DF" w:rsidRDefault="008C4D30">
            <w:pPr>
              <w:jc w:val="right"/>
              <w:rPr>
                <w:b/>
                <w:bCs/>
                <w:sz w:val="16"/>
                <w:szCs w:val="16"/>
              </w:rPr>
            </w:pPr>
            <w:r w:rsidRPr="004E16DF">
              <w:rPr>
                <w:b/>
                <w:bCs/>
                <w:sz w:val="16"/>
                <w:szCs w:val="16"/>
              </w:rPr>
              <w:t>106 589 260</w:t>
            </w:r>
          </w:p>
        </w:tc>
      </w:tr>
      <w:tr w:rsidR="004E16DF" w:rsidRPr="004E16DF" w14:paraId="45AFCD81" w14:textId="77777777" w:rsidTr="004E16DF">
        <w:trPr>
          <w:trHeight w:val="268"/>
          <w:jc w:val="center"/>
        </w:trPr>
        <w:tc>
          <w:tcPr>
            <w:tcW w:w="3272" w:type="pct"/>
            <w:shd w:val="clear" w:color="000000" w:fill="E6E6E6"/>
            <w:vAlign w:val="center"/>
            <w:hideMark/>
          </w:tcPr>
          <w:p w14:paraId="31B7E9A2" w14:textId="77777777" w:rsidR="008C4D30" w:rsidRPr="004E16DF" w:rsidRDefault="008C4D30">
            <w:pPr>
              <w:jc w:val="both"/>
              <w:rPr>
                <w:b/>
                <w:bCs/>
                <w:sz w:val="16"/>
                <w:szCs w:val="16"/>
              </w:rPr>
            </w:pPr>
            <w:r w:rsidRPr="004E16DF">
              <w:rPr>
                <w:b/>
                <w:bCs/>
                <w:sz w:val="16"/>
                <w:szCs w:val="16"/>
              </w:rPr>
              <w:t>Общо финансиране:</w:t>
            </w:r>
          </w:p>
        </w:tc>
        <w:tc>
          <w:tcPr>
            <w:tcW w:w="579" w:type="pct"/>
            <w:shd w:val="clear" w:color="000000" w:fill="E6E6E6"/>
            <w:vAlign w:val="center"/>
            <w:hideMark/>
          </w:tcPr>
          <w:p w14:paraId="778AA924" w14:textId="77777777" w:rsidR="008C4D30" w:rsidRPr="004E16DF" w:rsidRDefault="008C4D30">
            <w:pPr>
              <w:jc w:val="right"/>
              <w:rPr>
                <w:b/>
                <w:bCs/>
                <w:sz w:val="16"/>
                <w:szCs w:val="16"/>
              </w:rPr>
            </w:pPr>
            <w:r w:rsidRPr="004E16DF">
              <w:rPr>
                <w:b/>
                <w:bCs/>
                <w:sz w:val="16"/>
                <w:szCs w:val="16"/>
              </w:rPr>
              <w:t>243 829 500</w:t>
            </w:r>
          </w:p>
        </w:tc>
        <w:tc>
          <w:tcPr>
            <w:tcW w:w="561" w:type="pct"/>
            <w:shd w:val="clear" w:color="000000" w:fill="E6E6E6"/>
            <w:vAlign w:val="center"/>
            <w:hideMark/>
          </w:tcPr>
          <w:p w14:paraId="1D87BA40" w14:textId="77777777" w:rsidR="008C4D30" w:rsidRPr="004E16DF" w:rsidRDefault="008C4D30">
            <w:pPr>
              <w:jc w:val="right"/>
              <w:rPr>
                <w:b/>
                <w:bCs/>
                <w:sz w:val="16"/>
                <w:szCs w:val="16"/>
              </w:rPr>
            </w:pPr>
            <w:r w:rsidRPr="004E16DF">
              <w:rPr>
                <w:b/>
                <w:bCs/>
                <w:sz w:val="16"/>
                <w:szCs w:val="16"/>
              </w:rPr>
              <w:t>248 536 449</w:t>
            </w:r>
          </w:p>
        </w:tc>
        <w:tc>
          <w:tcPr>
            <w:tcW w:w="587" w:type="pct"/>
            <w:shd w:val="clear" w:color="000000" w:fill="E6E6E6"/>
            <w:vAlign w:val="center"/>
            <w:hideMark/>
          </w:tcPr>
          <w:p w14:paraId="7B00D993" w14:textId="77777777" w:rsidR="008C4D30" w:rsidRPr="004E16DF" w:rsidRDefault="008C4D30">
            <w:pPr>
              <w:jc w:val="right"/>
              <w:rPr>
                <w:b/>
                <w:bCs/>
                <w:sz w:val="16"/>
                <w:szCs w:val="16"/>
              </w:rPr>
            </w:pPr>
            <w:r w:rsidRPr="004E16DF">
              <w:rPr>
                <w:b/>
                <w:bCs/>
                <w:sz w:val="16"/>
                <w:szCs w:val="16"/>
              </w:rPr>
              <w:t>106 589 260</w:t>
            </w:r>
          </w:p>
        </w:tc>
      </w:tr>
      <w:tr w:rsidR="004E16DF" w:rsidRPr="004E16DF" w14:paraId="473ED1E4" w14:textId="77777777" w:rsidTr="004E16DF">
        <w:trPr>
          <w:trHeight w:val="258"/>
          <w:jc w:val="center"/>
        </w:trPr>
        <w:tc>
          <w:tcPr>
            <w:tcW w:w="3272" w:type="pct"/>
            <w:shd w:val="clear" w:color="auto" w:fill="auto"/>
            <w:vAlign w:val="center"/>
            <w:hideMark/>
          </w:tcPr>
          <w:p w14:paraId="046BB2B9" w14:textId="77777777" w:rsidR="008C4D30" w:rsidRPr="004E16DF" w:rsidRDefault="008C4D30">
            <w:pPr>
              <w:jc w:val="both"/>
              <w:rPr>
                <w:b/>
                <w:bCs/>
                <w:sz w:val="16"/>
                <w:szCs w:val="16"/>
              </w:rPr>
            </w:pPr>
            <w:r w:rsidRPr="004E16DF">
              <w:rPr>
                <w:b/>
                <w:bCs/>
                <w:sz w:val="16"/>
                <w:szCs w:val="16"/>
              </w:rPr>
              <w:t>Бюджета на ПРБ</w:t>
            </w:r>
          </w:p>
        </w:tc>
        <w:tc>
          <w:tcPr>
            <w:tcW w:w="579" w:type="pct"/>
            <w:shd w:val="clear" w:color="auto" w:fill="auto"/>
            <w:vAlign w:val="center"/>
            <w:hideMark/>
          </w:tcPr>
          <w:p w14:paraId="32B4030D" w14:textId="77777777" w:rsidR="008C4D30" w:rsidRPr="004E16DF" w:rsidRDefault="008C4D30">
            <w:pPr>
              <w:jc w:val="right"/>
              <w:rPr>
                <w:sz w:val="16"/>
                <w:szCs w:val="16"/>
              </w:rPr>
            </w:pPr>
            <w:r w:rsidRPr="004E16DF">
              <w:rPr>
                <w:sz w:val="16"/>
                <w:szCs w:val="16"/>
              </w:rPr>
              <w:t>243 829 500</w:t>
            </w:r>
          </w:p>
        </w:tc>
        <w:tc>
          <w:tcPr>
            <w:tcW w:w="561" w:type="pct"/>
            <w:shd w:val="clear" w:color="auto" w:fill="auto"/>
            <w:vAlign w:val="center"/>
            <w:hideMark/>
          </w:tcPr>
          <w:p w14:paraId="3EE5EB21" w14:textId="77777777" w:rsidR="008C4D30" w:rsidRPr="004E16DF" w:rsidRDefault="008C4D30">
            <w:pPr>
              <w:jc w:val="right"/>
              <w:rPr>
                <w:sz w:val="16"/>
                <w:szCs w:val="16"/>
              </w:rPr>
            </w:pPr>
            <w:r w:rsidRPr="004E16DF">
              <w:rPr>
                <w:sz w:val="16"/>
                <w:szCs w:val="16"/>
              </w:rPr>
              <w:t>248 148 217</w:t>
            </w:r>
          </w:p>
        </w:tc>
        <w:tc>
          <w:tcPr>
            <w:tcW w:w="587" w:type="pct"/>
            <w:shd w:val="clear" w:color="auto" w:fill="auto"/>
            <w:vAlign w:val="center"/>
            <w:hideMark/>
          </w:tcPr>
          <w:p w14:paraId="157A2FED" w14:textId="77777777" w:rsidR="008C4D30" w:rsidRPr="004E16DF" w:rsidRDefault="008C4D30">
            <w:pPr>
              <w:jc w:val="right"/>
              <w:rPr>
                <w:sz w:val="16"/>
                <w:szCs w:val="16"/>
              </w:rPr>
            </w:pPr>
            <w:r w:rsidRPr="004E16DF">
              <w:rPr>
                <w:sz w:val="16"/>
                <w:szCs w:val="16"/>
              </w:rPr>
              <w:t>81 300 847</w:t>
            </w:r>
          </w:p>
        </w:tc>
      </w:tr>
      <w:tr w:rsidR="004E16DF" w:rsidRPr="004E16DF" w14:paraId="0C639E02" w14:textId="77777777" w:rsidTr="004E16DF">
        <w:trPr>
          <w:trHeight w:val="261"/>
          <w:jc w:val="center"/>
        </w:trPr>
        <w:tc>
          <w:tcPr>
            <w:tcW w:w="3272" w:type="pct"/>
            <w:shd w:val="clear" w:color="auto" w:fill="auto"/>
            <w:vAlign w:val="center"/>
            <w:hideMark/>
          </w:tcPr>
          <w:p w14:paraId="5006FF87" w14:textId="77777777" w:rsidR="008C4D30" w:rsidRPr="004E16DF" w:rsidRDefault="008C4D30">
            <w:pPr>
              <w:jc w:val="both"/>
              <w:rPr>
                <w:b/>
                <w:bCs/>
                <w:sz w:val="16"/>
                <w:szCs w:val="16"/>
              </w:rPr>
            </w:pPr>
            <w:r w:rsidRPr="004E16DF">
              <w:rPr>
                <w:b/>
                <w:bCs/>
                <w:sz w:val="16"/>
                <w:szCs w:val="16"/>
              </w:rPr>
              <w:t>Други бюджети и сметки за средства от ЕС, в т.ч. от:</w:t>
            </w:r>
          </w:p>
        </w:tc>
        <w:tc>
          <w:tcPr>
            <w:tcW w:w="579" w:type="pct"/>
            <w:shd w:val="clear" w:color="auto" w:fill="auto"/>
            <w:vAlign w:val="center"/>
            <w:hideMark/>
          </w:tcPr>
          <w:p w14:paraId="3785C6DE" w14:textId="77777777" w:rsidR="008C4D30" w:rsidRPr="004E16DF" w:rsidRDefault="008C4D30">
            <w:pPr>
              <w:jc w:val="right"/>
              <w:rPr>
                <w:b/>
                <w:bCs/>
                <w:sz w:val="16"/>
                <w:szCs w:val="16"/>
              </w:rPr>
            </w:pPr>
            <w:r w:rsidRPr="004E16DF">
              <w:rPr>
                <w:b/>
                <w:bCs/>
                <w:sz w:val="16"/>
                <w:szCs w:val="16"/>
              </w:rPr>
              <w:t>0</w:t>
            </w:r>
          </w:p>
        </w:tc>
        <w:tc>
          <w:tcPr>
            <w:tcW w:w="561" w:type="pct"/>
            <w:shd w:val="clear" w:color="auto" w:fill="auto"/>
            <w:vAlign w:val="center"/>
            <w:hideMark/>
          </w:tcPr>
          <w:p w14:paraId="222B10E9" w14:textId="77777777" w:rsidR="008C4D30" w:rsidRPr="004E16DF" w:rsidRDefault="008C4D30">
            <w:pPr>
              <w:jc w:val="right"/>
              <w:rPr>
                <w:b/>
                <w:bCs/>
                <w:sz w:val="16"/>
                <w:szCs w:val="16"/>
              </w:rPr>
            </w:pPr>
            <w:r w:rsidRPr="004E16DF">
              <w:rPr>
                <w:b/>
                <w:bCs/>
                <w:sz w:val="16"/>
                <w:szCs w:val="16"/>
              </w:rPr>
              <w:t>388 232</w:t>
            </w:r>
          </w:p>
        </w:tc>
        <w:tc>
          <w:tcPr>
            <w:tcW w:w="587" w:type="pct"/>
            <w:shd w:val="clear" w:color="auto" w:fill="auto"/>
            <w:vAlign w:val="center"/>
            <w:hideMark/>
          </w:tcPr>
          <w:p w14:paraId="69348173" w14:textId="77777777" w:rsidR="008C4D30" w:rsidRPr="004E16DF" w:rsidRDefault="008C4D30">
            <w:pPr>
              <w:jc w:val="right"/>
              <w:rPr>
                <w:b/>
                <w:bCs/>
                <w:sz w:val="16"/>
                <w:szCs w:val="16"/>
              </w:rPr>
            </w:pPr>
            <w:r w:rsidRPr="004E16DF">
              <w:rPr>
                <w:b/>
                <w:bCs/>
                <w:sz w:val="16"/>
                <w:szCs w:val="16"/>
              </w:rPr>
              <w:t>25 288 413</w:t>
            </w:r>
          </w:p>
        </w:tc>
      </w:tr>
      <w:tr w:rsidR="004E16DF" w:rsidRPr="004E16DF" w14:paraId="6C57A5A1" w14:textId="77777777" w:rsidTr="00903CB5">
        <w:trPr>
          <w:trHeight w:val="262"/>
          <w:jc w:val="center"/>
        </w:trPr>
        <w:tc>
          <w:tcPr>
            <w:tcW w:w="3272" w:type="pct"/>
            <w:shd w:val="clear" w:color="000000" w:fill="FFFFFF"/>
            <w:vAlign w:val="center"/>
            <w:hideMark/>
          </w:tcPr>
          <w:p w14:paraId="64B16E84" w14:textId="77777777" w:rsidR="008C4D30" w:rsidRPr="004E16DF" w:rsidRDefault="008C4D30" w:rsidP="004E16DF">
            <w:pPr>
              <w:ind w:firstLineChars="106" w:firstLine="170"/>
              <w:rPr>
                <w:sz w:val="16"/>
                <w:szCs w:val="16"/>
              </w:rPr>
            </w:pPr>
            <w:r w:rsidRPr="004E16DF">
              <w:rPr>
                <w:sz w:val="16"/>
                <w:szCs w:val="16"/>
              </w:rPr>
              <w:t xml:space="preserve"> • Централен бюджет, в т.ч.:</w:t>
            </w:r>
          </w:p>
        </w:tc>
        <w:tc>
          <w:tcPr>
            <w:tcW w:w="579" w:type="pct"/>
            <w:shd w:val="clear" w:color="auto" w:fill="auto"/>
            <w:vAlign w:val="center"/>
            <w:hideMark/>
          </w:tcPr>
          <w:p w14:paraId="05E9BC36" w14:textId="77777777" w:rsidR="008C4D30" w:rsidRPr="004E16DF" w:rsidRDefault="008C4D30">
            <w:pPr>
              <w:jc w:val="right"/>
              <w:rPr>
                <w:sz w:val="16"/>
                <w:szCs w:val="16"/>
              </w:rPr>
            </w:pPr>
            <w:r w:rsidRPr="004E16DF">
              <w:rPr>
                <w:sz w:val="16"/>
                <w:szCs w:val="16"/>
              </w:rPr>
              <w:t> </w:t>
            </w:r>
          </w:p>
        </w:tc>
        <w:tc>
          <w:tcPr>
            <w:tcW w:w="561" w:type="pct"/>
            <w:shd w:val="clear" w:color="auto" w:fill="auto"/>
            <w:vAlign w:val="center"/>
            <w:hideMark/>
          </w:tcPr>
          <w:p w14:paraId="72E61990" w14:textId="77777777" w:rsidR="008C4D30" w:rsidRPr="004E16DF" w:rsidRDefault="008C4D30">
            <w:pPr>
              <w:jc w:val="right"/>
              <w:rPr>
                <w:sz w:val="16"/>
                <w:szCs w:val="16"/>
              </w:rPr>
            </w:pPr>
            <w:r w:rsidRPr="004E16DF">
              <w:rPr>
                <w:sz w:val="16"/>
                <w:szCs w:val="16"/>
              </w:rPr>
              <w:t>266 732</w:t>
            </w:r>
          </w:p>
        </w:tc>
        <w:tc>
          <w:tcPr>
            <w:tcW w:w="587" w:type="pct"/>
            <w:shd w:val="clear" w:color="auto" w:fill="auto"/>
            <w:vAlign w:val="center"/>
            <w:hideMark/>
          </w:tcPr>
          <w:p w14:paraId="006FA121" w14:textId="77777777" w:rsidR="008C4D30" w:rsidRPr="004E16DF" w:rsidRDefault="008C4D30">
            <w:pPr>
              <w:jc w:val="right"/>
              <w:rPr>
                <w:sz w:val="16"/>
                <w:szCs w:val="16"/>
              </w:rPr>
            </w:pPr>
            <w:r w:rsidRPr="004E16DF">
              <w:rPr>
                <w:sz w:val="16"/>
                <w:szCs w:val="16"/>
              </w:rPr>
              <w:t>706 381</w:t>
            </w:r>
          </w:p>
        </w:tc>
      </w:tr>
      <w:tr w:rsidR="004E16DF" w:rsidRPr="004E16DF" w14:paraId="4E46DFB5" w14:textId="77777777" w:rsidTr="00903CB5">
        <w:trPr>
          <w:trHeight w:val="266"/>
          <w:jc w:val="center"/>
        </w:trPr>
        <w:tc>
          <w:tcPr>
            <w:tcW w:w="3272" w:type="pct"/>
            <w:shd w:val="clear" w:color="auto" w:fill="auto"/>
            <w:vAlign w:val="center"/>
            <w:hideMark/>
          </w:tcPr>
          <w:p w14:paraId="797A09D2" w14:textId="5626D38C" w:rsidR="008C4D30" w:rsidRPr="004E16DF" w:rsidRDefault="008C4D30" w:rsidP="007062F5">
            <w:pPr>
              <w:ind w:firstLine="454"/>
              <w:rPr>
                <w:sz w:val="16"/>
                <w:szCs w:val="16"/>
              </w:rPr>
            </w:pPr>
            <w:r w:rsidRPr="004E16DF">
              <w:rPr>
                <w:sz w:val="16"/>
                <w:szCs w:val="16"/>
              </w:rPr>
              <w:t>Държавни инвестиционни заеми</w:t>
            </w:r>
          </w:p>
        </w:tc>
        <w:tc>
          <w:tcPr>
            <w:tcW w:w="579" w:type="pct"/>
            <w:shd w:val="clear" w:color="auto" w:fill="auto"/>
            <w:vAlign w:val="center"/>
            <w:hideMark/>
          </w:tcPr>
          <w:p w14:paraId="59D7B2B3" w14:textId="77777777" w:rsidR="008C4D30" w:rsidRPr="004E16DF" w:rsidRDefault="008C4D30">
            <w:pPr>
              <w:jc w:val="right"/>
              <w:rPr>
                <w:sz w:val="16"/>
                <w:szCs w:val="16"/>
              </w:rPr>
            </w:pPr>
            <w:r w:rsidRPr="004E16DF">
              <w:rPr>
                <w:sz w:val="16"/>
                <w:szCs w:val="16"/>
              </w:rPr>
              <w:t> </w:t>
            </w:r>
          </w:p>
        </w:tc>
        <w:tc>
          <w:tcPr>
            <w:tcW w:w="561" w:type="pct"/>
            <w:shd w:val="clear" w:color="auto" w:fill="auto"/>
            <w:vAlign w:val="center"/>
            <w:hideMark/>
          </w:tcPr>
          <w:p w14:paraId="42EF6F25" w14:textId="77777777" w:rsidR="008C4D30" w:rsidRPr="004E16DF" w:rsidRDefault="008C4D30">
            <w:pPr>
              <w:jc w:val="right"/>
              <w:rPr>
                <w:sz w:val="16"/>
                <w:szCs w:val="16"/>
              </w:rPr>
            </w:pPr>
            <w:r w:rsidRPr="004E16DF">
              <w:rPr>
                <w:sz w:val="16"/>
                <w:szCs w:val="16"/>
              </w:rPr>
              <w:t> </w:t>
            </w:r>
          </w:p>
        </w:tc>
        <w:tc>
          <w:tcPr>
            <w:tcW w:w="587" w:type="pct"/>
            <w:shd w:val="clear" w:color="auto" w:fill="auto"/>
            <w:vAlign w:val="center"/>
            <w:hideMark/>
          </w:tcPr>
          <w:p w14:paraId="7687AA6A" w14:textId="77777777" w:rsidR="008C4D30" w:rsidRPr="004E16DF" w:rsidRDefault="008C4D30">
            <w:pPr>
              <w:jc w:val="right"/>
              <w:rPr>
                <w:sz w:val="16"/>
                <w:szCs w:val="16"/>
              </w:rPr>
            </w:pPr>
            <w:r w:rsidRPr="004E16DF">
              <w:rPr>
                <w:sz w:val="16"/>
                <w:szCs w:val="16"/>
              </w:rPr>
              <w:t> </w:t>
            </w:r>
          </w:p>
        </w:tc>
      </w:tr>
      <w:tr w:rsidR="004E16DF" w:rsidRPr="004E16DF" w14:paraId="25DFF922" w14:textId="77777777" w:rsidTr="001D2E8B">
        <w:trPr>
          <w:trHeight w:val="270"/>
          <w:jc w:val="center"/>
        </w:trPr>
        <w:tc>
          <w:tcPr>
            <w:tcW w:w="3272" w:type="pct"/>
            <w:shd w:val="clear" w:color="auto" w:fill="auto"/>
            <w:vAlign w:val="center"/>
            <w:hideMark/>
          </w:tcPr>
          <w:p w14:paraId="1000FF5E" w14:textId="77777777" w:rsidR="008C4D30" w:rsidRPr="004E16DF" w:rsidRDefault="008C4D30" w:rsidP="007062F5">
            <w:pPr>
              <w:ind w:firstLineChars="106" w:firstLine="170"/>
              <w:rPr>
                <w:sz w:val="16"/>
                <w:szCs w:val="16"/>
              </w:rPr>
            </w:pPr>
            <w:r w:rsidRPr="004E16DF">
              <w:rPr>
                <w:sz w:val="16"/>
                <w:szCs w:val="16"/>
              </w:rPr>
              <w:t xml:space="preserve"> • Сметки за средства от ЕС (ССЕС на НФ и на ДФЗ)</w:t>
            </w:r>
          </w:p>
        </w:tc>
        <w:tc>
          <w:tcPr>
            <w:tcW w:w="579" w:type="pct"/>
            <w:shd w:val="clear" w:color="auto" w:fill="auto"/>
            <w:vAlign w:val="center"/>
            <w:hideMark/>
          </w:tcPr>
          <w:p w14:paraId="1151801C" w14:textId="77777777" w:rsidR="008C4D30" w:rsidRPr="004E16DF" w:rsidRDefault="008C4D30">
            <w:pPr>
              <w:jc w:val="right"/>
              <w:rPr>
                <w:sz w:val="16"/>
                <w:szCs w:val="16"/>
              </w:rPr>
            </w:pPr>
            <w:r w:rsidRPr="004E16DF">
              <w:rPr>
                <w:sz w:val="16"/>
                <w:szCs w:val="16"/>
              </w:rPr>
              <w:t> </w:t>
            </w:r>
          </w:p>
        </w:tc>
        <w:tc>
          <w:tcPr>
            <w:tcW w:w="561" w:type="pct"/>
            <w:shd w:val="clear" w:color="000000" w:fill="FFFFFF"/>
            <w:vAlign w:val="center"/>
            <w:hideMark/>
          </w:tcPr>
          <w:p w14:paraId="7EAC662B" w14:textId="77777777" w:rsidR="008C4D30" w:rsidRPr="004E16DF" w:rsidRDefault="008C4D30">
            <w:pPr>
              <w:jc w:val="right"/>
              <w:rPr>
                <w:sz w:val="16"/>
                <w:szCs w:val="16"/>
              </w:rPr>
            </w:pPr>
            <w:r w:rsidRPr="004E16DF">
              <w:rPr>
                <w:sz w:val="16"/>
                <w:szCs w:val="16"/>
              </w:rPr>
              <w:t> </w:t>
            </w:r>
          </w:p>
        </w:tc>
        <w:tc>
          <w:tcPr>
            <w:tcW w:w="587" w:type="pct"/>
            <w:shd w:val="clear" w:color="auto" w:fill="auto"/>
            <w:vAlign w:val="center"/>
            <w:hideMark/>
          </w:tcPr>
          <w:p w14:paraId="36D88212" w14:textId="77777777" w:rsidR="008C4D30" w:rsidRPr="004E16DF" w:rsidRDefault="008C4D30">
            <w:pPr>
              <w:jc w:val="right"/>
              <w:rPr>
                <w:sz w:val="16"/>
                <w:szCs w:val="16"/>
              </w:rPr>
            </w:pPr>
            <w:r w:rsidRPr="004E16DF">
              <w:rPr>
                <w:sz w:val="16"/>
                <w:szCs w:val="16"/>
              </w:rPr>
              <w:t>3 349 418</w:t>
            </w:r>
          </w:p>
        </w:tc>
      </w:tr>
      <w:tr w:rsidR="004E16DF" w:rsidRPr="004E16DF" w14:paraId="29A134E0" w14:textId="77777777" w:rsidTr="001D2E8B">
        <w:trPr>
          <w:trHeight w:val="287"/>
          <w:jc w:val="center"/>
        </w:trPr>
        <w:tc>
          <w:tcPr>
            <w:tcW w:w="3272" w:type="pct"/>
            <w:shd w:val="clear" w:color="auto" w:fill="auto"/>
            <w:vAlign w:val="center"/>
            <w:hideMark/>
          </w:tcPr>
          <w:p w14:paraId="1C6562B3" w14:textId="77777777" w:rsidR="008C4D30" w:rsidRPr="004E16DF" w:rsidRDefault="008C4D30" w:rsidP="007062F5">
            <w:pPr>
              <w:ind w:leftChars="-1" w:left="-2" w:firstLineChars="107" w:firstLine="171"/>
              <w:rPr>
                <w:sz w:val="16"/>
                <w:szCs w:val="16"/>
              </w:rPr>
            </w:pPr>
            <w:r w:rsidRPr="004E16DF">
              <w:rPr>
                <w:sz w:val="16"/>
                <w:szCs w:val="16"/>
              </w:rPr>
              <w:t xml:space="preserve"> • Други програми и инициативи, по които Република България е страна-партньор</w:t>
            </w:r>
          </w:p>
        </w:tc>
        <w:tc>
          <w:tcPr>
            <w:tcW w:w="579" w:type="pct"/>
            <w:shd w:val="clear" w:color="auto" w:fill="auto"/>
            <w:vAlign w:val="center"/>
            <w:hideMark/>
          </w:tcPr>
          <w:p w14:paraId="78881C3B" w14:textId="77777777" w:rsidR="008C4D30" w:rsidRPr="004E16DF" w:rsidRDefault="008C4D30">
            <w:pPr>
              <w:jc w:val="right"/>
              <w:rPr>
                <w:sz w:val="16"/>
                <w:szCs w:val="16"/>
              </w:rPr>
            </w:pPr>
            <w:r w:rsidRPr="004E16DF">
              <w:rPr>
                <w:sz w:val="16"/>
                <w:szCs w:val="16"/>
              </w:rPr>
              <w:t> </w:t>
            </w:r>
          </w:p>
        </w:tc>
        <w:tc>
          <w:tcPr>
            <w:tcW w:w="561" w:type="pct"/>
            <w:shd w:val="clear" w:color="000000" w:fill="FFFFFF"/>
            <w:vAlign w:val="center"/>
            <w:hideMark/>
          </w:tcPr>
          <w:p w14:paraId="18AFEDE9" w14:textId="77777777" w:rsidR="008C4D30" w:rsidRPr="004E16DF" w:rsidRDefault="008C4D30">
            <w:pPr>
              <w:jc w:val="right"/>
              <w:rPr>
                <w:sz w:val="16"/>
                <w:szCs w:val="16"/>
              </w:rPr>
            </w:pPr>
            <w:r w:rsidRPr="004E16DF">
              <w:rPr>
                <w:sz w:val="16"/>
                <w:szCs w:val="16"/>
              </w:rPr>
              <w:t> </w:t>
            </w:r>
          </w:p>
        </w:tc>
        <w:tc>
          <w:tcPr>
            <w:tcW w:w="587" w:type="pct"/>
            <w:shd w:val="clear" w:color="auto" w:fill="auto"/>
            <w:vAlign w:val="center"/>
            <w:hideMark/>
          </w:tcPr>
          <w:p w14:paraId="3046BB78" w14:textId="77777777" w:rsidR="008C4D30" w:rsidRPr="004E16DF" w:rsidRDefault="008C4D30">
            <w:pPr>
              <w:jc w:val="right"/>
              <w:rPr>
                <w:sz w:val="16"/>
                <w:szCs w:val="16"/>
              </w:rPr>
            </w:pPr>
            <w:r w:rsidRPr="004E16DF">
              <w:rPr>
                <w:sz w:val="16"/>
                <w:szCs w:val="16"/>
              </w:rPr>
              <w:t>5 459 752</w:t>
            </w:r>
          </w:p>
        </w:tc>
      </w:tr>
      <w:tr w:rsidR="004E16DF" w:rsidRPr="004E16DF" w14:paraId="64D92731" w14:textId="77777777" w:rsidTr="004E16DF">
        <w:trPr>
          <w:trHeight w:val="270"/>
          <w:jc w:val="center"/>
        </w:trPr>
        <w:tc>
          <w:tcPr>
            <w:tcW w:w="3272" w:type="pct"/>
            <w:shd w:val="clear" w:color="auto" w:fill="auto"/>
            <w:vAlign w:val="center"/>
            <w:hideMark/>
          </w:tcPr>
          <w:p w14:paraId="287632F8" w14:textId="77777777" w:rsidR="008C4D30" w:rsidRPr="004E16DF" w:rsidRDefault="008C4D30" w:rsidP="007062F5">
            <w:pPr>
              <w:ind w:firstLineChars="106" w:firstLine="170"/>
              <w:rPr>
                <w:sz w:val="16"/>
                <w:szCs w:val="16"/>
              </w:rPr>
            </w:pPr>
            <w:r w:rsidRPr="004E16DF">
              <w:rPr>
                <w:sz w:val="16"/>
                <w:szCs w:val="16"/>
              </w:rPr>
              <w:t xml:space="preserve"> • Други програми и други донори по бюджета на ПРБ</w:t>
            </w:r>
          </w:p>
        </w:tc>
        <w:tc>
          <w:tcPr>
            <w:tcW w:w="579" w:type="pct"/>
            <w:shd w:val="clear" w:color="auto" w:fill="auto"/>
            <w:vAlign w:val="center"/>
            <w:hideMark/>
          </w:tcPr>
          <w:p w14:paraId="598E1368" w14:textId="77777777" w:rsidR="008C4D30" w:rsidRPr="004E16DF" w:rsidRDefault="008C4D30">
            <w:pPr>
              <w:jc w:val="right"/>
              <w:rPr>
                <w:sz w:val="16"/>
                <w:szCs w:val="16"/>
              </w:rPr>
            </w:pPr>
            <w:r w:rsidRPr="004E16DF">
              <w:rPr>
                <w:sz w:val="16"/>
                <w:szCs w:val="16"/>
              </w:rPr>
              <w:t> </w:t>
            </w:r>
          </w:p>
        </w:tc>
        <w:tc>
          <w:tcPr>
            <w:tcW w:w="561" w:type="pct"/>
            <w:shd w:val="clear" w:color="000000" w:fill="FFFFFF"/>
            <w:vAlign w:val="center"/>
            <w:hideMark/>
          </w:tcPr>
          <w:p w14:paraId="3A8B6947" w14:textId="77777777" w:rsidR="008C4D30" w:rsidRPr="004E16DF" w:rsidRDefault="008C4D30">
            <w:pPr>
              <w:jc w:val="right"/>
              <w:rPr>
                <w:sz w:val="16"/>
                <w:szCs w:val="16"/>
              </w:rPr>
            </w:pPr>
            <w:r w:rsidRPr="004E16DF">
              <w:rPr>
                <w:sz w:val="16"/>
                <w:szCs w:val="16"/>
              </w:rPr>
              <w:t>121 500</w:t>
            </w:r>
          </w:p>
        </w:tc>
        <w:tc>
          <w:tcPr>
            <w:tcW w:w="587" w:type="pct"/>
            <w:shd w:val="clear" w:color="auto" w:fill="auto"/>
            <w:vAlign w:val="center"/>
            <w:hideMark/>
          </w:tcPr>
          <w:p w14:paraId="1152A33C" w14:textId="77777777" w:rsidR="008C4D30" w:rsidRPr="004E16DF" w:rsidRDefault="008C4D30">
            <w:pPr>
              <w:jc w:val="right"/>
              <w:rPr>
                <w:sz w:val="16"/>
                <w:szCs w:val="16"/>
              </w:rPr>
            </w:pPr>
            <w:r w:rsidRPr="004E16DF">
              <w:rPr>
                <w:sz w:val="16"/>
                <w:szCs w:val="16"/>
              </w:rPr>
              <w:t>252 142</w:t>
            </w:r>
          </w:p>
        </w:tc>
      </w:tr>
      <w:tr w:rsidR="004E16DF" w:rsidRPr="004E16DF" w14:paraId="7AC13AF7" w14:textId="77777777" w:rsidTr="001D2E8B">
        <w:trPr>
          <w:trHeight w:val="267"/>
          <w:jc w:val="center"/>
        </w:trPr>
        <w:tc>
          <w:tcPr>
            <w:tcW w:w="3272" w:type="pct"/>
            <w:shd w:val="clear" w:color="auto" w:fill="auto"/>
            <w:vAlign w:val="center"/>
            <w:hideMark/>
          </w:tcPr>
          <w:p w14:paraId="79C17A62" w14:textId="77777777" w:rsidR="008C4D30" w:rsidRPr="004E16DF" w:rsidRDefault="008C4D30" w:rsidP="00903CB5">
            <w:pPr>
              <w:ind w:firstLineChars="106" w:firstLine="170"/>
              <w:rPr>
                <w:sz w:val="16"/>
                <w:szCs w:val="16"/>
              </w:rPr>
            </w:pPr>
            <w:r w:rsidRPr="004E16DF">
              <w:rPr>
                <w:sz w:val="16"/>
                <w:szCs w:val="16"/>
              </w:rPr>
              <w:t xml:space="preserve"> • Други бюджетни организации, включени в консолидираната фискална програма</w:t>
            </w:r>
          </w:p>
        </w:tc>
        <w:tc>
          <w:tcPr>
            <w:tcW w:w="579" w:type="pct"/>
            <w:shd w:val="clear" w:color="auto" w:fill="auto"/>
            <w:vAlign w:val="center"/>
            <w:hideMark/>
          </w:tcPr>
          <w:p w14:paraId="0E80FDE9" w14:textId="77777777" w:rsidR="008C4D30" w:rsidRPr="004E16DF" w:rsidRDefault="008C4D30">
            <w:pPr>
              <w:jc w:val="right"/>
              <w:rPr>
                <w:sz w:val="16"/>
                <w:szCs w:val="16"/>
              </w:rPr>
            </w:pPr>
            <w:r w:rsidRPr="004E16DF">
              <w:rPr>
                <w:sz w:val="16"/>
                <w:szCs w:val="16"/>
              </w:rPr>
              <w:t> </w:t>
            </w:r>
          </w:p>
        </w:tc>
        <w:tc>
          <w:tcPr>
            <w:tcW w:w="561" w:type="pct"/>
            <w:shd w:val="clear" w:color="auto" w:fill="auto"/>
            <w:vAlign w:val="center"/>
            <w:hideMark/>
          </w:tcPr>
          <w:p w14:paraId="05999450" w14:textId="77777777" w:rsidR="008C4D30" w:rsidRPr="004E16DF" w:rsidRDefault="008C4D30">
            <w:pPr>
              <w:jc w:val="right"/>
              <w:rPr>
                <w:sz w:val="16"/>
                <w:szCs w:val="16"/>
              </w:rPr>
            </w:pPr>
            <w:r w:rsidRPr="004E16DF">
              <w:rPr>
                <w:sz w:val="16"/>
                <w:szCs w:val="16"/>
              </w:rPr>
              <w:t> </w:t>
            </w:r>
          </w:p>
        </w:tc>
        <w:tc>
          <w:tcPr>
            <w:tcW w:w="587" w:type="pct"/>
            <w:shd w:val="clear" w:color="000000" w:fill="FFFFFF"/>
            <w:vAlign w:val="center"/>
            <w:hideMark/>
          </w:tcPr>
          <w:p w14:paraId="6FDB6B2B" w14:textId="77777777" w:rsidR="008C4D30" w:rsidRPr="004E16DF" w:rsidRDefault="008C4D30">
            <w:pPr>
              <w:jc w:val="right"/>
              <w:rPr>
                <w:sz w:val="16"/>
                <w:szCs w:val="16"/>
              </w:rPr>
            </w:pPr>
            <w:r w:rsidRPr="004E16DF">
              <w:rPr>
                <w:sz w:val="16"/>
                <w:szCs w:val="16"/>
              </w:rPr>
              <w:t> </w:t>
            </w:r>
          </w:p>
        </w:tc>
      </w:tr>
      <w:tr w:rsidR="004E16DF" w:rsidRPr="004E16DF" w14:paraId="4118EA83" w14:textId="77777777" w:rsidTr="004E16DF">
        <w:trPr>
          <w:trHeight w:val="393"/>
          <w:jc w:val="center"/>
        </w:trPr>
        <w:tc>
          <w:tcPr>
            <w:tcW w:w="3272" w:type="pct"/>
            <w:shd w:val="clear" w:color="auto" w:fill="auto"/>
            <w:vAlign w:val="center"/>
            <w:hideMark/>
          </w:tcPr>
          <w:p w14:paraId="620008D2" w14:textId="4FB58177" w:rsidR="008C4D30" w:rsidRPr="004E16DF" w:rsidRDefault="008C4D30" w:rsidP="00903CB5">
            <w:pPr>
              <w:ind w:left="313" w:hanging="142"/>
              <w:jc w:val="both"/>
              <w:rPr>
                <w:sz w:val="16"/>
                <w:szCs w:val="16"/>
              </w:rPr>
            </w:pPr>
            <w:r w:rsidRPr="004E16DF">
              <w:rPr>
                <w:sz w:val="16"/>
                <w:szCs w:val="16"/>
              </w:rPr>
              <w:t xml:space="preserve"> •Други, в т.ч. предоставени трансфери за други бюджети за сметка на планирани разходи по бюджета на ПРБ</w:t>
            </w:r>
          </w:p>
        </w:tc>
        <w:tc>
          <w:tcPr>
            <w:tcW w:w="579" w:type="pct"/>
            <w:shd w:val="clear" w:color="auto" w:fill="auto"/>
            <w:vAlign w:val="center"/>
            <w:hideMark/>
          </w:tcPr>
          <w:p w14:paraId="365F3A21" w14:textId="77777777" w:rsidR="008C4D30" w:rsidRPr="004E16DF" w:rsidRDefault="008C4D30">
            <w:pPr>
              <w:jc w:val="right"/>
              <w:rPr>
                <w:sz w:val="16"/>
                <w:szCs w:val="16"/>
              </w:rPr>
            </w:pPr>
            <w:r w:rsidRPr="004E16DF">
              <w:rPr>
                <w:sz w:val="16"/>
                <w:szCs w:val="16"/>
              </w:rPr>
              <w:t> </w:t>
            </w:r>
          </w:p>
        </w:tc>
        <w:tc>
          <w:tcPr>
            <w:tcW w:w="561" w:type="pct"/>
            <w:shd w:val="clear" w:color="auto" w:fill="auto"/>
            <w:vAlign w:val="center"/>
            <w:hideMark/>
          </w:tcPr>
          <w:p w14:paraId="7E45D5A8" w14:textId="77777777" w:rsidR="008C4D30" w:rsidRPr="004E16DF" w:rsidRDefault="008C4D30">
            <w:pPr>
              <w:jc w:val="right"/>
              <w:rPr>
                <w:sz w:val="16"/>
                <w:szCs w:val="16"/>
              </w:rPr>
            </w:pPr>
            <w:r w:rsidRPr="004E16DF">
              <w:rPr>
                <w:sz w:val="16"/>
                <w:szCs w:val="16"/>
              </w:rPr>
              <w:t> </w:t>
            </w:r>
          </w:p>
        </w:tc>
        <w:tc>
          <w:tcPr>
            <w:tcW w:w="587" w:type="pct"/>
            <w:shd w:val="clear" w:color="000000" w:fill="FFFFFF"/>
            <w:vAlign w:val="center"/>
            <w:hideMark/>
          </w:tcPr>
          <w:p w14:paraId="58228DC8" w14:textId="77777777" w:rsidR="008C4D30" w:rsidRPr="004E16DF" w:rsidRDefault="008C4D30">
            <w:pPr>
              <w:jc w:val="right"/>
              <w:rPr>
                <w:sz w:val="16"/>
                <w:szCs w:val="16"/>
              </w:rPr>
            </w:pPr>
            <w:r w:rsidRPr="004E16DF">
              <w:rPr>
                <w:sz w:val="16"/>
                <w:szCs w:val="16"/>
              </w:rPr>
              <w:t>15 520 720</w:t>
            </w:r>
          </w:p>
        </w:tc>
      </w:tr>
    </w:tbl>
    <w:p w14:paraId="424F1177" w14:textId="23433F88" w:rsidR="00B4365B" w:rsidRPr="000C18AE" w:rsidRDefault="00BB427D" w:rsidP="00BA3246">
      <w:pPr>
        <w:shd w:val="clear" w:color="auto" w:fill="FFFFFF" w:themeFill="background1"/>
        <w:spacing w:before="240"/>
        <w:jc w:val="right"/>
        <w:rPr>
          <w:bCs/>
          <w:i/>
          <w:iCs/>
          <w:sz w:val="20"/>
          <w:szCs w:val="20"/>
        </w:rPr>
      </w:pPr>
      <w:r w:rsidRPr="000C18AE">
        <w:rPr>
          <w:b/>
          <w:bCs/>
          <w:i/>
          <w:iCs/>
          <w:sz w:val="20"/>
          <w:szCs w:val="20"/>
        </w:rPr>
        <w:t>Приложение № 4</w:t>
      </w:r>
      <w:r w:rsidRPr="000C18AE">
        <w:rPr>
          <w:bCs/>
          <w:i/>
          <w:iCs/>
          <w:sz w:val="20"/>
          <w:szCs w:val="20"/>
        </w:rPr>
        <w:t xml:space="preserve"> </w:t>
      </w:r>
    </w:p>
    <w:p w14:paraId="6940BB39" w14:textId="31025A4D" w:rsidR="00BB427D" w:rsidRPr="000C18AE" w:rsidRDefault="00BB427D" w:rsidP="00BA3246">
      <w:pPr>
        <w:shd w:val="clear" w:color="auto" w:fill="FFFFFF" w:themeFill="background1"/>
        <w:spacing w:after="120"/>
        <w:jc w:val="center"/>
        <w:rPr>
          <w:i/>
          <w:iCs/>
          <w:sz w:val="20"/>
          <w:szCs w:val="20"/>
          <w:highlight w:val="yellow"/>
        </w:rPr>
      </w:pPr>
      <w:r w:rsidRPr="000C18AE">
        <w:rPr>
          <w:bCs/>
          <w:i/>
          <w:iCs/>
          <w:sz w:val="20"/>
          <w:szCs w:val="20"/>
        </w:rPr>
        <w:t>Преглед на настъпилите през отчетния период промени на показателите по бюджета</w:t>
      </w:r>
    </w:p>
    <w:tbl>
      <w:tblPr>
        <w:tblW w:w="5154" w:type="pct"/>
        <w:jc w:val="center"/>
        <w:tblLayout w:type="fixed"/>
        <w:tblLook w:val="04A0" w:firstRow="1" w:lastRow="0" w:firstColumn="1" w:lastColumn="0" w:noHBand="0" w:noVBand="1"/>
      </w:tblPr>
      <w:tblGrid>
        <w:gridCol w:w="462"/>
        <w:gridCol w:w="1382"/>
        <w:gridCol w:w="1701"/>
        <w:gridCol w:w="2270"/>
        <w:gridCol w:w="1557"/>
        <w:gridCol w:w="1270"/>
        <w:gridCol w:w="992"/>
      </w:tblGrid>
      <w:tr w:rsidR="00BA3246" w:rsidRPr="00186C76" w14:paraId="75DC333C" w14:textId="77777777" w:rsidTr="00095A18">
        <w:trPr>
          <w:trHeight w:val="840"/>
          <w:jc w:val="center"/>
        </w:trPr>
        <w:tc>
          <w:tcPr>
            <w:tcW w:w="240" w:type="pct"/>
            <w:tcBorders>
              <w:top w:val="single" w:sz="4" w:space="0" w:color="auto"/>
              <w:left w:val="single" w:sz="4" w:space="0" w:color="auto"/>
              <w:bottom w:val="nil"/>
              <w:right w:val="single" w:sz="4" w:space="0" w:color="auto"/>
            </w:tcBorders>
            <w:shd w:val="clear" w:color="auto" w:fill="E8E8E8" w:themeFill="background2"/>
            <w:vAlign w:val="center"/>
            <w:hideMark/>
          </w:tcPr>
          <w:p w14:paraId="37EDE28B" w14:textId="2410F4EE" w:rsidR="007B5DB7" w:rsidRPr="00BF75D7" w:rsidRDefault="00BF75D7" w:rsidP="000A1677">
            <w:pPr>
              <w:jc w:val="center"/>
              <w:rPr>
                <w:b/>
                <w:bCs/>
                <w:sz w:val="16"/>
                <w:szCs w:val="16"/>
              </w:rPr>
            </w:pPr>
            <w:bookmarkStart w:id="6" w:name="_Hlk204860495"/>
            <w:r>
              <w:rPr>
                <w:b/>
                <w:bCs/>
                <w:sz w:val="16"/>
                <w:szCs w:val="16"/>
              </w:rPr>
              <w:t>№ по ред</w:t>
            </w:r>
          </w:p>
        </w:tc>
        <w:tc>
          <w:tcPr>
            <w:tcW w:w="717" w:type="pct"/>
            <w:tcBorders>
              <w:top w:val="single" w:sz="4" w:space="0" w:color="auto"/>
              <w:left w:val="nil"/>
              <w:bottom w:val="nil"/>
              <w:right w:val="single" w:sz="4" w:space="0" w:color="auto"/>
            </w:tcBorders>
            <w:shd w:val="clear" w:color="auto" w:fill="E8E8E8" w:themeFill="background2"/>
            <w:vAlign w:val="center"/>
            <w:hideMark/>
          </w:tcPr>
          <w:p w14:paraId="3C18C5B7" w14:textId="77777777" w:rsidR="007B5DB7" w:rsidRPr="00186C76" w:rsidRDefault="007B5DB7" w:rsidP="000A1677">
            <w:pPr>
              <w:jc w:val="center"/>
              <w:rPr>
                <w:b/>
                <w:bCs/>
                <w:sz w:val="16"/>
                <w:szCs w:val="16"/>
              </w:rPr>
            </w:pPr>
            <w:r w:rsidRPr="00186C76">
              <w:rPr>
                <w:b/>
                <w:bCs/>
                <w:sz w:val="16"/>
                <w:szCs w:val="16"/>
              </w:rPr>
              <w:t>Наименование на акта</w:t>
            </w:r>
          </w:p>
        </w:tc>
        <w:tc>
          <w:tcPr>
            <w:tcW w:w="883" w:type="pct"/>
            <w:tcBorders>
              <w:top w:val="single" w:sz="4" w:space="0" w:color="auto"/>
              <w:left w:val="nil"/>
              <w:bottom w:val="nil"/>
              <w:right w:val="single" w:sz="4" w:space="0" w:color="auto"/>
            </w:tcBorders>
            <w:shd w:val="clear" w:color="auto" w:fill="E8E8E8" w:themeFill="background2"/>
            <w:vAlign w:val="center"/>
            <w:hideMark/>
          </w:tcPr>
          <w:p w14:paraId="1D65C171" w14:textId="77777777" w:rsidR="007B5DB7" w:rsidRPr="00186C76" w:rsidRDefault="007B5DB7" w:rsidP="000A1677">
            <w:pPr>
              <w:jc w:val="center"/>
              <w:rPr>
                <w:b/>
                <w:bCs/>
                <w:sz w:val="16"/>
                <w:szCs w:val="16"/>
              </w:rPr>
            </w:pPr>
            <w:r w:rsidRPr="00186C76">
              <w:rPr>
                <w:b/>
                <w:bCs/>
                <w:sz w:val="16"/>
                <w:szCs w:val="16"/>
              </w:rPr>
              <w:t>Нормативно основание</w:t>
            </w:r>
          </w:p>
        </w:tc>
        <w:tc>
          <w:tcPr>
            <w:tcW w:w="1178" w:type="pct"/>
            <w:tcBorders>
              <w:top w:val="single" w:sz="4" w:space="0" w:color="auto"/>
              <w:left w:val="nil"/>
              <w:bottom w:val="nil"/>
              <w:right w:val="single" w:sz="4" w:space="0" w:color="auto"/>
            </w:tcBorders>
            <w:shd w:val="clear" w:color="auto" w:fill="E8E8E8" w:themeFill="background2"/>
            <w:vAlign w:val="center"/>
            <w:hideMark/>
          </w:tcPr>
          <w:p w14:paraId="63BADC39" w14:textId="77777777" w:rsidR="007B5DB7" w:rsidRPr="00186C76" w:rsidRDefault="007B5DB7" w:rsidP="000A1677">
            <w:pPr>
              <w:jc w:val="center"/>
              <w:rPr>
                <w:b/>
                <w:bCs/>
                <w:sz w:val="16"/>
                <w:szCs w:val="16"/>
              </w:rPr>
            </w:pPr>
            <w:r w:rsidRPr="00186C76">
              <w:rPr>
                <w:b/>
                <w:bCs/>
                <w:sz w:val="16"/>
                <w:szCs w:val="16"/>
              </w:rPr>
              <w:t>Мотиви</w:t>
            </w:r>
          </w:p>
        </w:tc>
        <w:tc>
          <w:tcPr>
            <w:tcW w:w="808" w:type="pct"/>
            <w:tcBorders>
              <w:top w:val="single" w:sz="4" w:space="0" w:color="auto"/>
              <w:left w:val="nil"/>
              <w:bottom w:val="nil"/>
              <w:right w:val="single" w:sz="4" w:space="0" w:color="auto"/>
            </w:tcBorders>
            <w:shd w:val="clear" w:color="auto" w:fill="E8E8E8" w:themeFill="background2"/>
            <w:vAlign w:val="center"/>
            <w:hideMark/>
          </w:tcPr>
          <w:p w14:paraId="129F5E30" w14:textId="77777777" w:rsidR="007B5DB7" w:rsidRPr="00186C76" w:rsidRDefault="007B5DB7" w:rsidP="000A1677">
            <w:pPr>
              <w:jc w:val="center"/>
              <w:rPr>
                <w:b/>
                <w:bCs/>
                <w:sz w:val="16"/>
                <w:szCs w:val="16"/>
              </w:rPr>
            </w:pPr>
            <w:r w:rsidRPr="00186C76">
              <w:rPr>
                <w:b/>
                <w:bCs/>
                <w:sz w:val="16"/>
                <w:szCs w:val="16"/>
              </w:rPr>
              <w:t>Наименование на бюджетните програми</w:t>
            </w:r>
          </w:p>
        </w:tc>
        <w:tc>
          <w:tcPr>
            <w:tcW w:w="659" w:type="pct"/>
            <w:tcBorders>
              <w:top w:val="single" w:sz="4" w:space="0" w:color="auto"/>
              <w:left w:val="nil"/>
              <w:bottom w:val="nil"/>
              <w:right w:val="single" w:sz="4" w:space="0" w:color="auto"/>
            </w:tcBorders>
            <w:shd w:val="clear" w:color="auto" w:fill="E8E8E8" w:themeFill="background2"/>
            <w:vAlign w:val="center"/>
            <w:hideMark/>
          </w:tcPr>
          <w:p w14:paraId="06ED04FF" w14:textId="2C7B8B8E" w:rsidR="007B5DB7" w:rsidRPr="00186C76" w:rsidRDefault="007B5DB7" w:rsidP="000A1677">
            <w:pPr>
              <w:jc w:val="center"/>
              <w:rPr>
                <w:b/>
                <w:bCs/>
                <w:sz w:val="16"/>
                <w:szCs w:val="16"/>
              </w:rPr>
            </w:pPr>
            <w:r w:rsidRPr="00186C76">
              <w:rPr>
                <w:b/>
                <w:bCs/>
                <w:sz w:val="16"/>
                <w:szCs w:val="16"/>
              </w:rPr>
              <w:t>Ефект върху бюджета (увеличение/</w:t>
            </w:r>
            <w:r w:rsidR="005A23A1">
              <w:rPr>
                <w:b/>
                <w:bCs/>
                <w:sz w:val="16"/>
                <w:szCs w:val="16"/>
              </w:rPr>
              <w:t xml:space="preserve"> </w:t>
            </w:r>
            <w:r w:rsidRPr="00186C76">
              <w:rPr>
                <w:b/>
                <w:bCs/>
                <w:sz w:val="16"/>
                <w:szCs w:val="16"/>
              </w:rPr>
              <w:t>намаление на разходите по програми)</w:t>
            </w:r>
          </w:p>
        </w:tc>
        <w:tc>
          <w:tcPr>
            <w:tcW w:w="515" w:type="pct"/>
            <w:tcBorders>
              <w:top w:val="single" w:sz="4" w:space="0" w:color="auto"/>
              <w:left w:val="nil"/>
              <w:bottom w:val="nil"/>
              <w:right w:val="single" w:sz="4" w:space="0" w:color="auto"/>
            </w:tcBorders>
            <w:shd w:val="clear" w:color="auto" w:fill="E8E8E8" w:themeFill="background2"/>
            <w:vAlign w:val="center"/>
            <w:hideMark/>
          </w:tcPr>
          <w:p w14:paraId="4DE56EE5" w14:textId="348C417F" w:rsidR="007B5DB7" w:rsidRPr="00186C76" w:rsidRDefault="007B5DB7" w:rsidP="000A1677">
            <w:pPr>
              <w:jc w:val="center"/>
              <w:rPr>
                <w:b/>
                <w:bCs/>
                <w:sz w:val="16"/>
                <w:szCs w:val="16"/>
              </w:rPr>
            </w:pPr>
            <w:r w:rsidRPr="00186C76">
              <w:rPr>
                <w:b/>
                <w:bCs/>
                <w:sz w:val="16"/>
                <w:szCs w:val="16"/>
              </w:rPr>
              <w:t xml:space="preserve">Влияние върху </w:t>
            </w:r>
            <w:proofErr w:type="spellStart"/>
            <w:r w:rsidRPr="00186C76">
              <w:rPr>
                <w:b/>
                <w:bCs/>
                <w:sz w:val="16"/>
                <w:szCs w:val="16"/>
              </w:rPr>
              <w:t>показате</w:t>
            </w:r>
            <w:proofErr w:type="spellEnd"/>
            <w:r w:rsidR="00DF1657">
              <w:rPr>
                <w:b/>
                <w:bCs/>
                <w:sz w:val="16"/>
                <w:szCs w:val="16"/>
              </w:rPr>
              <w:t>-</w:t>
            </w:r>
            <w:r w:rsidR="00BA3246">
              <w:rPr>
                <w:b/>
                <w:bCs/>
                <w:sz w:val="16"/>
                <w:szCs w:val="16"/>
              </w:rPr>
              <w:br/>
            </w:r>
            <w:proofErr w:type="spellStart"/>
            <w:r w:rsidRPr="00186C76">
              <w:rPr>
                <w:b/>
                <w:bCs/>
                <w:sz w:val="16"/>
                <w:szCs w:val="16"/>
              </w:rPr>
              <w:t>лите</w:t>
            </w:r>
            <w:proofErr w:type="spellEnd"/>
            <w:r w:rsidRPr="00186C76">
              <w:rPr>
                <w:b/>
                <w:bCs/>
                <w:sz w:val="16"/>
                <w:szCs w:val="16"/>
              </w:rPr>
              <w:t xml:space="preserve"> за </w:t>
            </w:r>
            <w:proofErr w:type="spellStart"/>
            <w:r w:rsidRPr="00186C76">
              <w:rPr>
                <w:b/>
                <w:bCs/>
                <w:sz w:val="16"/>
                <w:szCs w:val="16"/>
              </w:rPr>
              <w:t>изпълне</w:t>
            </w:r>
            <w:proofErr w:type="spellEnd"/>
            <w:r w:rsidR="00BF75D7" w:rsidRPr="000A1677">
              <w:rPr>
                <w:b/>
                <w:bCs/>
                <w:sz w:val="16"/>
                <w:szCs w:val="16"/>
              </w:rPr>
              <w:t>-</w:t>
            </w:r>
            <w:r w:rsidR="00BF75D7">
              <w:rPr>
                <w:b/>
                <w:bCs/>
                <w:sz w:val="16"/>
                <w:szCs w:val="16"/>
              </w:rPr>
              <w:br/>
            </w:r>
            <w:r w:rsidRPr="00186C76">
              <w:rPr>
                <w:b/>
                <w:bCs/>
                <w:sz w:val="16"/>
                <w:szCs w:val="16"/>
              </w:rPr>
              <w:t>ние</w:t>
            </w:r>
          </w:p>
        </w:tc>
      </w:tr>
      <w:tr w:rsidR="00BA3246" w:rsidRPr="00186C76" w14:paraId="58652B7B" w14:textId="77777777" w:rsidTr="00095A18">
        <w:trPr>
          <w:trHeight w:val="840"/>
          <w:jc w:val="center"/>
        </w:trPr>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A68228" w14:textId="77777777" w:rsidR="007B5DB7" w:rsidRPr="00186C76" w:rsidRDefault="007B5DB7" w:rsidP="00186C76">
            <w:pPr>
              <w:shd w:val="clear" w:color="auto" w:fill="FFFFFF" w:themeFill="background1"/>
              <w:jc w:val="center"/>
              <w:rPr>
                <w:sz w:val="16"/>
                <w:szCs w:val="16"/>
              </w:rPr>
            </w:pPr>
            <w:r w:rsidRPr="00186C76">
              <w:rPr>
                <w:sz w:val="16"/>
                <w:szCs w:val="16"/>
              </w:rPr>
              <w:t>1</w:t>
            </w:r>
          </w:p>
        </w:tc>
        <w:tc>
          <w:tcPr>
            <w:tcW w:w="717" w:type="pct"/>
            <w:tcBorders>
              <w:top w:val="single" w:sz="4" w:space="0" w:color="auto"/>
              <w:left w:val="nil"/>
              <w:bottom w:val="single" w:sz="4" w:space="0" w:color="auto"/>
              <w:right w:val="single" w:sz="4" w:space="0" w:color="auto"/>
            </w:tcBorders>
            <w:shd w:val="clear" w:color="auto" w:fill="FFFFFF" w:themeFill="background1"/>
            <w:hideMark/>
          </w:tcPr>
          <w:p w14:paraId="5DDBE7A9" w14:textId="69511967" w:rsidR="007B5DB7" w:rsidRPr="00186C76" w:rsidRDefault="007B5DB7" w:rsidP="00186C76">
            <w:pPr>
              <w:shd w:val="clear" w:color="auto" w:fill="FFFFFF" w:themeFill="background1"/>
              <w:ind w:left="-37"/>
              <w:rPr>
                <w:sz w:val="16"/>
                <w:szCs w:val="16"/>
              </w:rPr>
            </w:pPr>
            <w:r w:rsidRPr="00186C76">
              <w:rPr>
                <w:sz w:val="16"/>
                <w:szCs w:val="16"/>
              </w:rPr>
              <w:t xml:space="preserve">Писмо на министъра на финансите </w:t>
            </w:r>
            <w:r w:rsidR="00BF75D7">
              <w:rPr>
                <w:sz w:val="16"/>
                <w:szCs w:val="16"/>
              </w:rPr>
              <w:br/>
            </w:r>
            <w:r w:rsidRPr="00186C76">
              <w:rPr>
                <w:sz w:val="16"/>
                <w:szCs w:val="16"/>
              </w:rPr>
              <w:t>№ 03-00-376/</w:t>
            </w:r>
            <w:r w:rsidR="00BF75D7">
              <w:rPr>
                <w:sz w:val="16"/>
                <w:szCs w:val="16"/>
                <w:lang w:val="en-US"/>
              </w:rPr>
              <w:t xml:space="preserve"> </w:t>
            </w:r>
            <w:r w:rsidRPr="00186C76">
              <w:rPr>
                <w:sz w:val="16"/>
                <w:szCs w:val="16"/>
              </w:rPr>
              <w:t>22.05.2025 г.</w:t>
            </w:r>
          </w:p>
        </w:tc>
        <w:tc>
          <w:tcPr>
            <w:tcW w:w="883" w:type="pct"/>
            <w:tcBorders>
              <w:top w:val="single" w:sz="4" w:space="0" w:color="auto"/>
              <w:left w:val="nil"/>
              <w:bottom w:val="single" w:sz="4" w:space="0" w:color="auto"/>
              <w:right w:val="single" w:sz="4" w:space="0" w:color="auto"/>
            </w:tcBorders>
            <w:shd w:val="clear" w:color="auto" w:fill="FFFFFF" w:themeFill="background1"/>
            <w:hideMark/>
          </w:tcPr>
          <w:p w14:paraId="585321E6" w14:textId="77777777" w:rsidR="007B5DB7" w:rsidRPr="00186C76" w:rsidRDefault="007B5DB7" w:rsidP="00186C76">
            <w:pPr>
              <w:shd w:val="clear" w:color="auto" w:fill="FFFFFF" w:themeFill="background1"/>
              <w:rPr>
                <w:sz w:val="16"/>
                <w:szCs w:val="16"/>
              </w:rPr>
            </w:pPr>
            <w:r w:rsidRPr="00186C76">
              <w:rPr>
                <w:sz w:val="16"/>
                <w:szCs w:val="16"/>
              </w:rPr>
              <w:t>чл. 110, ал. 4 и ал. 10 от ЗПФ, чл. 6, ал. 3 от ПМС № 28 от 16.04.2025 г. за изпълнението на държавния бюджет на РБ за 2025 г.</w:t>
            </w:r>
          </w:p>
        </w:tc>
        <w:tc>
          <w:tcPr>
            <w:tcW w:w="1178" w:type="pct"/>
            <w:tcBorders>
              <w:top w:val="single" w:sz="4" w:space="0" w:color="auto"/>
              <w:left w:val="nil"/>
              <w:bottom w:val="single" w:sz="4" w:space="0" w:color="auto"/>
              <w:right w:val="single" w:sz="4" w:space="0" w:color="auto"/>
            </w:tcBorders>
            <w:shd w:val="clear" w:color="auto" w:fill="FFFFFF" w:themeFill="background1"/>
            <w:hideMark/>
          </w:tcPr>
          <w:p w14:paraId="084856CA" w14:textId="5A56A956" w:rsidR="007B5DB7" w:rsidRPr="00186C76" w:rsidRDefault="007B5DB7" w:rsidP="00186C76">
            <w:pPr>
              <w:shd w:val="clear" w:color="auto" w:fill="FFFFFF" w:themeFill="background1"/>
              <w:rPr>
                <w:sz w:val="16"/>
                <w:szCs w:val="16"/>
              </w:rPr>
            </w:pPr>
            <w:r w:rsidRPr="00186C76">
              <w:rPr>
                <w:sz w:val="16"/>
                <w:szCs w:val="16"/>
              </w:rPr>
              <w:t>Заявени и изпълнени полети от Държавния авиационен оператор през месеците септември, октомври и ноември 202</w:t>
            </w:r>
            <w:r w:rsidR="00B40629" w:rsidRPr="00186C76">
              <w:rPr>
                <w:sz w:val="16"/>
                <w:szCs w:val="16"/>
              </w:rPr>
              <w:t>4</w:t>
            </w:r>
            <w:r w:rsidRPr="00186C76">
              <w:rPr>
                <w:sz w:val="16"/>
                <w:szCs w:val="16"/>
              </w:rPr>
              <w:t xml:space="preserve"> г.</w:t>
            </w:r>
          </w:p>
        </w:tc>
        <w:tc>
          <w:tcPr>
            <w:tcW w:w="808" w:type="pct"/>
            <w:tcBorders>
              <w:top w:val="single" w:sz="4" w:space="0" w:color="auto"/>
              <w:left w:val="nil"/>
              <w:bottom w:val="single" w:sz="4" w:space="0" w:color="auto"/>
              <w:right w:val="single" w:sz="4" w:space="0" w:color="auto"/>
            </w:tcBorders>
            <w:shd w:val="clear" w:color="auto" w:fill="FFFFFF" w:themeFill="background1"/>
            <w:hideMark/>
          </w:tcPr>
          <w:p w14:paraId="5A363BE1" w14:textId="77777777" w:rsidR="007B5DB7" w:rsidRPr="00186C76" w:rsidRDefault="007B5DB7" w:rsidP="00186C76">
            <w:pPr>
              <w:shd w:val="clear" w:color="auto" w:fill="FFFFFF" w:themeFill="background1"/>
              <w:rPr>
                <w:sz w:val="16"/>
                <w:szCs w:val="16"/>
              </w:rPr>
            </w:pPr>
            <w:r w:rsidRPr="00186C76">
              <w:rPr>
                <w:sz w:val="16"/>
                <w:szCs w:val="16"/>
              </w:rPr>
              <w:t>0300.06.00 Бюджетна програма „Администрация”</w:t>
            </w:r>
          </w:p>
        </w:tc>
        <w:tc>
          <w:tcPr>
            <w:tcW w:w="659" w:type="pct"/>
            <w:tcBorders>
              <w:top w:val="single" w:sz="4" w:space="0" w:color="auto"/>
              <w:left w:val="nil"/>
              <w:bottom w:val="single" w:sz="4" w:space="0" w:color="auto"/>
              <w:right w:val="single" w:sz="4" w:space="0" w:color="auto"/>
            </w:tcBorders>
            <w:shd w:val="clear" w:color="auto" w:fill="FFFFFF" w:themeFill="background1"/>
            <w:noWrap/>
            <w:hideMark/>
          </w:tcPr>
          <w:p w14:paraId="6DA3FEED" w14:textId="77777777" w:rsidR="007B5DB7" w:rsidRPr="00186C76" w:rsidRDefault="007B5DB7" w:rsidP="00186C76">
            <w:pPr>
              <w:shd w:val="clear" w:color="auto" w:fill="FFFFFF" w:themeFill="background1"/>
              <w:jc w:val="right"/>
              <w:rPr>
                <w:sz w:val="16"/>
                <w:szCs w:val="16"/>
              </w:rPr>
            </w:pPr>
            <w:r w:rsidRPr="00186C76">
              <w:rPr>
                <w:sz w:val="16"/>
                <w:szCs w:val="16"/>
              </w:rPr>
              <w:t>-38 446</w:t>
            </w:r>
          </w:p>
        </w:tc>
        <w:tc>
          <w:tcPr>
            <w:tcW w:w="515" w:type="pct"/>
            <w:tcBorders>
              <w:top w:val="single" w:sz="4" w:space="0" w:color="auto"/>
              <w:left w:val="nil"/>
              <w:bottom w:val="single" w:sz="4" w:space="0" w:color="auto"/>
              <w:right w:val="single" w:sz="4" w:space="0" w:color="auto"/>
            </w:tcBorders>
            <w:shd w:val="clear" w:color="auto" w:fill="FFFFFF" w:themeFill="background1"/>
            <w:noWrap/>
            <w:hideMark/>
          </w:tcPr>
          <w:p w14:paraId="4777C248" w14:textId="77777777" w:rsidR="007B5DB7" w:rsidRPr="00186C76" w:rsidRDefault="007B5DB7" w:rsidP="00186C76">
            <w:pPr>
              <w:shd w:val="clear" w:color="auto" w:fill="FFFFFF" w:themeFill="background1"/>
              <w:rPr>
                <w:sz w:val="16"/>
                <w:szCs w:val="16"/>
              </w:rPr>
            </w:pPr>
            <w:r w:rsidRPr="00186C76">
              <w:rPr>
                <w:sz w:val="16"/>
                <w:szCs w:val="16"/>
              </w:rPr>
              <w:t> </w:t>
            </w:r>
          </w:p>
        </w:tc>
      </w:tr>
      <w:tr w:rsidR="00BA3246" w:rsidRPr="00186C76" w14:paraId="46ED3D46" w14:textId="77777777" w:rsidTr="00095A18">
        <w:trPr>
          <w:trHeight w:val="630"/>
          <w:jc w:val="center"/>
        </w:trPr>
        <w:tc>
          <w:tcPr>
            <w:tcW w:w="240" w:type="pct"/>
            <w:tcBorders>
              <w:top w:val="nil"/>
              <w:left w:val="single" w:sz="4" w:space="0" w:color="auto"/>
              <w:bottom w:val="single" w:sz="4" w:space="0" w:color="auto"/>
              <w:right w:val="single" w:sz="4" w:space="0" w:color="auto"/>
            </w:tcBorders>
            <w:shd w:val="clear" w:color="auto" w:fill="FFFFFF" w:themeFill="background1"/>
            <w:noWrap/>
            <w:hideMark/>
          </w:tcPr>
          <w:p w14:paraId="3C41FA08" w14:textId="77777777" w:rsidR="007B5DB7" w:rsidRPr="00186C76" w:rsidRDefault="007B5DB7" w:rsidP="00186C76">
            <w:pPr>
              <w:shd w:val="clear" w:color="auto" w:fill="FFFFFF" w:themeFill="background1"/>
              <w:jc w:val="center"/>
              <w:rPr>
                <w:sz w:val="16"/>
                <w:szCs w:val="16"/>
              </w:rPr>
            </w:pPr>
            <w:r w:rsidRPr="00186C76">
              <w:rPr>
                <w:sz w:val="16"/>
                <w:szCs w:val="16"/>
              </w:rPr>
              <w:t>2</w:t>
            </w:r>
          </w:p>
        </w:tc>
        <w:tc>
          <w:tcPr>
            <w:tcW w:w="717" w:type="pct"/>
            <w:tcBorders>
              <w:top w:val="nil"/>
              <w:left w:val="nil"/>
              <w:bottom w:val="single" w:sz="4" w:space="0" w:color="auto"/>
              <w:right w:val="single" w:sz="4" w:space="0" w:color="auto"/>
            </w:tcBorders>
            <w:shd w:val="clear" w:color="auto" w:fill="FFFFFF" w:themeFill="background1"/>
            <w:hideMark/>
          </w:tcPr>
          <w:p w14:paraId="4A21D168" w14:textId="5B06270E" w:rsidR="007B5DB7" w:rsidRPr="00186C76" w:rsidRDefault="007B5DB7" w:rsidP="00BF75D7">
            <w:pPr>
              <w:shd w:val="clear" w:color="auto" w:fill="FFFFFF" w:themeFill="background1"/>
              <w:rPr>
                <w:sz w:val="16"/>
                <w:szCs w:val="16"/>
              </w:rPr>
            </w:pPr>
            <w:r w:rsidRPr="00186C76">
              <w:rPr>
                <w:sz w:val="16"/>
                <w:szCs w:val="16"/>
              </w:rPr>
              <w:t xml:space="preserve">Писмо на министъра на финансите </w:t>
            </w:r>
            <w:r w:rsidR="005A23A1">
              <w:rPr>
                <w:sz w:val="16"/>
                <w:szCs w:val="16"/>
              </w:rPr>
              <w:br/>
            </w:r>
            <w:r w:rsidRPr="00186C76">
              <w:rPr>
                <w:sz w:val="16"/>
                <w:szCs w:val="16"/>
              </w:rPr>
              <w:t>№ 03-00-375/</w:t>
            </w:r>
            <w:r w:rsidR="00BF75D7">
              <w:rPr>
                <w:sz w:val="16"/>
                <w:szCs w:val="16"/>
                <w:lang w:val="en-US"/>
              </w:rPr>
              <w:t xml:space="preserve"> </w:t>
            </w:r>
            <w:r w:rsidR="00BF75D7">
              <w:rPr>
                <w:sz w:val="16"/>
                <w:szCs w:val="16"/>
                <w:lang w:val="en-US"/>
              </w:rPr>
              <w:br/>
            </w:r>
            <w:r w:rsidRPr="00186C76">
              <w:rPr>
                <w:sz w:val="16"/>
                <w:szCs w:val="16"/>
              </w:rPr>
              <w:t>22.05.2025 г.</w:t>
            </w:r>
          </w:p>
        </w:tc>
        <w:tc>
          <w:tcPr>
            <w:tcW w:w="883" w:type="pct"/>
            <w:tcBorders>
              <w:top w:val="nil"/>
              <w:left w:val="nil"/>
              <w:bottom w:val="single" w:sz="4" w:space="0" w:color="auto"/>
              <w:right w:val="single" w:sz="4" w:space="0" w:color="auto"/>
            </w:tcBorders>
            <w:shd w:val="clear" w:color="auto" w:fill="FFFFFF" w:themeFill="background1"/>
            <w:hideMark/>
          </w:tcPr>
          <w:p w14:paraId="0E6B6E15" w14:textId="7CED8C5A" w:rsidR="007B5DB7" w:rsidRPr="00186C76" w:rsidRDefault="007B5DB7" w:rsidP="00186C76">
            <w:pPr>
              <w:shd w:val="clear" w:color="auto" w:fill="FFFFFF" w:themeFill="background1"/>
              <w:rPr>
                <w:sz w:val="16"/>
                <w:szCs w:val="16"/>
              </w:rPr>
            </w:pPr>
            <w:r w:rsidRPr="00186C76">
              <w:rPr>
                <w:sz w:val="16"/>
                <w:szCs w:val="16"/>
              </w:rPr>
              <w:t>чл. 110, ал. 1, и ал. 10 от ЗПФ, чл. 6, ал. 3 от ПМС № 28/</w:t>
            </w:r>
            <w:r w:rsidR="00364ED2" w:rsidRPr="00186C76">
              <w:rPr>
                <w:sz w:val="16"/>
                <w:szCs w:val="16"/>
              </w:rPr>
              <w:t xml:space="preserve"> </w:t>
            </w:r>
            <w:r w:rsidRPr="00186C76">
              <w:rPr>
                <w:sz w:val="16"/>
                <w:szCs w:val="16"/>
              </w:rPr>
              <w:t>16.04.2025 г. за изпълнението на държавния бюджет на РБ за 2025 г.</w:t>
            </w:r>
          </w:p>
        </w:tc>
        <w:tc>
          <w:tcPr>
            <w:tcW w:w="1178" w:type="pct"/>
            <w:tcBorders>
              <w:top w:val="nil"/>
              <w:left w:val="nil"/>
              <w:bottom w:val="single" w:sz="4" w:space="0" w:color="auto"/>
              <w:right w:val="single" w:sz="4" w:space="0" w:color="auto"/>
            </w:tcBorders>
            <w:shd w:val="clear" w:color="auto" w:fill="FFFFFF" w:themeFill="background1"/>
            <w:hideMark/>
          </w:tcPr>
          <w:p w14:paraId="4A6AD34D" w14:textId="270DC7D8" w:rsidR="007B5DB7" w:rsidRPr="00186C76" w:rsidRDefault="001838C1" w:rsidP="00186C76">
            <w:pPr>
              <w:shd w:val="clear" w:color="auto" w:fill="FFFFFF" w:themeFill="background1"/>
              <w:rPr>
                <w:sz w:val="16"/>
                <w:szCs w:val="16"/>
              </w:rPr>
            </w:pPr>
            <w:r w:rsidRPr="00186C76">
              <w:rPr>
                <w:sz w:val="16"/>
                <w:szCs w:val="16"/>
              </w:rPr>
              <w:t>Дарения от страната във връзка с провеждане на 77-ми НТП "По пътя на Ботевата чета Козлодуй - Околчица 2025 г.</w:t>
            </w:r>
          </w:p>
        </w:tc>
        <w:tc>
          <w:tcPr>
            <w:tcW w:w="808" w:type="pct"/>
            <w:tcBorders>
              <w:top w:val="nil"/>
              <w:left w:val="nil"/>
              <w:bottom w:val="single" w:sz="4" w:space="0" w:color="auto"/>
              <w:right w:val="single" w:sz="4" w:space="0" w:color="auto"/>
            </w:tcBorders>
            <w:shd w:val="clear" w:color="auto" w:fill="FFFFFF" w:themeFill="background1"/>
            <w:hideMark/>
          </w:tcPr>
          <w:p w14:paraId="7F39093C" w14:textId="5E08A3D7" w:rsidR="007B5DB7" w:rsidRPr="00186C76" w:rsidRDefault="007B5DB7" w:rsidP="00186C76">
            <w:pPr>
              <w:shd w:val="clear" w:color="auto" w:fill="FFFFFF" w:themeFill="background1"/>
              <w:rPr>
                <w:sz w:val="16"/>
                <w:szCs w:val="16"/>
              </w:rPr>
            </w:pPr>
            <w:r w:rsidRPr="00186C76">
              <w:rPr>
                <w:sz w:val="16"/>
                <w:szCs w:val="16"/>
              </w:rPr>
              <w:t xml:space="preserve">0300.03.01 Бюджетна програма „Осъществяване на държавната политика на областно ниво” </w:t>
            </w:r>
          </w:p>
        </w:tc>
        <w:tc>
          <w:tcPr>
            <w:tcW w:w="659" w:type="pct"/>
            <w:tcBorders>
              <w:top w:val="nil"/>
              <w:left w:val="nil"/>
              <w:bottom w:val="single" w:sz="4" w:space="0" w:color="auto"/>
              <w:right w:val="single" w:sz="4" w:space="0" w:color="auto"/>
            </w:tcBorders>
            <w:shd w:val="clear" w:color="auto" w:fill="FFFFFF" w:themeFill="background1"/>
            <w:noWrap/>
            <w:hideMark/>
          </w:tcPr>
          <w:p w14:paraId="4A2441F3" w14:textId="77777777" w:rsidR="007B5DB7" w:rsidRPr="00186C76" w:rsidRDefault="007B5DB7" w:rsidP="00186C76">
            <w:pPr>
              <w:shd w:val="clear" w:color="auto" w:fill="FFFFFF" w:themeFill="background1"/>
              <w:jc w:val="right"/>
              <w:rPr>
                <w:sz w:val="16"/>
                <w:szCs w:val="16"/>
              </w:rPr>
            </w:pPr>
            <w:r w:rsidRPr="00186C76">
              <w:rPr>
                <w:sz w:val="16"/>
                <w:szCs w:val="16"/>
              </w:rPr>
              <w:t>107 000</w:t>
            </w:r>
          </w:p>
        </w:tc>
        <w:tc>
          <w:tcPr>
            <w:tcW w:w="515" w:type="pct"/>
            <w:tcBorders>
              <w:top w:val="nil"/>
              <w:left w:val="nil"/>
              <w:bottom w:val="single" w:sz="4" w:space="0" w:color="auto"/>
              <w:right w:val="single" w:sz="4" w:space="0" w:color="auto"/>
            </w:tcBorders>
            <w:shd w:val="clear" w:color="auto" w:fill="FFFFFF" w:themeFill="background1"/>
            <w:noWrap/>
            <w:hideMark/>
          </w:tcPr>
          <w:p w14:paraId="6C02EA8E" w14:textId="77777777" w:rsidR="007B5DB7" w:rsidRPr="00186C76" w:rsidRDefault="007B5DB7" w:rsidP="00186C76">
            <w:pPr>
              <w:shd w:val="clear" w:color="auto" w:fill="FFFFFF" w:themeFill="background1"/>
              <w:rPr>
                <w:sz w:val="16"/>
                <w:szCs w:val="16"/>
              </w:rPr>
            </w:pPr>
            <w:r w:rsidRPr="00186C76">
              <w:rPr>
                <w:sz w:val="16"/>
                <w:szCs w:val="16"/>
              </w:rPr>
              <w:t> </w:t>
            </w:r>
          </w:p>
        </w:tc>
      </w:tr>
      <w:tr w:rsidR="00BA3246" w:rsidRPr="00186C76" w14:paraId="782E73F7" w14:textId="77777777" w:rsidTr="00095A18">
        <w:trPr>
          <w:trHeight w:val="1470"/>
          <w:jc w:val="center"/>
        </w:trPr>
        <w:tc>
          <w:tcPr>
            <w:tcW w:w="240" w:type="pct"/>
            <w:vMerge w:val="restart"/>
            <w:tcBorders>
              <w:top w:val="nil"/>
              <w:left w:val="single" w:sz="4" w:space="0" w:color="auto"/>
              <w:bottom w:val="single" w:sz="4" w:space="0" w:color="auto"/>
              <w:right w:val="single" w:sz="4" w:space="0" w:color="auto"/>
            </w:tcBorders>
            <w:shd w:val="clear" w:color="auto" w:fill="FFFFFF" w:themeFill="background1"/>
            <w:noWrap/>
            <w:hideMark/>
          </w:tcPr>
          <w:p w14:paraId="165491A8" w14:textId="77777777" w:rsidR="007B5DB7" w:rsidRPr="00186C76" w:rsidRDefault="007B5DB7" w:rsidP="00186C76">
            <w:pPr>
              <w:shd w:val="clear" w:color="auto" w:fill="FFFFFF" w:themeFill="background1"/>
              <w:jc w:val="center"/>
              <w:rPr>
                <w:sz w:val="16"/>
                <w:szCs w:val="16"/>
              </w:rPr>
            </w:pPr>
            <w:r w:rsidRPr="00186C76">
              <w:rPr>
                <w:sz w:val="16"/>
                <w:szCs w:val="16"/>
              </w:rPr>
              <w:t>3</w:t>
            </w:r>
          </w:p>
        </w:tc>
        <w:tc>
          <w:tcPr>
            <w:tcW w:w="717" w:type="pct"/>
            <w:vMerge w:val="restart"/>
            <w:tcBorders>
              <w:top w:val="nil"/>
              <w:left w:val="single" w:sz="4" w:space="0" w:color="auto"/>
              <w:bottom w:val="single" w:sz="4" w:space="0" w:color="auto"/>
              <w:right w:val="single" w:sz="4" w:space="0" w:color="auto"/>
            </w:tcBorders>
            <w:shd w:val="clear" w:color="auto" w:fill="FFFFFF" w:themeFill="background1"/>
            <w:hideMark/>
          </w:tcPr>
          <w:p w14:paraId="45648ABC" w14:textId="0B36171F" w:rsidR="007B5DB7" w:rsidRPr="00186C76" w:rsidRDefault="007B5DB7" w:rsidP="00BF75D7">
            <w:pPr>
              <w:shd w:val="clear" w:color="auto" w:fill="FFFFFF" w:themeFill="background1"/>
              <w:rPr>
                <w:sz w:val="16"/>
                <w:szCs w:val="16"/>
              </w:rPr>
            </w:pPr>
            <w:r w:rsidRPr="00186C76">
              <w:rPr>
                <w:sz w:val="16"/>
                <w:szCs w:val="16"/>
              </w:rPr>
              <w:t xml:space="preserve">Писмо на министъра на финансите </w:t>
            </w:r>
            <w:r w:rsidR="00BF75D7">
              <w:rPr>
                <w:sz w:val="16"/>
                <w:szCs w:val="16"/>
              </w:rPr>
              <w:br/>
            </w:r>
            <w:r w:rsidRPr="00186C76">
              <w:rPr>
                <w:sz w:val="16"/>
                <w:szCs w:val="16"/>
              </w:rPr>
              <w:t>№ 04-13-135/</w:t>
            </w:r>
            <w:r w:rsidR="00BF75D7">
              <w:rPr>
                <w:sz w:val="16"/>
                <w:szCs w:val="16"/>
                <w:lang w:val="en-US"/>
              </w:rPr>
              <w:t xml:space="preserve"> </w:t>
            </w:r>
            <w:r w:rsidRPr="00186C76">
              <w:rPr>
                <w:sz w:val="16"/>
                <w:szCs w:val="16"/>
              </w:rPr>
              <w:t>22.05.2025 г.</w:t>
            </w:r>
          </w:p>
        </w:tc>
        <w:tc>
          <w:tcPr>
            <w:tcW w:w="883" w:type="pct"/>
            <w:vMerge w:val="restart"/>
            <w:tcBorders>
              <w:top w:val="nil"/>
              <w:left w:val="single" w:sz="4" w:space="0" w:color="auto"/>
              <w:bottom w:val="single" w:sz="4" w:space="0" w:color="auto"/>
              <w:right w:val="single" w:sz="4" w:space="0" w:color="auto"/>
            </w:tcBorders>
            <w:shd w:val="clear" w:color="auto" w:fill="FFFFFF" w:themeFill="background1"/>
            <w:hideMark/>
          </w:tcPr>
          <w:p w14:paraId="3D2B2AAF" w14:textId="64FB1845" w:rsidR="007B5DB7" w:rsidRPr="00186C76" w:rsidRDefault="007B5DB7" w:rsidP="00BF75D7">
            <w:pPr>
              <w:shd w:val="clear" w:color="auto" w:fill="FFFFFF" w:themeFill="background1"/>
              <w:rPr>
                <w:sz w:val="16"/>
                <w:szCs w:val="16"/>
              </w:rPr>
            </w:pPr>
            <w:r w:rsidRPr="00186C76">
              <w:rPr>
                <w:sz w:val="16"/>
                <w:szCs w:val="16"/>
              </w:rPr>
              <w:t xml:space="preserve">чл. 110, ал. 4 от ЗПФ, чл. 79, ал. 5, т. 6 и </w:t>
            </w:r>
            <w:r w:rsidR="00BF75D7">
              <w:rPr>
                <w:sz w:val="16"/>
                <w:szCs w:val="16"/>
              </w:rPr>
              <w:br/>
            </w:r>
            <w:r w:rsidRPr="00186C76">
              <w:rPr>
                <w:sz w:val="16"/>
                <w:szCs w:val="16"/>
              </w:rPr>
              <w:t>ал. 6 от ЗДБРБ за 2025 г.</w:t>
            </w:r>
          </w:p>
        </w:tc>
        <w:tc>
          <w:tcPr>
            <w:tcW w:w="1178" w:type="pct"/>
            <w:vMerge w:val="restart"/>
            <w:tcBorders>
              <w:top w:val="nil"/>
              <w:left w:val="single" w:sz="4" w:space="0" w:color="auto"/>
              <w:bottom w:val="single" w:sz="4" w:space="0" w:color="auto"/>
              <w:right w:val="single" w:sz="4" w:space="0" w:color="auto"/>
            </w:tcBorders>
            <w:shd w:val="clear" w:color="auto" w:fill="FFFFFF" w:themeFill="background1"/>
            <w:hideMark/>
          </w:tcPr>
          <w:p w14:paraId="3C1153FD" w14:textId="7ACC5CAC" w:rsidR="007B5DB7" w:rsidRPr="00186C76" w:rsidRDefault="007B5DB7" w:rsidP="00186C76">
            <w:pPr>
              <w:shd w:val="clear" w:color="auto" w:fill="FFFFFF" w:themeFill="background1"/>
              <w:rPr>
                <w:sz w:val="16"/>
                <w:szCs w:val="16"/>
              </w:rPr>
            </w:pPr>
            <w:r w:rsidRPr="00186C76">
              <w:rPr>
                <w:sz w:val="16"/>
                <w:szCs w:val="16"/>
              </w:rPr>
              <w:t xml:space="preserve">Получени трансфери от МТСП по програми и мерки за заетостта от Националния план за действие по заетостта за </w:t>
            </w:r>
            <w:r w:rsidR="001838C1" w:rsidRPr="00186C76">
              <w:rPr>
                <w:sz w:val="16"/>
                <w:szCs w:val="16"/>
              </w:rPr>
              <w:t xml:space="preserve">първото тримесечие на </w:t>
            </w:r>
            <w:r w:rsidRPr="00186C76">
              <w:rPr>
                <w:sz w:val="16"/>
                <w:szCs w:val="16"/>
              </w:rPr>
              <w:t xml:space="preserve">2025 г. </w:t>
            </w:r>
          </w:p>
        </w:tc>
        <w:tc>
          <w:tcPr>
            <w:tcW w:w="808" w:type="pct"/>
            <w:tcBorders>
              <w:top w:val="nil"/>
              <w:left w:val="nil"/>
              <w:bottom w:val="single" w:sz="4" w:space="0" w:color="auto"/>
              <w:right w:val="single" w:sz="4" w:space="0" w:color="auto"/>
            </w:tcBorders>
            <w:shd w:val="clear" w:color="auto" w:fill="FFFFFF" w:themeFill="background1"/>
            <w:hideMark/>
          </w:tcPr>
          <w:p w14:paraId="7FCFF7A2" w14:textId="0C825071" w:rsidR="007B5DB7" w:rsidRPr="00186C76" w:rsidRDefault="007B5DB7" w:rsidP="00186C76">
            <w:pPr>
              <w:shd w:val="clear" w:color="auto" w:fill="FFFFFF" w:themeFill="background1"/>
              <w:rPr>
                <w:sz w:val="16"/>
                <w:szCs w:val="16"/>
              </w:rPr>
            </w:pPr>
            <w:r w:rsidRPr="00186C76">
              <w:rPr>
                <w:sz w:val="16"/>
                <w:szCs w:val="16"/>
              </w:rPr>
              <w:t xml:space="preserve">0300.03.01 Бюджетна програма „Осъществяване на държавната политика на областно ниво” </w:t>
            </w:r>
            <w:r w:rsidRPr="00186C76">
              <w:rPr>
                <w:sz w:val="16"/>
                <w:szCs w:val="16"/>
              </w:rPr>
              <w:br/>
              <w:t xml:space="preserve">Новосъздаден администриран разходен параграф </w:t>
            </w:r>
            <w:r w:rsidRPr="00186C76">
              <w:rPr>
                <w:sz w:val="16"/>
                <w:szCs w:val="16"/>
              </w:rPr>
              <w:br/>
              <w:t>„Програми за временна заетост“</w:t>
            </w:r>
          </w:p>
        </w:tc>
        <w:tc>
          <w:tcPr>
            <w:tcW w:w="659" w:type="pct"/>
            <w:tcBorders>
              <w:top w:val="nil"/>
              <w:left w:val="nil"/>
              <w:bottom w:val="single" w:sz="4" w:space="0" w:color="auto"/>
              <w:right w:val="single" w:sz="4" w:space="0" w:color="auto"/>
            </w:tcBorders>
            <w:shd w:val="clear" w:color="auto" w:fill="FFFFFF" w:themeFill="background1"/>
            <w:noWrap/>
            <w:hideMark/>
          </w:tcPr>
          <w:p w14:paraId="685C032D" w14:textId="77777777" w:rsidR="007B5DB7" w:rsidRPr="00186C76" w:rsidRDefault="007B5DB7" w:rsidP="00186C76">
            <w:pPr>
              <w:shd w:val="clear" w:color="auto" w:fill="FFFFFF" w:themeFill="background1"/>
              <w:jc w:val="right"/>
              <w:rPr>
                <w:sz w:val="16"/>
                <w:szCs w:val="16"/>
              </w:rPr>
            </w:pPr>
            <w:r w:rsidRPr="00186C76">
              <w:rPr>
                <w:sz w:val="16"/>
                <w:szCs w:val="16"/>
              </w:rPr>
              <w:t>199 197</w:t>
            </w:r>
          </w:p>
        </w:tc>
        <w:tc>
          <w:tcPr>
            <w:tcW w:w="515" w:type="pct"/>
            <w:tcBorders>
              <w:top w:val="nil"/>
              <w:left w:val="nil"/>
              <w:bottom w:val="single" w:sz="4" w:space="0" w:color="auto"/>
              <w:right w:val="single" w:sz="4" w:space="0" w:color="auto"/>
            </w:tcBorders>
            <w:shd w:val="clear" w:color="auto" w:fill="FFFFFF" w:themeFill="background1"/>
            <w:noWrap/>
            <w:hideMark/>
          </w:tcPr>
          <w:p w14:paraId="2CF2C2F8" w14:textId="77777777" w:rsidR="007B5DB7" w:rsidRPr="00186C76" w:rsidRDefault="007B5DB7" w:rsidP="00186C76">
            <w:pPr>
              <w:shd w:val="clear" w:color="auto" w:fill="FFFFFF" w:themeFill="background1"/>
              <w:rPr>
                <w:sz w:val="16"/>
                <w:szCs w:val="16"/>
              </w:rPr>
            </w:pPr>
            <w:r w:rsidRPr="00186C76">
              <w:rPr>
                <w:sz w:val="16"/>
                <w:szCs w:val="16"/>
              </w:rPr>
              <w:t> </w:t>
            </w:r>
          </w:p>
        </w:tc>
      </w:tr>
      <w:tr w:rsidR="00BA3246" w:rsidRPr="00186C76" w14:paraId="4974DCA6" w14:textId="77777777" w:rsidTr="00095A18">
        <w:trPr>
          <w:trHeight w:val="420"/>
          <w:jc w:val="center"/>
        </w:trPr>
        <w:tc>
          <w:tcPr>
            <w:tcW w:w="240" w:type="pct"/>
            <w:vMerge/>
            <w:tcBorders>
              <w:top w:val="nil"/>
              <w:left w:val="single" w:sz="4" w:space="0" w:color="auto"/>
              <w:bottom w:val="single" w:sz="4" w:space="0" w:color="auto"/>
              <w:right w:val="single" w:sz="4" w:space="0" w:color="auto"/>
            </w:tcBorders>
            <w:shd w:val="clear" w:color="auto" w:fill="FFFFFF" w:themeFill="background1"/>
            <w:hideMark/>
          </w:tcPr>
          <w:p w14:paraId="2923BCB3" w14:textId="77777777" w:rsidR="007B5DB7" w:rsidRPr="00186C76" w:rsidRDefault="007B5DB7" w:rsidP="00186C76">
            <w:pPr>
              <w:shd w:val="clear" w:color="auto" w:fill="FFFFFF" w:themeFill="background1"/>
              <w:jc w:val="center"/>
              <w:rPr>
                <w:sz w:val="16"/>
                <w:szCs w:val="16"/>
              </w:rPr>
            </w:pPr>
          </w:p>
        </w:tc>
        <w:tc>
          <w:tcPr>
            <w:tcW w:w="717" w:type="pct"/>
            <w:vMerge/>
            <w:tcBorders>
              <w:top w:val="nil"/>
              <w:left w:val="single" w:sz="4" w:space="0" w:color="auto"/>
              <w:bottom w:val="single" w:sz="4" w:space="0" w:color="auto"/>
              <w:right w:val="single" w:sz="4" w:space="0" w:color="auto"/>
            </w:tcBorders>
            <w:shd w:val="clear" w:color="auto" w:fill="FFFFFF" w:themeFill="background1"/>
            <w:hideMark/>
          </w:tcPr>
          <w:p w14:paraId="5B0ADD24" w14:textId="77777777" w:rsidR="007B5DB7" w:rsidRPr="00186C76" w:rsidRDefault="007B5DB7" w:rsidP="00186C76">
            <w:pPr>
              <w:shd w:val="clear" w:color="auto" w:fill="FFFFFF" w:themeFill="background1"/>
              <w:rPr>
                <w:sz w:val="16"/>
                <w:szCs w:val="16"/>
              </w:rPr>
            </w:pPr>
          </w:p>
        </w:tc>
        <w:tc>
          <w:tcPr>
            <w:tcW w:w="88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AD29E2C" w14:textId="77777777" w:rsidR="007B5DB7" w:rsidRPr="00186C76" w:rsidRDefault="007B5DB7" w:rsidP="00186C76">
            <w:pPr>
              <w:shd w:val="clear" w:color="auto" w:fill="FFFFFF" w:themeFill="background1"/>
              <w:rPr>
                <w:sz w:val="16"/>
                <w:szCs w:val="16"/>
              </w:rPr>
            </w:pPr>
          </w:p>
        </w:tc>
        <w:tc>
          <w:tcPr>
            <w:tcW w:w="1178"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D0ACDA3" w14:textId="77777777" w:rsidR="007B5DB7" w:rsidRPr="00186C76" w:rsidRDefault="007B5DB7" w:rsidP="00186C76">
            <w:pPr>
              <w:shd w:val="clear" w:color="auto" w:fill="FFFFFF" w:themeFill="background1"/>
              <w:rPr>
                <w:sz w:val="16"/>
                <w:szCs w:val="16"/>
              </w:rPr>
            </w:pPr>
          </w:p>
        </w:tc>
        <w:tc>
          <w:tcPr>
            <w:tcW w:w="808" w:type="pct"/>
            <w:tcBorders>
              <w:top w:val="nil"/>
              <w:left w:val="nil"/>
              <w:bottom w:val="single" w:sz="4" w:space="0" w:color="auto"/>
              <w:right w:val="single" w:sz="4" w:space="0" w:color="auto"/>
            </w:tcBorders>
            <w:shd w:val="clear" w:color="auto" w:fill="FFFFFF" w:themeFill="background1"/>
            <w:hideMark/>
          </w:tcPr>
          <w:p w14:paraId="727F9CE9" w14:textId="77777777" w:rsidR="007B5DB7" w:rsidRPr="00186C76" w:rsidRDefault="007B5DB7" w:rsidP="00186C76">
            <w:pPr>
              <w:shd w:val="clear" w:color="auto" w:fill="FFFFFF" w:themeFill="background1"/>
              <w:rPr>
                <w:sz w:val="16"/>
                <w:szCs w:val="16"/>
              </w:rPr>
            </w:pPr>
            <w:r w:rsidRPr="00186C76">
              <w:rPr>
                <w:sz w:val="16"/>
                <w:szCs w:val="16"/>
              </w:rPr>
              <w:t>0300.07.02 Бюджетна програма „Убежище и бежанци”</w:t>
            </w:r>
          </w:p>
        </w:tc>
        <w:tc>
          <w:tcPr>
            <w:tcW w:w="659" w:type="pct"/>
            <w:tcBorders>
              <w:top w:val="nil"/>
              <w:left w:val="nil"/>
              <w:bottom w:val="single" w:sz="4" w:space="0" w:color="auto"/>
              <w:right w:val="single" w:sz="4" w:space="0" w:color="auto"/>
            </w:tcBorders>
            <w:shd w:val="clear" w:color="auto" w:fill="FFFFFF" w:themeFill="background1"/>
            <w:noWrap/>
            <w:hideMark/>
          </w:tcPr>
          <w:p w14:paraId="24B3876A" w14:textId="77777777" w:rsidR="007B5DB7" w:rsidRPr="00186C76" w:rsidRDefault="007B5DB7" w:rsidP="00186C76">
            <w:pPr>
              <w:shd w:val="clear" w:color="auto" w:fill="FFFFFF" w:themeFill="background1"/>
              <w:jc w:val="right"/>
              <w:rPr>
                <w:sz w:val="16"/>
                <w:szCs w:val="16"/>
              </w:rPr>
            </w:pPr>
            <w:r w:rsidRPr="00186C76">
              <w:rPr>
                <w:sz w:val="16"/>
                <w:szCs w:val="16"/>
              </w:rPr>
              <w:t>14 152</w:t>
            </w:r>
          </w:p>
        </w:tc>
        <w:tc>
          <w:tcPr>
            <w:tcW w:w="515" w:type="pct"/>
            <w:tcBorders>
              <w:top w:val="nil"/>
              <w:left w:val="nil"/>
              <w:bottom w:val="single" w:sz="4" w:space="0" w:color="auto"/>
              <w:right w:val="single" w:sz="4" w:space="0" w:color="auto"/>
            </w:tcBorders>
            <w:shd w:val="clear" w:color="auto" w:fill="FFFFFF" w:themeFill="background1"/>
            <w:noWrap/>
            <w:hideMark/>
          </w:tcPr>
          <w:p w14:paraId="165EAF39" w14:textId="77777777" w:rsidR="007B5DB7" w:rsidRPr="00186C76" w:rsidRDefault="007B5DB7" w:rsidP="00186C76">
            <w:pPr>
              <w:shd w:val="clear" w:color="auto" w:fill="FFFFFF" w:themeFill="background1"/>
              <w:rPr>
                <w:sz w:val="16"/>
                <w:szCs w:val="16"/>
              </w:rPr>
            </w:pPr>
            <w:r w:rsidRPr="00186C76">
              <w:rPr>
                <w:sz w:val="16"/>
                <w:szCs w:val="16"/>
              </w:rPr>
              <w:t> </w:t>
            </w:r>
          </w:p>
        </w:tc>
      </w:tr>
      <w:tr w:rsidR="00BA3246" w:rsidRPr="00186C76" w14:paraId="2ADE5221" w14:textId="77777777" w:rsidTr="00095A18">
        <w:trPr>
          <w:trHeight w:val="1890"/>
          <w:jc w:val="center"/>
        </w:trPr>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4195F6" w14:textId="77777777" w:rsidR="007B5DB7" w:rsidRPr="00186C76" w:rsidRDefault="007B5DB7" w:rsidP="00186C76">
            <w:pPr>
              <w:shd w:val="clear" w:color="auto" w:fill="FFFFFF" w:themeFill="background1"/>
              <w:jc w:val="center"/>
              <w:rPr>
                <w:sz w:val="16"/>
                <w:szCs w:val="16"/>
              </w:rPr>
            </w:pPr>
            <w:r w:rsidRPr="00186C76">
              <w:rPr>
                <w:sz w:val="16"/>
                <w:szCs w:val="16"/>
              </w:rPr>
              <w:t>4</w:t>
            </w:r>
          </w:p>
        </w:tc>
        <w:tc>
          <w:tcPr>
            <w:tcW w:w="717" w:type="pct"/>
            <w:tcBorders>
              <w:top w:val="single" w:sz="4" w:space="0" w:color="auto"/>
              <w:left w:val="nil"/>
              <w:bottom w:val="single" w:sz="4" w:space="0" w:color="auto"/>
              <w:right w:val="single" w:sz="4" w:space="0" w:color="auto"/>
            </w:tcBorders>
            <w:shd w:val="clear" w:color="auto" w:fill="FFFFFF" w:themeFill="background1"/>
            <w:hideMark/>
          </w:tcPr>
          <w:p w14:paraId="2622C70D" w14:textId="77777777" w:rsidR="007B5DB7" w:rsidRPr="00186C76" w:rsidRDefault="007B5DB7" w:rsidP="00186C76">
            <w:pPr>
              <w:shd w:val="clear" w:color="auto" w:fill="FFFFFF" w:themeFill="background1"/>
              <w:rPr>
                <w:sz w:val="16"/>
                <w:szCs w:val="16"/>
              </w:rPr>
            </w:pPr>
            <w:r w:rsidRPr="00186C76">
              <w:rPr>
                <w:sz w:val="16"/>
                <w:szCs w:val="16"/>
              </w:rPr>
              <w:t>ПМС № 64 от 21 май 2025 г. за одобряване на допълнителни разходи по бюджета на Министерския съвет за 2025 г.</w:t>
            </w:r>
          </w:p>
        </w:tc>
        <w:tc>
          <w:tcPr>
            <w:tcW w:w="883" w:type="pct"/>
            <w:tcBorders>
              <w:top w:val="single" w:sz="4" w:space="0" w:color="auto"/>
              <w:left w:val="nil"/>
              <w:bottom w:val="single" w:sz="4" w:space="0" w:color="auto"/>
              <w:right w:val="single" w:sz="4" w:space="0" w:color="auto"/>
            </w:tcBorders>
            <w:shd w:val="clear" w:color="auto" w:fill="FFFFFF" w:themeFill="background1"/>
            <w:hideMark/>
          </w:tcPr>
          <w:p w14:paraId="1F3AF88B" w14:textId="77777777" w:rsidR="007B5DB7" w:rsidRPr="00186C76" w:rsidRDefault="007B5DB7" w:rsidP="00186C76">
            <w:pPr>
              <w:shd w:val="clear" w:color="auto" w:fill="FFFFFF" w:themeFill="background1"/>
              <w:rPr>
                <w:sz w:val="16"/>
                <w:szCs w:val="16"/>
              </w:rPr>
            </w:pPr>
            <w:r w:rsidRPr="00186C76">
              <w:rPr>
                <w:sz w:val="16"/>
                <w:szCs w:val="16"/>
              </w:rPr>
              <w:t>чл. 109, ал. 3, ал. 5 и ал. 7 от ЗПФ във връзка с чл. 28, ал. 5 от Закона за вероизповеданията</w:t>
            </w:r>
          </w:p>
        </w:tc>
        <w:tc>
          <w:tcPr>
            <w:tcW w:w="1178" w:type="pct"/>
            <w:tcBorders>
              <w:top w:val="single" w:sz="4" w:space="0" w:color="auto"/>
              <w:left w:val="nil"/>
              <w:bottom w:val="single" w:sz="4" w:space="0" w:color="auto"/>
              <w:right w:val="single" w:sz="4" w:space="0" w:color="auto"/>
            </w:tcBorders>
            <w:shd w:val="clear" w:color="auto" w:fill="FFFFFF" w:themeFill="background1"/>
            <w:hideMark/>
          </w:tcPr>
          <w:p w14:paraId="345DB687" w14:textId="747AA3C8" w:rsidR="007B5DB7" w:rsidRPr="00186C76" w:rsidRDefault="00BF75D7" w:rsidP="00BF75D7">
            <w:pPr>
              <w:shd w:val="clear" w:color="auto" w:fill="FFFFFF" w:themeFill="background1"/>
              <w:rPr>
                <w:sz w:val="16"/>
                <w:szCs w:val="16"/>
              </w:rPr>
            </w:pPr>
            <w:r>
              <w:rPr>
                <w:sz w:val="16"/>
                <w:szCs w:val="16"/>
              </w:rPr>
              <w:t>З</w:t>
            </w:r>
            <w:r w:rsidR="007B5DB7" w:rsidRPr="00186C76">
              <w:rPr>
                <w:sz w:val="16"/>
                <w:szCs w:val="16"/>
              </w:rPr>
              <w:t>а Българската православна църква – Българска патриаршия:</w:t>
            </w:r>
            <w:r w:rsidR="00364ED2" w:rsidRPr="00186C76">
              <w:rPr>
                <w:sz w:val="16"/>
                <w:szCs w:val="16"/>
              </w:rPr>
              <w:t xml:space="preserve"> </w:t>
            </w:r>
            <w:r w:rsidR="007B5DB7" w:rsidRPr="00186C76">
              <w:rPr>
                <w:sz w:val="16"/>
                <w:szCs w:val="16"/>
              </w:rPr>
              <w:t xml:space="preserve">неотложни ремонтни и </w:t>
            </w:r>
            <w:proofErr w:type="spellStart"/>
            <w:r w:rsidR="007B5DB7" w:rsidRPr="00186C76">
              <w:rPr>
                <w:sz w:val="16"/>
                <w:szCs w:val="16"/>
              </w:rPr>
              <w:t>консервационно</w:t>
            </w:r>
            <w:proofErr w:type="spellEnd"/>
            <w:r w:rsidR="007B5DB7" w:rsidRPr="00186C76">
              <w:rPr>
                <w:sz w:val="16"/>
                <w:szCs w:val="16"/>
              </w:rPr>
              <w:t xml:space="preserve">-реставрационни дейности на катедралния храм „Свети Димитър Солунски“ – </w:t>
            </w:r>
            <w:r>
              <w:rPr>
                <w:sz w:val="16"/>
                <w:szCs w:val="16"/>
              </w:rPr>
              <w:br/>
            </w:r>
            <w:r w:rsidR="007B5DB7" w:rsidRPr="00186C76">
              <w:rPr>
                <w:sz w:val="16"/>
                <w:szCs w:val="16"/>
              </w:rPr>
              <w:t>гр. Видин;</w:t>
            </w:r>
            <w:r>
              <w:rPr>
                <w:sz w:val="16"/>
                <w:szCs w:val="16"/>
              </w:rPr>
              <w:t xml:space="preserve"> </w:t>
            </w:r>
            <w:r w:rsidR="007B5DB7" w:rsidRPr="00186C76">
              <w:rPr>
                <w:sz w:val="16"/>
                <w:szCs w:val="16"/>
              </w:rPr>
              <w:t>за ремонт на админ</w:t>
            </w:r>
            <w:r w:rsidR="00364ED2" w:rsidRPr="00186C76">
              <w:rPr>
                <w:sz w:val="16"/>
                <w:szCs w:val="16"/>
              </w:rPr>
              <w:t>.</w:t>
            </w:r>
            <w:r w:rsidR="007B5DB7" w:rsidRPr="00186C76">
              <w:rPr>
                <w:sz w:val="16"/>
                <w:szCs w:val="16"/>
              </w:rPr>
              <w:t xml:space="preserve"> сграда на Видинската света митрополия </w:t>
            </w:r>
          </w:p>
        </w:tc>
        <w:tc>
          <w:tcPr>
            <w:tcW w:w="808" w:type="pct"/>
            <w:tcBorders>
              <w:top w:val="single" w:sz="4" w:space="0" w:color="auto"/>
              <w:left w:val="nil"/>
              <w:bottom w:val="single" w:sz="4" w:space="0" w:color="auto"/>
              <w:right w:val="single" w:sz="4" w:space="0" w:color="auto"/>
            </w:tcBorders>
            <w:shd w:val="clear" w:color="auto" w:fill="FFFFFF" w:themeFill="background1"/>
            <w:hideMark/>
          </w:tcPr>
          <w:p w14:paraId="0A301E35" w14:textId="77777777" w:rsidR="007B5DB7" w:rsidRPr="00186C76" w:rsidRDefault="007B5DB7" w:rsidP="00186C76">
            <w:pPr>
              <w:shd w:val="clear" w:color="auto" w:fill="FFFFFF" w:themeFill="background1"/>
              <w:rPr>
                <w:sz w:val="16"/>
                <w:szCs w:val="16"/>
              </w:rPr>
            </w:pPr>
            <w:r w:rsidRPr="00186C76">
              <w:rPr>
                <w:sz w:val="16"/>
                <w:szCs w:val="16"/>
              </w:rPr>
              <w:t>0300.04.01 Бюджетна програма „Вероизповедания“</w:t>
            </w:r>
          </w:p>
        </w:tc>
        <w:tc>
          <w:tcPr>
            <w:tcW w:w="659" w:type="pct"/>
            <w:tcBorders>
              <w:top w:val="single" w:sz="4" w:space="0" w:color="auto"/>
              <w:left w:val="nil"/>
              <w:bottom w:val="single" w:sz="4" w:space="0" w:color="auto"/>
              <w:right w:val="single" w:sz="4" w:space="0" w:color="auto"/>
            </w:tcBorders>
            <w:shd w:val="clear" w:color="auto" w:fill="FFFFFF" w:themeFill="background1"/>
            <w:noWrap/>
            <w:hideMark/>
          </w:tcPr>
          <w:p w14:paraId="73037D77" w14:textId="77777777" w:rsidR="007B5DB7" w:rsidRPr="00186C76" w:rsidRDefault="007B5DB7" w:rsidP="00186C76">
            <w:pPr>
              <w:shd w:val="clear" w:color="auto" w:fill="FFFFFF" w:themeFill="background1"/>
              <w:jc w:val="right"/>
              <w:rPr>
                <w:sz w:val="16"/>
                <w:szCs w:val="16"/>
              </w:rPr>
            </w:pPr>
            <w:r w:rsidRPr="00186C76">
              <w:rPr>
                <w:sz w:val="16"/>
                <w:szCs w:val="16"/>
              </w:rPr>
              <w:t>3 945 087</w:t>
            </w:r>
          </w:p>
        </w:tc>
        <w:tc>
          <w:tcPr>
            <w:tcW w:w="515" w:type="pct"/>
            <w:tcBorders>
              <w:top w:val="single" w:sz="4" w:space="0" w:color="auto"/>
              <w:left w:val="nil"/>
              <w:bottom w:val="single" w:sz="4" w:space="0" w:color="auto"/>
              <w:right w:val="single" w:sz="4" w:space="0" w:color="auto"/>
            </w:tcBorders>
            <w:shd w:val="clear" w:color="auto" w:fill="FFFFFF" w:themeFill="background1"/>
            <w:noWrap/>
            <w:hideMark/>
          </w:tcPr>
          <w:p w14:paraId="67F1307E" w14:textId="77777777" w:rsidR="007B5DB7" w:rsidRPr="00186C76" w:rsidRDefault="007B5DB7" w:rsidP="00186C76">
            <w:pPr>
              <w:shd w:val="clear" w:color="auto" w:fill="FFFFFF" w:themeFill="background1"/>
              <w:rPr>
                <w:sz w:val="16"/>
                <w:szCs w:val="16"/>
              </w:rPr>
            </w:pPr>
            <w:r w:rsidRPr="00186C76">
              <w:rPr>
                <w:sz w:val="16"/>
                <w:szCs w:val="16"/>
              </w:rPr>
              <w:t> </w:t>
            </w:r>
          </w:p>
        </w:tc>
      </w:tr>
      <w:tr w:rsidR="00BA3246" w:rsidRPr="00186C76" w14:paraId="6FAB0E3E" w14:textId="77777777" w:rsidTr="00095A18">
        <w:trPr>
          <w:trHeight w:val="1490"/>
          <w:jc w:val="center"/>
        </w:trPr>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01753C" w14:textId="77777777" w:rsidR="007B5DB7" w:rsidRPr="00186C76" w:rsidRDefault="007B5DB7" w:rsidP="00186C76">
            <w:pPr>
              <w:shd w:val="clear" w:color="auto" w:fill="FFFFFF" w:themeFill="background1"/>
              <w:jc w:val="center"/>
              <w:rPr>
                <w:sz w:val="16"/>
                <w:szCs w:val="16"/>
              </w:rPr>
            </w:pPr>
            <w:r w:rsidRPr="00186C76">
              <w:rPr>
                <w:sz w:val="16"/>
                <w:szCs w:val="16"/>
              </w:rPr>
              <w:lastRenderedPageBreak/>
              <w:t>5</w:t>
            </w:r>
          </w:p>
        </w:tc>
        <w:tc>
          <w:tcPr>
            <w:tcW w:w="717" w:type="pct"/>
            <w:tcBorders>
              <w:top w:val="single" w:sz="4" w:space="0" w:color="auto"/>
              <w:left w:val="nil"/>
              <w:bottom w:val="single" w:sz="4" w:space="0" w:color="auto"/>
              <w:right w:val="single" w:sz="4" w:space="0" w:color="auto"/>
            </w:tcBorders>
            <w:shd w:val="clear" w:color="auto" w:fill="FFFFFF" w:themeFill="background1"/>
            <w:hideMark/>
          </w:tcPr>
          <w:p w14:paraId="08FB4FF3" w14:textId="21AF3EBA" w:rsidR="007B5DB7" w:rsidRPr="00186C76" w:rsidRDefault="007B5DB7" w:rsidP="00BF75D7">
            <w:pPr>
              <w:shd w:val="clear" w:color="auto" w:fill="FFFFFF" w:themeFill="background1"/>
              <w:rPr>
                <w:sz w:val="16"/>
                <w:szCs w:val="16"/>
              </w:rPr>
            </w:pPr>
            <w:r w:rsidRPr="00186C76">
              <w:rPr>
                <w:sz w:val="16"/>
                <w:szCs w:val="16"/>
              </w:rPr>
              <w:t xml:space="preserve">Писмо на министъра на финансите </w:t>
            </w:r>
            <w:r w:rsidR="005A23A1">
              <w:rPr>
                <w:sz w:val="16"/>
                <w:szCs w:val="16"/>
              </w:rPr>
              <w:br/>
            </w:r>
            <w:r w:rsidRPr="00186C76">
              <w:rPr>
                <w:sz w:val="16"/>
                <w:szCs w:val="16"/>
              </w:rPr>
              <w:t>№ 03-00-394/</w:t>
            </w:r>
            <w:r w:rsidR="00BF75D7">
              <w:rPr>
                <w:sz w:val="16"/>
                <w:szCs w:val="16"/>
              </w:rPr>
              <w:t xml:space="preserve"> </w:t>
            </w:r>
            <w:r w:rsidRPr="00186C76">
              <w:rPr>
                <w:sz w:val="16"/>
                <w:szCs w:val="16"/>
              </w:rPr>
              <w:t>27.05.2025 г.</w:t>
            </w:r>
          </w:p>
        </w:tc>
        <w:tc>
          <w:tcPr>
            <w:tcW w:w="883" w:type="pct"/>
            <w:tcBorders>
              <w:top w:val="single" w:sz="4" w:space="0" w:color="auto"/>
              <w:left w:val="nil"/>
              <w:bottom w:val="single" w:sz="4" w:space="0" w:color="auto"/>
              <w:right w:val="single" w:sz="4" w:space="0" w:color="auto"/>
            </w:tcBorders>
            <w:shd w:val="clear" w:color="auto" w:fill="FFFFFF" w:themeFill="background1"/>
            <w:hideMark/>
          </w:tcPr>
          <w:p w14:paraId="2C36C5E4" w14:textId="77777777" w:rsidR="007B5DB7" w:rsidRPr="00186C76" w:rsidRDefault="007B5DB7" w:rsidP="00186C76">
            <w:pPr>
              <w:shd w:val="clear" w:color="auto" w:fill="FFFFFF" w:themeFill="background1"/>
              <w:rPr>
                <w:sz w:val="16"/>
                <w:szCs w:val="16"/>
              </w:rPr>
            </w:pPr>
            <w:r w:rsidRPr="00186C76">
              <w:rPr>
                <w:sz w:val="16"/>
                <w:szCs w:val="16"/>
              </w:rPr>
              <w:t>чл. 110, ал. 4 и ал. 10 от ЗПФ, чл. 6, ал. 3 от ПМС № 28 от 16.04.2025 г. за изпълнението на държавния бюджет на РБ за 2025 г.</w:t>
            </w:r>
          </w:p>
        </w:tc>
        <w:tc>
          <w:tcPr>
            <w:tcW w:w="1178" w:type="pct"/>
            <w:tcBorders>
              <w:top w:val="single" w:sz="4" w:space="0" w:color="auto"/>
              <w:left w:val="nil"/>
              <w:bottom w:val="single" w:sz="4" w:space="0" w:color="auto"/>
              <w:right w:val="single" w:sz="4" w:space="0" w:color="auto"/>
            </w:tcBorders>
            <w:shd w:val="clear" w:color="auto" w:fill="FFFFFF" w:themeFill="background1"/>
            <w:hideMark/>
          </w:tcPr>
          <w:p w14:paraId="4C528089" w14:textId="475140E0" w:rsidR="007B5DB7" w:rsidRPr="00186C76" w:rsidRDefault="00BF75D7" w:rsidP="00186C76">
            <w:pPr>
              <w:shd w:val="clear" w:color="auto" w:fill="FFFFFF" w:themeFill="background1"/>
              <w:rPr>
                <w:sz w:val="16"/>
                <w:szCs w:val="16"/>
              </w:rPr>
            </w:pPr>
            <w:r>
              <w:rPr>
                <w:sz w:val="16"/>
                <w:szCs w:val="16"/>
              </w:rPr>
              <w:t>В</w:t>
            </w:r>
            <w:r w:rsidR="007B5DB7" w:rsidRPr="00186C76">
              <w:rPr>
                <w:sz w:val="16"/>
                <w:szCs w:val="16"/>
              </w:rPr>
              <w:t>ъв връзка със заявени и изпълнени полети от Държавния авиационен оператор и преминавания през "ВИП" през месец ноември 2024 г., и през месеците януари, февруари и март 2025 г.</w:t>
            </w:r>
          </w:p>
        </w:tc>
        <w:tc>
          <w:tcPr>
            <w:tcW w:w="808" w:type="pct"/>
            <w:tcBorders>
              <w:top w:val="single" w:sz="4" w:space="0" w:color="auto"/>
              <w:left w:val="nil"/>
              <w:bottom w:val="single" w:sz="4" w:space="0" w:color="auto"/>
              <w:right w:val="single" w:sz="4" w:space="0" w:color="auto"/>
            </w:tcBorders>
            <w:shd w:val="clear" w:color="auto" w:fill="FFFFFF" w:themeFill="background1"/>
            <w:hideMark/>
          </w:tcPr>
          <w:p w14:paraId="1419F744" w14:textId="20223B0A" w:rsidR="007B5DB7" w:rsidRPr="00186C76" w:rsidRDefault="007B5DB7" w:rsidP="00186C76">
            <w:pPr>
              <w:shd w:val="clear" w:color="auto" w:fill="FFFFFF" w:themeFill="background1"/>
              <w:rPr>
                <w:sz w:val="16"/>
                <w:szCs w:val="16"/>
              </w:rPr>
            </w:pPr>
            <w:r w:rsidRPr="00186C76">
              <w:rPr>
                <w:sz w:val="16"/>
                <w:szCs w:val="16"/>
              </w:rPr>
              <w:t>0300.06.00 Бюджетна програма „Администрация”</w:t>
            </w:r>
          </w:p>
        </w:tc>
        <w:tc>
          <w:tcPr>
            <w:tcW w:w="659" w:type="pct"/>
            <w:tcBorders>
              <w:top w:val="single" w:sz="4" w:space="0" w:color="auto"/>
              <w:left w:val="nil"/>
              <w:bottom w:val="single" w:sz="4" w:space="0" w:color="auto"/>
              <w:right w:val="single" w:sz="4" w:space="0" w:color="auto"/>
            </w:tcBorders>
            <w:shd w:val="clear" w:color="auto" w:fill="FFFFFF" w:themeFill="background1"/>
            <w:noWrap/>
            <w:hideMark/>
          </w:tcPr>
          <w:p w14:paraId="432FA9F8" w14:textId="77777777" w:rsidR="007B5DB7" w:rsidRPr="00186C76" w:rsidRDefault="007B5DB7" w:rsidP="00186C76">
            <w:pPr>
              <w:shd w:val="clear" w:color="auto" w:fill="FFFFFF" w:themeFill="background1"/>
              <w:jc w:val="right"/>
              <w:rPr>
                <w:sz w:val="16"/>
                <w:szCs w:val="16"/>
              </w:rPr>
            </w:pPr>
            <w:r w:rsidRPr="00186C76">
              <w:rPr>
                <w:sz w:val="16"/>
                <w:szCs w:val="16"/>
              </w:rPr>
              <w:t>-64 026</w:t>
            </w:r>
          </w:p>
        </w:tc>
        <w:tc>
          <w:tcPr>
            <w:tcW w:w="515" w:type="pct"/>
            <w:tcBorders>
              <w:top w:val="single" w:sz="4" w:space="0" w:color="auto"/>
              <w:left w:val="nil"/>
              <w:bottom w:val="single" w:sz="4" w:space="0" w:color="auto"/>
              <w:right w:val="single" w:sz="4" w:space="0" w:color="auto"/>
            </w:tcBorders>
            <w:shd w:val="clear" w:color="auto" w:fill="FFFFFF" w:themeFill="background1"/>
            <w:noWrap/>
            <w:hideMark/>
          </w:tcPr>
          <w:p w14:paraId="169866C3" w14:textId="77777777" w:rsidR="007B5DB7" w:rsidRPr="00186C76" w:rsidRDefault="007B5DB7" w:rsidP="00186C76">
            <w:pPr>
              <w:shd w:val="clear" w:color="auto" w:fill="FFFFFF" w:themeFill="background1"/>
              <w:rPr>
                <w:sz w:val="16"/>
                <w:szCs w:val="16"/>
              </w:rPr>
            </w:pPr>
            <w:r w:rsidRPr="00186C76">
              <w:rPr>
                <w:sz w:val="16"/>
                <w:szCs w:val="16"/>
              </w:rPr>
              <w:t> </w:t>
            </w:r>
          </w:p>
        </w:tc>
      </w:tr>
      <w:tr w:rsidR="00BA3246" w:rsidRPr="00186C76" w14:paraId="11764FBE" w14:textId="77777777" w:rsidTr="00095A18">
        <w:trPr>
          <w:trHeight w:val="1545"/>
          <w:jc w:val="center"/>
        </w:trPr>
        <w:tc>
          <w:tcPr>
            <w:tcW w:w="240" w:type="pct"/>
            <w:tcBorders>
              <w:top w:val="nil"/>
              <w:left w:val="single" w:sz="4" w:space="0" w:color="auto"/>
              <w:bottom w:val="single" w:sz="4" w:space="0" w:color="auto"/>
              <w:right w:val="single" w:sz="4" w:space="0" w:color="auto"/>
            </w:tcBorders>
            <w:shd w:val="clear" w:color="auto" w:fill="FFFFFF" w:themeFill="background1"/>
            <w:noWrap/>
            <w:hideMark/>
          </w:tcPr>
          <w:p w14:paraId="104E64B3" w14:textId="77777777" w:rsidR="007B5DB7" w:rsidRPr="00186C76" w:rsidRDefault="007B5DB7" w:rsidP="00186C76">
            <w:pPr>
              <w:shd w:val="clear" w:color="auto" w:fill="FFFFFF" w:themeFill="background1"/>
              <w:jc w:val="center"/>
              <w:rPr>
                <w:sz w:val="16"/>
                <w:szCs w:val="16"/>
              </w:rPr>
            </w:pPr>
            <w:r w:rsidRPr="00186C76">
              <w:rPr>
                <w:sz w:val="16"/>
                <w:szCs w:val="16"/>
              </w:rPr>
              <w:t>6</w:t>
            </w:r>
          </w:p>
        </w:tc>
        <w:tc>
          <w:tcPr>
            <w:tcW w:w="717" w:type="pct"/>
            <w:tcBorders>
              <w:top w:val="nil"/>
              <w:left w:val="nil"/>
              <w:bottom w:val="single" w:sz="4" w:space="0" w:color="auto"/>
              <w:right w:val="single" w:sz="4" w:space="0" w:color="auto"/>
            </w:tcBorders>
            <w:shd w:val="clear" w:color="auto" w:fill="FFFFFF" w:themeFill="background1"/>
            <w:hideMark/>
          </w:tcPr>
          <w:p w14:paraId="2A79EA64" w14:textId="77777777" w:rsidR="007B5DB7" w:rsidRPr="00186C76" w:rsidRDefault="007B5DB7" w:rsidP="00186C76">
            <w:pPr>
              <w:shd w:val="clear" w:color="auto" w:fill="FFFFFF" w:themeFill="background1"/>
              <w:rPr>
                <w:sz w:val="16"/>
                <w:szCs w:val="16"/>
              </w:rPr>
            </w:pPr>
            <w:r w:rsidRPr="00186C76">
              <w:rPr>
                <w:sz w:val="16"/>
                <w:szCs w:val="16"/>
              </w:rPr>
              <w:t>ПМС № 77 от 28 май 2025 г. за одобряване на допълнителни разходи по бюджета на Министерския съвет за 2025 г.</w:t>
            </w:r>
          </w:p>
        </w:tc>
        <w:tc>
          <w:tcPr>
            <w:tcW w:w="883" w:type="pct"/>
            <w:tcBorders>
              <w:top w:val="nil"/>
              <w:left w:val="nil"/>
              <w:bottom w:val="single" w:sz="4" w:space="0" w:color="auto"/>
              <w:right w:val="single" w:sz="4" w:space="0" w:color="auto"/>
            </w:tcBorders>
            <w:shd w:val="clear" w:color="auto" w:fill="FFFFFF" w:themeFill="background1"/>
            <w:hideMark/>
          </w:tcPr>
          <w:p w14:paraId="2221BD1F" w14:textId="04D7CCFA" w:rsidR="007B5DB7" w:rsidRPr="00186C76" w:rsidRDefault="007B5DB7" w:rsidP="00186C76">
            <w:pPr>
              <w:shd w:val="clear" w:color="auto" w:fill="FFFFFF" w:themeFill="background1"/>
              <w:rPr>
                <w:sz w:val="16"/>
                <w:szCs w:val="16"/>
              </w:rPr>
            </w:pPr>
            <w:r w:rsidRPr="00186C76">
              <w:rPr>
                <w:sz w:val="16"/>
                <w:szCs w:val="16"/>
              </w:rPr>
              <w:t>чл. 109, ал. 3, ал. 5 и ал. 7 от З</w:t>
            </w:r>
            <w:r w:rsidR="00721C8D" w:rsidRPr="00186C76">
              <w:rPr>
                <w:sz w:val="16"/>
                <w:szCs w:val="16"/>
              </w:rPr>
              <w:t>ПФ</w:t>
            </w:r>
          </w:p>
        </w:tc>
        <w:tc>
          <w:tcPr>
            <w:tcW w:w="1178" w:type="pct"/>
            <w:tcBorders>
              <w:top w:val="nil"/>
              <w:left w:val="nil"/>
              <w:bottom w:val="single" w:sz="4" w:space="0" w:color="auto"/>
              <w:right w:val="single" w:sz="4" w:space="0" w:color="auto"/>
            </w:tcBorders>
            <w:shd w:val="clear" w:color="auto" w:fill="FFFFFF" w:themeFill="background1"/>
            <w:vAlign w:val="bottom"/>
            <w:hideMark/>
          </w:tcPr>
          <w:p w14:paraId="036109FC" w14:textId="77777777" w:rsidR="007B5DB7" w:rsidRPr="00186C76" w:rsidRDefault="007B5DB7" w:rsidP="00186C76">
            <w:pPr>
              <w:shd w:val="clear" w:color="auto" w:fill="FFFFFF" w:themeFill="background1"/>
              <w:rPr>
                <w:sz w:val="16"/>
                <w:szCs w:val="16"/>
              </w:rPr>
            </w:pPr>
            <w:r w:rsidRPr="00186C76">
              <w:rPr>
                <w:sz w:val="16"/>
                <w:szCs w:val="16"/>
              </w:rPr>
              <w:t>Дейности по охрана на демонтираните бронзови фигури и барелефи – част от монумент „Паметник на Съветската армия“, наем на скеле и наем на ограда за обезопасяване на монумента, извършвани от областния управител на област София</w:t>
            </w:r>
          </w:p>
        </w:tc>
        <w:tc>
          <w:tcPr>
            <w:tcW w:w="808" w:type="pct"/>
            <w:tcBorders>
              <w:top w:val="nil"/>
              <w:left w:val="nil"/>
              <w:bottom w:val="single" w:sz="4" w:space="0" w:color="auto"/>
              <w:right w:val="single" w:sz="4" w:space="0" w:color="auto"/>
            </w:tcBorders>
            <w:shd w:val="clear" w:color="auto" w:fill="FFFFFF" w:themeFill="background1"/>
            <w:hideMark/>
          </w:tcPr>
          <w:p w14:paraId="3CC8B31B" w14:textId="77777777" w:rsidR="007B5DB7" w:rsidRPr="00186C76" w:rsidRDefault="007B5DB7" w:rsidP="00186C76">
            <w:pPr>
              <w:shd w:val="clear" w:color="auto" w:fill="FFFFFF" w:themeFill="background1"/>
              <w:rPr>
                <w:sz w:val="16"/>
                <w:szCs w:val="16"/>
              </w:rPr>
            </w:pPr>
            <w:r w:rsidRPr="00186C76">
              <w:rPr>
                <w:sz w:val="16"/>
                <w:szCs w:val="16"/>
              </w:rPr>
              <w:t>0300.03.01 Бюджетна програма „Осъществяване на държавната</w:t>
            </w:r>
            <w:r w:rsidRPr="00186C76">
              <w:rPr>
                <w:sz w:val="16"/>
                <w:szCs w:val="16"/>
              </w:rPr>
              <w:br/>
              <w:t>политика на областно ниво“</w:t>
            </w:r>
          </w:p>
        </w:tc>
        <w:tc>
          <w:tcPr>
            <w:tcW w:w="659" w:type="pct"/>
            <w:tcBorders>
              <w:top w:val="nil"/>
              <w:left w:val="nil"/>
              <w:bottom w:val="single" w:sz="4" w:space="0" w:color="auto"/>
              <w:right w:val="single" w:sz="4" w:space="0" w:color="auto"/>
            </w:tcBorders>
            <w:shd w:val="clear" w:color="auto" w:fill="FFFFFF" w:themeFill="background1"/>
            <w:noWrap/>
            <w:hideMark/>
          </w:tcPr>
          <w:p w14:paraId="7A8BF33D" w14:textId="77777777" w:rsidR="007B5DB7" w:rsidRPr="00186C76" w:rsidRDefault="007B5DB7" w:rsidP="00186C76">
            <w:pPr>
              <w:shd w:val="clear" w:color="auto" w:fill="FFFFFF" w:themeFill="background1"/>
              <w:jc w:val="right"/>
              <w:rPr>
                <w:sz w:val="16"/>
                <w:szCs w:val="16"/>
              </w:rPr>
            </w:pPr>
            <w:r w:rsidRPr="00186C76">
              <w:rPr>
                <w:sz w:val="16"/>
                <w:szCs w:val="16"/>
              </w:rPr>
              <w:t>373 630</w:t>
            </w:r>
          </w:p>
        </w:tc>
        <w:tc>
          <w:tcPr>
            <w:tcW w:w="515" w:type="pct"/>
            <w:tcBorders>
              <w:top w:val="nil"/>
              <w:left w:val="nil"/>
              <w:bottom w:val="single" w:sz="4" w:space="0" w:color="auto"/>
              <w:right w:val="single" w:sz="4" w:space="0" w:color="auto"/>
            </w:tcBorders>
            <w:shd w:val="clear" w:color="auto" w:fill="FFFFFF" w:themeFill="background1"/>
            <w:noWrap/>
            <w:hideMark/>
          </w:tcPr>
          <w:p w14:paraId="65FF6298" w14:textId="77777777" w:rsidR="007B5DB7" w:rsidRPr="00186C76" w:rsidRDefault="007B5DB7" w:rsidP="00186C76">
            <w:pPr>
              <w:shd w:val="clear" w:color="auto" w:fill="FFFFFF" w:themeFill="background1"/>
              <w:rPr>
                <w:sz w:val="16"/>
                <w:szCs w:val="16"/>
              </w:rPr>
            </w:pPr>
            <w:r w:rsidRPr="00186C76">
              <w:rPr>
                <w:sz w:val="16"/>
                <w:szCs w:val="16"/>
              </w:rPr>
              <w:t> </w:t>
            </w:r>
          </w:p>
        </w:tc>
      </w:tr>
      <w:tr w:rsidR="00BA3246" w:rsidRPr="00186C76" w14:paraId="421437BF" w14:textId="77777777" w:rsidTr="00095A18">
        <w:trPr>
          <w:trHeight w:val="1449"/>
          <w:jc w:val="center"/>
        </w:trPr>
        <w:tc>
          <w:tcPr>
            <w:tcW w:w="240" w:type="pct"/>
            <w:tcBorders>
              <w:top w:val="nil"/>
              <w:left w:val="single" w:sz="4" w:space="0" w:color="auto"/>
              <w:bottom w:val="single" w:sz="4" w:space="0" w:color="auto"/>
              <w:right w:val="single" w:sz="4" w:space="0" w:color="auto"/>
            </w:tcBorders>
            <w:shd w:val="clear" w:color="auto" w:fill="FFFFFF" w:themeFill="background1"/>
            <w:noWrap/>
            <w:hideMark/>
          </w:tcPr>
          <w:p w14:paraId="02DDDC6E" w14:textId="77777777" w:rsidR="007B5DB7" w:rsidRPr="00186C76" w:rsidRDefault="007B5DB7" w:rsidP="00186C76">
            <w:pPr>
              <w:shd w:val="clear" w:color="auto" w:fill="FFFFFF" w:themeFill="background1"/>
              <w:jc w:val="center"/>
              <w:rPr>
                <w:sz w:val="16"/>
                <w:szCs w:val="16"/>
              </w:rPr>
            </w:pPr>
            <w:r w:rsidRPr="00186C76">
              <w:rPr>
                <w:sz w:val="16"/>
                <w:szCs w:val="16"/>
              </w:rPr>
              <w:t>7</w:t>
            </w:r>
          </w:p>
        </w:tc>
        <w:tc>
          <w:tcPr>
            <w:tcW w:w="717" w:type="pct"/>
            <w:tcBorders>
              <w:top w:val="nil"/>
              <w:left w:val="nil"/>
              <w:bottom w:val="single" w:sz="4" w:space="0" w:color="auto"/>
              <w:right w:val="single" w:sz="4" w:space="0" w:color="auto"/>
            </w:tcBorders>
            <w:shd w:val="clear" w:color="auto" w:fill="FFFFFF" w:themeFill="background1"/>
            <w:hideMark/>
          </w:tcPr>
          <w:p w14:paraId="145E287A" w14:textId="4BCC367F" w:rsidR="007B5DB7" w:rsidRPr="00186C76" w:rsidRDefault="007B5DB7" w:rsidP="00BF75D7">
            <w:pPr>
              <w:shd w:val="clear" w:color="auto" w:fill="FFFFFF" w:themeFill="background1"/>
              <w:rPr>
                <w:sz w:val="16"/>
                <w:szCs w:val="16"/>
              </w:rPr>
            </w:pPr>
            <w:r w:rsidRPr="00186C76">
              <w:rPr>
                <w:sz w:val="16"/>
                <w:szCs w:val="16"/>
              </w:rPr>
              <w:t xml:space="preserve">Писмо от министъра на финансите </w:t>
            </w:r>
            <w:r w:rsidR="00BF75D7">
              <w:rPr>
                <w:sz w:val="16"/>
                <w:szCs w:val="16"/>
              </w:rPr>
              <w:br/>
            </w:r>
            <w:r w:rsidRPr="00186C76">
              <w:rPr>
                <w:sz w:val="16"/>
                <w:szCs w:val="16"/>
              </w:rPr>
              <w:t>№ 03-00-421/</w:t>
            </w:r>
            <w:r w:rsidR="00BF75D7">
              <w:rPr>
                <w:sz w:val="16"/>
                <w:szCs w:val="16"/>
              </w:rPr>
              <w:t xml:space="preserve"> </w:t>
            </w:r>
            <w:r w:rsidRPr="00186C76">
              <w:rPr>
                <w:sz w:val="16"/>
                <w:szCs w:val="16"/>
              </w:rPr>
              <w:t>04.06.2025 г.</w:t>
            </w:r>
          </w:p>
        </w:tc>
        <w:tc>
          <w:tcPr>
            <w:tcW w:w="883" w:type="pct"/>
            <w:tcBorders>
              <w:top w:val="nil"/>
              <w:left w:val="nil"/>
              <w:bottom w:val="single" w:sz="4" w:space="0" w:color="auto"/>
              <w:right w:val="single" w:sz="4" w:space="0" w:color="auto"/>
            </w:tcBorders>
            <w:shd w:val="clear" w:color="auto" w:fill="FFFFFF" w:themeFill="background1"/>
            <w:hideMark/>
          </w:tcPr>
          <w:p w14:paraId="7B4392DB" w14:textId="4C7F79C1" w:rsidR="00BF75D7" w:rsidRPr="00186C76" w:rsidRDefault="007B5DB7" w:rsidP="00186C76">
            <w:pPr>
              <w:shd w:val="clear" w:color="auto" w:fill="FFFFFF" w:themeFill="background1"/>
              <w:rPr>
                <w:sz w:val="16"/>
                <w:szCs w:val="16"/>
              </w:rPr>
            </w:pPr>
            <w:r w:rsidRPr="00186C76">
              <w:rPr>
                <w:sz w:val="16"/>
                <w:szCs w:val="16"/>
              </w:rPr>
              <w:t xml:space="preserve">чл. 110, ал. 1 и 10 от </w:t>
            </w:r>
            <w:r w:rsidR="00721C8D" w:rsidRPr="00186C76">
              <w:rPr>
                <w:sz w:val="16"/>
                <w:szCs w:val="16"/>
              </w:rPr>
              <w:t>ЗПФ</w:t>
            </w:r>
            <w:r w:rsidRPr="00186C76">
              <w:rPr>
                <w:sz w:val="16"/>
                <w:szCs w:val="16"/>
              </w:rPr>
              <w:t>, чл. 6, ал. 3 от ПМС № 28 от 16.04.2025 г. за изпълнението на държавния бюджет на РБ за 2025 г.</w:t>
            </w:r>
          </w:p>
        </w:tc>
        <w:tc>
          <w:tcPr>
            <w:tcW w:w="1178" w:type="pct"/>
            <w:tcBorders>
              <w:top w:val="nil"/>
              <w:left w:val="nil"/>
              <w:bottom w:val="single" w:sz="4" w:space="0" w:color="auto"/>
              <w:right w:val="single" w:sz="4" w:space="0" w:color="auto"/>
            </w:tcBorders>
            <w:shd w:val="clear" w:color="auto" w:fill="FFFFFF" w:themeFill="background1"/>
            <w:hideMark/>
          </w:tcPr>
          <w:p w14:paraId="6A65D7CA" w14:textId="57BBEC16" w:rsidR="007B5DB7" w:rsidRPr="00186C76" w:rsidRDefault="007B5DB7" w:rsidP="00186C76">
            <w:pPr>
              <w:shd w:val="clear" w:color="auto" w:fill="FFFFFF" w:themeFill="background1"/>
              <w:rPr>
                <w:sz w:val="16"/>
                <w:szCs w:val="16"/>
              </w:rPr>
            </w:pPr>
            <w:r w:rsidRPr="00186C76">
              <w:rPr>
                <w:sz w:val="16"/>
                <w:szCs w:val="16"/>
              </w:rPr>
              <w:t xml:space="preserve">Дарение от страната във връзка с провеждане на 77-ми НТП "По пътя на Ботевата чета Козлодуй </w:t>
            </w:r>
            <w:r w:rsidR="007640A2">
              <w:rPr>
                <w:sz w:val="16"/>
                <w:szCs w:val="16"/>
              </w:rPr>
              <w:t>–</w:t>
            </w:r>
            <w:r w:rsidRPr="00186C76">
              <w:rPr>
                <w:sz w:val="16"/>
                <w:szCs w:val="16"/>
              </w:rPr>
              <w:t xml:space="preserve"> Околчица 2025 г.</w:t>
            </w:r>
          </w:p>
        </w:tc>
        <w:tc>
          <w:tcPr>
            <w:tcW w:w="808" w:type="pct"/>
            <w:tcBorders>
              <w:top w:val="nil"/>
              <w:left w:val="nil"/>
              <w:bottom w:val="single" w:sz="4" w:space="0" w:color="auto"/>
              <w:right w:val="single" w:sz="4" w:space="0" w:color="auto"/>
            </w:tcBorders>
            <w:shd w:val="clear" w:color="auto" w:fill="FFFFFF" w:themeFill="background1"/>
            <w:hideMark/>
          </w:tcPr>
          <w:p w14:paraId="60144084" w14:textId="3E0F7E86" w:rsidR="007B5DB7" w:rsidRPr="00186C76" w:rsidRDefault="007B5DB7" w:rsidP="00186C76">
            <w:pPr>
              <w:shd w:val="clear" w:color="auto" w:fill="FFFFFF" w:themeFill="background1"/>
              <w:spacing w:after="240"/>
              <w:rPr>
                <w:sz w:val="16"/>
                <w:szCs w:val="16"/>
              </w:rPr>
            </w:pPr>
            <w:r w:rsidRPr="00186C76">
              <w:rPr>
                <w:sz w:val="16"/>
                <w:szCs w:val="16"/>
              </w:rPr>
              <w:t>0300.03.01 – Бюджетна програма „Осъществяване на държавн</w:t>
            </w:r>
            <w:r w:rsidR="00BF75D7">
              <w:rPr>
                <w:sz w:val="16"/>
                <w:szCs w:val="16"/>
              </w:rPr>
              <w:t xml:space="preserve">ата политика на областно ниво“ </w:t>
            </w:r>
          </w:p>
        </w:tc>
        <w:tc>
          <w:tcPr>
            <w:tcW w:w="659" w:type="pct"/>
            <w:tcBorders>
              <w:top w:val="nil"/>
              <w:left w:val="nil"/>
              <w:bottom w:val="single" w:sz="4" w:space="0" w:color="auto"/>
              <w:right w:val="single" w:sz="4" w:space="0" w:color="auto"/>
            </w:tcBorders>
            <w:shd w:val="clear" w:color="auto" w:fill="FFFFFF" w:themeFill="background1"/>
            <w:noWrap/>
            <w:hideMark/>
          </w:tcPr>
          <w:p w14:paraId="03FBE385" w14:textId="77777777" w:rsidR="007B5DB7" w:rsidRPr="00186C76" w:rsidRDefault="007B5DB7" w:rsidP="00186C76">
            <w:pPr>
              <w:shd w:val="clear" w:color="auto" w:fill="FFFFFF" w:themeFill="background1"/>
              <w:jc w:val="right"/>
              <w:rPr>
                <w:sz w:val="16"/>
                <w:szCs w:val="16"/>
              </w:rPr>
            </w:pPr>
            <w:r w:rsidRPr="00186C76">
              <w:rPr>
                <w:sz w:val="16"/>
                <w:szCs w:val="16"/>
              </w:rPr>
              <w:t>14 500</w:t>
            </w:r>
          </w:p>
        </w:tc>
        <w:tc>
          <w:tcPr>
            <w:tcW w:w="515" w:type="pct"/>
            <w:tcBorders>
              <w:top w:val="nil"/>
              <w:left w:val="nil"/>
              <w:bottom w:val="single" w:sz="4" w:space="0" w:color="auto"/>
              <w:right w:val="single" w:sz="4" w:space="0" w:color="auto"/>
            </w:tcBorders>
            <w:shd w:val="clear" w:color="auto" w:fill="FFFFFF" w:themeFill="background1"/>
            <w:noWrap/>
            <w:hideMark/>
          </w:tcPr>
          <w:p w14:paraId="71541771" w14:textId="77777777" w:rsidR="007B5DB7" w:rsidRPr="00186C76" w:rsidRDefault="007B5DB7" w:rsidP="00186C76">
            <w:pPr>
              <w:shd w:val="clear" w:color="auto" w:fill="FFFFFF" w:themeFill="background1"/>
              <w:rPr>
                <w:sz w:val="16"/>
                <w:szCs w:val="16"/>
              </w:rPr>
            </w:pPr>
            <w:r w:rsidRPr="00186C76">
              <w:rPr>
                <w:sz w:val="16"/>
                <w:szCs w:val="16"/>
              </w:rPr>
              <w:t> </w:t>
            </w:r>
          </w:p>
        </w:tc>
      </w:tr>
      <w:tr w:rsidR="00BA3246" w:rsidRPr="00186C76" w14:paraId="500C6E9C" w14:textId="77777777" w:rsidTr="00095A18">
        <w:trPr>
          <w:trHeight w:val="2985"/>
          <w:jc w:val="center"/>
        </w:trPr>
        <w:tc>
          <w:tcPr>
            <w:tcW w:w="240" w:type="pct"/>
            <w:tcBorders>
              <w:top w:val="nil"/>
              <w:left w:val="single" w:sz="4" w:space="0" w:color="auto"/>
              <w:bottom w:val="single" w:sz="4" w:space="0" w:color="auto"/>
              <w:right w:val="single" w:sz="4" w:space="0" w:color="auto"/>
            </w:tcBorders>
            <w:shd w:val="clear" w:color="auto" w:fill="FFFFFF" w:themeFill="background1"/>
            <w:noWrap/>
            <w:hideMark/>
          </w:tcPr>
          <w:p w14:paraId="1CAB713B" w14:textId="77777777" w:rsidR="007B5DB7" w:rsidRPr="00186C76" w:rsidRDefault="007B5DB7" w:rsidP="00186C76">
            <w:pPr>
              <w:shd w:val="clear" w:color="auto" w:fill="FFFFFF" w:themeFill="background1"/>
              <w:jc w:val="center"/>
              <w:rPr>
                <w:sz w:val="16"/>
                <w:szCs w:val="16"/>
              </w:rPr>
            </w:pPr>
            <w:r w:rsidRPr="00186C76">
              <w:rPr>
                <w:sz w:val="16"/>
                <w:szCs w:val="16"/>
              </w:rPr>
              <w:t>8</w:t>
            </w:r>
          </w:p>
        </w:tc>
        <w:tc>
          <w:tcPr>
            <w:tcW w:w="717" w:type="pct"/>
            <w:tcBorders>
              <w:top w:val="nil"/>
              <w:left w:val="nil"/>
              <w:bottom w:val="single" w:sz="4" w:space="0" w:color="auto"/>
              <w:right w:val="single" w:sz="4" w:space="0" w:color="auto"/>
            </w:tcBorders>
            <w:shd w:val="clear" w:color="auto" w:fill="FFFFFF" w:themeFill="background1"/>
            <w:hideMark/>
          </w:tcPr>
          <w:p w14:paraId="7823ABE9" w14:textId="01529F86" w:rsidR="007B5DB7" w:rsidRPr="00186C76" w:rsidRDefault="007B5DB7" w:rsidP="00186C76">
            <w:pPr>
              <w:shd w:val="clear" w:color="auto" w:fill="FFFFFF" w:themeFill="background1"/>
              <w:rPr>
                <w:sz w:val="16"/>
                <w:szCs w:val="16"/>
              </w:rPr>
            </w:pPr>
            <w:r w:rsidRPr="00186C76">
              <w:rPr>
                <w:sz w:val="16"/>
                <w:szCs w:val="16"/>
              </w:rPr>
              <w:t xml:space="preserve">Писмо от МС </w:t>
            </w:r>
            <w:r w:rsidR="00BF75D7">
              <w:rPr>
                <w:sz w:val="16"/>
                <w:szCs w:val="16"/>
              </w:rPr>
              <w:br/>
            </w:r>
            <w:r w:rsidRPr="00186C76">
              <w:rPr>
                <w:sz w:val="16"/>
                <w:szCs w:val="16"/>
              </w:rPr>
              <w:t>№ 02.09-368/</w:t>
            </w:r>
            <w:r w:rsidRPr="00186C76">
              <w:rPr>
                <w:sz w:val="16"/>
                <w:szCs w:val="16"/>
              </w:rPr>
              <w:br/>
              <w:t>05.06.2025 г.</w:t>
            </w:r>
          </w:p>
        </w:tc>
        <w:tc>
          <w:tcPr>
            <w:tcW w:w="883" w:type="pct"/>
            <w:tcBorders>
              <w:top w:val="nil"/>
              <w:left w:val="nil"/>
              <w:bottom w:val="single" w:sz="4" w:space="0" w:color="auto"/>
              <w:right w:val="single" w:sz="4" w:space="0" w:color="auto"/>
            </w:tcBorders>
            <w:shd w:val="clear" w:color="auto" w:fill="FFFFFF" w:themeFill="background1"/>
            <w:hideMark/>
          </w:tcPr>
          <w:p w14:paraId="0B8714CA" w14:textId="40914ADA" w:rsidR="007B5DB7" w:rsidRPr="00186C76" w:rsidRDefault="007B5DB7" w:rsidP="00186C76">
            <w:pPr>
              <w:shd w:val="clear" w:color="auto" w:fill="FFFFFF" w:themeFill="background1"/>
              <w:rPr>
                <w:sz w:val="16"/>
                <w:szCs w:val="16"/>
              </w:rPr>
            </w:pPr>
            <w:r w:rsidRPr="00186C76">
              <w:rPr>
                <w:sz w:val="16"/>
                <w:szCs w:val="16"/>
              </w:rPr>
              <w:t xml:space="preserve">чл. 112, ал. </w:t>
            </w:r>
            <w:r w:rsidR="001838C1" w:rsidRPr="00186C76">
              <w:rPr>
                <w:sz w:val="16"/>
                <w:szCs w:val="16"/>
              </w:rPr>
              <w:t>3</w:t>
            </w:r>
            <w:r w:rsidRPr="00186C76">
              <w:rPr>
                <w:sz w:val="16"/>
                <w:szCs w:val="16"/>
              </w:rPr>
              <w:t xml:space="preserve"> от </w:t>
            </w:r>
            <w:r w:rsidR="00721C8D" w:rsidRPr="00186C76">
              <w:rPr>
                <w:sz w:val="16"/>
                <w:szCs w:val="16"/>
              </w:rPr>
              <w:t>ЗПФ</w:t>
            </w:r>
          </w:p>
        </w:tc>
        <w:tc>
          <w:tcPr>
            <w:tcW w:w="1178" w:type="pct"/>
            <w:tcBorders>
              <w:top w:val="nil"/>
              <w:left w:val="nil"/>
              <w:bottom w:val="single" w:sz="4" w:space="0" w:color="auto"/>
              <w:right w:val="single" w:sz="4" w:space="0" w:color="auto"/>
            </w:tcBorders>
            <w:shd w:val="clear" w:color="auto" w:fill="FFFFFF" w:themeFill="background1"/>
            <w:hideMark/>
          </w:tcPr>
          <w:p w14:paraId="583548B2" w14:textId="4AC481B5" w:rsidR="007B5DB7" w:rsidRPr="00186C76" w:rsidRDefault="007B5DB7" w:rsidP="00BF75D7">
            <w:pPr>
              <w:shd w:val="clear" w:color="auto" w:fill="FFFFFF" w:themeFill="background1"/>
              <w:rPr>
                <w:sz w:val="16"/>
                <w:szCs w:val="16"/>
              </w:rPr>
            </w:pPr>
            <w:r w:rsidRPr="00186C76">
              <w:rPr>
                <w:sz w:val="16"/>
                <w:szCs w:val="16"/>
              </w:rPr>
              <w:t>Получени трансфери през месец февруари и месец март 2025 г. от ПУДООС, представляващи плащане за договорените дейности по договор № 16541 от 28.01.2025 г. между областна администрация Плевен и ПУДООС за предоставяне на безвъзмездна финансова помощ за проект „Закупуване на техника за поддръжка на Защитена местност Кайлъка с цел опазване на биологичното разнообразие и подобряване на туристическата инфраструктура“.</w:t>
            </w:r>
          </w:p>
        </w:tc>
        <w:tc>
          <w:tcPr>
            <w:tcW w:w="808" w:type="pct"/>
            <w:tcBorders>
              <w:top w:val="nil"/>
              <w:left w:val="nil"/>
              <w:bottom w:val="single" w:sz="4" w:space="0" w:color="auto"/>
              <w:right w:val="single" w:sz="4" w:space="0" w:color="auto"/>
            </w:tcBorders>
            <w:shd w:val="clear" w:color="auto" w:fill="FFFFFF" w:themeFill="background1"/>
            <w:hideMark/>
          </w:tcPr>
          <w:p w14:paraId="0F32C12A" w14:textId="313F1AC3" w:rsidR="007B5DB7" w:rsidRPr="00186C76" w:rsidRDefault="007B5DB7" w:rsidP="00186C76">
            <w:pPr>
              <w:shd w:val="clear" w:color="auto" w:fill="FFFFFF" w:themeFill="background1"/>
              <w:rPr>
                <w:sz w:val="16"/>
                <w:szCs w:val="16"/>
              </w:rPr>
            </w:pPr>
            <w:r w:rsidRPr="00186C76">
              <w:rPr>
                <w:sz w:val="16"/>
                <w:szCs w:val="16"/>
              </w:rPr>
              <w:t xml:space="preserve">0300.03.01 Бюджетна програма „Осъществяване на </w:t>
            </w:r>
            <w:r w:rsidRPr="00186C76">
              <w:rPr>
                <w:sz w:val="16"/>
                <w:szCs w:val="16"/>
              </w:rPr>
              <w:br/>
              <w:t>държавната политика на областно ниво“</w:t>
            </w:r>
          </w:p>
        </w:tc>
        <w:tc>
          <w:tcPr>
            <w:tcW w:w="659" w:type="pct"/>
            <w:tcBorders>
              <w:top w:val="nil"/>
              <w:left w:val="nil"/>
              <w:bottom w:val="single" w:sz="4" w:space="0" w:color="auto"/>
              <w:right w:val="single" w:sz="4" w:space="0" w:color="auto"/>
            </w:tcBorders>
            <w:shd w:val="clear" w:color="auto" w:fill="FFFFFF" w:themeFill="background1"/>
            <w:noWrap/>
            <w:hideMark/>
          </w:tcPr>
          <w:p w14:paraId="29291C56" w14:textId="77777777" w:rsidR="007B5DB7" w:rsidRPr="00186C76" w:rsidRDefault="007B5DB7" w:rsidP="00186C76">
            <w:pPr>
              <w:shd w:val="clear" w:color="auto" w:fill="FFFFFF" w:themeFill="background1"/>
              <w:jc w:val="right"/>
              <w:rPr>
                <w:sz w:val="16"/>
                <w:szCs w:val="16"/>
              </w:rPr>
            </w:pPr>
            <w:r w:rsidRPr="00186C76">
              <w:rPr>
                <w:sz w:val="16"/>
                <w:szCs w:val="16"/>
              </w:rPr>
              <w:t>9 833</w:t>
            </w:r>
          </w:p>
        </w:tc>
        <w:tc>
          <w:tcPr>
            <w:tcW w:w="515" w:type="pct"/>
            <w:tcBorders>
              <w:top w:val="nil"/>
              <w:left w:val="nil"/>
              <w:bottom w:val="single" w:sz="4" w:space="0" w:color="auto"/>
              <w:right w:val="single" w:sz="4" w:space="0" w:color="auto"/>
            </w:tcBorders>
            <w:shd w:val="clear" w:color="auto" w:fill="FFFFFF" w:themeFill="background1"/>
            <w:noWrap/>
            <w:hideMark/>
          </w:tcPr>
          <w:p w14:paraId="2930CBF0" w14:textId="77777777" w:rsidR="007B5DB7" w:rsidRPr="00186C76" w:rsidRDefault="007B5DB7" w:rsidP="00186C76">
            <w:pPr>
              <w:shd w:val="clear" w:color="auto" w:fill="FFFFFF" w:themeFill="background1"/>
              <w:rPr>
                <w:sz w:val="16"/>
                <w:szCs w:val="16"/>
              </w:rPr>
            </w:pPr>
            <w:r w:rsidRPr="00186C76">
              <w:rPr>
                <w:sz w:val="16"/>
                <w:szCs w:val="16"/>
              </w:rPr>
              <w:t> </w:t>
            </w:r>
          </w:p>
        </w:tc>
      </w:tr>
      <w:tr w:rsidR="00BA3246" w:rsidRPr="00186C76" w14:paraId="24C0922B" w14:textId="77777777" w:rsidTr="00095A18">
        <w:trPr>
          <w:trHeight w:val="1392"/>
          <w:jc w:val="center"/>
        </w:trPr>
        <w:tc>
          <w:tcPr>
            <w:tcW w:w="240" w:type="pct"/>
            <w:tcBorders>
              <w:top w:val="nil"/>
              <w:left w:val="single" w:sz="4" w:space="0" w:color="auto"/>
              <w:bottom w:val="single" w:sz="4" w:space="0" w:color="auto"/>
              <w:right w:val="single" w:sz="4" w:space="0" w:color="auto"/>
            </w:tcBorders>
            <w:shd w:val="clear" w:color="auto" w:fill="FFFFFF" w:themeFill="background1"/>
            <w:noWrap/>
            <w:hideMark/>
          </w:tcPr>
          <w:p w14:paraId="07FC27E6" w14:textId="77777777" w:rsidR="007B5DB7" w:rsidRPr="00186C76" w:rsidRDefault="007B5DB7" w:rsidP="00186C76">
            <w:pPr>
              <w:shd w:val="clear" w:color="auto" w:fill="FFFFFF" w:themeFill="background1"/>
              <w:jc w:val="center"/>
              <w:rPr>
                <w:sz w:val="16"/>
                <w:szCs w:val="16"/>
              </w:rPr>
            </w:pPr>
            <w:r w:rsidRPr="00186C76">
              <w:rPr>
                <w:sz w:val="16"/>
                <w:szCs w:val="16"/>
              </w:rPr>
              <w:t>9</w:t>
            </w:r>
          </w:p>
        </w:tc>
        <w:tc>
          <w:tcPr>
            <w:tcW w:w="717" w:type="pct"/>
            <w:tcBorders>
              <w:top w:val="nil"/>
              <w:left w:val="nil"/>
              <w:bottom w:val="single" w:sz="4" w:space="0" w:color="auto"/>
              <w:right w:val="single" w:sz="4" w:space="0" w:color="auto"/>
            </w:tcBorders>
            <w:shd w:val="clear" w:color="auto" w:fill="FFFFFF" w:themeFill="background1"/>
            <w:hideMark/>
          </w:tcPr>
          <w:p w14:paraId="6F935222" w14:textId="73D210EA" w:rsidR="007B5DB7" w:rsidRPr="00186C76" w:rsidRDefault="007B5DB7" w:rsidP="00186C76">
            <w:pPr>
              <w:shd w:val="clear" w:color="auto" w:fill="FFFFFF" w:themeFill="background1"/>
              <w:rPr>
                <w:sz w:val="16"/>
                <w:szCs w:val="16"/>
              </w:rPr>
            </w:pPr>
            <w:r w:rsidRPr="00186C76">
              <w:rPr>
                <w:sz w:val="16"/>
                <w:szCs w:val="16"/>
              </w:rPr>
              <w:t xml:space="preserve">Писмо от министъра на финансите </w:t>
            </w:r>
            <w:r w:rsidR="00BF75D7">
              <w:rPr>
                <w:sz w:val="16"/>
                <w:szCs w:val="16"/>
              </w:rPr>
              <w:br/>
            </w:r>
            <w:r w:rsidRPr="00186C76">
              <w:rPr>
                <w:sz w:val="16"/>
                <w:szCs w:val="16"/>
              </w:rPr>
              <w:t>№ 04-08-34/</w:t>
            </w:r>
            <w:r w:rsidR="00BF75D7">
              <w:rPr>
                <w:sz w:val="16"/>
                <w:szCs w:val="16"/>
              </w:rPr>
              <w:t xml:space="preserve"> </w:t>
            </w:r>
            <w:r w:rsidRPr="00186C76">
              <w:rPr>
                <w:sz w:val="16"/>
                <w:szCs w:val="16"/>
              </w:rPr>
              <w:t>24.06.2025 г.</w:t>
            </w:r>
          </w:p>
        </w:tc>
        <w:tc>
          <w:tcPr>
            <w:tcW w:w="883" w:type="pct"/>
            <w:tcBorders>
              <w:top w:val="nil"/>
              <w:left w:val="nil"/>
              <w:bottom w:val="single" w:sz="4" w:space="0" w:color="auto"/>
              <w:right w:val="single" w:sz="4" w:space="0" w:color="auto"/>
            </w:tcBorders>
            <w:shd w:val="clear" w:color="auto" w:fill="FFFFFF" w:themeFill="background1"/>
            <w:hideMark/>
          </w:tcPr>
          <w:p w14:paraId="01C2C94F" w14:textId="03844E0A" w:rsidR="007B5DB7" w:rsidRPr="00186C76" w:rsidRDefault="007B5DB7" w:rsidP="000A1677">
            <w:pPr>
              <w:shd w:val="clear" w:color="auto" w:fill="FFFFFF" w:themeFill="background1"/>
              <w:rPr>
                <w:sz w:val="16"/>
                <w:szCs w:val="16"/>
              </w:rPr>
            </w:pPr>
            <w:r w:rsidRPr="00186C76">
              <w:rPr>
                <w:sz w:val="16"/>
                <w:szCs w:val="16"/>
              </w:rPr>
              <w:t>чл. 110, ал. 4 и ал. 10 от З</w:t>
            </w:r>
            <w:r w:rsidR="00721C8D" w:rsidRPr="00186C76">
              <w:rPr>
                <w:sz w:val="16"/>
                <w:szCs w:val="16"/>
              </w:rPr>
              <w:t>ПФ</w:t>
            </w:r>
            <w:r w:rsidRPr="00186C76">
              <w:rPr>
                <w:sz w:val="16"/>
                <w:szCs w:val="16"/>
              </w:rPr>
              <w:t xml:space="preserve"> във връзка</w:t>
            </w:r>
            <w:r w:rsidR="00BF75D7">
              <w:rPr>
                <w:sz w:val="16"/>
                <w:szCs w:val="16"/>
              </w:rPr>
              <w:t xml:space="preserve"> с чл. 6, ал. 3 от ПМС</w:t>
            </w:r>
            <w:r w:rsidRPr="00186C76">
              <w:rPr>
                <w:sz w:val="16"/>
                <w:szCs w:val="16"/>
              </w:rPr>
              <w:t xml:space="preserve"> </w:t>
            </w:r>
            <w:r w:rsidR="00721C8D" w:rsidRPr="00186C76">
              <w:rPr>
                <w:sz w:val="16"/>
                <w:szCs w:val="16"/>
              </w:rPr>
              <w:br/>
            </w:r>
            <w:r w:rsidRPr="00186C76">
              <w:rPr>
                <w:sz w:val="16"/>
                <w:szCs w:val="16"/>
              </w:rPr>
              <w:t>№ 28 от 16.04.2025 г. за изпълнението на държавния бюджет на РБ за 2025 г.</w:t>
            </w:r>
          </w:p>
        </w:tc>
        <w:tc>
          <w:tcPr>
            <w:tcW w:w="1178" w:type="pct"/>
            <w:tcBorders>
              <w:top w:val="nil"/>
              <w:left w:val="nil"/>
              <w:bottom w:val="single" w:sz="4" w:space="0" w:color="auto"/>
              <w:right w:val="single" w:sz="4" w:space="0" w:color="auto"/>
            </w:tcBorders>
            <w:shd w:val="clear" w:color="auto" w:fill="FFFFFF" w:themeFill="background1"/>
            <w:hideMark/>
          </w:tcPr>
          <w:p w14:paraId="28B17EFE" w14:textId="77777777" w:rsidR="007B5DB7" w:rsidRPr="00186C76" w:rsidRDefault="007B5DB7" w:rsidP="00186C76">
            <w:pPr>
              <w:shd w:val="clear" w:color="auto" w:fill="FFFFFF" w:themeFill="background1"/>
              <w:rPr>
                <w:sz w:val="16"/>
                <w:szCs w:val="16"/>
              </w:rPr>
            </w:pPr>
            <w:r w:rsidRPr="00186C76">
              <w:rPr>
                <w:sz w:val="16"/>
                <w:szCs w:val="16"/>
              </w:rPr>
              <w:t>Получени трансфери от МТ по „Програмата за хуманитарно подпомагане на разселени лица от Украйна с предоставена временна закрила в Република България“</w:t>
            </w:r>
          </w:p>
        </w:tc>
        <w:tc>
          <w:tcPr>
            <w:tcW w:w="808" w:type="pct"/>
            <w:tcBorders>
              <w:top w:val="nil"/>
              <w:left w:val="nil"/>
              <w:bottom w:val="single" w:sz="4" w:space="0" w:color="auto"/>
              <w:right w:val="single" w:sz="4" w:space="0" w:color="auto"/>
            </w:tcBorders>
            <w:shd w:val="clear" w:color="auto" w:fill="FFFFFF" w:themeFill="background1"/>
            <w:hideMark/>
          </w:tcPr>
          <w:p w14:paraId="3C619EF5" w14:textId="77777777" w:rsidR="007B5DB7" w:rsidRPr="00186C76" w:rsidRDefault="007B5DB7" w:rsidP="00186C76">
            <w:pPr>
              <w:shd w:val="clear" w:color="auto" w:fill="FFFFFF" w:themeFill="background1"/>
              <w:rPr>
                <w:sz w:val="16"/>
                <w:szCs w:val="16"/>
              </w:rPr>
            </w:pPr>
            <w:r w:rsidRPr="00186C76">
              <w:rPr>
                <w:sz w:val="16"/>
                <w:szCs w:val="16"/>
              </w:rPr>
              <w:t xml:space="preserve">0300.07.01 – Бюджетна програма „Други дейности и услуги“ </w:t>
            </w:r>
          </w:p>
        </w:tc>
        <w:tc>
          <w:tcPr>
            <w:tcW w:w="659" w:type="pct"/>
            <w:tcBorders>
              <w:top w:val="nil"/>
              <w:left w:val="nil"/>
              <w:bottom w:val="single" w:sz="4" w:space="0" w:color="auto"/>
              <w:right w:val="single" w:sz="4" w:space="0" w:color="auto"/>
            </w:tcBorders>
            <w:shd w:val="clear" w:color="auto" w:fill="FFFFFF" w:themeFill="background1"/>
            <w:noWrap/>
            <w:hideMark/>
          </w:tcPr>
          <w:p w14:paraId="081BEED4" w14:textId="77777777" w:rsidR="007B5DB7" w:rsidRPr="00186C76" w:rsidRDefault="007B5DB7" w:rsidP="00186C76">
            <w:pPr>
              <w:shd w:val="clear" w:color="auto" w:fill="FFFFFF" w:themeFill="background1"/>
              <w:jc w:val="right"/>
              <w:rPr>
                <w:sz w:val="16"/>
                <w:szCs w:val="16"/>
              </w:rPr>
            </w:pPr>
            <w:r w:rsidRPr="00186C76">
              <w:rPr>
                <w:sz w:val="16"/>
                <w:szCs w:val="16"/>
              </w:rPr>
              <w:t>146 022</w:t>
            </w:r>
          </w:p>
        </w:tc>
        <w:tc>
          <w:tcPr>
            <w:tcW w:w="515" w:type="pct"/>
            <w:tcBorders>
              <w:top w:val="nil"/>
              <w:left w:val="nil"/>
              <w:bottom w:val="single" w:sz="4" w:space="0" w:color="auto"/>
              <w:right w:val="single" w:sz="4" w:space="0" w:color="auto"/>
            </w:tcBorders>
            <w:shd w:val="clear" w:color="auto" w:fill="FFFFFF" w:themeFill="background1"/>
            <w:noWrap/>
            <w:hideMark/>
          </w:tcPr>
          <w:p w14:paraId="32A5FBFB" w14:textId="77777777" w:rsidR="007B5DB7" w:rsidRPr="00186C76" w:rsidRDefault="007B5DB7" w:rsidP="00186C76">
            <w:pPr>
              <w:shd w:val="clear" w:color="auto" w:fill="FFFFFF" w:themeFill="background1"/>
              <w:rPr>
                <w:sz w:val="16"/>
                <w:szCs w:val="16"/>
              </w:rPr>
            </w:pPr>
            <w:r w:rsidRPr="00186C76">
              <w:rPr>
                <w:sz w:val="16"/>
                <w:szCs w:val="16"/>
              </w:rPr>
              <w:t> </w:t>
            </w:r>
          </w:p>
        </w:tc>
      </w:tr>
    </w:tbl>
    <w:bookmarkEnd w:id="6"/>
    <w:p w14:paraId="7DA47F2A" w14:textId="1C77AB82" w:rsidR="00B700AF" w:rsidRPr="00583BB3" w:rsidRDefault="00B700AF" w:rsidP="000A1677">
      <w:pPr>
        <w:shd w:val="clear" w:color="auto" w:fill="FFFFFF" w:themeFill="background1"/>
        <w:spacing w:before="120" w:after="480"/>
        <w:ind w:firstLine="425"/>
        <w:jc w:val="both"/>
        <w:rPr>
          <w:bCs/>
          <w:sz w:val="22"/>
          <w:szCs w:val="22"/>
        </w:rPr>
      </w:pPr>
      <w:r w:rsidRPr="004C7ED1">
        <w:rPr>
          <w:sz w:val="22"/>
          <w:szCs w:val="22"/>
        </w:rPr>
        <w:t>Към 30.06.202</w:t>
      </w:r>
      <w:r>
        <w:rPr>
          <w:sz w:val="22"/>
          <w:szCs w:val="22"/>
        </w:rPr>
        <w:t>5</w:t>
      </w:r>
      <w:r w:rsidRPr="004C7ED1">
        <w:rPr>
          <w:sz w:val="22"/>
          <w:szCs w:val="22"/>
        </w:rPr>
        <w:t xml:space="preserve"> г. </w:t>
      </w:r>
      <w:r>
        <w:rPr>
          <w:sz w:val="22"/>
          <w:szCs w:val="22"/>
        </w:rPr>
        <w:t>са</w:t>
      </w:r>
      <w:r w:rsidRPr="004C7ED1">
        <w:rPr>
          <w:sz w:val="22"/>
          <w:szCs w:val="22"/>
        </w:rPr>
        <w:t xml:space="preserve"> извършен</w:t>
      </w:r>
      <w:r>
        <w:rPr>
          <w:sz w:val="22"/>
          <w:szCs w:val="22"/>
        </w:rPr>
        <w:t>и</w:t>
      </w:r>
      <w:r w:rsidRPr="004C7ED1">
        <w:rPr>
          <w:sz w:val="22"/>
          <w:szCs w:val="22"/>
        </w:rPr>
        <w:t xml:space="preserve"> д</w:t>
      </w:r>
      <w:r>
        <w:rPr>
          <w:sz w:val="22"/>
          <w:szCs w:val="22"/>
        </w:rPr>
        <w:t>ве</w:t>
      </w:r>
      <w:r w:rsidRPr="004C7ED1">
        <w:rPr>
          <w:sz w:val="22"/>
          <w:szCs w:val="22"/>
        </w:rPr>
        <w:t xml:space="preserve"> пром</w:t>
      </w:r>
      <w:r>
        <w:rPr>
          <w:sz w:val="22"/>
          <w:szCs w:val="22"/>
        </w:rPr>
        <w:t>е</w:t>
      </w:r>
      <w:r w:rsidRPr="004C7ED1">
        <w:rPr>
          <w:sz w:val="22"/>
          <w:szCs w:val="22"/>
        </w:rPr>
        <w:t>н</w:t>
      </w:r>
      <w:r>
        <w:rPr>
          <w:sz w:val="22"/>
          <w:szCs w:val="22"/>
        </w:rPr>
        <w:t>и</w:t>
      </w:r>
      <w:r w:rsidRPr="004C7ED1">
        <w:rPr>
          <w:sz w:val="22"/>
          <w:szCs w:val="22"/>
        </w:rPr>
        <w:t xml:space="preserve"> по бюджета на Министерския съвет </w:t>
      </w:r>
      <w:r>
        <w:rPr>
          <w:sz w:val="22"/>
          <w:szCs w:val="22"/>
        </w:rPr>
        <w:t xml:space="preserve">– </w:t>
      </w:r>
      <w:r w:rsidRPr="004C7ED1">
        <w:rPr>
          <w:sz w:val="22"/>
          <w:szCs w:val="22"/>
        </w:rPr>
        <w:t xml:space="preserve">вътрешно </w:t>
      </w:r>
      <w:r w:rsidR="00BE6579">
        <w:rPr>
          <w:sz w:val="22"/>
          <w:szCs w:val="22"/>
        </w:rPr>
        <w:t>преструктуриране на разходи</w:t>
      </w:r>
      <w:r>
        <w:rPr>
          <w:sz w:val="22"/>
          <w:szCs w:val="22"/>
        </w:rPr>
        <w:t xml:space="preserve"> </w:t>
      </w:r>
      <w:r w:rsidRPr="004C7ED1">
        <w:rPr>
          <w:sz w:val="22"/>
          <w:szCs w:val="22"/>
        </w:rPr>
        <w:t>в рамките на бюджетна програма "</w:t>
      </w:r>
      <w:r w:rsidR="002427C6">
        <w:rPr>
          <w:sz w:val="22"/>
          <w:szCs w:val="22"/>
        </w:rPr>
        <w:t>Други дейности и услуги</w:t>
      </w:r>
      <w:r w:rsidRPr="004C7ED1">
        <w:rPr>
          <w:sz w:val="22"/>
          <w:szCs w:val="22"/>
        </w:rPr>
        <w:t xml:space="preserve">" на основание чл. 112, ал. 2 </w:t>
      </w:r>
      <w:r w:rsidR="002427C6">
        <w:rPr>
          <w:sz w:val="22"/>
          <w:szCs w:val="22"/>
        </w:rPr>
        <w:t xml:space="preserve">и ал. 8 </w:t>
      </w:r>
      <w:r w:rsidRPr="004C7ED1">
        <w:rPr>
          <w:sz w:val="22"/>
          <w:szCs w:val="22"/>
        </w:rPr>
        <w:t>от ЗПФ</w:t>
      </w:r>
      <w:r w:rsidR="002427C6">
        <w:rPr>
          <w:sz w:val="22"/>
          <w:szCs w:val="22"/>
        </w:rPr>
        <w:t xml:space="preserve"> и </w:t>
      </w:r>
      <w:r w:rsidR="005527D5">
        <w:rPr>
          <w:sz w:val="22"/>
          <w:szCs w:val="22"/>
        </w:rPr>
        <w:t xml:space="preserve">преструктуриране на разходите в рамките на бюджетни програми </w:t>
      </w:r>
      <w:r w:rsidR="005527D5" w:rsidRPr="005527D5">
        <w:rPr>
          <w:sz w:val="22"/>
          <w:szCs w:val="22"/>
        </w:rPr>
        <w:t>„Министерски съвет и</w:t>
      </w:r>
      <w:r w:rsidR="005527D5">
        <w:rPr>
          <w:sz w:val="22"/>
          <w:szCs w:val="22"/>
        </w:rPr>
        <w:t xml:space="preserve"> </w:t>
      </w:r>
      <w:r w:rsidR="005527D5" w:rsidRPr="005527D5">
        <w:rPr>
          <w:sz w:val="22"/>
          <w:szCs w:val="22"/>
        </w:rPr>
        <w:t>организация на дейността му“</w:t>
      </w:r>
      <w:r w:rsidR="005527D5">
        <w:rPr>
          <w:sz w:val="22"/>
          <w:szCs w:val="22"/>
        </w:rPr>
        <w:t xml:space="preserve">, </w:t>
      </w:r>
      <w:r w:rsidR="005527D5" w:rsidRPr="005527D5">
        <w:rPr>
          <w:sz w:val="22"/>
          <w:szCs w:val="22"/>
        </w:rPr>
        <w:t>„Администрация“</w:t>
      </w:r>
      <w:r w:rsidR="005527D5">
        <w:rPr>
          <w:sz w:val="22"/>
          <w:szCs w:val="22"/>
        </w:rPr>
        <w:t xml:space="preserve"> и </w:t>
      </w:r>
      <w:r w:rsidR="005527D5" w:rsidRPr="005527D5">
        <w:rPr>
          <w:sz w:val="22"/>
          <w:szCs w:val="22"/>
        </w:rPr>
        <w:t>„Други дейности и услуги“</w:t>
      </w:r>
      <w:r w:rsidR="005527D5">
        <w:rPr>
          <w:sz w:val="22"/>
          <w:szCs w:val="22"/>
        </w:rPr>
        <w:t xml:space="preserve"> на основание </w:t>
      </w:r>
      <w:r w:rsidR="005527D5" w:rsidRPr="004C7ED1">
        <w:rPr>
          <w:sz w:val="22"/>
          <w:szCs w:val="22"/>
        </w:rPr>
        <w:t>чл. 112, ал. 2</w:t>
      </w:r>
      <w:r w:rsidR="005527D5">
        <w:rPr>
          <w:sz w:val="22"/>
          <w:szCs w:val="22"/>
        </w:rPr>
        <w:t xml:space="preserve"> от ЗПФ</w:t>
      </w:r>
      <w:r w:rsidRPr="004C7ED1">
        <w:rPr>
          <w:sz w:val="22"/>
          <w:szCs w:val="22"/>
        </w:rPr>
        <w:t xml:space="preserve">. </w:t>
      </w:r>
      <w:r w:rsidRPr="00583BB3">
        <w:rPr>
          <w:bCs/>
          <w:sz w:val="22"/>
          <w:szCs w:val="22"/>
        </w:rPr>
        <w:t>Общият брой на извършените промени по бюджета на Министерския съвет към 30.06.202</w:t>
      </w:r>
      <w:r>
        <w:rPr>
          <w:bCs/>
          <w:sz w:val="22"/>
          <w:szCs w:val="22"/>
        </w:rPr>
        <w:t>5</w:t>
      </w:r>
      <w:r w:rsidRPr="00583BB3">
        <w:rPr>
          <w:bCs/>
          <w:sz w:val="22"/>
          <w:szCs w:val="22"/>
        </w:rPr>
        <w:t xml:space="preserve"> г. е </w:t>
      </w:r>
      <w:r>
        <w:rPr>
          <w:bCs/>
          <w:sz w:val="22"/>
          <w:szCs w:val="22"/>
        </w:rPr>
        <w:t>11</w:t>
      </w:r>
      <w:r w:rsidRPr="00583BB3">
        <w:rPr>
          <w:bCs/>
          <w:sz w:val="22"/>
          <w:szCs w:val="22"/>
        </w:rPr>
        <w:t>.</w:t>
      </w:r>
    </w:p>
    <w:p w14:paraId="0A948C7D" w14:textId="77777777" w:rsidR="006D1780" w:rsidRPr="00667B09" w:rsidRDefault="006D1780" w:rsidP="00FE5CDF">
      <w:pPr>
        <w:pStyle w:val="Heading1"/>
      </w:pPr>
      <w:r w:rsidRPr="00667B09">
        <w:t xml:space="preserve">3. Преглед на настъпилите през отчетния период промени в организационната структура </w:t>
      </w:r>
    </w:p>
    <w:p w14:paraId="7A7BA641" w14:textId="4565449A" w:rsidR="003D2536" w:rsidRPr="008C026F" w:rsidRDefault="00CC3A21" w:rsidP="000A1677">
      <w:pPr>
        <w:shd w:val="clear" w:color="auto" w:fill="FFFFFF" w:themeFill="background1"/>
        <w:spacing w:before="120" w:after="120"/>
        <w:ind w:firstLine="426"/>
        <w:jc w:val="both"/>
        <w:rPr>
          <w:bCs/>
          <w:sz w:val="22"/>
          <w:szCs w:val="22"/>
        </w:rPr>
      </w:pPr>
      <w:r>
        <w:rPr>
          <w:sz w:val="22"/>
          <w:szCs w:val="22"/>
        </w:rPr>
        <w:t xml:space="preserve">С </w:t>
      </w:r>
      <w:r w:rsidR="001D5C43">
        <w:rPr>
          <w:sz w:val="22"/>
          <w:szCs w:val="22"/>
        </w:rPr>
        <w:t>П</w:t>
      </w:r>
      <w:r>
        <w:rPr>
          <w:sz w:val="22"/>
          <w:szCs w:val="22"/>
        </w:rPr>
        <w:t>остановление № 6</w:t>
      </w:r>
      <w:r w:rsidR="00786C7C">
        <w:rPr>
          <w:sz w:val="22"/>
          <w:szCs w:val="22"/>
        </w:rPr>
        <w:t xml:space="preserve"> на Министерския съвет от 17 януари 2025 г. </w:t>
      </w:r>
      <w:r w:rsidR="00786C7C" w:rsidRPr="00786C7C">
        <w:rPr>
          <w:sz w:val="22"/>
          <w:szCs w:val="22"/>
        </w:rPr>
        <w:t xml:space="preserve">за изменение на </w:t>
      </w:r>
      <w:r w:rsidR="00786C7C">
        <w:rPr>
          <w:sz w:val="22"/>
          <w:szCs w:val="22"/>
        </w:rPr>
        <w:t>У</w:t>
      </w:r>
      <w:r w:rsidR="00786C7C" w:rsidRPr="00786C7C">
        <w:rPr>
          <w:sz w:val="22"/>
          <w:szCs w:val="22"/>
        </w:rPr>
        <w:t xml:space="preserve">стройствения правилник на </w:t>
      </w:r>
      <w:r w:rsidR="001D5C43">
        <w:rPr>
          <w:sz w:val="22"/>
          <w:szCs w:val="22"/>
        </w:rPr>
        <w:t>М</w:t>
      </w:r>
      <w:r w:rsidR="00786C7C" w:rsidRPr="00786C7C">
        <w:rPr>
          <w:sz w:val="22"/>
          <w:szCs w:val="22"/>
        </w:rPr>
        <w:t xml:space="preserve">инистерския съвет и на неговата администрация, приет с </w:t>
      </w:r>
      <w:r w:rsidR="001D5C43">
        <w:rPr>
          <w:sz w:val="22"/>
          <w:szCs w:val="22"/>
        </w:rPr>
        <w:t>П</w:t>
      </w:r>
      <w:r w:rsidR="00786C7C" w:rsidRPr="00786C7C">
        <w:rPr>
          <w:sz w:val="22"/>
          <w:szCs w:val="22"/>
        </w:rPr>
        <w:t xml:space="preserve">остановление № 229 на </w:t>
      </w:r>
      <w:r w:rsidR="001D5C43">
        <w:rPr>
          <w:sz w:val="22"/>
          <w:szCs w:val="22"/>
        </w:rPr>
        <w:t>М</w:t>
      </w:r>
      <w:r w:rsidR="00786C7C" w:rsidRPr="00786C7C">
        <w:rPr>
          <w:sz w:val="22"/>
          <w:szCs w:val="22"/>
        </w:rPr>
        <w:t>инистерския съвет от 2009 г.</w:t>
      </w:r>
      <w:r w:rsidR="0042223C">
        <w:rPr>
          <w:sz w:val="22"/>
          <w:szCs w:val="22"/>
        </w:rPr>
        <w:t>,</w:t>
      </w:r>
      <w:r w:rsidR="003D2536">
        <w:rPr>
          <w:sz w:val="22"/>
          <w:szCs w:val="22"/>
        </w:rPr>
        <w:t xml:space="preserve"> </w:t>
      </w:r>
      <w:r w:rsidR="00234ADE" w:rsidRPr="008C026F">
        <w:rPr>
          <w:bCs/>
          <w:sz w:val="22"/>
          <w:szCs w:val="22"/>
        </w:rPr>
        <w:t>се правят изменения в Устройственият правилник на Министерския съвет и на неговата администрация. Промените</w:t>
      </w:r>
      <w:r w:rsidR="000A0FF8">
        <w:rPr>
          <w:bCs/>
          <w:sz w:val="22"/>
          <w:szCs w:val="22"/>
        </w:rPr>
        <w:t>, които влизат в сила</w:t>
      </w:r>
      <w:r w:rsidR="00234ADE" w:rsidRPr="008C026F">
        <w:rPr>
          <w:bCs/>
          <w:sz w:val="22"/>
          <w:szCs w:val="22"/>
        </w:rPr>
        <w:t xml:space="preserve"> </w:t>
      </w:r>
      <w:r w:rsidR="000A0FF8">
        <w:rPr>
          <w:bCs/>
          <w:sz w:val="22"/>
          <w:szCs w:val="22"/>
        </w:rPr>
        <w:t xml:space="preserve">от </w:t>
      </w:r>
      <w:r w:rsidR="000A0FF8">
        <w:rPr>
          <w:bCs/>
          <w:sz w:val="22"/>
          <w:szCs w:val="22"/>
        </w:rPr>
        <w:lastRenderedPageBreak/>
        <w:t>21.01.2025 г.</w:t>
      </w:r>
      <w:r w:rsidR="00193F8A">
        <w:rPr>
          <w:bCs/>
          <w:sz w:val="22"/>
          <w:szCs w:val="22"/>
        </w:rPr>
        <w:t>,</w:t>
      </w:r>
      <w:r w:rsidR="000A0FF8">
        <w:rPr>
          <w:bCs/>
          <w:sz w:val="22"/>
          <w:szCs w:val="22"/>
        </w:rPr>
        <w:t xml:space="preserve"> </w:t>
      </w:r>
      <w:r w:rsidR="00234ADE" w:rsidRPr="008C026F">
        <w:rPr>
          <w:bCs/>
          <w:sz w:val="22"/>
          <w:szCs w:val="22"/>
        </w:rPr>
        <w:t>отразяват</w:t>
      </w:r>
      <w:r w:rsidR="00234ADE">
        <w:rPr>
          <w:bCs/>
          <w:sz w:val="22"/>
          <w:szCs w:val="22"/>
        </w:rPr>
        <w:t xml:space="preserve"> </w:t>
      </w:r>
      <w:r w:rsidR="003D2536" w:rsidRPr="008C026F">
        <w:rPr>
          <w:bCs/>
          <w:sz w:val="22"/>
          <w:szCs w:val="22"/>
        </w:rPr>
        <w:t xml:space="preserve">новата структура </w:t>
      </w:r>
      <w:r w:rsidR="00333F0C">
        <w:rPr>
          <w:bCs/>
          <w:sz w:val="22"/>
          <w:szCs w:val="22"/>
        </w:rPr>
        <w:t>и състав на Министерския съвет</w:t>
      </w:r>
      <w:r w:rsidR="003D2536" w:rsidRPr="008C026F">
        <w:rPr>
          <w:bCs/>
          <w:sz w:val="22"/>
          <w:szCs w:val="22"/>
        </w:rPr>
        <w:t xml:space="preserve"> и в тази връзка се изменя Постановление № 85 на Министерския съвет от 2007 г. за </w:t>
      </w:r>
      <w:r w:rsidR="001351C9">
        <w:rPr>
          <w:bCs/>
          <w:sz w:val="22"/>
          <w:szCs w:val="22"/>
        </w:rPr>
        <w:t xml:space="preserve">организация и </w:t>
      </w:r>
      <w:r w:rsidR="003D2536" w:rsidRPr="008C026F">
        <w:rPr>
          <w:bCs/>
          <w:sz w:val="22"/>
          <w:szCs w:val="22"/>
        </w:rPr>
        <w:t>координация по въпросите на Европейския съюз.</w:t>
      </w:r>
    </w:p>
    <w:p w14:paraId="55F22491" w14:textId="5C8AD132" w:rsidR="00226B33" w:rsidRDefault="000F5879" w:rsidP="000A1677">
      <w:pPr>
        <w:shd w:val="clear" w:color="auto" w:fill="FFFFFF" w:themeFill="background1"/>
        <w:spacing w:before="120" w:after="120"/>
        <w:ind w:firstLine="426"/>
        <w:jc w:val="both"/>
        <w:rPr>
          <w:sz w:val="22"/>
          <w:szCs w:val="22"/>
        </w:rPr>
      </w:pPr>
      <w:r>
        <w:rPr>
          <w:sz w:val="22"/>
          <w:szCs w:val="22"/>
        </w:rPr>
        <w:t xml:space="preserve">С Постановление № 7 на Министерския съвет от 23 януари 2025 г. </w:t>
      </w:r>
      <w:r w:rsidRPr="00786C7C">
        <w:rPr>
          <w:sz w:val="22"/>
          <w:szCs w:val="22"/>
        </w:rPr>
        <w:t xml:space="preserve">за изменение </w:t>
      </w:r>
      <w:r>
        <w:rPr>
          <w:sz w:val="22"/>
          <w:szCs w:val="22"/>
        </w:rPr>
        <w:t xml:space="preserve">и допълнение </w:t>
      </w:r>
      <w:r w:rsidRPr="00786C7C">
        <w:rPr>
          <w:sz w:val="22"/>
          <w:szCs w:val="22"/>
        </w:rPr>
        <w:t xml:space="preserve">на </w:t>
      </w:r>
      <w:r>
        <w:rPr>
          <w:sz w:val="22"/>
          <w:szCs w:val="22"/>
        </w:rPr>
        <w:t>У</w:t>
      </w:r>
      <w:r w:rsidRPr="00786C7C">
        <w:rPr>
          <w:sz w:val="22"/>
          <w:szCs w:val="22"/>
        </w:rPr>
        <w:t xml:space="preserve">стройствения правилник на </w:t>
      </w:r>
      <w:r>
        <w:rPr>
          <w:sz w:val="22"/>
          <w:szCs w:val="22"/>
        </w:rPr>
        <w:t>М</w:t>
      </w:r>
      <w:r w:rsidRPr="00786C7C">
        <w:rPr>
          <w:sz w:val="22"/>
          <w:szCs w:val="22"/>
        </w:rPr>
        <w:t xml:space="preserve">инистерския съвет и на неговата администрация, приет с </w:t>
      </w:r>
      <w:r>
        <w:rPr>
          <w:sz w:val="22"/>
          <w:szCs w:val="22"/>
        </w:rPr>
        <w:t>П</w:t>
      </w:r>
      <w:r w:rsidRPr="00786C7C">
        <w:rPr>
          <w:sz w:val="22"/>
          <w:szCs w:val="22"/>
        </w:rPr>
        <w:t xml:space="preserve">остановление № 229 на </w:t>
      </w:r>
      <w:r>
        <w:rPr>
          <w:sz w:val="22"/>
          <w:szCs w:val="22"/>
        </w:rPr>
        <w:t>М</w:t>
      </w:r>
      <w:r w:rsidRPr="00786C7C">
        <w:rPr>
          <w:sz w:val="22"/>
          <w:szCs w:val="22"/>
        </w:rPr>
        <w:t>инистерския съвет от 2009 г</w:t>
      </w:r>
      <w:r w:rsidR="00950CCD">
        <w:rPr>
          <w:sz w:val="22"/>
          <w:szCs w:val="22"/>
        </w:rPr>
        <w:t>.</w:t>
      </w:r>
      <w:r w:rsidR="0042223C">
        <w:rPr>
          <w:sz w:val="22"/>
          <w:szCs w:val="22"/>
        </w:rPr>
        <w:t>,</w:t>
      </w:r>
      <w:r w:rsidR="00950CCD">
        <w:rPr>
          <w:sz w:val="22"/>
          <w:szCs w:val="22"/>
        </w:rPr>
        <w:t xml:space="preserve"> </w:t>
      </w:r>
      <w:r w:rsidR="00234ADE" w:rsidRPr="008C026F">
        <w:rPr>
          <w:bCs/>
          <w:sz w:val="22"/>
          <w:szCs w:val="22"/>
        </w:rPr>
        <w:t xml:space="preserve">се </w:t>
      </w:r>
      <w:r w:rsidR="001705F2">
        <w:rPr>
          <w:bCs/>
          <w:sz w:val="22"/>
          <w:szCs w:val="22"/>
        </w:rPr>
        <w:t>изменят и допълват</w:t>
      </w:r>
      <w:r w:rsidR="0042223C">
        <w:rPr>
          <w:sz w:val="22"/>
          <w:szCs w:val="22"/>
        </w:rPr>
        <w:t xml:space="preserve"> </w:t>
      </w:r>
      <w:r w:rsidR="00950CCD">
        <w:rPr>
          <w:sz w:val="22"/>
          <w:szCs w:val="22"/>
        </w:rPr>
        <w:t>структурата</w:t>
      </w:r>
      <w:r w:rsidR="0042223C">
        <w:rPr>
          <w:sz w:val="22"/>
          <w:szCs w:val="22"/>
        </w:rPr>
        <w:t>,</w:t>
      </w:r>
      <w:r w:rsidR="00950CCD">
        <w:rPr>
          <w:sz w:val="22"/>
          <w:szCs w:val="22"/>
        </w:rPr>
        <w:t xml:space="preserve"> функциите </w:t>
      </w:r>
      <w:r w:rsidR="0042223C">
        <w:rPr>
          <w:sz w:val="22"/>
          <w:szCs w:val="22"/>
        </w:rPr>
        <w:t xml:space="preserve">и числеността </w:t>
      </w:r>
      <w:r w:rsidR="00234ADE">
        <w:rPr>
          <w:sz w:val="22"/>
          <w:szCs w:val="22"/>
        </w:rPr>
        <w:t>на</w:t>
      </w:r>
      <w:r w:rsidR="0042223C">
        <w:rPr>
          <w:sz w:val="22"/>
          <w:szCs w:val="22"/>
        </w:rPr>
        <w:t xml:space="preserve"> отдел „Правителствен протокол“, който става дирекция „Правителствен протокол“ в общата администрация </w:t>
      </w:r>
      <w:r w:rsidR="00234ADE">
        <w:rPr>
          <w:sz w:val="22"/>
          <w:szCs w:val="22"/>
        </w:rPr>
        <w:t xml:space="preserve">на Министерския съвет </w:t>
      </w:r>
      <w:r w:rsidR="0042223C">
        <w:rPr>
          <w:sz w:val="22"/>
          <w:szCs w:val="22"/>
        </w:rPr>
        <w:t>и д</w:t>
      </w:r>
      <w:r w:rsidR="0042223C" w:rsidRPr="00224788">
        <w:rPr>
          <w:sz w:val="22"/>
          <w:szCs w:val="22"/>
        </w:rPr>
        <w:t>ирекция „Координация по въпросите на Европейския съюз"</w:t>
      </w:r>
      <w:r w:rsidR="005F6AE8">
        <w:rPr>
          <w:sz w:val="22"/>
          <w:szCs w:val="22"/>
        </w:rPr>
        <w:t>, за която</w:t>
      </w:r>
      <w:r w:rsidR="00DF545F">
        <w:rPr>
          <w:sz w:val="22"/>
          <w:szCs w:val="22"/>
        </w:rPr>
        <w:t xml:space="preserve"> </w:t>
      </w:r>
      <w:r w:rsidR="00234ADE">
        <w:rPr>
          <w:sz w:val="22"/>
          <w:szCs w:val="22"/>
        </w:rPr>
        <w:t>отпада</w:t>
      </w:r>
      <w:r w:rsidR="00DF545F">
        <w:rPr>
          <w:sz w:val="22"/>
          <w:szCs w:val="22"/>
        </w:rPr>
        <w:t xml:space="preserve"> </w:t>
      </w:r>
      <w:r w:rsidR="00DF545F" w:rsidRPr="008F11B9">
        <w:rPr>
          <w:sz w:val="22"/>
          <w:szCs w:val="22"/>
        </w:rPr>
        <w:t>осъществява</w:t>
      </w:r>
      <w:r w:rsidR="00DF545F">
        <w:rPr>
          <w:sz w:val="22"/>
          <w:szCs w:val="22"/>
        </w:rPr>
        <w:t>нето на</w:t>
      </w:r>
      <w:r w:rsidR="00DF545F" w:rsidRPr="008F11B9">
        <w:rPr>
          <w:sz w:val="22"/>
          <w:szCs w:val="22"/>
        </w:rPr>
        <w:t xml:space="preserve"> процесуалното представителство пред Съда на Европейския съюз</w:t>
      </w:r>
      <w:r w:rsidR="005F6AE8">
        <w:rPr>
          <w:sz w:val="22"/>
          <w:szCs w:val="22"/>
        </w:rPr>
        <w:t>. С промените</w:t>
      </w:r>
      <w:r w:rsidR="000A3F5A">
        <w:rPr>
          <w:sz w:val="22"/>
          <w:szCs w:val="22"/>
        </w:rPr>
        <w:t xml:space="preserve">, които влизат в сила </w:t>
      </w:r>
      <w:r w:rsidR="000A3F5A" w:rsidRPr="00E3086A">
        <w:rPr>
          <w:sz w:val="22"/>
          <w:szCs w:val="22"/>
        </w:rPr>
        <w:t>от 01.02.2025 г.,</w:t>
      </w:r>
      <w:r w:rsidR="005F6AE8" w:rsidRPr="00E3086A">
        <w:rPr>
          <w:sz w:val="22"/>
          <w:szCs w:val="22"/>
        </w:rPr>
        <w:t xml:space="preserve"> </w:t>
      </w:r>
      <w:r w:rsidR="005F6AE8">
        <w:rPr>
          <w:sz w:val="22"/>
          <w:szCs w:val="22"/>
        </w:rPr>
        <w:t>тези</w:t>
      </w:r>
      <w:r w:rsidR="00DF545F">
        <w:rPr>
          <w:sz w:val="22"/>
          <w:szCs w:val="22"/>
        </w:rPr>
        <w:t xml:space="preserve"> </w:t>
      </w:r>
      <w:r w:rsidR="005F6AE8">
        <w:rPr>
          <w:sz w:val="22"/>
          <w:szCs w:val="22"/>
        </w:rPr>
        <w:t xml:space="preserve">функции </w:t>
      </w:r>
      <w:r w:rsidR="00DF545F">
        <w:rPr>
          <w:sz w:val="22"/>
          <w:szCs w:val="22"/>
        </w:rPr>
        <w:t>преминава</w:t>
      </w:r>
      <w:r w:rsidR="005F6AE8">
        <w:rPr>
          <w:sz w:val="22"/>
          <w:szCs w:val="22"/>
        </w:rPr>
        <w:t>т</w:t>
      </w:r>
      <w:r w:rsidR="00DF545F">
        <w:rPr>
          <w:sz w:val="22"/>
          <w:szCs w:val="22"/>
        </w:rPr>
        <w:t xml:space="preserve"> към </w:t>
      </w:r>
      <w:r w:rsidR="00226B33" w:rsidRPr="008C026F">
        <w:rPr>
          <w:rFonts w:eastAsia="Calibri"/>
          <w:sz w:val="22"/>
          <w:szCs w:val="22"/>
          <w:lang w:eastAsia="en-US"/>
        </w:rPr>
        <w:t>Министерството на външните работи</w:t>
      </w:r>
      <w:r w:rsidR="005F6AE8">
        <w:rPr>
          <w:sz w:val="22"/>
          <w:szCs w:val="22"/>
        </w:rPr>
        <w:t xml:space="preserve"> и тяхната</w:t>
      </w:r>
      <w:r w:rsidR="00226B33">
        <w:rPr>
          <w:sz w:val="22"/>
          <w:szCs w:val="22"/>
        </w:rPr>
        <w:t xml:space="preserve"> </w:t>
      </w:r>
      <w:r w:rsidR="00226B33" w:rsidRPr="008C026F">
        <w:rPr>
          <w:rFonts w:eastAsia="Calibri"/>
          <w:sz w:val="22"/>
          <w:szCs w:val="22"/>
          <w:lang w:eastAsia="en-US"/>
        </w:rPr>
        <w:t xml:space="preserve">щатната численост се увеличава с 9 щ. бр. за сметка на намаление на щатната численост на </w:t>
      </w:r>
      <w:r w:rsidR="0013468F">
        <w:rPr>
          <w:rFonts w:eastAsia="Calibri"/>
          <w:sz w:val="22"/>
          <w:szCs w:val="22"/>
          <w:lang w:eastAsia="en-US"/>
        </w:rPr>
        <w:t>а</w:t>
      </w:r>
      <w:r w:rsidR="00226B33">
        <w:rPr>
          <w:rFonts w:eastAsia="Calibri"/>
          <w:sz w:val="22"/>
          <w:szCs w:val="22"/>
          <w:lang w:eastAsia="en-US"/>
        </w:rPr>
        <w:t xml:space="preserve">дминистрацията на </w:t>
      </w:r>
      <w:r w:rsidR="00226B33" w:rsidRPr="008C026F">
        <w:rPr>
          <w:rFonts w:eastAsia="Calibri"/>
          <w:sz w:val="22"/>
          <w:szCs w:val="22"/>
          <w:lang w:eastAsia="en-US"/>
        </w:rPr>
        <w:t>Министерс</w:t>
      </w:r>
      <w:r w:rsidR="00226B33">
        <w:rPr>
          <w:rFonts w:eastAsia="Calibri"/>
          <w:sz w:val="22"/>
          <w:szCs w:val="22"/>
          <w:lang w:eastAsia="en-US"/>
        </w:rPr>
        <w:t>кия</w:t>
      </w:r>
      <w:r w:rsidR="00226B33" w:rsidRPr="008C026F">
        <w:rPr>
          <w:rFonts w:eastAsia="Calibri"/>
          <w:sz w:val="22"/>
          <w:szCs w:val="22"/>
          <w:lang w:eastAsia="en-US"/>
        </w:rPr>
        <w:t xml:space="preserve"> </w:t>
      </w:r>
      <w:r w:rsidR="00226B33">
        <w:rPr>
          <w:rFonts w:eastAsia="Calibri"/>
          <w:sz w:val="22"/>
          <w:szCs w:val="22"/>
          <w:lang w:eastAsia="en-US"/>
        </w:rPr>
        <w:t>съвет</w:t>
      </w:r>
      <w:r w:rsidR="00DF545F">
        <w:rPr>
          <w:sz w:val="22"/>
          <w:szCs w:val="22"/>
        </w:rPr>
        <w:t xml:space="preserve">. </w:t>
      </w:r>
      <w:r w:rsidR="00226B33">
        <w:rPr>
          <w:sz w:val="22"/>
          <w:szCs w:val="22"/>
        </w:rPr>
        <w:t xml:space="preserve">В тази връзка се променят и </w:t>
      </w:r>
      <w:r w:rsidR="00226B33" w:rsidRPr="0058161E">
        <w:rPr>
          <w:sz w:val="22"/>
          <w:szCs w:val="22"/>
        </w:rPr>
        <w:t xml:space="preserve">Постановление </w:t>
      </w:r>
      <w:r w:rsidR="00857AD6">
        <w:rPr>
          <w:sz w:val="22"/>
          <w:szCs w:val="22"/>
        </w:rPr>
        <w:t xml:space="preserve">№ </w:t>
      </w:r>
      <w:r w:rsidR="00226B33" w:rsidRPr="0058161E">
        <w:rPr>
          <w:sz w:val="22"/>
          <w:szCs w:val="22"/>
        </w:rPr>
        <w:t xml:space="preserve">202 </w:t>
      </w:r>
      <w:r w:rsidR="00857AD6">
        <w:rPr>
          <w:sz w:val="22"/>
          <w:szCs w:val="22"/>
        </w:rPr>
        <w:t>на Министерския съвет</w:t>
      </w:r>
      <w:r w:rsidR="00226B33" w:rsidRPr="0058161E">
        <w:rPr>
          <w:sz w:val="22"/>
          <w:szCs w:val="22"/>
        </w:rPr>
        <w:t xml:space="preserve"> </w:t>
      </w:r>
      <w:r w:rsidR="00857AD6">
        <w:rPr>
          <w:sz w:val="22"/>
          <w:szCs w:val="22"/>
        </w:rPr>
        <w:t xml:space="preserve">от </w:t>
      </w:r>
      <w:r w:rsidR="00226B33" w:rsidRPr="0058161E">
        <w:rPr>
          <w:sz w:val="22"/>
          <w:szCs w:val="22"/>
        </w:rPr>
        <w:t>2013 г.</w:t>
      </w:r>
      <w:r w:rsidR="00226B33">
        <w:rPr>
          <w:sz w:val="22"/>
          <w:szCs w:val="22"/>
        </w:rPr>
        <w:t xml:space="preserve"> за приемане на </w:t>
      </w:r>
      <w:r w:rsidR="00226B33" w:rsidRPr="00996BF4">
        <w:rPr>
          <w:sz w:val="22"/>
          <w:szCs w:val="22"/>
        </w:rPr>
        <w:t>Устройствен правилник на Министерството на външните работи</w:t>
      </w:r>
      <w:r w:rsidR="00226B33">
        <w:rPr>
          <w:sz w:val="22"/>
          <w:szCs w:val="22"/>
        </w:rPr>
        <w:t xml:space="preserve">, </w:t>
      </w:r>
      <w:r w:rsidR="00226B33" w:rsidRPr="006367A2">
        <w:rPr>
          <w:sz w:val="22"/>
          <w:szCs w:val="22"/>
        </w:rPr>
        <w:t xml:space="preserve">Постановление № 85 на Министерския съвет от 2007 г. за </w:t>
      </w:r>
      <w:r w:rsidR="00226B33">
        <w:rPr>
          <w:sz w:val="22"/>
          <w:szCs w:val="22"/>
        </w:rPr>
        <w:t xml:space="preserve">организация и </w:t>
      </w:r>
      <w:r w:rsidR="00226B33" w:rsidRPr="006367A2">
        <w:rPr>
          <w:sz w:val="22"/>
          <w:szCs w:val="22"/>
        </w:rPr>
        <w:t>координация по въпросите на Европейския съюз</w:t>
      </w:r>
      <w:r w:rsidR="00106060">
        <w:rPr>
          <w:sz w:val="22"/>
          <w:szCs w:val="22"/>
        </w:rPr>
        <w:t xml:space="preserve"> и </w:t>
      </w:r>
      <w:r w:rsidR="00226B33" w:rsidRPr="00CF0211">
        <w:rPr>
          <w:sz w:val="22"/>
          <w:szCs w:val="22"/>
        </w:rPr>
        <w:t xml:space="preserve">Постановление </w:t>
      </w:r>
      <w:r w:rsidR="00857AD6">
        <w:rPr>
          <w:sz w:val="22"/>
          <w:szCs w:val="22"/>
        </w:rPr>
        <w:t xml:space="preserve">№ </w:t>
      </w:r>
      <w:r w:rsidR="00226B33" w:rsidRPr="00CF0211">
        <w:rPr>
          <w:sz w:val="22"/>
          <w:szCs w:val="22"/>
        </w:rPr>
        <w:t>129</w:t>
      </w:r>
      <w:r w:rsidR="00106060">
        <w:rPr>
          <w:sz w:val="22"/>
          <w:szCs w:val="22"/>
        </w:rPr>
        <w:t xml:space="preserve"> на Министерския съвет</w:t>
      </w:r>
      <w:r w:rsidR="00226B33" w:rsidRPr="00CF0211">
        <w:rPr>
          <w:sz w:val="22"/>
          <w:szCs w:val="22"/>
        </w:rPr>
        <w:t xml:space="preserve"> </w:t>
      </w:r>
      <w:r w:rsidR="00226B33">
        <w:rPr>
          <w:sz w:val="22"/>
          <w:szCs w:val="22"/>
        </w:rPr>
        <w:t xml:space="preserve">за приемане на </w:t>
      </w:r>
      <w:r w:rsidR="00226B33" w:rsidRPr="00996BF4">
        <w:rPr>
          <w:sz w:val="22"/>
          <w:szCs w:val="22"/>
        </w:rPr>
        <w:t>Класификатор на длъжностите в администрацията</w:t>
      </w:r>
      <w:r w:rsidR="00106060">
        <w:rPr>
          <w:sz w:val="22"/>
          <w:szCs w:val="22"/>
        </w:rPr>
        <w:t>.</w:t>
      </w:r>
    </w:p>
    <w:p w14:paraId="4B7C6AFC" w14:textId="65A2471B" w:rsidR="00C56556" w:rsidRDefault="00086325" w:rsidP="000A1677">
      <w:pPr>
        <w:shd w:val="clear" w:color="auto" w:fill="FFFFFF" w:themeFill="background1"/>
        <w:spacing w:before="120" w:after="120"/>
        <w:ind w:firstLine="426"/>
        <w:jc w:val="both"/>
        <w:rPr>
          <w:sz w:val="22"/>
          <w:szCs w:val="22"/>
        </w:rPr>
      </w:pPr>
      <w:r>
        <w:rPr>
          <w:sz w:val="22"/>
          <w:szCs w:val="22"/>
        </w:rPr>
        <w:t xml:space="preserve">С Постановление № 11 на Министерския съвет от 19 февруари 2025 г. </w:t>
      </w:r>
      <w:r w:rsidR="00B64775" w:rsidRPr="00B64775">
        <w:rPr>
          <w:sz w:val="22"/>
          <w:szCs w:val="22"/>
        </w:rPr>
        <w:t xml:space="preserve">за отменяне на </w:t>
      </w:r>
      <w:r w:rsidR="00B64775">
        <w:rPr>
          <w:sz w:val="22"/>
          <w:szCs w:val="22"/>
        </w:rPr>
        <w:t>П</w:t>
      </w:r>
      <w:r w:rsidR="00B64775" w:rsidRPr="00B64775">
        <w:rPr>
          <w:sz w:val="22"/>
          <w:szCs w:val="22"/>
        </w:rPr>
        <w:t xml:space="preserve">остановление № 77 на </w:t>
      </w:r>
      <w:r w:rsidR="00B64775">
        <w:rPr>
          <w:sz w:val="22"/>
          <w:szCs w:val="22"/>
        </w:rPr>
        <w:t>М</w:t>
      </w:r>
      <w:r w:rsidR="00B64775" w:rsidRPr="00B64775">
        <w:rPr>
          <w:sz w:val="22"/>
          <w:szCs w:val="22"/>
        </w:rPr>
        <w:t xml:space="preserve">инистерския съвет от 2023 г. за създаване на </w:t>
      </w:r>
      <w:r w:rsidR="00B64775">
        <w:rPr>
          <w:sz w:val="22"/>
          <w:szCs w:val="22"/>
        </w:rPr>
        <w:t>С</w:t>
      </w:r>
      <w:r w:rsidR="00B64775" w:rsidRPr="00B64775">
        <w:rPr>
          <w:sz w:val="22"/>
          <w:szCs w:val="22"/>
        </w:rPr>
        <w:t xml:space="preserve">ъвет за развитие при </w:t>
      </w:r>
      <w:r w:rsidR="00B64775">
        <w:rPr>
          <w:sz w:val="22"/>
          <w:szCs w:val="22"/>
        </w:rPr>
        <w:t>М</w:t>
      </w:r>
      <w:r w:rsidR="00B64775" w:rsidRPr="00B64775">
        <w:rPr>
          <w:sz w:val="22"/>
          <w:szCs w:val="22"/>
        </w:rPr>
        <w:t>инистерския съвет</w:t>
      </w:r>
      <w:r w:rsidR="003956AA">
        <w:rPr>
          <w:sz w:val="22"/>
          <w:szCs w:val="22"/>
        </w:rPr>
        <w:t xml:space="preserve"> се </w:t>
      </w:r>
      <w:r w:rsidR="00952E36">
        <w:rPr>
          <w:sz w:val="22"/>
          <w:szCs w:val="22"/>
        </w:rPr>
        <w:t>изменя и допълва У</w:t>
      </w:r>
      <w:r w:rsidR="00952E36" w:rsidRPr="00786C7C">
        <w:rPr>
          <w:sz w:val="22"/>
          <w:szCs w:val="22"/>
        </w:rPr>
        <w:t xml:space="preserve">стройствения правилник на </w:t>
      </w:r>
      <w:r w:rsidR="00952E36">
        <w:rPr>
          <w:sz w:val="22"/>
          <w:szCs w:val="22"/>
        </w:rPr>
        <w:t>М</w:t>
      </w:r>
      <w:r w:rsidR="00952E36" w:rsidRPr="00786C7C">
        <w:rPr>
          <w:sz w:val="22"/>
          <w:szCs w:val="22"/>
        </w:rPr>
        <w:t xml:space="preserve">инистерския съвет и на неговата администрация, приет с </w:t>
      </w:r>
      <w:r w:rsidR="00952E36">
        <w:rPr>
          <w:sz w:val="22"/>
          <w:szCs w:val="22"/>
        </w:rPr>
        <w:t>П</w:t>
      </w:r>
      <w:r w:rsidR="00952E36" w:rsidRPr="00786C7C">
        <w:rPr>
          <w:sz w:val="22"/>
          <w:szCs w:val="22"/>
        </w:rPr>
        <w:t xml:space="preserve">остановление № 229 на </w:t>
      </w:r>
      <w:r w:rsidR="00952E36">
        <w:rPr>
          <w:sz w:val="22"/>
          <w:szCs w:val="22"/>
        </w:rPr>
        <w:t>М</w:t>
      </w:r>
      <w:r w:rsidR="00952E36" w:rsidRPr="00786C7C">
        <w:rPr>
          <w:sz w:val="22"/>
          <w:szCs w:val="22"/>
        </w:rPr>
        <w:t>инистерския съвет от 2009 г</w:t>
      </w:r>
      <w:r w:rsidR="00952E36">
        <w:rPr>
          <w:sz w:val="22"/>
          <w:szCs w:val="22"/>
        </w:rPr>
        <w:t xml:space="preserve">. </w:t>
      </w:r>
      <w:r w:rsidR="00952E36">
        <w:rPr>
          <w:sz w:val="22"/>
          <w:szCs w:val="22"/>
        </w:rPr>
        <w:br/>
      </w:r>
      <w:r w:rsidR="00BD5DB2">
        <w:rPr>
          <w:sz w:val="22"/>
          <w:szCs w:val="22"/>
        </w:rPr>
        <w:t>С п</w:t>
      </w:r>
      <w:r w:rsidR="00952E36">
        <w:rPr>
          <w:sz w:val="22"/>
          <w:szCs w:val="22"/>
        </w:rPr>
        <w:t>ромените</w:t>
      </w:r>
      <w:r w:rsidR="000A3F5A">
        <w:rPr>
          <w:sz w:val="22"/>
          <w:szCs w:val="22"/>
        </w:rPr>
        <w:t xml:space="preserve">, които влизат в сила от </w:t>
      </w:r>
      <w:r w:rsidR="000A3F5A" w:rsidRPr="006F4218">
        <w:rPr>
          <w:sz w:val="22"/>
          <w:szCs w:val="22"/>
        </w:rPr>
        <w:t>21.02.2025 г.</w:t>
      </w:r>
      <w:r w:rsidR="008B3BD7">
        <w:rPr>
          <w:sz w:val="22"/>
          <w:szCs w:val="22"/>
        </w:rPr>
        <w:t>,</w:t>
      </w:r>
      <w:r w:rsidR="00952E36" w:rsidRPr="006F4218">
        <w:rPr>
          <w:sz w:val="22"/>
          <w:szCs w:val="22"/>
        </w:rPr>
        <w:t xml:space="preserve"> </w:t>
      </w:r>
      <w:r w:rsidR="00BD5DB2" w:rsidRPr="006F4218">
        <w:rPr>
          <w:sz w:val="22"/>
          <w:szCs w:val="22"/>
        </w:rPr>
        <w:t>отп</w:t>
      </w:r>
      <w:r w:rsidR="00952E36" w:rsidRPr="006F4218">
        <w:rPr>
          <w:sz w:val="22"/>
          <w:szCs w:val="22"/>
        </w:rPr>
        <w:t>а</w:t>
      </w:r>
      <w:r w:rsidR="00BD5DB2" w:rsidRPr="006F4218">
        <w:rPr>
          <w:sz w:val="22"/>
          <w:szCs w:val="22"/>
        </w:rPr>
        <w:t>да</w:t>
      </w:r>
      <w:r w:rsidR="00952E36" w:rsidRPr="006F4218">
        <w:rPr>
          <w:sz w:val="22"/>
          <w:szCs w:val="22"/>
        </w:rPr>
        <w:t xml:space="preserve">т </w:t>
      </w:r>
      <w:r w:rsidR="00952E36">
        <w:rPr>
          <w:sz w:val="22"/>
          <w:szCs w:val="22"/>
        </w:rPr>
        <w:t xml:space="preserve">функциите на </w:t>
      </w:r>
      <w:r w:rsidR="00BD5DB2">
        <w:rPr>
          <w:sz w:val="22"/>
          <w:szCs w:val="22"/>
        </w:rPr>
        <w:t>д</w:t>
      </w:r>
      <w:r w:rsidR="00952E36" w:rsidRPr="00952E36">
        <w:rPr>
          <w:sz w:val="22"/>
          <w:szCs w:val="22"/>
        </w:rPr>
        <w:t>ирекция "Координация на политики и концесии"</w:t>
      </w:r>
      <w:r w:rsidR="00952E36">
        <w:rPr>
          <w:sz w:val="22"/>
          <w:szCs w:val="22"/>
        </w:rPr>
        <w:t xml:space="preserve"> </w:t>
      </w:r>
      <w:r w:rsidR="007E062B">
        <w:rPr>
          <w:sz w:val="22"/>
          <w:szCs w:val="22"/>
        </w:rPr>
        <w:t>като</w:t>
      </w:r>
      <w:r w:rsidR="00952E36">
        <w:rPr>
          <w:sz w:val="22"/>
          <w:szCs w:val="22"/>
        </w:rPr>
        <w:t xml:space="preserve"> секретариат </w:t>
      </w:r>
      <w:r w:rsidR="00952E36" w:rsidRPr="00952E36">
        <w:rPr>
          <w:sz w:val="22"/>
          <w:szCs w:val="22"/>
        </w:rPr>
        <w:t>на Съвета за развитие</w:t>
      </w:r>
      <w:r w:rsidR="00BD5DB2">
        <w:rPr>
          <w:sz w:val="22"/>
          <w:szCs w:val="22"/>
        </w:rPr>
        <w:t xml:space="preserve"> и на д</w:t>
      </w:r>
      <w:r w:rsidR="00BD5DB2" w:rsidRPr="003956AA">
        <w:rPr>
          <w:sz w:val="22"/>
          <w:szCs w:val="22"/>
        </w:rPr>
        <w:t>ирекция "Стратегическо планиране"</w:t>
      </w:r>
      <w:r w:rsidR="00BD5DB2">
        <w:rPr>
          <w:sz w:val="22"/>
          <w:szCs w:val="22"/>
        </w:rPr>
        <w:t xml:space="preserve"> – да </w:t>
      </w:r>
      <w:r w:rsidR="00BD5DB2" w:rsidRPr="003956AA">
        <w:rPr>
          <w:sz w:val="22"/>
          <w:szCs w:val="22"/>
        </w:rPr>
        <w:t>подпомага експертно дейността на Съвета за развитие</w:t>
      </w:r>
      <w:r w:rsidR="00BD5DB2" w:rsidRPr="00BD5DB2">
        <w:rPr>
          <w:sz w:val="22"/>
          <w:szCs w:val="22"/>
        </w:rPr>
        <w:t>.</w:t>
      </w:r>
      <w:r w:rsidR="0093281C">
        <w:rPr>
          <w:sz w:val="22"/>
          <w:szCs w:val="22"/>
        </w:rPr>
        <w:t xml:space="preserve"> В тази връзка се променят и </w:t>
      </w:r>
      <w:r w:rsidR="0093281C" w:rsidRPr="0093281C">
        <w:rPr>
          <w:sz w:val="22"/>
          <w:szCs w:val="22"/>
        </w:rPr>
        <w:t>Постановление № 337 на Министерския съвет от 2015 г.</w:t>
      </w:r>
      <w:r w:rsidR="0093281C">
        <w:rPr>
          <w:sz w:val="22"/>
          <w:szCs w:val="22"/>
        </w:rPr>
        <w:t xml:space="preserve"> </w:t>
      </w:r>
      <w:r w:rsidR="0093281C" w:rsidRPr="009D3560">
        <w:rPr>
          <w:sz w:val="22"/>
          <w:szCs w:val="22"/>
        </w:rPr>
        <w:t xml:space="preserve">за приемане </w:t>
      </w:r>
      <w:r w:rsidR="0093281C">
        <w:rPr>
          <w:sz w:val="22"/>
          <w:szCs w:val="22"/>
        </w:rPr>
        <w:t xml:space="preserve">на </w:t>
      </w:r>
      <w:r w:rsidR="009D3560" w:rsidRPr="009D3560">
        <w:rPr>
          <w:sz w:val="22"/>
          <w:szCs w:val="22"/>
        </w:rPr>
        <w:t>Наредбата за условията, на които трябва да отговарят инвестиционните проекти, финансирани с държавни заеми, и проектите, кандидатстващи за финансиране с държавна гаранция, и за реда за тяхното разглеждане</w:t>
      </w:r>
      <w:r w:rsidR="001705F2">
        <w:rPr>
          <w:sz w:val="22"/>
          <w:szCs w:val="22"/>
        </w:rPr>
        <w:t>,</w:t>
      </w:r>
      <w:r w:rsidR="009D3560">
        <w:rPr>
          <w:sz w:val="22"/>
          <w:szCs w:val="22"/>
        </w:rPr>
        <w:t xml:space="preserve"> </w:t>
      </w:r>
      <w:r w:rsidR="009D3560" w:rsidRPr="009D3560">
        <w:rPr>
          <w:sz w:val="22"/>
          <w:szCs w:val="22"/>
        </w:rPr>
        <w:t>Постановление № 52 на Министерския съвет от 2023 г. за организация и координация на наблюдението и отчитането на изпълнението на целите на Организацията на обединените нации за устойчиво развитие</w:t>
      </w:r>
      <w:r w:rsidR="009D3560">
        <w:rPr>
          <w:sz w:val="22"/>
          <w:szCs w:val="22"/>
        </w:rPr>
        <w:t xml:space="preserve"> и </w:t>
      </w:r>
      <w:r w:rsidR="009D3560" w:rsidRPr="009D3560">
        <w:rPr>
          <w:sz w:val="22"/>
          <w:szCs w:val="22"/>
        </w:rPr>
        <w:t>Постановление № 95 на Министерския съвет от 2024 г. за създаване на Съвет за кръгова икономика</w:t>
      </w:r>
      <w:r w:rsidR="009D3560">
        <w:rPr>
          <w:sz w:val="22"/>
          <w:szCs w:val="22"/>
        </w:rPr>
        <w:t>.</w:t>
      </w:r>
    </w:p>
    <w:p w14:paraId="33420374" w14:textId="1BE8E709" w:rsidR="00952E36" w:rsidRDefault="00C56556" w:rsidP="000A1677">
      <w:pPr>
        <w:shd w:val="clear" w:color="auto" w:fill="FFFFFF" w:themeFill="background1"/>
        <w:spacing w:before="120" w:after="120"/>
        <w:ind w:firstLine="426"/>
        <w:jc w:val="both"/>
        <w:rPr>
          <w:sz w:val="22"/>
          <w:szCs w:val="22"/>
        </w:rPr>
      </w:pPr>
      <w:r>
        <w:rPr>
          <w:sz w:val="22"/>
          <w:szCs w:val="22"/>
        </w:rPr>
        <w:t xml:space="preserve">С Постановление № 15 на Министерския съвет от 5 март 2025 г. за </w:t>
      </w:r>
      <w:r w:rsidRPr="00C56556">
        <w:rPr>
          <w:sz w:val="22"/>
          <w:szCs w:val="22"/>
        </w:rPr>
        <w:t xml:space="preserve">изменение и допълнение на </w:t>
      </w:r>
      <w:r>
        <w:rPr>
          <w:sz w:val="22"/>
          <w:szCs w:val="22"/>
        </w:rPr>
        <w:t>У</w:t>
      </w:r>
      <w:r w:rsidRPr="00C56556">
        <w:rPr>
          <w:sz w:val="22"/>
          <w:szCs w:val="22"/>
        </w:rPr>
        <w:t xml:space="preserve">стройствения правилник на </w:t>
      </w:r>
      <w:r>
        <w:rPr>
          <w:sz w:val="22"/>
          <w:szCs w:val="22"/>
        </w:rPr>
        <w:t>М</w:t>
      </w:r>
      <w:r w:rsidRPr="00C56556">
        <w:rPr>
          <w:sz w:val="22"/>
          <w:szCs w:val="22"/>
        </w:rPr>
        <w:t xml:space="preserve">инистерския съвет и на неговата администрация, приет с </w:t>
      </w:r>
      <w:r>
        <w:rPr>
          <w:sz w:val="22"/>
          <w:szCs w:val="22"/>
        </w:rPr>
        <w:t>П</w:t>
      </w:r>
      <w:r w:rsidRPr="00C56556">
        <w:rPr>
          <w:sz w:val="22"/>
          <w:szCs w:val="22"/>
        </w:rPr>
        <w:t xml:space="preserve">остановление № 229 на </w:t>
      </w:r>
      <w:r>
        <w:rPr>
          <w:sz w:val="22"/>
          <w:szCs w:val="22"/>
        </w:rPr>
        <w:t>М</w:t>
      </w:r>
      <w:r w:rsidRPr="00C56556">
        <w:rPr>
          <w:sz w:val="22"/>
          <w:szCs w:val="22"/>
        </w:rPr>
        <w:t>инистерския съвет от 2009 г.</w:t>
      </w:r>
      <w:r w:rsidR="00BE4EDA">
        <w:rPr>
          <w:sz w:val="22"/>
          <w:szCs w:val="22"/>
        </w:rPr>
        <w:t xml:space="preserve"> се изменят и допълват структурата, функциите, числеността и наименованията на отдели и дирекции в администрацията на Министерския съвет</w:t>
      </w:r>
      <w:r w:rsidR="00597B16">
        <w:rPr>
          <w:sz w:val="22"/>
          <w:szCs w:val="22"/>
        </w:rPr>
        <w:t>. С промените, които влизат в сила от 14.03.2025 г. се изменят: наименованието на отдел „Административна и регионална координация“, което става „Регионална координация“</w:t>
      </w:r>
      <w:r w:rsidR="00026D82">
        <w:rPr>
          <w:sz w:val="22"/>
          <w:szCs w:val="22"/>
        </w:rPr>
        <w:t xml:space="preserve">. </w:t>
      </w:r>
      <w:r w:rsidR="00026D82" w:rsidRPr="00026D82">
        <w:rPr>
          <w:sz w:val="22"/>
          <w:szCs w:val="22"/>
        </w:rPr>
        <w:t>Дирекция „Стратегическо планиране“ е закрита</w:t>
      </w:r>
      <w:r w:rsidR="00DC3A4E">
        <w:rPr>
          <w:sz w:val="22"/>
          <w:szCs w:val="22"/>
        </w:rPr>
        <w:t>.</w:t>
      </w:r>
      <w:r w:rsidR="00026D82" w:rsidRPr="00026D82">
        <w:rPr>
          <w:sz w:val="22"/>
          <w:szCs w:val="22"/>
        </w:rPr>
        <w:t xml:space="preserve"> </w:t>
      </w:r>
      <w:r w:rsidR="00DC3A4E" w:rsidRPr="00DC3A4E">
        <w:rPr>
          <w:sz w:val="22"/>
          <w:szCs w:val="22"/>
        </w:rPr>
        <w:t>Дирекция „Координация на политики и концесии“ е трансформирана в дирекция „Стратегическо развитие, координация и концесии“, а дирекция „Модернизация на администрацията“ – в дирекция „Координация и модернизацията на администрацията“. Функциите на закритата дирекция „Стратегическо планиране“, свързани със стратегическите документи, в т.ч. разработването, мониторингът, отчитането на тяхното изпълнение и постигане на заложените в тях цели, както и функциите по координиране на дейностите, свързани с Национална програма за развитие „България 2030“, преминават към дирекция „Стратегическо развитие, координация и концесии", а функциите, свързани с координиране планирането и отчитането на годишните цели на администрацията на Министерския съвет, преминават към дирекция „Координация и модернизация на администрацията“.</w:t>
      </w:r>
    </w:p>
    <w:p w14:paraId="7D788E0D" w14:textId="0815BFA1" w:rsidR="00086325" w:rsidRDefault="00086325" w:rsidP="000A1677">
      <w:pPr>
        <w:shd w:val="clear" w:color="auto" w:fill="FFFFFF" w:themeFill="background1"/>
        <w:spacing w:after="240"/>
        <w:ind w:firstLine="426"/>
        <w:jc w:val="both"/>
        <w:rPr>
          <w:sz w:val="22"/>
          <w:szCs w:val="22"/>
        </w:rPr>
      </w:pPr>
      <w:r>
        <w:rPr>
          <w:sz w:val="22"/>
          <w:szCs w:val="22"/>
        </w:rPr>
        <w:t>С Постановление № 85 на Министерския съвет от 6 юни 2025 г. за изменение на нормативни актове на Министерския съвет</w:t>
      </w:r>
      <w:r w:rsidR="003156EE">
        <w:rPr>
          <w:sz w:val="22"/>
          <w:szCs w:val="22"/>
        </w:rPr>
        <w:t xml:space="preserve"> </w:t>
      </w:r>
      <w:r w:rsidR="0013468F">
        <w:rPr>
          <w:sz w:val="22"/>
          <w:szCs w:val="22"/>
        </w:rPr>
        <w:t>се правят промени в П</w:t>
      </w:r>
      <w:r w:rsidR="0013468F" w:rsidRPr="0013468F">
        <w:rPr>
          <w:sz w:val="22"/>
          <w:szCs w:val="22"/>
        </w:rPr>
        <w:t>риложение № 26 към чл. 8, ал. 2 от Устройствения правилник на областните администрации, приет с Постановление № 121 на Министерския съвет от 2000 г.</w:t>
      </w:r>
      <w:r w:rsidR="0013468F">
        <w:rPr>
          <w:sz w:val="22"/>
          <w:szCs w:val="22"/>
        </w:rPr>
        <w:t xml:space="preserve"> и в </w:t>
      </w:r>
      <w:r w:rsidR="0013468F" w:rsidRPr="0013468F">
        <w:rPr>
          <w:sz w:val="22"/>
          <w:szCs w:val="22"/>
        </w:rPr>
        <w:t xml:space="preserve">Приложение № 3 към чл. 53, ал. 1 и чл. 54, ал. 1 от Устройствения </w:t>
      </w:r>
      <w:r w:rsidR="0013468F" w:rsidRPr="0013468F">
        <w:rPr>
          <w:sz w:val="22"/>
          <w:szCs w:val="22"/>
        </w:rPr>
        <w:lastRenderedPageBreak/>
        <w:t>правилник на Министерския съвет и на неговата администрация, приет с Постановление № 229 на Министерския съвет от 2009 г.</w:t>
      </w:r>
      <w:r w:rsidR="0013468F">
        <w:rPr>
          <w:sz w:val="22"/>
          <w:szCs w:val="22"/>
        </w:rPr>
        <w:t xml:space="preserve"> С приетите изменения</w:t>
      </w:r>
      <w:r w:rsidR="00193F8A">
        <w:rPr>
          <w:sz w:val="22"/>
          <w:szCs w:val="22"/>
        </w:rPr>
        <w:t>, които влизат в сила от 10.06.2025 г.,</w:t>
      </w:r>
      <w:r w:rsidR="0013468F">
        <w:rPr>
          <w:sz w:val="22"/>
          <w:szCs w:val="22"/>
        </w:rPr>
        <w:t xml:space="preserve"> се увеличава </w:t>
      </w:r>
      <w:r w:rsidR="009B15A3">
        <w:rPr>
          <w:sz w:val="22"/>
          <w:szCs w:val="22"/>
        </w:rPr>
        <w:t>ч</w:t>
      </w:r>
      <w:r w:rsidR="009B15A3" w:rsidRPr="009B15A3">
        <w:rPr>
          <w:sz w:val="22"/>
          <w:szCs w:val="22"/>
        </w:rPr>
        <w:t>исленост</w:t>
      </w:r>
      <w:r w:rsidR="009B15A3">
        <w:rPr>
          <w:sz w:val="22"/>
          <w:szCs w:val="22"/>
        </w:rPr>
        <w:t>та</w:t>
      </w:r>
      <w:r w:rsidR="009B15A3" w:rsidRPr="009B15A3">
        <w:rPr>
          <w:sz w:val="22"/>
          <w:szCs w:val="22"/>
        </w:rPr>
        <w:t xml:space="preserve"> на персонала на Областната администрация на област Хасково и на нейните административни звена</w:t>
      </w:r>
      <w:r w:rsidR="00320320">
        <w:rPr>
          <w:sz w:val="22"/>
          <w:szCs w:val="22"/>
        </w:rPr>
        <w:t xml:space="preserve"> </w:t>
      </w:r>
      <w:r w:rsidR="0013468F">
        <w:rPr>
          <w:sz w:val="22"/>
          <w:szCs w:val="22"/>
        </w:rPr>
        <w:t xml:space="preserve">с 1 </w:t>
      </w:r>
      <w:r w:rsidR="00643718">
        <w:rPr>
          <w:sz w:val="22"/>
          <w:szCs w:val="22"/>
        </w:rPr>
        <w:t xml:space="preserve">щ. бр. за сметка на намаление на </w:t>
      </w:r>
      <w:r w:rsidR="00320320">
        <w:rPr>
          <w:sz w:val="22"/>
          <w:szCs w:val="22"/>
        </w:rPr>
        <w:t>о</w:t>
      </w:r>
      <w:r w:rsidR="00320320" w:rsidRPr="00320320">
        <w:rPr>
          <w:sz w:val="22"/>
          <w:szCs w:val="22"/>
        </w:rPr>
        <w:t>бща</w:t>
      </w:r>
      <w:r w:rsidR="00320320">
        <w:rPr>
          <w:sz w:val="22"/>
          <w:szCs w:val="22"/>
        </w:rPr>
        <w:t>та</w:t>
      </w:r>
      <w:r w:rsidR="00320320" w:rsidRPr="00320320">
        <w:rPr>
          <w:sz w:val="22"/>
          <w:szCs w:val="22"/>
        </w:rPr>
        <w:t xml:space="preserve"> численост на служителите в администрацията на Министерския съвет</w:t>
      </w:r>
      <w:r w:rsidR="00643718">
        <w:rPr>
          <w:sz w:val="22"/>
          <w:szCs w:val="22"/>
        </w:rPr>
        <w:t>.</w:t>
      </w:r>
    </w:p>
    <w:p w14:paraId="3204267F" w14:textId="77777777" w:rsidR="00FA7C31" w:rsidRPr="00667B09" w:rsidRDefault="006D1780" w:rsidP="00FE5CDF">
      <w:pPr>
        <w:pStyle w:val="Heading1"/>
      </w:pPr>
      <w:r w:rsidRPr="00667B09">
        <w:t xml:space="preserve">4. </w:t>
      </w:r>
      <w:r w:rsidR="00FA7C31" w:rsidRPr="00667B09">
        <w:t xml:space="preserve">Преглед на изпълнението на </w:t>
      </w:r>
      <w:r w:rsidR="00D46D8C" w:rsidRPr="00667B09">
        <w:t>област</w:t>
      </w:r>
      <w:r w:rsidR="001B18D9" w:rsidRPr="00667B09">
        <w:t xml:space="preserve"> </w:t>
      </w:r>
      <w:r w:rsidR="00FA7C31" w:rsidRPr="00667B09">
        <w:t>“</w:t>
      </w:r>
      <w:r w:rsidR="00455FF1" w:rsidRPr="00667B09">
        <w:t>О</w:t>
      </w:r>
      <w:r w:rsidR="00D46D8C" w:rsidRPr="00667B09">
        <w:t>сигуряване дейността и организацията на работата на Министерския съвет</w:t>
      </w:r>
      <w:r w:rsidR="00FA7C31" w:rsidRPr="00667B09">
        <w:t>”</w:t>
      </w:r>
    </w:p>
    <w:p w14:paraId="5D74BE69" w14:textId="0CCF0375" w:rsidR="00FA7C31" w:rsidRPr="00667B09" w:rsidRDefault="00D46D8C" w:rsidP="00E317AB">
      <w:pPr>
        <w:shd w:val="clear" w:color="auto" w:fill="FFFFFF" w:themeFill="background1"/>
        <w:spacing w:before="120"/>
        <w:ind w:firstLine="425"/>
        <w:jc w:val="both"/>
        <w:rPr>
          <w:sz w:val="22"/>
          <w:szCs w:val="22"/>
        </w:rPr>
      </w:pPr>
      <w:r w:rsidRPr="00667B09">
        <w:rPr>
          <w:sz w:val="22"/>
          <w:szCs w:val="22"/>
        </w:rPr>
        <w:t xml:space="preserve">В тази област </w:t>
      </w:r>
      <w:r w:rsidR="00455FF1" w:rsidRPr="00667B09">
        <w:rPr>
          <w:sz w:val="22"/>
          <w:szCs w:val="22"/>
        </w:rPr>
        <w:t xml:space="preserve">са планирани </w:t>
      </w:r>
      <w:r w:rsidR="00B459AC" w:rsidRPr="00667B09">
        <w:rPr>
          <w:sz w:val="22"/>
          <w:szCs w:val="22"/>
        </w:rPr>
        <w:t xml:space="preserve">и отчетени </w:t>
      </w:r>
      <w:r w:rsidR="00455FF1" w:rsidRPr="00667B09">
        <w:rPr>
          <w:sz w:val="22"/>
          <w:szCs w:val="22"/>
        </w:rPr>
        <w:t>дейностите на структурните звена в администрацията на Министерския съвет</w:t>
      </w:r>
      <w:r w:rsidR="008B3BD7">
        <w:rPr>
          <w:sz w:val="22"/>
          <w:szCs w:val="22"/>
        </w:rPr>
        <w:t xml:space="preserve"> (АМС)</w:t>
      </w:r>
      <w:r w:rsidR="00455FF1" w:rsidRPr="00667B09">
        <w:rPr>
          <w:sz w:val="22"/>
          <w:szCs w:val="22"/>
        </w:rPr>
        <w:t xml:space="preserve">, свързани с осигуряване на дейността </w:t>
      </w:r>
      <w:r w:rsidR="00DC6F7E" w:rsidRPr="00667B09">
        <w:rPr>
          <w:sz w:val="22"/>
          <w:szCs w:val="22"/>
        </w:rPr>
        <w:t>на Министерския съвет</w:t>
      </w:r>
      <w:r w:rsidR="00455FF1" w:rsidRPr="00667B09">
        <w:rPr>
          <w:sz w:val="22"/>
          <w:szCs w:val="22"/>
        </w:rPr>
        <w:t xml:space="preserve"> </w:t>
      </w:r>
      <w:r w:rsidR="00BB43C7" w:rsidRPr="00667B09">
        <w:rPr>
          <w:sz w:val="22"/>
          <w:szCs w:val="22"/>
        </w:rPr>
        <w:t xml:space="preserve">на Република България </w:t>
      </w:r>
      <w:r w:rsidR="00455FF1" w:rsidRPr="00667B09">
        <w:rPr>
          <w:sz w:val="22"/>
          <w:szCs w:val="22"/>
        </w:rPr>
        <w:t>и необходимите за това финансови, материални и човешки ресурси.</w:t>
      </w:r>
    </w:p>
    <w:p w14:paraId="62B99BAF" w14:textId="77777777" w:rsidR="00EF6607" w:rsidRDefault="0016128B" w:rsidP="00E317AB">
      <w:pPr>
        <w:shd w:val="clear" w:color="auto" w:fill="FFFFFF" w:themeFill="background1"/>
        <w:spacing w:after="240"/>
        <w:ind w:firstLine="425"/>
        <w:jc w:val="both"/>
        <w:rPr>
          <w:sz w:val="22"/>
          <w:szCs w:val="22"/>
        </w:rPr>
      </w:pPr>
      <w:r w:rsidRPr="00667B09">
        <w:rPr>
          <w:sz w:val="22"/>
          <w:szCs w:val="22"/>
        </w:rPr>
        <w:t>Отчетът включва</w:t>
      </w:r>
      <w:r w:rsidR="00455FF1" w:rsidRPr="00667B09">
        <w:rPr>
          <w:sz w:val="22"/>
          <w:szCs w:val="22"/>
        </w:rPr>
        <w:t xml:space="preserve"> </w:t>
      </w:r>
      <w:r w:rsidR="00F56D40" w:rsidRPr="00667B09">
        <w:rPr>
          <w:sz w:val="22"/>
          <w:szCs w:val="22"/>
        </w:rPr>
        <w:t>изпълнението на бюджетна п</w:t>
      </w:r>
      <w:r w:rsidR="00EF6607" w:rsidRPr="00667B09">
        <w:rPr>
          <w:sz w:val="22"/>
          <w:szCs w:val="22"/>
        </w:rPr>
        <w:t xml:space="preserve">рограма </w:t>
      </w:r>
      <w:r w:rsidR="001B18D9" w:rsidRPr="00667B09">
        <w:rPr>
          <w:sz w:val="22"/>
          <w:szCs w:val="22"/>
        </w:rPr>
        <w:t xml:space="preserve">0300.01.01 </w:t>
      </w:r>
      <w:r w:rsidR="00EF6607" w:rsidRPr="00667B09">
        <w:rPr>
          <w:sz w:val="22"/>
          <w:szCs w:val="22"/>
        </w:rPr>
        <w:t>“</w:t>
      </w:r>
      <w:r w:rsidR="00455FF1" w:rsidRPr="00667B09">
        <w:rPr>
          <w:sz w:val="22"/>
          <w:szCs w:val="22"/>
        </w:rPr>
        <w:t>Министерски съвет и организация на дейността му</w:t>
      </w:r>
      <w:r w:rsidR="00EF6607" w:rsidRPr="00667B09">
        <w:rPr>
          <w:sz w:val="22"/>
          <w:szCs w:val="22"/>
        </w:rPr>
        <w:t xml:space="preserve">” и </w:t>
      </w:r>
      <w:r w:rsidR="00F56D40" w:rsidRPr="00667B09">
        <w:rPr>
          <w:sz w:val="22"/>
          <w:szCs w:val="22"/>
        </w:rPr>
        <w:t xml:space="preserve">бюджетна програма </w:t>
      </w:r>
      <w:r w:rsidR="001B18D9" w:rsidRPr="00667B09">
        <w:rPr>
          <w:sz w:val="22"/>
          <w:szCs w:val="22"/>
        </w:rPr>
        <w:t xml:space="preserve">0300.01.02 </w:t>
      </w:r>
      <w:r w:rsidR="00EF6607" w:rsidRPr="00667B09">
        <w:rPr>
          <w:sz w:val="22"/>
          <w:szCs w:val="22"/>
        </w:rPr>
        <w:t xml:space="preserve">“Координация </w:t>
      </w:r>
      <w:r w:rsidR="00455FF1" w:rsidRPr="00667B09">
        <w:rPr>
          <w:sz w:val="22"/>
          <w:szCs w:val="22"/>
        </w:rPr>
        <w:t>и мониторинг</w:t>
      </w:r>
      <w:r w:rsidR="00EF6607" w:rsidRPr="00667B09">
        <w:rPr>
          <w:sz w:val="22"/>
          <w:szCs w:val="22"/>
        </w:rPr>
        <w:t xml:space="preserve"> на </w:t>
      </w:r>
      <w:r w:rsidR="00455FF1" w:rsidRPr="00667B09">
        <w:rPr>
          <w:sz w:val="22"/>
          <w:szCs w:val="22"/>
        </w:rPr>
        <w:t>хоризонтални</w:t>
      </w:r>
      <w:r w:rsidR="00EF6607" w:rsidRPr="00667B09">
        <w:rPr>
          <w:sz w:val="22"/>
          <w:szCs w:val="22"/>
        </w:rPr>
        <w:t xml:space="preserve"> политики”.</w:t>
      </w:r>
    </w:p>
    <w:p w14:paraId="6A9BADF4" w14:textId="77777777" w:rsidR="00455FF1" w:rsidRPr="00667B09" w:rsidRDefault="00A40620" w:rsidP="00FE5CDF">
      <w:pPr>
        <w:pStyle w:val="Heading1"/>
      </w:pPr>
      <w:r w:rsidRPr="00667B09">
        <w:t>5</w:t>
      </w:r>
      <w:r w:rsidR="00455FF1" w:rsidRPr="00667B09">
        <w:t>. Преглед на изпълнението на политиката в областта на управлението на средствата от Европейския съюз</w:t>
      </w:r>
    </w:p>
    <w:p w14:paraId="716D61AC" w14:textId="73ACDA67" w:rsidR="00105D04" w:rsidRPr="00E812F3" w:rsidRDefault="00105D04" w:rsidP="00E317AB">
      <w:pPr>
        <w:widowControl w:val="0"/>
        <w:shd w:val="clear" w:color="auto" w:fill="FFFFFF" w:themeFill="background1"/>
        <w:tabs>
          <w:tab w:val="left" w:pos="426"/>
        </w:tabs>
        <w:spacing w:before="120"/>
        <w:ind w:firstLine="426"/>
        <w:jc w:val="both"/>
        <w:outlineLvl w:val="3"/>
        <w:rPr>
          <w:b/>
          <w:bCs/>
          <w:iCs/>
          <w:color w:val="215E99" w:themeColor="text2" w:themeTint="BF"/>
          <w:sz w:val="22"/>
          <w:szCs w:val="22"/>
          <w:lang w:eastAsia="en-US"/>
        </w:rPr>
      </w:pPr>
      <w:r w:rsidRPr="00E812F3">
        <w:rPr>
          <w:b/>
          <w:bCs/>
          <w:iCs/>
          <w:color w:val="215E99" w:themeColor="text2" w:themeTint="BF"/>
          <w:sz w:val="22"/>
          <w:szCs w:val="22"/>
          <w:lang w:eastAsia="en-US"/>
        </w:rPr>
        <w:t>Описание на степента на изпълнение на заложените стратегически и оперативни цели, допринасящи за нейното постигане</w:t>
      </w:r>
    </w:p>
    <w:p w14:paraId="3BF21ABA" w14:textId="77777777" w:rsidR="007C61B1" w:rsidRPr="002A7013" w:rsidRDefault="007C61B1" w:rsidP="00E317AB">
      <w:pPr>
        <w:shd w:val="clear" w:color="auto" w:fill="FFFFFF" w:themeFill="background1"/>
        <w:ind w:firstLine="425"/>
        <w:jc w:val="both"/>
        <w:rPr>
          <w:iCs/>
          <w:color w:val="000000" w:themeColor="text1"/>
          <w:sz w:val="22"/>
          <w:szCs w:val="22"/>
        </w:rPr>
      </w:pPr>
      <w:r w:rsidRPr="002A7013">
        <w:rPr>
          <w:iCs/>
          <w:color w:val="000000" w:themeColor="text1"/>
          <w:sz w:val="22"/>
          <w:szCs w:val="22"/>
        </w:rPr>
        <w:t>Поставените цели са постигнати чрез функционирането на ефективен координационен механизъм за програмиране, управление, наблюдение и оценка на програмите, съфинансирани от Европейските фондове при споделено управление (ЕФСУ); наличието на конструктивен диалог с европейските и национални партньори; осигурена подкрепа за структурите на централно ниво, отговорни за координацията, управлението и сертифицирането на средствата от ЕФСУ.</w:t>
      </w:r>
    </w:p>
    <w:p w14:paraId="51F819CB" w14:textId="10F24F81" w:rsidR="007C61B1" w:rsidRPr="002A7013" w:rsidRDefault="007C61B1" w:rsidP="00E317AB">
      <w:pPr>
        <w:shd w:val="clear" w:color="auto" w:fill="FFFFFF" w:themeFill="background1"/>
        <w:ind w:firstLine="425"/>
        <w:jc w:val="both"/>
        <w:rPr>
          <w:iCs/>
          <w:color w:val="000000" w:themeColor="text1"/>
          <w:sz w:val="22"/>
          <w:szCs w:val="22"/>
        </w:rPr>
      </w:pPr>
      <w:r w:rsidRPr="002A7013">
        <w:rPr>
          <w:iCs/>
          <w:color w:val="000000" w:themeColor="text1"/>
          <w:sz w:val="22"/>
          <w:szCs w:val="22"/>
        </w:rPr>
        <w:t>През отчетния период усилията са насочени към осигуряване на необходимите предпоставки за приключване изпълнението на програмите за програмен период 2014-2020</w:t>
      </w:r>
      <w:r w:rsidR="000B2080" w:rsidRPr="000B2080">
        <w:rPr>
          <w:iCs/>
          <w:color w:val="000000" w:themeColor="text1"/>
          <w:sz w:val="22"/>
          <w:szCs w:val="22"/>
        </w:rPr>
        <w:t xml:space="preserve"> </w:t>
      </w:r>
      <w:r w:rsidRPr="002A7013">
        <w:rPr>
          <w:iCs/>
          <w:color w:val="000000" w:themeColor="text1"/>
          <w:sz w:val="22"/>
          <w:szCs w:val="22"/>
        </w:rPr>
        <w:t xml:space="preserve">г., както и към ускоряване на изпълнението на програмите, съфинансирани от ЕФСУ за програмен период </w:t>
      </w:r>
      <w:r w:rsidR="000B2080" w:rsidRPr="000B2080">
        <w:rPr>
          <w:iCs/>
          <w:color w:val="000000" w:themeColor="text1"/>
          <w:sz w:val="22"/>
          <w:szCs w:val="22"/>
        </w:rPr>
        <w:br/>
      </w:r>
      <w:r w:rsidRPr="002A7013">
        <w:rPr>
          <w:iCs/>
          <w:color w:val="000000" w:themeColor="text1"/>
          <w:sz w:val="22"/>
          <w:szCs w:val="22"/>
        </w:rPr>
        <w:t>2021-2027 г., включително чрез ефективно извършване на междинния преглед по програмите в рамките на Кохезионната политика на ЕС. В рамките на първото полугодие на 2025 г. бяха изготвени и първите предварителни позиции на Република България и съвместни декларации с други държави-членки на ЕС относно очакванията за Многогодишна финансова рамка и законодателен пакет за програмен период 2028-2034 г.</w:t>
      </w:r>
    </w:p>
    <w:p w14:paraId="36024F32" w14:textId="62BC9AE6" w:rsidR="007C61B1" w:rsidRPr="002A7013" w:rsidRDefault="007C61B1" w:rsidP="00E317AB">
      <w:pPr>
        <w:shd w:val="clear" w:color="auto" w:fill="FFFFFF" w:themeFill="background1"/>
        <w:ind w:firstLine="425"/>
        <w:jc w:val="both"/>
        <w:rPr>
          <w:iCs/>
          <w:color w:val="000000" w:themeColor="text1"/>
          <w:sz w:val="22"/>
          <w:szCs w:val="22"/>
        </w:rPr>
      </w:pPr>
      <w:r w:rsidRPr="002A7013">
        <w:rPr>
          <w:iCs/>
          <w:color w:val="000000" w:themeColor="text1"/>
          <w:sz w:val="22"/>
          <w:szCs w:val="22"/>
        </w:rPr>
        <w:t xml:space="preserve">Ефективното функциониране на системата за управление и контрол на средствата от ЕФСУ е обезпечено чрез осигуряване на необходимата нормативна уредба и методологическа подкрепа за прилагането й, уеднаквяване на процедурите за различните програми и пълната електронизация на услугите за кандидатите и бенефициентите с оглед намаляване на административната тежест, включително чрез развитието на Информационната система за управление и наблюдение </w:t>
      </w:r>
      <w:r w:rsidR="000B2080">
        <w:rPr>
          <w:iCs/>
          <w:color w:val="000000" w:themeColor="text1"/>
          <w:sz w:val="22"/>
          <w:szCs w:val="22"/>
          <w:lang w:val="en-US"/>
        </w:rPr>
        <w:br/>
      </w:r>
      <w:r w:rsidRPr="002A7013">
        <w:rPr>
          <w:iCs/>
          <w:color w:val="000000" w:themeColor="text1"/>
          <w:sz w:val="22"/>
          <w:szCs w:val="22"/>
        </w:rPr>
        <w:t xml:space="preserve">(ИСУН 2020). През отчетния период се използват всички функционалности на системата, покриващи целия процес на изпълнение на програмите. </w:t>
      </w:r>
    </w:p>
    <w:p w14:paraId="11A511D3" w14:textId="77777777" w:rsidR="007C61B1" w:rsidRPr="002A7013" w:rsidRDefault="007C61B1" w:rsidP="00E317AB">
      <w:pPr>
        <w:shd w:val="clear" w:color="auto" w:fill="FFFFFF" w:themeFill="background1"/>
        <w:ind w:firstLine="425"/>
        <w:jc w:val="both"/>
        <w:rPr>
          <w:iCs/>
          <w:color w:val="000000" w:themeColor="text1"/>
          <w:sz w:val="22"/>
          <w:szCs w:val="22"/>
        </w:rPr>
      </w:pPr>
      <w:r w:rsidRPr="002A7013">
        <w:rPr>
          <w:iCs/>
          <w:color w:val="000000" w:themeColor="text1"/>
          <w:sz w:val="22"/>
          <w:szCs w:val="22"/>
        </w:rPr>
        <w:t xml:space="preserve">Важна роля за повишаване на информираността и прозрачността при разходването на средствата от ЕС и другите донорски програми има активната комуникационна политика. Всички процеси, свързани с управлението на тези програми, протичат при пълна прозрачност и спазване на принципа на партньорство. </w:t>
      </w:r>
    </w:p>
    <w:p w14:paraId="04A98B45" w14:textId="36214B4F" w:rsidR="007C61B1" w:rsidRPr="002C4826" w:rsidRDefault="007C61B1" w:rsidP="00E317AB">
      <w:pPr>
        <w:shd w:val="clear" w:color="auto" w:fill="FFFFFF" w:themeFill="background1"/>
        <w:ind w:firstLine="425"/>
        <w:jc w:val="both"/>
        <w:rPr>
          <w:iCs/>
          <w:color w:val="000000" w:themeColor="text1"/>
          <w:sz w:val="22"/>
          <w:szCs w:val="22"/>
          <w:lang w:val="en-US"/>
        </w:rPr>
      </w:pPr>
      <w:r w:rsidRPr="002A7013">
        <w:rPr>
          <w:iCs/>
          <w:color w:val="000000" w:themeColor="text1"/>
          <w:sz w:val="22"/>
          <w:szCs w:val="22"/>
        </w:rPr>
        <w:t xml:space="preserve">През отчетния период продължи работата по изпълнение на Националния план за възстановяване и устойчивост (НПВУ). </w:t>
      </w:r>
      <w:r w:rsidRPr="002C4826">
        <w:rPr>
          <w:iCs/>
          <w:color w:val="000000" w:themeColor="text1"/>
          <w:sz w:val="22"/>
          <w:szCs w:val="22"/>
        </w:rPr>
        <w:t xml:space="preserve">Проведени бяха </w:t>
      </w:r>
      <w:r w:rsidRPr="002A7013">
        <w:rPr>
          <w:iCs/>
          <w:color w:val="000000" w:themeColor="text1"/>
          <w:sz w:val="22"/>
          <w:szCs w:val="22"/>
        </w:rPr>
        <w:t xml:space="preserve">две технически мисии на ЕК в периода </w:t>
      </w:r>
      <w:r w:rsidR="002C4826">
        <w:rPr>
          <w:iCs/>
          <w:color w:val="000000" w:themeColor="text1"/>
          <w:sz w:val="22"/>
          <w:szCs w:val="22"/>
          <w:lang w:val="en-US"/>
        </w:rPr>
        <w:br/>
      </w:r>
      <w:r w:rsidRPr="002A7013">
        <w:rPr>
          <w:iCs/>
          <w:color w:val="000000" w:themeColor="text1"/>
          <w:sz w:val="22"/>
          <w:szCs w:val="22"/>
        </w:rPr>
        <w:t>17</w:t>
      </w:r>
      <w:r w:rsidR="002C4826">
        <w:rPr>
          <w:iCs/>
          <w:color w:val="000000" w:themeColor="text1"/>
          <w:sz w:val="22"/>
          <w:szCs w:val="22"/>
          <w:lang w:val="en-US"/>
        </w:rPr>
        <w:t xml:space="preserve"> </w:t>
      </w:r>
      <w:r w:rsidR="002C4826">
        <w:rPr>
          <w:iCs/>
          <w:color w:val="000000" w:themeColor="text1"/>
          <w:sz w:val="22"/>
          <w:szCs w:val="22"/>
        </w:rPr>
        <w:t>–</w:t>
      </w:r>
      <w:r w:rsidR="002C4826">
        <w:rPr>
          <w:iCs/>
          <w:color w:val="000000" w:themeColor="text1"/>
          <w:sz w:val="22"/>
          <w:szCs w:val="22"/>
          <w:lang w:val="en-US"/>
        </w:rPr>
        <w:t xml:space="preserve"> </w:t>
      </w:r>
      <w:r w:rsidRPr="002A7013">
        <w:rPr>
          <w:iCs/>
          <w:color w:val="000000" w:themeColor="text1"/>
          <w:sz w:val="22"/>
          <w:szCs w:val="22"/>
        </w:rPr>
        <w:t xml:space="preserve">21 февруари 2025 г. и </w:t>
      </w:r>
      <w:r w:rsidRPr="002C4826">
        <w:rPr>
          <w:iCs/>
          <w:color w:val="000000" w:themeColor="text1"/>
          <w:sz w:val="22"/>
          <w:szCs w:val="22"/>
        </w:rPr>
        <w:t>периода 28</w:t>
      </w:r>
      <w:r w:rsidR="002C4826">
        <w:rPr>
          <w:iCs/>
          <w:color w:val="000000" w:themeColor="text1"/>
          <w:sz w:val="22"/>
          <w:szCs w:val="22"/>
          <w:lang w:val="en-US"/>
        </w:rPr>
        <w:t xml:space="preserve"> </w:t>
      </w:r>
      <w:r w:rsidR="002C4826">
        <w:rPr>
          <w:iCs/>
          <w:color w:val="000000" w:themeColor="text1"/>
          <w:sz w:val="22"/>
          <w:szCs w:val="22"/>
        </w:rPr>
        <w:t>–</w:t>
      </w:r>
      <w:r w:rsidR="002C4826">
        <w:rPr>
          <w:iCs/>
          <w:color w:val="000000" w:themeColor="text1"/>
          <w:sz w:val="22"/>
          <w:szCs w:val="22"/>
          <w:lang w:val="en-US"/>
        </w:rPr>
        <w:t xml:space="preserve"> </w:t>
      </w:r>
      <w:r w:rsidRPr="002C4826">
        <w:rPr>
          <w:iCs/>
          <w:color w:val="000000" w:themeColor="text1"/>
          <w:sz w:val="22"/>
          <w:szCs w:val="22"/>
        </w:rPr>
        <w:t xml:space="preserve">30 април 2025 г. </w:t>
      </w:r>
      <w:r w:rsidRPr="002A7013">
        <w:rPr>
          <w:iCs/>
          <w:color w:val="000000" w:themeColor="text1"/>
          <w:sz w:val="22"/>
          <w:szCs w:val="22"/>
        </w:rPr>
        <w:t xml:space="preserve">за обсъждане на напредъка в изпълнението и предоговаряне на НПВУ. Искането за изменение на НПВУ и проектът за съдържанието на главата за </w:t>
      </w:r>
      <w:proofErr w:type="spellStart"/>
      <w:r w:rsidRPr="002C4826">
        <w:rPr>
          <w:iCs/>
          <w:color w:val="000000" w:themeColor="text1"/>
          <w:sz w:val="22"/>
          <w:szCs w:val="22"/>
          <w:lang w:val="en-US"/>
        </w:rPr>
        <w:t>REPowerEU</w:t>
      </w:r>
      <w:proofErr w:type="spellEnd"/>
      <w:r w:rsidRPr="002A7013">
        <w:rPr>
          <w:iCs/>
          <w:color w:val="000000" w:themeColor="text1"/>
          <w:sz w:val="22"/>
          <w:szCs w:val="22"/>
        </w:rPr>
        <w:t xml:space="preserve"> са изпратени официално на ЕК през м. април 2025 г. През периода май</w:t>
      </w:r>
      <w:r w:rsidR="002C4826">
        <w:rPr>
          <w:iCs/>
          <w:color w:val="000000" w:themeColor="text1"/>
          <w:sz w:val="22"/>
          <w:szCs w:val="22"/>
        </w:rPr>
        <w:t xml:space="preserve"> – </w:t>
      </w:r>
      <w:r w:rsidRPr="002A7013">
        <w:rPr>
          <w:iCs/>
          <w:color w:val="000000" w:themeColor="text1"/>
          <w:sz w:val="22"/>
          <w:szCs w:val="22"/>
        </w:rPr>
        <w:t xml:space="preserve">юни 2025 г. са проведени интензивни преговори със службите на ЕК по всичките 12 компонента на НПВУ и главата за </w:t>
      </w:r>
      <w:proofErr w:type="spellStart"/>
      <w:r w:rsidRPr="002C4826">
        <w:rPr>
          <w:iCs/>
          <w:color w:val="000000" w:themeColor="text1"/>
          <w:sz w:val="22"/>
          <w:szCs w:val="22"/>
          <w:lang w:val="en-US"/>
        </w:rPr>
        <w:t>REPowerEU</w:t>
      </w:r>
      <w:proofErr w:type="spellEnd"/>
      <w:r w:rsidRPr="002C4826">
        <w:rPr>
          <w:iCs/>
          <w:color w:val="000000" w:themeColor="text1"/>
          <w:sz w:val="22"/>
          <w:szCs w:val="22"/>
          <w:lang w:val="en-US"/>
        </w:rPr>
        <w:t xml:space="preserve"> </w:t>
      </w:r>
      <w:r w:rsidRPr="002A7013">
        <w:rPr>
          <w:iCs/>
          <w:color w:val="000000" w:themeColor="text1"/>
          <w:sz w:val="22"/>
          <w:szCs w:val="22"/>
        </w:rPr>
        <w:t>и са финализирани промените. На 02</w:t>
      </w:r>
      <w:r w:rsidR="002C4826">
        <w:rPr>
          <w:iCs/>
          <w:color w:val="000000" w:themeColor="text1"/>
          <w:sz w:val="22"/>
          <w:szCs w:val="22"/>
        </w:rPr>
        <w:t>.07.</w:t>
      </w:r>
      <w:r w:rsidRPr="002A7013">
        <w:rPr>
          <w:iCs/>
          <w:color w:val="000000" w:themeColor="text1"/>
          <w:sz w:val="22"/>
          <w:szCs w:val="22"/>
        </w:rPr>
        <w:t xml:space="preserve">2025 г. ЕК даде положителна оценка на предложеното от Република България изменение на ПВУ и главата за </w:t>
      </w:r>
      <w:proofErr w:type="spellStart"/>
      <w:r w:rsidRPr="002C4826">
        <w:rPr>
          <w:iCs/>
          <w:color w:val="000000" w:themeColor="text1"/>
          <w:sz w:val="22"/>
          <w:szCs w:val="22"/>
          <w:lang w:val="en-US"/>
        </w:rPr>
        <w:t>REPowerEU</w:t>
      </w:r>
      <w:proofErr w:type="spellEnd"/>
      <w:r w:rsidRPr="002C4826">
        <w:rPr>
          <w:iCs/>
          <w:color w:val="000000" w:themeColor="text1"/>
          <w:sz w:val="22"/>
          <w:szCs w:val="22"/>
          <w:lang w:val="en-US"/>
        </w:rPr>
        <w:t>.</w:t>
      </w:r>
    </w:p>
    <w:p w14:paraId="775091B5" w14:textId="394B3818" w:rsidR="007C61B1" w:rsidRPr="002A7013" w:rsidRDefault="007C61B1" w:rsidP="00E317AB">
      <w:pPr>
        <w:shd w:val="clear" w:color="auto" w:fill="FFFFFF" w:themeFill="background1"/>
        <w:spacing w:after="120"/>
        <w:ind w:firstLine="425"/>
        <w:jc w:val="both"/>
        <w:rPr>
          <w:iCs/>
          <w:color w:val="000000" w:themeColor="text1"/>
          <w:sz w:val="22"/>
          <w:szCs w:val="22"/>
        </w:rPr>
      </w:pPr>
      <w:r w:rsidRPr="002A7013">
        <w:rPr>
          <w:iCs/>
          <w:color w:val="000000" w:themeColor="text1"/>
          <w:sz w:val="22"/>
          <w:szCs w:val="22"/>
        </w:rPr>
        <w:lastRenderedPageBreak/>
        <w:t>В рамките на отчетния период, продължи работата на РГ 19 по подготовката на участието на страната в работата на РГ Структурни мерки и отдалечени райони към Съвета на ЕС и Експертната група за Регламента относно общоприложимите разпоредби към ЕК с фокус върху ревизията на правилата на Кохезионната политика</w:t>
      </w:r>
      <w:r w:rsidRPr="00D0494A">
        <w:rPr>
          <w:iCs/>
          <w:color w:val="000000" w:themeColor="text1"/>
          <w:sz w:val="22"/>
          <w:szCs w:val="22"/>
        </w:rPr>
        <w:t xml:space="preserve"> (</w:t>
      </w:r>
      <w:r w:rsidRPr="002A7013">
        <w:rPr>
          <w:iCs/>
          <w:color w:val="000000" w:themeColor="text1"/>
          <w:sz w:val="22"/>
          <w:szCs w:val="22"/>
        </w:rPr>
        <w:t>КП</w:t>
      </w:r>
      <w:r w:rsidRPr="00D0494A">
        <w:rPr>
          <w:iCs/>
          <w:color w:val="000000" w:themeColor="text1"/>
          <w:sz w:val="22"/>
          <w:szCs w:val="22"/>
        </w:rPr>
        <w:t xml:space="preserve">) </w:t>
      </w:r>
      <w:r w:rsidRPr="002A7013">
        <w:rPr>
          <w:iCs/>
          <w:color w:val="000000" w:themeColor="text1"/>
          <w:sz w:val="22"/>
          <w:szCs w:val="22"/>
        </w:rPr>
        <w:t xml:space="preserve">с оглед адаптирането й към настоящите предизвикателства пред ЕС </w:t>
      </w:r>
      <w:r w:rsidRPr="00D0494A">
        <w:rPr>
          <w:iCs/>
          <w:color w:val="000000" w:themeColor="text1"/>
          <w:sz w:val="22"/>
          <w:szCs w:val="22"/>
        </w:rPr>
        <w:t xml:space="preserve">в контекста на </w:t>
      </w:r>
      <w:r w:rsidRPr="002A7013">
        <w:rPr>
          <w:iCs/>
          <w:color w:val="000000" w:themeColor="text1"/>
          <w:sz w:val="22"/>
          <w:szCs w:val="22"/>
        </w:rPr>
        <w:t xml:space="preserve">нейния междинен преглед, както и върху изготвянето на основни насоки за бъдещата европейска правна рамка за </w:t>
      </w:r>
      <w:r w:rsidRPr="00D0494A">
        <w:rPr>
          <w:iCs/>
          <w:color w:val="000000" w:themeColor="text1"/>
          <w:sz w:val="22"/>
          <w:szCs w:val="22"/>
        </w:rPr>
        <w:t>периода 2028</w:t>
      </w:r>
      <w:r w:rsidR="00D0494A">
        <w:rPr>
          <w:iCs/>
          <w:color w:val="000000" w:themeColor="text1"/>
          <w:sz w:val="22"/>
          <w:szCs w:val="22"/>
        </w:rPr>
        <w:t xml:space="preserve"> – </w:t>
      </w:r>
      <w:r w:rsidRPr="00D0494A">
        <w:rPr>
          <w:iCs/>
          <w:color w:val="000000" w:themeColor="text1"/>
          <w:sz w:val="22"/>
          <w:szCs w:val="22"/>
        </w:rPr>
        <w:t>2034 г</w:t>
      </w:r>
      <w:r w:rsidRPr="002A7013">
        <w:rPr>
          <w:iCs/>
          <w:color w:val="000000" w:themeColor="text1"/>
          <w:sz w:val="22"/>
          <w:szCs w:val="22"/>
        </w:rPr>
        <w:t xml:space="preserve">. </w:t>
      </w:r>
    </w:p>
    <w:p w14:paraId="04BC8908" w14:textId="30501D17" w:rsidR="003F121E" w:rsidRPr="007E0EE6" w:rsidRDefault="003F121E" w:rsidP="00E317AB">
      <w:pPr>
        <w:widowControl w:val="0"/>
        <w:shd w:val="clear" w:color="auto" w:fill="FFFFFF" w:themeFill="background1"/>
        <w:tabs>
          <w:tab w:val="left" w:pos="426"/>
        </w:tabs>
        <w:ind w:firstLine="426"/>
        <w:jc w:val="both"/>
        <w:outlineLvl w:val="3"/>
        <w:rPr>
          <w:b/>
          <w:color w:val="215E99" w:themeColor="text2" w:themeTint="BF"/>
          <w:sz w:val="22"/>
          <w:szCs w:val="22"/>
        </w:rPr>
      </w:pPr>
      <w:r w:rsidRPr="003F121E">
        <w:rPr>
          <w:b/>
          <w:bCs/>
          <w:iCs/>
          <w:color w:val="215E99" w:themeColor="text2" w:themeTint="BF"/>
          <w:sz w:val="22"/>
          <w:szCs w:val="22"/>
          <w:lang w:eastAsia="en-US"/>
        </w:rPr>
        <w:t xml:space="preserve">Оперативна програма „Добро управление“, </w:t>
      </w:r>
      <w:r w:rsidRPr="007E0EE6">
        <w:rPr>
          <w:b/>
          <w:color w:val="215E99" w:themeColor="text2" w:themeTint="BF"/>
          <w:sz w:val="22"/>
          <w:szCs w:val="22"/>
        </w:rPr>
        <w:t>съфинансирана от ЕСФ</w:t>
      </w:r>
      <w:r w:rsidRPr="007E0EE6">
        <w:rPr>
          <w:color w:val="215E99" w:themeColor="text2" w:themeTint="BF"/>
          <w:sz w:val="22"/>
          <w:szCs w:val="22"/>
          <w:vertAlign w:val="superscript"/>
        </w:rPr>
        <w:footnoteReference w:id="1"/>
      </w:r>
    </w:p>
    <w:p w14:paraId="4FE19F8B" w14:textId="77777777" w:rsidR="003F121E" w:rsidRPr="007E0EE6" w:rsidRDefault="003F121E" w:rsidP="00E317AB">
      <w:pPr>
        <w:shd w:val="clear" w:color="auto" w:fill="FFFFFF" w:themeFill="background1"/>
        <w:ind w:firstLine="425"/>
        <w:jc w:val="both"/>
        <w:rPr>
          <w:iCs/>
          <w:color w:val="000000" w:themeColor="text1"/>
          <w:sz w:val="22"/>
          <w:szCs w:val="22"/>
        </w:rPr>
      </w:pPr>
      <w:r w:rsidRPr="007E0EE6">
        <w:rPr>
          <w:iCs/>
          <w:color w:val="000000" w:themeColor="text1"/>
          <w:sz w:val="22"/>
          <w:szCs w:val="22"/>
        </w:rPr>
        <w:t xml:space="preserve">На 04.06.2025 г. Управляващият орган на Оперативна програма „Добро управление“ (УО на ОПДУ) подаде финалния доклад по сертификация към Национален фонд. Докладът беше одобрен на 30.06.2025 г., с което сертифицираните по ОПДУ средства възлизат на 547.2 млн. лв. (100.1% от бюджета на програмата). </w:t>
      </w:r>
    </w:p>
    <w:p w14:paraId="1DB274B6" w14:textId="77777777" w:rsidR="003F121E" w:rsidRPr="007E0EE6" w:rsidRDefault="003F121E" w:rsidP="00E317AB">
      <w:pPr>
        <w:shd w:val="clear" w:color="auto" w:fill="FFFFFF" w:themeFill="background1"/>
        <w:ind w:firstLine="425"/>
        <w:jc w:val="both"/>
        <w:rPr>
          <w:iCs/>
          <w:color w:val="000000" w:themeColor="text1"/>
          <w:sz w:val="22"/>
          <w:szCs w:val="22"/>
        </w:rPr>
      </w:pPr>
      <w:r w:rsidRPr="007E0EE6">
        <w:rPr>
          <w:iCs/>
          <w:color w:val="000000" w:themeColor="text1"/>
          <w:sz w:val="22"/>
          <w:szCs w:val="22"/>
        </w:rPr>
        <w:t>През отчетния период се извърши верификация на искане за окончателно плащане по проект на Национален осигурителен институт, финансиран по ОПДУ. Реализираните дейности по проекта допринесоха за развитие и въвеждане на Институционалната архитектура на НОИ за приоритетни процеси, свързани с пенсиите и предоставяне на електронни административни услуги на гражданите и бизнеса.</w:t>
      </w:r>
      <w:r w:rsidRPr="007E0EE6" w:rsidDel="006625A2">
        <w:rPr>
          <w:iCs/>
          <w:color w:val="000000" w:themeColor="text1"/>
          <w:sz w:val="22"/>
          <w:szCs w:val="22"/>
        </w:rPr>
        <w:t xml:space="preserve"> </w:t>
      </w:r>
    </w:p>
    <w:p w14:paraId="62341C18" w14:textId="2479D2D0" w:rsidR="003F121E" w:rsidRPr="006266D2" w:rsidRDefault="003F121E" w:rsidP="00E317AB">
      <w:pPr>
        <w:shd w:val="clear" w:color="auto" w:fill="FFFFFF" w:themeFill="background1"/>
        <w:ind w:firstLine="425"/>
        <w:jc w:val="both"/>
        <w:rPr>
          <w:iCs/>
          <w:color w:val="000000" w:themeColor="text1"/>
          <w:sz w:val="22"/>
          <w:szCs w:val="22"/>
        </w:rPr>
      </w:pPr>
      <w:r w:rsidRPr="006266D2">
        <w:rPr>
          <w:iCs/>
          <w:color w:val="000000" w:themeColor="text1"/>
          <w:sz w:val="22"/>
          <w:szCs w:val="22"/>
        </w:rPr>
        <w:t>През изминалото шестмесечие по ОПДУ са приключени всички административни договори за предоставяне на безвъзмездна финансова помощ (БФП), с изключение на един с бенефициент Инспекторатът към Висшия съдебен съвет, по който е подадена жалба срещу Акт за установяване на публично вземане № ПВ-2023-58 от 09.10.2023 г., издаден от ръководителя на УО на ОПДУ. Съгласно Решение № 10329 от 25.03.2025 г. по адм. д. №</w:t>
      </w:r>
      <w:r w:rsidR="006266D2">
        <w:rPr>
          <w:iCs/>
          <w:color w:val="000000" w:themeColor="text1"/>
          <w:sz w:val="22"/>
          <w:szCs w:val="22"/>
        </w:rPr>
        <w:t xml:space="preserve"> </w:t>
      </w:r>
      <w:r w:rsidRPr="006266D2">
        <w:rPr>
          <w:iCs/>
          <w:color w:val="000000" w:themeColor="text1"/>
          <w:sz w:val="22"/>
          <w:szCs w:val="22"/>
        </w:rPr>
        <w:t>10144/2023</w:t>
      </w:r>
      <w:r w:rsidR="006266D2">
        <w:rPr>
          <w:iCs/>
          <w:color w:val="000000" w:themeColor="text1"/>
          <w:sz w:val="22"/>
          <w:szCs w:val="22"/>
        </w:rPr>
        <w:t xml:space="preserve"> </w:t>
      </w:r>
      <w:r w:rsidRPr="006266D2">
        <w:rPr>
          <w:iCs/>
          <w:color w:val="000000" w:themeColor="text1"/>
          <w:sz w:val="22"/>
          <w:szCs w:val="22"/>
        </w:rPr>
        <w:t xml:space="preserve">г. на Административен съд София-град (АССГ), делото е решено в полза на УО. В законоустановения 14-дневен </w:t>
      </w:r>
      <w:proofErr w:type="spellStart"/>
      <w:r w:rsidRPr="006266D2">
        <w:rPr>
          <w:iCs/>
          <w:color w:val="000000" w:themeColor="text1"/>
          <w:sz w:val="22"/>
          <w:szCs w:val="22"/>
        </w:rPr>
        <w:t>преклузивен</w:t>
      </w:r>
      <w:proofErr w:type="spellEnd"/>
      <w:r w:rsidRPr="006266D2">
        <w:rPr>
          <w:iCs/>
          <w:color w:val="000000" w:themeColor="text1"/>
          <w:sz w:val="22"/>
          <w:szCs w:val="22"/>
        </w:rPr>
        <w:t xml:space="preserve"> срок бенефициентът е обжалвал решението на първоинстанционния съд (АССГ), като е образувано адм. д. № 5703 по описа за 2025</w:t>
      </w:r>
      <w:r w:rsidR="006266D2">
        <w:rPr>
          <w:iCs/>
          <w:color w:val="000000" w:themeColor="text1"/>
          <w:sz w:val="22"/>
          <w:szCs w:val="22"/>
        </w:rPr>
        <w:t xml:space="preserve"> </w:t>
      </w:r>
      <w:r w:rsidRPr="006266D2">
        <w:rPr>
          <w:iCs/>
          <w:color w:val="000000" w:themeColor="text1"/>
          <w:sz w:val="22"/>
          <w:szCs w:val="22"/>
        </w:rPr>
        <w:t xml:space="preserve">г. на Върховния административен съд. Делото е насрочено за разглеждане в открито съдебно заседание на 30.09.2025 г. </w:t>
      </w:r>
    </w:p>
    <w:p w14:paraId="0426A47B" w14:textId="43EC39B2" w:rsidR="003F121E" w:rsidRPr="006266D2" w:rsidRDefault="003F121E" w:rsidP="00E317AB">
      <w:pPr>
        <w:shd w:val="clear" w:color="auto" w:fill="FFFFFF" w:themeFill="background1"/>
        <w:ind w:firstLine="425"/>
        <w:jc w:val="both"/>
        <w:rPr>
          <w:iCs/>
          <w:color w:val="000000" w:themeColor="text1"/>
          <w:sz w:val="22"/>
          <w:szCs w:val="22"/>
        </w:rPr>
      </w:pPr>
      <w:r w:rsidRPr="006266D2">
        <w:rPr>
          <w:iCs/>
          <w:color w:val="000000" w:themeColor="text1"/>
          <w:sz w:val="22"/>
          <w:szCs w:val="22"/>
        </w:rPr>
        <w:t xml:space="preserve">С цел оценка на потенциалните финансови рискове по програмите на </w:t>
      </w:r>
      <w:r w:rsidR="006266D2">
        <w:rPr>
          <w:iCs/>
          <w:color w:val="000000" w:themeColor="text1"/>
          <w:sz w:val="22"/>
          <w:szCs w:val="22"/>
        </w:rPr>
        <w:t>0</w:t>
      </w:r>
      <w:r w:rsidRPr="006266D2">
        <w:rPr>
          <w:iCs/>
          <w:color w:val="000000" w:themeColor="text1"/>
          <w:sz w:val="22"/>
          <w:szCs w:val="22"/>
        </w:rPr>
        <w:t>8</w:t>
      </w:r>
      <w:r w:rsidR="006266D2">
        <w:rPr>
          <w:iCs/>
          <w:color w:val="000000" w:themeColor="text1"/>
          <w:sz w:val="22"/>
          <w:szCs w:val="22"/>
        </w:rPr>
        <w:t>.05.</w:t>
      </w:r>
      <w:r w:rsidRPr="006266D2">
        <w:rPr>
          <w:iCs/>
          <w:color w:val="000000" w:themeColor="text1"/>
          <w:sz w:val="22"/>
          <w:szCs w:val="22"/>
        </w:rPr>
        <w:t>2025</w:t>
      </w:r>
      <w:r w:rsidR="006266D2">
        <w:rPr>
          <w:iCs/>
          <w:color w:val="000000" w:themeColor="text1"/>
          <w:sz w:val="22"/>
          <w:szCs w:val="22"/>
        </w:rPr>
        <w:t xml:space="preserve"> </w:t>
      </w:r>
      <w:r w:rsidRPr="006266D2">
        <w:rPr>
          <w:iCs/>
          <w:color w:val="000000" w:themeColor="text1"/>
          <w:sz w:val="22"/>
          <w:szCs w:val="22"/>
        </w:rPr>
        <w:t>г. от дирекция „Национален фонд“ беше изискана актуална информация за всички случаи с неприключени съдебни производства и/или национални разследвания. УО на ОПДУ представи информацията предсрочно.</w:t>
      </w:r>
    </w:p>
    <w:p w14:paraId="5980BB67" w14:textId="2915C96C" w:rsidR="003F121E" w:rsidRPr="006266D2" w:rsidRDefault="003F121E" w:rsidP="00E317AB">
      <w:pPr>
        <w:shd w:val="clear" w:color="auto" w:fill="FFFFFF" w:themeFill="background1"/>
        <w:spacing w:after="120"/>
        <w:ind w:firstLine="425"/>
        <w:jc w:val="both"/>
        <w:rPr>
          <w:iCs/>
          <w:color w:val="000000" w:themeColor="text1"/>
          <w:sz w:val="22"/>
          <w:szCs w:val="22"/>
        </w:rPr>
      </w:pPr>
      <w:r w:rsidRPr="006266D2">
        <w:rPr>
          <w:iCs/>
          <w:color w:val="000000" w:themeColor="text1"/>
          <w:sz w:val="22"/>
          <w:szCs w:val="22"/>
        </w:rPr>
        <w:t>През м. юни 2025</w:t>
      </w:r>
      <w:r w:rsidR="006266D2">
        <w:rPr>
          <w:iCs/>
          <w:color w:val="000000" w:themeColor="text1"/>
          <w:sz w:val="22"/>
          <w:szCs w:val="22"/>
        </w:rPr>
        <w:t xml:space="preserve"> </w:t>
      </w:r>
      <w:r w:rsidRPr="006266D2">
        <w:rPr>
          <w:iCs/>
          <w:color w:val="000000" w:themeColor="text1"/>
          <w:sz w:val="22"/>
          <w:szCs w:val="22"/>
        </w:rPr>
        <w:t>г. стартира и работата по изготвянето на Окончателния доклад за изпълнение на ОПДУ. Проектът на доклад следва да бъде изпратен на Сертифициращия орган (СО) и Одитния орган (ОО) до 15</w:t>
      </w:r>
      <w:r w:rsidR="006266D2">
        <w:rPr>
          <w:iCs/>
          <w:color w:val="000000" w:themeColor="text1"/>
          <w:sz w:val="22"/>
          <w:szCs w:val="22"/>
        </w:rPr>
        <w:t>.11.</w:t>
      </w:r>
      <w:r w:rsidRPr="006266D2">
        <w:rPr>
          <w:iCs/>
          <w:color w:val="000000" w:themeColor="text1"/>
          <w:sz w:val="22"/>
          <w:szCs w:val="22"/>
        </w:rPr>
        <w:t>2025 г.</w:t>
      </w:r>
    </w:p>
    <w:p w14:paraId="4516D712" w14:textId="3D929B0E" w:rsidR="00DB77DA" w:rsidRPr="00DB77DA" w:rsidRDefault="00DB77DA" w:rsidP="00E317AB">
      <w:pPr>
        <w:widowControl w:val="0"/>
        <w:shd w:val="clear" w:color="auto" w:fill="FFFFFF" w:themeFill="background1"/>
        <w:tabs>
          <w:tab w:val="left" w:pos="426"/>
        </w:tabs>
        <w:ind w:firstLine="426"/>
        <w:jc w:val="both"/>
        <w:outlineLvl w:val="3"/>
        <w:rPr>
          <w:b/>
          <w:bCs/>
          <w:iCs/>
          <w:color w:val="215E99" w:themeColor="text2" w:themeTint="BF"/>
          <w:sz w:val="22"/>
          <w:szCs w:val="22"/>
          <w:lang w:eastAsia="en-US"/>
        </w:rPr>
      </w:pPr>
      <w:bookmarkStart w:id="7" w:name="_Hlk204252612"/>
      <w:r w:rsidRPr="00DB77DA">
        <w:rPr>
          <w:b/>
          <w:bCs/>
          <w:iCs/>
          <w:color w:val="215E99" w:themeColor="text2" w:themeTint="BF"/>
          <w:sz w:val="22"/>
          <w:szCs w:val="22"/>
          <w:lang w:eastAsia="en-US"/>
        </w:rPr>
        <w:t>Програма „Техническа помощ“</w:t>
      </w:r>
      <w:bookmarkEnd w:id="7"/>
      <w:r w:rsidRPr="00DB77DA">
        <w:rPr>
          <w:b/>
          <w:bCs/>
          <w:iCs/>
          <w:color w:val="215E99" w:themeColor="text2" w:themeTint="BF"/>
          <w:sz w:val="22"/>
          <w:szCs w:val="22"/>
          <w:lang w:eastAsia="en-US"/>
        </w:rPr>
        <w:t xml:space="preserve"> (ПТП), съфинансирана от ЕФРР</w:t>
      </w:r>
      <w:r>
        <w:rPr>
          <w:rStyle w:val="FootnoteReference"/>
          <w:b/>
          <w:bCs/>
          <w:iCs/>
          <w:color w:val="215E99" w:themeColor="text2" w:themeTint="BF"/>
          <w:sz w:val="22"/>
          <w:szCs w:val="22"/>
          <w:lang w:eastAsia="en-US"/>
        </w:rPr>
        <w:footnoteReference w:id="2"/>
      </w:r>
    </w:p>
    <w:p w14:paraId="1845B8FD" w14:textId="77777777" w:rsidR="00DB77DA" w:rsidRPr="00E01327" w:rsidRDefault="00DB77DA" w:rsidP="00E317AB">
      <w:pPr>
        <w:shd w:val="clear" w:color="auto" w:fill="FFFFFF" w:themeFill="background1"/>
        <w:ind w:firstLine="425"/>
        <w:jc w:val="both"/>
        <w:rPr>
          <w:iCs/>
          <w:color w:val="000000" w:themeColor="text1"/>
          <w:sz w:val="22"/>
          <w:szCs w:val="22"/>
        </w:rPr>
      </w:pPr>
      <w:r w:rsidRPr="00E01327">
        <w:rPr>
          <w:iCs/>
          <w:color w:val="000000" w:themeColor="text1"/>
          <w:sz w:val="22"/>
          <w:szCs w:val="22"/>
        </w:rPr>
        <w:t xml:space="preserve">От стартирането на ПТП са открити за кандидатстване общо девет процедури за предоставяне на БФП на обща стойност 217.8 млн. лв., което представлява 91.7% от бюджета на Програмата. </w:t>
      </w:r>
    </w:p>
    <w:p w14:paraId="45D68785" w14:textId="790BFE02" w:rsidR="00DB77DA" w:rsidRPr="00BD49FD" w:rsidRDefault="00DB77DA" w:rsidP="00E317AB">
      <w:pPr>
        <w:shd w:val="clear" w:color="auto" w:fill="FFFFFF" w:themeFill="background1"/>
        <w:ind w:firstLine="426"/>
        <w:jc w:val="both"/>
        <w:rPr>
          <w:sz w:val="22"/>
          <w:szCs w:val="22"/>
        </w:rPr>
      </w:pPr>
      <w:r w:rsidRPr="00BD49FD">
        <w:rPr>
          <w:sz w:val="22"/>
          <w:szCs w:val="22"/>
        </w:rPr>
        <w:t xml:space="preserve">През отчетния период една процедура </w:t>
      </w:r>
      <w:r w:rsidRPr="00BD49FD">
        <w:rPr>
          <w:iCs/>
          <w:sz w:val="22"/>
          <w:szCs w:val="22"/>
        </w:rPr>
        <w:t>чрез подбор на проектни предложения</w:t>
      </w:r>
      <w:r w:rsidRPr="00BD49FD">
        <w:rPr>
          <w:rStyle w:val="FootnoteReference"/>
          <w:i/>
          <w:sz w:val="22"/>
          <w:szCs w:val="22"/>
        </w:rPr>
        <w:footnoteReference w:id="3"/>
      </w:r>
      <w:r w:rsidRPr="00BD49FD">
        <w:rPr>
          <w:sz w:val="22"/>
          <w:szCs w:val="22"/>
        </w:rPr>
        <w:t xml:space="preserve"> на стойност от 8.6 млн. лв. е прекратена и не са открити нови процедури за кандидатстване. </w:t>
      </w:r>
    </w:p>
    <w:p w14:paraId="5219C957" w14:textId="2488E12B" w:rsidR="00DB77DA" w:rsidRPr="00BD49FD" w:rsidRDefault="00DB77DA" w:rsidP="00E317AB">
      <w:pPr>
        <w:shd w:val="clear" w:color="auto" w:fill="FFFFFF" w:themeFill="background1"/>
        <w:ind w:firstLine="426"/>
        <w:jc w:val="both"/>
        <w:rPr>
          <w:sz w:val="22"/>
          <w:szCs w:val="22"/>
        </w:rPr>
      </w:pPr>
      <w:r w:rsidRPr="00BD49FD">
        <w:rPr>
          <w:sz w:val="22"/>
          <w:szCs w:val="22"/>
        </w:rPr>
        <w:t>През настоящата година, УО на ПТП планира да открие отново процедура, която да бъде насочена към повишаване на капацитета на организациите на гражданското общество (ОГО) по хоризонтални теми, с цел тяхното активно участие в изпълнението, мониторинга и оценката на програмите от Споразумението за партньорство 2021</w:t>
      </w:r>
      <w:r w:rsidR="000C05F2">
        <w:rPr>
          <w:sz w:val="22"/>
          <w:szCs w:val="22"/>
        </w:rPr>
        <w:t xml:space="preserve"> – </w:t>
      </w:r>
      <w:r w:rsidRPr="00BD49FD">
        <w:rPr>
          <w:sz w:val="22"/>
          <w:szCs w:val="22"/>
        </w:rPr>
        <w:t>2027, финансирани от Европейските фондове при споделено управление (ЕФСУ)</w:t>
      </w:r>
      <w:r w:rsidRPr="000C05F2">
        <w:t xml:space="preserve"> </w:t>
      </w:r>
      <w:r w:rsidRPr="00BD49FD">
        <w:rPr>
          <w:sz w:val="22"/>
          <w:szCs w:val="22"/>
        </w:rPr>
        <w:t>и разработването на Споразумението за партньорство и програмите за следващи програмни периоди (2027+) (Процедура BG16RFTA001-1.010).</w:t>
      </w:r>
    </w:p>
    <w:p w14:paraId="424DE825" w14:textId="77777777" w:rsidR="00DB77DA" w:rsidRDefault="00DB77DA" w:rsidP="00E317AB">
      <w:pPr>
        <w:shd w:val="clear" w:color="auto" w:fill="FFFFFF" w:themeFill="background1"/>
        <w:ind w:firstLine="426"/>
        <w:jc w:val="both"/>
        <w:rPr>
          <w:sz w:val="22"/>
          <w:szCs w:val="22"/>
        </w:rPr>
      </w:pPr>
      <w:r w:rsidRPr="000C05F2">
        <w:rPr>
          <w:sz w:val="22"/>
          <w:szCs w:val="22"/>
        </w:rPr>
        <w:t>С подкрепата на ПТП до края на 2025 г. предстоят някои ключови предизвикателства</w:t>
      </w:r>
      <w:r w:rsidRPr="00BD49FD">
        <w:rPr>
          <w:sz w:val="22"/>
          <w:szCs w:val="22"/>
        </w:rPr>
        <w:t xml:space="preserve"> да се преодолеят </w:t>
      </w:r>
      <w:r w:rsidRPr="000C05F2">
        <w:rPr>
          <w:sz w:val="22"/>
          <w:szCs w:val="22"/>
        </w:rPr>
        <w:t xml:space="preserve">от Централното координационно звено (ЦКЗ), по-точно: </w:t>
      </w:r>
    </w:p>
    <w:p w14:paraId="41CFAF9A" w14:textId="77777777" w:rsidR="00DB77DA" w:rsidRPr="008923AC" w:rsidRDefault="00DB77DA" w:rsidP="00E317AB">
      <w:pPr>
        <w:pStyle w:val="ListParagraph"/>
        <w:numPr>
          <w:ilvl w:val="0"/>
          <w:numId w:val="41"/>
        </w:numPr>
        <w:shd w:val="clear" w:color="auto" w:fill="FFFFFF" w:themeFill="background1"/>
        <w:ind w:left="0" w:firstLine="426"/>
        <w:jc w:val="both"/>
        <w:rPr>
          <w:sz w:val="22"/>
          <w:szCs w:val="22"/>
        </w:rPr>
      </w:pPr>
      <w:r w:rsidRPr="008923AC">
        <w:rPr>
          <w:bCs/>
          <w:sz w:val="22"/>
          <w:szCs w:val="22"/>
        </w:rPr>
        <w:t xml:space="preserve">утвърждаване на </w:t>
      </w:r>
      <w:r w:rsidRPr="008923AC">
        <w:rPr>
          <w:bCs/>
          <w:i/>
          <w:iCs/>
          <w:sz w:val="22"/>
          <w:szCs w:val="22"/>
        </w:rPr>
        <w:t>Национална пътна карта за развитие на административния капацитет за управление на средствата от ЕФСУ</w:t>
      </w:r>
      <w:r w:rsidRPr="008923AC">
        <w:rPr>
          <w:bCs/>
          <w:sz w:val="22"/>
          <w:szCs w:val="22"/>
        </w:rPr>
        <w:t xml:space="preserve"> за периода 2021 – 2027 г., която да включва подходящи методи за наблюдение и отчитане;</w:t>
      </w:r>
    </w:p>
    <w:p w14:paraId="579090D1" w14:textId="77777777" w:rsidR="00DB77DA" w:rsidRPr="00BD49FD" w:rsidRDefault="00DB77DA" w:rsidP="00E317AB">
      <w:pPr>
        <w:pStyle w:val="ListParagraph"/>
        <w:numPr>
          <w:ilvl w:val="0"/>
          <w:numId w:val="41"/>
        </w:numPr>
        <w:shd w:val="clear" w:color="auto" w:fill="FFFFFF" w:themeFill="background1"/>
        <w:ind w:left="0" w:firstLine="426"/>
        <w:jc w:val="both"/>
        <w:rPr>
          <w:bCs/>
          <w:sz w:val="22"/>
          <w:szCs w:val="22"/>
        </w:rPr>
      </w:pPr>
      <w:r w:rsidRPr="00BD49FD">
        <w:rPr>
          <w:bCs/>
          <w:sz w:val="22"/>
          <w:szCs w:val="22"/>
        </w:rPr>
        <w:lastRenderedPageBreak/>
        <w:t xml:space="preserve">изграждане на култура за оценка и подобряване на качеството на оценките чрез разработване на </w:t>
      </w:r>
      <w:r w:rsidRPr="007A30F5">
        <w:rPr>
          <w:bCs/>
          <w:sz w:val="22"/>
          <w:szCs w:val="22"/>
        </w:rPr>
        <w:t>национален план за хоризонтални оценки</w:t>
      </w:r>
      <w:r w:rsidRPr="00BD49FD">
        <w:rPr>
          <w:bCs/>
          <w:sz w:val="22"/>
          <w:szCs w:val="22"/>
        </w:rPr>
        <w:t xml:space="preserve">; развитие на </w:t>
      </w:r>
      <w:r w:rsidRPr="007A30F5">
        <w:rPr>
          <w:bCs/>
          <w:sz w:val="22"/>
          <w:szCs w:val="22"/>
        </w:rPr>
        <w:t>капацитета на ЦКЗ за извършване на хоризонтални оценки</w:t>
      </w:r>
      <w:r w:rsidRPr="00BD49FD">
        <w:rPr>
          <w:bCs/>
          <w:sz w:val="22"/>
          <w:szCs w:val="22"/>
        </w:rPr>
        <w:t xml:space="preserve">, съгл. анализ и план; извършване на оценки по хоризонтални теми, свързани с изпълнението на СП и изготвяне, </w:t>
      </w:r>
      <w:r w:rsidRPr="007A30F5">
        <w:rPr>
          <w:bCs/>
          <w:sz w:val="22"/>
          <w:szCs w:val="22"/>
        </w:rPr>
        <w:t>отправяне на предложения за мерки за повишаване на ефективността и ефикасността на Системата</w:t>
      </w:r>
      <w:r w:rsidRPr="00BD49FD">
        <w:rPr>
          <w:bCs/>
          <w:sz w:val="22"/>
          <w:szCs w:val="22"/>
        </w:rPr>
        <w:t xml:space="preserve"> и разпространяване на информация относно изводите и препоръките от оценките и предприетите мерки; </w:t>
      </w:r>
      <w:r w:rsidRPr="007A30F5">
        <w:rPr>
          <w:bCs/>
          <w:sz w:val="22"/>
          <w:szCs w:val="22"/>
        </w:rPr>
        <w:t xml:space="preserve">създаване на бюро за помощ/експерти към ЦКЗ за преглед на оценките на програмите </w:t>
      </w:r>
      <w:r w:rsidRPr="00BD49FD">
        <w:rPr>
          <w:bCs/>
          <w:sz w:val="22"/>
          <w:szCs w:val="22"/>
        </w:rPr>
        <w:t xml:space="preserve">с цел подобряване на качеството; </w:t>
      </w:r>
      <w:r w:rsidRPr="007A30F5">
        <w:rPr>
          <w:bCs/>
          <w:sz w:val="22"/>
          <w:szCs w:val="22"/>
        </w:rPr>
        <w:t>разработване на стандарти за оценка</w:t>
      </w:r>
      <w:r w:rsidRPr="00BD49FD">
        <w:rPr>
          <w:bCs/>
          <w:sz w:val="22"/>
          <w:szCs w:val="22"/>
        </w:rPr>
        <w:t xml:space="preserve"> и </w:t>
      </w:r>
      <w:r w:rsidRPr="007A30F5">
        <w:rPr>
          <w:bCs/>
          <w:sz w:val="22"/>
          <w:szCs w:val="22"/>
        </w:rPr>
        <w:t>насърчаване на прилагането им</w:t>
      </w:r>
      <w:r w:rsidRPr="00BD49FD">
        <w:rPr>
          <w:bCs/>
          <w:sz w:val="22"/>
          <w:szCs w:val="22"/>
        </w:rPr>
        <w:t xml:space="preserve"> и др.;</w:t>
      </w:r>
    </w:p>
    <w:p w14:paraId="60109504" w14:textId="5D3FBEB0" w:rsidR="00DB77DA" w:rsidRPr="007A30F5" w:rsidRDefault="00DB77DA" w:rsidP="00E317AB">
      <w:pPr>
        <w:pStyle w:val="ListParagraph"/>
        <w:numPr>
          <w:ilvl w:val="0"/>
          <w:numId w:val="41"/>
        </w:numPr>
        <w:shd w:val="clear" w:color="auto" w:fill="FFFFFF" w:themeFill="background1"/>
        <w:ind w:left="0" w:firstLine="426"/>
        <w:jc w:val="both"/>
        <w:rPr>
          <w:bCs/>
          <w:sz w:val="22"/>
          <w:szCs w:val="22"/>
        </w:rPr>
      </w:pPr>
      <w:r w:rsidRPr="00BD49FD">
        <w:rPr>
          <w:bCs/>
          <w:sz w:val="22"/>
          <w:szCs w:val="22"/>
        </w:rPr>
        <w:t>хоризонтална</w:t>
      </w:r>
      <w:r w:rsidRPr="007A30F5">
        <w:rPr>
          <w:bCs/>
          <w:sz w:val="22"/>
          <w:szCs w:val="22"/>
        </w:rPr>
        <w:t xml:space="preserve"> политика за прилагане на Пактове за почтеност (ПП</w:t>
      </w:r>
      <w:r w:rsidR="007A30F5" w:rsidRPr="00B27D31">
        <w:rPr>
          <w:bCs/>
          <w:sz w:val="22"/>
          <w:szCs w:val="22"/>
        </w:rPr>
        <w:t>/</w:t>
      </w:r>
      <w:r w:rsidRPr="007A30F5">
        <w:rPr>
          <w:bCs/>
          <w:sz w:val="22"/>
          <w:szCs w:val="22"/>
        </w:rPr>
        <w:t>Пактове) по проекти, финансирани от ЕФСУ. Съгласно Споразумението за партньорство за програмен период 2021</w:t>
      </w:r>
      <w:r w:rsidR="007A30F5" w:rsidRPr="00B27D31">
        <w:rPr>
          <w:bCs/>
          <w:sz w:val="22"/>
          <w:szCs w:val="22"/>
        </w:rPr>
        <w:t xml:space="preserve"> </w:t>
      </w:r>
      <w:r w:rsidR="007A30F5">
        <w:rPr>
          <w:bCs/>
          <w:sz w:val="22"/>
          <w:szCs w:val="22"/>
        </w:rPr>
        <w:t>–</w:t>
      </w:r>
      <w:r w:rsidR="007A30F5" w:rsidRPr="00B27D31">
        <w:rPr>
          <w:bCs/>
          <w:sz w:val="22"/>
          <w:szCs w:val="22"/>
        </w:rPr>
        <w:t xml:space="preserve"> </w:t>
      </w:r>
      <w:r w:rsidRPr="007A30F5">
        <w:rPr>
          <w:bCs/>
          <w:sz w:val="22"/>
          <w:szCs w:val="22"/>
        </w:rPr>
        <w:t>2027 г. в България ще се насърчава прилагането на Пактове за почтеност при обществените поръчки, изпълнявани по проекти, финансирани от ЕФСУ. В тази връзка е предвидено ПТП да подпомага хоризонталната политика за прилагането на Пактове като подкрепи инициатива за разработване на комплекс от качествени критерии, които да се ползват при съставянето на методология за подбор на обществени поръчки, подходящи за прилагането на ПП, както и за подбор на независими наблюдатели. За да бъдат реализирани предвидените инвестиции по ПТП обаче, е необходимо на национално ниво да бъде създаден цялостен механизъм за прилагане на хоризонталната политика за ПП, който да е приложим към всички програми, съфинансирани от ЕФСУ. Този механизъм е от ключово значение за навременното сключване и изпълнение на Пактовете.</w:t>
      </w:r>
    </w:p>
    <w:p w14:paraId="7731944A" w14:textId="641162ED" w:rsidR="00DB77DA" w:rsidRPr="0010179D" w:rsidRDefault="00DB77DA" w:rsidP="00E317AB">
      <w:pPr>
        <w:pStyle w:val="ListParagraph"/>
        <w:numPr>
          <w:ilvl w:val="0"/>
          <w:numId w:val="41"/>
        </w:numPr>
        <w:shd w:val="clear" w:color="auto" w:fill="FFFFFF" w:themeFill="background1"/>
        <w:ind w:left="0" w:firstLine="426"/>
        <w:jc w:val="both"/>
        <w:rPr>
          <w:bCs/>
          <w:sz w:val="22"/>
          <w:szCs w:val="22"/>
        </w:rPr>
      </w:pPr>
      <w:r w:rsidRPr="002A3355">
        <w:rPr>
          <w:bCs/>
          <w:sz w:val="22"/>
          <w:szCs w:val="22"/>
        </w:rPr>
        <w:t>надграждане на Информационна система за управление и наблюдение на средствата от ЕС (ИСУН) – чрез планираните нови функционалности и автоматизации във всички модули на системата ще се подобри начинът на управление на средствата от ЕС, като по този начин се осъществи дигитална трансформация при управлението на средствата от ЕС;</w:t>
      </w:r>
    </w:p>
    <w:p w14:paraId="4412D2EB" w14:textId="77777777" w:rsidR="00DB77DA" w:rsidRPr="0010179D" w:rsidRDefault="00DB77DA" w:rsidP="00E317AB">
      <w:pPr>
        <w:pStyle w:val="ListParagraph"/>
        <w:numPr>
          <w:ilvl w:val="0"/>
          <w:numId w:val="41"/>
        </w:numPr>
        <w:shd w:val="clear" w:color="auto" w:fill="FFFFFF" w:themeFill="background1"/>
        <w:ind w:left="0" w:firstLine="426"/>
        <w:jc w:val="both"/>
        <w:rPr>
          <w:bCs/>
          <w:sz w:val="22"/>
          <w:szCs w:val="22"/>
        </w:rPr>
      </w:pPr>
      <w:r w:rsidRPr="0010179D">
        <w:rPr>
          <w:sz w:val="22"/>
          <w:szCs w:val="22"/>
        </w:rPr>
        <w:t xml:space="preserve">надграждане на Единния информационен портал за обща информация за изпълнението и управлението на средствата от ЕС </w:t>
      </w:r>
      <w:r w:rsidRPr="006923F2">
        <w:rPr>
          <w:color w:val="215E99" w:themeColor="text2" w:themeTint="BF"/>
          <w:sz w:val="22"/>
          <w:szCs w:val="22"/>
        </w:rPr>
        <w:t>(</w:t>
      </w:r>
      <w:hyperlink r:id="rId10" w:history="1">
        <w:r w:rsidRPr="006923F2">
          <w:rPr>
            <w:rStyle w:val="Hyperlink"/>
            <w:color w:val="215E99" w:themeColor="text2" w:themeTint="BF"/>
            <w:sz w:val="22"/>
            <w:szCs w:val="22"/>
            <w:u w:val="none"/>
            <w:lang w:val="en-US"/>
          </w:rPr>
          <w:t>www.</w:t>
        </w:r>
        <w:r w:rsidRPr="006923F2">
          <w:rPr>
            <w:rStyle w:val="Hyperlink"/>
            <w:color w:val="215E99" w:themeColor="text2" w:themeTint="BF"/>
            <w:sz w:val="22"/>
            <w:szCs w:val="22"/>
            <w:u w:val="none"/>
          </w:rPr>
          <w:t>eufunds.bg</w:t>
        </w:r>
      </w:hyperlink>
      <w:r w:rsidRPr="006923F2">
        <w:rPr>
          <w:color w:val="215E99" w:themeColor="text2" w:themeTint="BF"/>
          <w:sz w:val="22"/>
          <w:szCs w:val="22"/>
        </w:rPr>
        <w:t>)</w:t>
      </w:r>
      <w:r w:rsidRPr="0010179D">
        <w:rPr>
          <w:sz w:val="22"/>
          <w:szCs w:val="22"/>
          <w:lang w:val="en-US"/>
        </w:rPr>
        <w:t>.</w:t>
      </w:r>
    </w:p>
    <w:p w14:paraId="21325AEA" w14:textId="77777777" w:rsidR="00DB77DA" w:rsidRPr="00BD49FD" w:rsidRDefault="00DB77DA" w:rsidP="00E317AB">
      <w:pPr>
        <w:shd w:val="clear" w:color="auto" w:fill="FFFFFF" w:themeFill="background1"/>
        <w:ind w:firstLine="426"/>
        <w:jc w:val="both"/>
        <w:rPr>
          <w:sz w:val="22"/>
          <w:szCs w:val="22"/>
          <w:lang w:val="en-US"/>
        </w:rPr>
      </w:pPr>
      <w:r w:rsidRPr="00BD49FD">
        <w:rPr>
          <w:sz w:val="22"/>
          <w:szCs w:val="22"/>
        </w:rPr>
        <w:t xml:space="preserve">През отчетния период от ПТП се предоставя БФП </w:t>
      </w:r>
      <w:r w:rsidRPr="005359D6">
        <w:rPr>
          <w:sz w:val="22"/>
          <w:szCs w:val="22"/>
        </w:rPr>
        <w:t>за повишаване на</w:t>
      </w:r>
      <w:r w:rsidRPr="00BD49FD">
        <w:rPr>
          <w:sz w:val="22"/>
          <w:szCs w:val="22"/>
        </w:rPr>
        <w:t xml:space="preserve"> </w:t>
      </w:r>
      <w:r w:rsidRPr="005359D6">
        <w:rPr>
          <w:sz w:val="22"/>
          <w:szCs w:val="22"/>
        </w:rPr>
        <w:t>административния капацитет</w:t>
      </w:r>
      <w:r w:rsidRPr="00BD49FD">
        <w:rPr>
          <w:sz w:val="22"/>
          <w:szCs w:val="22"/>
        </w:rPr>
        <w:t xml:space="preserve"> на служителите в Системата, ключови бенефициенти на програмите, съфинансирани от ЕФСУ и партньори, като мерките за капацитет се изпълняват по 11 </w:t>
      </w:r>
      <w:hyperlink r:id="rId11" w:history="1">
        <w:r w:rsidRPr="005359D6">
          <w:rPr>
            <w:rStyle w:val="Hyperlink"/>
            <w:color w:val="215E99" w:themeColor="text2" w:themeTint="BF"/>
            <w:sz w:val="22"/>
            <w:szCs w:val="22"/>
            <w:u w:val="none"/>
          </w:rPr>
          <w:t>проекта/финансови планове</w:t>
        </w:r>
      </w:hyperlink>
      <w:r w:rsidRPr="005359D6">
        <w:rPr>
          <w:rStyle w:val="FootnoteReference"/>
          <w:color w:val="215E99" w:themeColor="text2" w:themeTint="BF"/>
          <w:sz w:val="22"/>
          <w:szCs w:val="22"/>
        </w:rPr>
        <w:footnoteReference w:id="4"/>
      </w:r>
      <w:r w:rsidRPr="00BD49FD">
        <w:rPr>
          <w:sz w:val="22"/>
          <w:szCs w:val="22"/>
          <w:lang w:val="en-US"/>
        </w:rPr>
        <w:t>.</w:t>
      </w:r>
    </w:p>
    <w:p w14:paraId="23D678CF" w14:textId="77777777" w:rsidR="00DB77DA" w:rsidRPr="00BD49FD" w:rsidRDefault="00DB77DA" w:rsidP="00E317AB">
      <w:pPr>
        <w:shd w:val="clear" w:color="auto" w:fill="FFFFFF" w:themeFill="background1"/>
        <w:ind w:firstLine="426"/>
        <w:jc w:val="both"/>
        <w:rPr>
          <w:sz w:val="22"/>
          <w:szCs w:val="22"/>
        </w:rPr>
      </w:pPr>
      <w:r w:rsidRPr="00E317AB">
        <w:rPr>
          <w:color w:val="000000" w:themeColor="text1"/>
          <w:sz w:val="22"/>
          <w:szCs w:val="22"/>
          <w:shd w:val="clear" w:color="auto" w:fill="FFFFFF" w:themeFill="background1"/>
        </w:rPr>
        <w:t xml:space="preserve">Проект </w:t>
      </w:r>
      <w:r w:rsidRPr="00E317AB">
        <w:rPr>
          <w:i/>
          <w:color w:val="000000" w:themeColor="text1"/>
          <w:sz w:val="22"/>
          <w:szCs w:val="22"/>
          <w:shd w:val="clear" w:color="auto" w:fill="FFFFFF" w:themeFill="background1"/>
        </w:rPr>
        <w:t>„</w:t>
      </w:r>
      <w:hyperlink r:id="rId12" w:history="1">
        <w:r w:rsidRPr="00E317AB">
          <w:rPr>
            <w:rStyle w:val="Hyperlink"/>
            <w:i/>
            <w:color w:val="215E99" w:themeColor="text2" w:themeTint="BF"/>
            <w:sz w:val="22"/>
            <w:szCs w:val="22"/>
            <w:u w:val="none"/>
            <w:shd w:val="clear" w:color="auto" w:fill="FFFFFF" w:themeFill="background1"/>
          </w:rPr>
          <w:t>Академия на фондовете на ЕС</w:t>
        </w:r>
      </w:hyperlink>
      <w:r w:rsidRPr="00E317AB">
        <w:rPr>
          <w:i/>
          <w:color w:val="000000" w:themeColor="text1"/>
          <w:sz w:val="22"/>
          <w:szCs w:val="22"/>
          <w:shd w:val="clear" w:color="auto" w:fill="FFFFFF" w:themeFill="background1"/>
        </w:rPr>
        <w:t>“</w:t>
      </w:r>
      <w:r w:rsidRPr="00E317AB">
        <w:rPr>
          <w:color w:val="000000" w:themeColor="text1"/>
          <w:sz w:val="22"/>
          <w:szCs w:val="22"/>
          <w:shd w:val="clear" w:color="auto" w:fill="FFFFFF" w:themeFill="background1"/>
        </w:rPr>
        <w:t xml:space="preserve"> с бенефициент</w:t>
      </w:r>
      <w:r w:rsidRPr="00E317AB">
        <w:rPr>
          <w:i/>
          <w:color w:val="000000" w:themeColor="text1"/>
          <w:sz w:val="22"/>
          <w:szCs w:val="22"/>
          <w:shd w:val="clear" w:color="auto" w:fill="FFFFFF" w:themeFill="background1"/>
        </w:rPr>
        <w:t xml:space="preserve"> </w:t>
      </w:r>
      <w:r w:rsidRPr="00E317AB">
        <w:rPr>
          <w:color w:val="000000" w:themeColor="text1"/>
          <w:sz w:val="22"/>
          <w:szCs w:val="22"/>
          <w:shd w:val="clear" w:color="auto" w:fill="FFFFFF" w:themeFill="background1"/>
        </w:rPr>
        <w:t xml:space="preserve">Институтът по публична администрация е една от ключовите програмни инвестиции във връзка с мерките за административен капацитет. Проектът се реализира с активното участие на хоризонталните структури, отговорни за управлението, координацията и контрола на средствата от фондовете на </w:t>
      </w:r>
      <w:r w:rsidRPr="00BD49FD">
        <w:rPr>
          <w:color w:val="000000" w:themeColor="text1"/>
          <w:sz w:val="22"/>
          <w:szCs w:val="22"/>
        </w:rPr>
        <w:t>ЕФСУ</w:t>
      </w:r>
      <w:r w:rsidRPr="00BD49FD">
        <w:rPr>
          <w:rStyle w:val="FootnoteReference"/>
          <w:color w:val="000000" w:themeColor="text1"/>
          <w:sz w:val="22"/>
          <w:szCs w:val="22"/>
        </w:rPr>
        <w:footnoteReference w:id="5"/>
      </w:r>
      <w:r w:rsidRPr="00BD49FD">
        <w:rPr>
          <w:color w:val="000000" w:themeColor="text1"/>
          <w:sz w:val="22"/>
          <w:szCs w:val="22"/>
        </w:rPr>
        <w:t xml:space="preserve">, като Институтът координира всички действия по планиране, подготовка на обучителни модули и провеждане на обученията. </w:t>
      </w:r>
      <w:r w:rsidRPr="00BD49FD">
        <w:rPr>
          <w:sz w:val="22"/>
          <w:szCs w:val="22"/>
        </w:rPr>
        <w:t xml:space="preserve">В края на февруари е публикуван каталогът за 2025 г., който съдържа освен 28-те модула от 2024 г. и 11 нови. Обученията по него се провеждат текущо. </w:t>
      </w:r>
    </w:p>
    <w:p w14:paraId="75E560B5" w14:textId="77777777" w:rsidR="00DB77DA" w:rsidRPr="00BD49FD" w:rsidRDefault="00DB77DA" w:rsidP="00E317AB">
      <w:pPr>
        <w:shd w:val="clear" w:color="auto" w:fill="FFFFFF" w:themeFill="background1"/>
        <w:ind w:firstLine="426"/>
        <w:jc w:val="both"/>
        <w:rPr>
          <w:color w:val="000000" w:themeColor="text1"/>
          <w:sz w:val="22"/>
          <w:szCs w:val="22"/>
        </w:rPr>
      </w:pPr>
      <w:r w:rsidRPr="00BD49FD">
        <w:rPr>
          <w:sz w:val="22"/>
          <w:szCs w:val="22"/>
        </w:rPr>
        <w:t>Проведени са и първите два форума на професионалните мрежи</w:t>
      </w:r>
      <w:r w:rsidRPr="00BD49FD">
        <w:rPr>
          <w:sz w:val="22"/>
          <w:szCs w:val="22"/>
          <w:lang w:val="en-US"/>
        </w:rPr>
        <w:t xml:space="preserve"> </w:t>
      </w:r>
      <w:r w:rsidRPr="00BD49FD">
        <w:rPr>
          <w:sz w:val="22"/>
          <w:szCs w:val="22"/>
        </w:rPr>
        <w:t xml:space="preserve">– на експертите по обществени поръчки и по финансово управление. </w:t>
      </w:r>
    </w:p>
    <w:p w14:paraId="7BBBF2D7" w14:textId="66095AC1" w:rsidR="00DB77DA" w:rsidRPr="00BD49FD" w:rsidRDefault="00DB77DA" w:rsidP="00E317AB">
      <w:pPr>
        <w:shd w:val="clear" w:color="auto" w:fill="FFFFFF" w:themeFill="background1"/>
        <w:ind w:firstLine="426"/>
        <w:jc w:val="both"/>
        <w:rPr>
          <w:color w:val="000000" w:themeColor="text1"/>
          <w:sz w:val="22"/>
          <w:szCs w:val="22"/>
        </w:rPr>
      </w:pPr>
      <w:r w:rsidRPr="00BD49FD">
        <w:rPr>
          <w:color w:val="000000" w:themeColor="text1"/>
          <w:sz w:val="22"/>
          <w:szCs w:val="22"/>
        </w:rPr>
        <w:t xml:space="preserve">Друг ключов проект, който допринася за повишаване на капацитета на бенефициентите – общини </w:t>
      </w:r>
      <w:r w:rsidRPr="00E317AB">
        <w:rPr>
          <w:color w:val="000000" w:themeColor="text1"/>
          <w:sz w:val="22"/>
          <w:szCs w:val="22"/>
          <w:shd w:val="clear" w:color="auto" w:fill="FFFFFF" w:themeFill="background1"/>
        </w:rPr>
        <w:t xml:space="preserve">е </w:t>
      </w:r>
      <w:hyperlink r:id="rId13" w:history="1">
        <w:r w:rsidRPr="00E317AB">
          <w:rPr>
            <w:rStyle w:val="Hyperlink"/>
            <w:i/>
            <w:color w:val="215E99" w:themeColor="text2" w:themeTint="BF"/>
            <w:sz w:val="22"/>
            <w:szCs w:val="22"/>
            <w:u w:val="none"/>
            <w:shd w:val="clear" w:color="auto" w:fill="FFFFFF" w:themeFill="background1"/>
          </w:rPr>
          <w:t xml:space="preserve">„УСПЕХ </w:t>
        </w:r>
        <w:r w:rsidR="00D64BB5" w:rsidRPr="00E317AB">
          <w:rPr>
            <w:rStyle w:val="Hyperlink"/>
            <w:i/>
            <w:color w:val="215E99" w:themeColor="text2" w:themeTint="BF"/>
            <w:sz w:val="22"/>
            <w:szCs w:val="22"/>
            <w:u w:val="none"/>
            <w:shd w:val="clear" w:color="auto" w:fill="FFFFFF" w:themeFill="background1"/>
          </w:rPr>
          <w:t>–</w:t>
        </w:r>
        <w:r w:rsidRPr="00E317AB">
          <w:rPr>
            <w:rStyle w:val="Hyperlink"/>
            <w:i/>
            <w:color w:val="215E99" w:themeColor="text2" w:themeTint="BF"/>
            <w:sz w:val="22"/>
            <w:szCs w:val="22"/>
            <w:u w:val="none"/>
            <w:shd w:val="clear" w:color="auto" w:fill="FFFFFF" w:themeFill="background1"/>
          </w:rPr>
          <w:t xml:space="preserve"> умения, синергия и партньорства за европейски хоризонти“</w:t>
        </w:r>
      </w:hyperlink>
      <w:r w:rsidRPr="00E317AB">
        <w:rPr>
          <w:i/>
          <w:color w:val="000000" w:themeColor="text1"/>
          <w:sz w:val="22"/>
          <w:szCs w:val="22"/>
          <w:shd w:val="clear" w:color="auto" w:fill="FFFFFF" w:themeFill="background1"/>
        </w:rPr>
        <w:t xml:space="preserve"> </w:t>
      </w:r>
      <w:r w:rsidRPr="00E317AB">
        <w:rPr>
          <w:color w:val="000000" w:themeColor="text1"/>
          <w:sz w:val="22"/>
          <w:szCs w:val="22"/>
          <w:shd w:val="clear" w:color="auto" w:fill="FFFFFF" w:themeFill="background1"/>
        </w:rPr>
        <w:t>с</w:t>
      </w:r>
      <w:r w:rsidRPr="00BD49FD">
        <w:rPr>
          <w:color w:val="000000" w:themeColor="text1"/>
          <w:sz w:val="22"/>
          <w:szCs w:val="22"/>
        </w:rPr>
        <w:t xml:space="preserve"> бенефициент Националното сдружение на общините в Република България. Проектът е насочен към повишаване на капацитета на общините </w:t>
      </w:r>
      <w:r w:rsidRPr="00BD49FD">
        <w:rPr>
          <w:i/>
          <w:iCs/>
          <w:color w:val="000000" w:themeColor="text1"/>
          <w:sz w:val="22"/>
          <w:szCs w:val="22"/>
        </w:rPr>
        <w:t>за стратегическо и пространствено планиране</w:t>
      </w:r>
      <w:r w:rsidRPr="00BD49FD">
        <w:rPr>
          <w:color w:val="000000" w:themeColor="text1"/>
          <w:sz w:val="22"/>
          <w:szCs w:val="22"/>
        </w:rPr>
        <w:t xml:space="preserve">, съобразено с политиките на ЕС, </w:t>
      </w:r>
      <w:r w:rsidRPr="00BD49FD">
        <w:rPr>
          <w:i/>
          <w:iCs/>
          <w:color w:val="000000" w:themeColor="text1"/>
          <w:sz w:val="22"/>
          <w:szCs w:val="22"/>
        </w:rPr>
        <w:t>за насърчаване на междуобщинското сътрудничество</w:t>
      </w:r>
      <w:r w:rsidRPr="00BD49FD">
        <w:rPr>
          <w:color w:val="000000" w:themeColor="text1"/>
          <w:sz w:val="22"/>
          <w:szCs w:val="22"/>
        </w:rPr>
        <w:t xml:space="preserve"> и </w:t>
      </w:r>
      <w:r w:rsidRPr="00BD49FD">
        <w:rPr>
          <w:i/>
          <w:iCs/>
          <w:color w:val="000000" w:themeColor="text1"/>
          <w:sz w:val="22"/>
          <w:szCs w:val="22"/>
        </w:rPr>
        <w:t>за развитие на функционалните връзки „град-село“,</w:t>
      </w:r>
      <w:r w:rsidRPr="00BD49FD">
        <w:rPr>
          <w:color w:val="000000" w:themeColor="text1"/>
          <w:sz w:val="22"/>
          <w:szCs w:val="22"/>
        </w:rPr>
        <w:t xml:space="preserve"> както и предоставяне на квалифицирана експертна подкрепа по хоризонтални теми (обществени поръчки и държавни помощи) на общините.</w:t>
      </w:r>
    </w:p>
    <w:p w14:paraId="7460224E" w14:textId="77777777" w:rsidR="00DB77DA" w:rsidRPr="00BD49FD" w:rsidRDefault="00DB77DA" w:rsidP="00E317AB">
      <w:pPr>
        <w:shd w:val="clear" w:color="auto" w:fill="FFFFFF" w:themeFill="background1"/>
        <w:ind w:firstLine="426"/>
        <w:jc w:val="both"/>
        <w:rPr>
          <w:sz w:val="22"/>
          <w:szCs w:val="22"/>
        </w:rPr>
      </w:pPr>
      <w:r w:rsidRPr="00BD49FD">
        <w:rPr>
          <w:sz w:val="22"/>
          <w:szCs w:val="22"/>
        </w:rPr>
        <w:t xml:space="preserve">Постигнат е напредък по изпълнение на мерки </w:t>
      </w:r>
      <w:r w:rsidRPr="004479F7">
        <w:rPr>
          <w:sz w:val="22"/>
          <w:szCs w:val="22"/>
        </w:rPr>
        <w:t>за повишаване на прозрачността, видимостта и комуникацията</w:t>
      </w:r>
      <w:r w:rsidRPr="00BD49FD">
        <w:rPr>
          <w:sz w:val="22"/>
          <w:szCs w:val="22"/>
        </w:rPr>
        <w:t xml:space="preserve"> за Европейската политика на сближаване, възможностите за финансиране и на постигнатите резултати. В допълнение на подкрепата за ЦКЗ за изпълнение на мерки за повишаване </w:t>
      </w:r>
      <w:r w:rsidRPr="00BD49FD">
        <w:rPr>
          <w:sz w:val="22"/>
          <w:szCs w:val="22"/>
        </w:rPr>
        <w:lastRenderedPageBreak/>
        <w:t xml:space="preserve">на видимостта на подкрепата от ЕФСУ, през отчетния период е осигурена подкрепа от ПТП и за ефективното функциониране на националната мрежа от областни информационни центрове (ОИЦ). </w:t>
      </w:r>
    </w:p>
    <w:p w14:paraId="27110273" w14:textId="008AC81A" w:rsidR="00DB77DA" w:rsidRPr="00BD49FD" w:rsidRDefault="00DB77DA" w:rsidP="00E317AB">
      <w:pPr>
        <w:shd w:val="clear" w:color="auto" w:fill="FFFFFF" w:themeFill="background1"/>
        <w:ind w:firstLine="426"/>
        <w:jc w:val="both"/>
        <w:rPr>
          <w:sz w:val="22"/>
          <w:szCs w:val="22"/>
        </w:rPr>
      </w:pPr>
      <w:r w:rsidRPr="00BD49FD">
        <w:rPr>
          <w:sz w:val="22"/>
          <w:szCs w:val="22"/>
        </w:rPr>
        <w:t>През отчетния период ОИЦ са посетени от 9</w:t>
      </w:r>
      <w:r w:rsidR="004479F7">
        <w:rPr>
          <w:sz w:val="22"/>
          <w:szCs w:val="22"/>
        </w:rPr>
        <w:t xml:space="preserve"> </w:t>
      </w:r>
      <w:r w:rsidRPr="00BD49FD">
        <w:rPr>
          <w:sz w:val="22"/>
          <w:szCs w:val="22"/>
        </w:rPr>
        <w:t>980 лица, дадени са отговори на постъпили 11</w:t>
      </w:r>
      <w:r w:rsidR="004479F7">
        <w:rPr>
          <w:sz w:val="22"/>
          <w:szCs w:val="22"/>
        </w:rPr>
        <w:t xml:space="preserve"> </w:t>
      </w:r>
      <w:r w:rsidRPr="00BD49FD">
        <w:rPr>
          <w:sz w:val="22"/>
          <w:szCs w:val="22"/>
        </w:rPr>
        <w:t>636 въпроса, организирани са 429</w:t>
      </w:r>
      <w:r w:rsidR="004479F7">
        <w:rPr>
          <w:sz w:val="22"/>
          <w:szCs w:val="22"/>
        </w:rPr>
        <w:t xml:space="preserve"> </w:t>
      </w:r>
      <w:r w:rsidRPr="00BD49FD">
        <w:rPr>
          <w:sz w:val="22"/>
          <w:szCs w:val="22"/>
        </w:rPr>
        <w:t>събития</w:t>
      </w:r>
      <w:r w:rsidR="004479F7">
        <w:rPr>
          <w:sz w:val="22"/>
          <w:szCs w:val="22"/>
        </w:rPr>
        <w:t xml:space="preserve"> </w:t>
      </w:r>
      <w:r w:rsidRPr="00BD49FD">
        <w:rPr>
          <w:sz w:val="22"/>
          <w:szCs w:val="22"/>
        </w:rPr>
        <w:t>от</w:t>
      </w:r>
      <w:r w:rsidR="004479F7">
        <w:rPr>
          <w:sz w:val="22"/>
          <w:szCs w:val="22"/>
        </w:rPr>
        <w:t xml:space="preserve"> </w:t>
      </w:r>
      <w:r w:rsidRPr="00BD49FD">
        <w:rPr>
          <w:sz w:val="22"/>
          <w:szCs w:val="22"/>
        </w:rPr>
        <w:t>ОИЦ</w:t>
      </w:r>
      <w:r w:rsidR="004479F7">
        <w:rPr>
          <w:sz w:val="22"/>
          <w:szCs w:val="22"/>
        </w:rPr>
        <w:t xml:space="preserve"> </w:t>
      </w:r>
      <w:r w:rsidRPr="00BD49FD">
        <w:rPr>
          <w:sz w:val="22"/>
          <w:szCs w:val="22"/>
        </w:rPr>
        <w:t>с присъствали</w:t>
      </w:r>
      <w:r w:rsidR="004479F7">
        <w:rPr>
          <w:sz w:val="22"/>
          <w:szCs w:val="22"/>
        </w:rPr>
        <w:t xml:space="preserve"> </w:t>
      </w:r>
      <w:r w:rsidRPr="00BD49FD">
        <w:rPr>
          <w:sz w:val="22"/>
          <w:szCs w:val="22"/>
        </w:rPr>
        <w:t>8</w:t>
      </w:r>
      <w:r w:rsidR="004479F7">
        <w:rPr>
          <w:sz w:val="22"/>
          <w:szCs w:val="22"/>
        </w:rPr>
        <w:t xml:space="preserve"> </w:t>
      </w:r>
      <w:r w:rsidRPr="00BD49FD">
        <w:rPr>
          <w:sz w:val="22"/>
          <w:szCs w:val="22"/>
        </w:rPr>
        <w:t>834 лица и са</w:t>
      </w:r>
      <w:r w:rsidR="004479F7">
        <w:rPr>
          <w:sz w:val="22"/>
          <w:szCs w:val="22"/>
        </w:rPr>
        <w:t xml:space="preserve"> </w:t>
      </w:r>
      <w:r w:rsidRPr="00BD49FD">
        <w:rPr>
          <w:sz w:val="22"/>
          <w:szCs w:val="22"/>
        </w:rPr>
        <w:t xml:space="preserve">отразени </w:t>
      </w:r>
      <w:r w:rsidR="004479F7">
        <w:rPr>
          <w:sz w:val="22"/>
          <w:szCs w:val="22"/>
        </w:rPr>
        <w:br/>
      </w:r>
      <w:r w:rsidRPr="00BD49FD">
        <w:rPr>
          <w:sz w:val="22"/>
          <w:szCs w:val="22"/>
        </w:rPr>
        <w:t>11</w:t>
      </w:r>
      <w:r w:rsidR="00C13979">
        <w:rPr>
          <w:sz w:val="22"/>
          <w:szCs w:val="22"/>
        </w:rPr>
        <w:t xml:space="preserve"> </w:t>
      </w:r>
      <w:r w:rsidRPr="00BD49FD">
        <w:rPr>
          <w:sz w:val="22"/>
          <w:szCs w:val="22"/>
        </w:rPr>
        <w:t>487</w:t>
      </w:r>
      <w:r w:rsidR="00C13979">
        <w:rPr>
          <w:sz w:val="22"/>
          <w:szCs w:val="22"/>
        </w:rPr>
        <w:t xml:space="preserve"> </w:t>
      </w:r>
      <w:r w:rsidRPr="00BD49FD">
        <w:rPr>
          <w:sz w:val="22"/>
          <w:szCs w:val="22"/>
        </w:rPr>
        <w:t>публикации в медии.</w:t>
      </w:r>
    </w:p>
    <w:p w14:paraId="5297AFD9" w14:textId="62B20EC4" w:rsidR="00DB77DA" w:rsidRPr="00BD49FD" w:rsidRDefault="00DB77DA" w:rsidP="00E317AB">
      <w:pPr>
        <w:shd w:val="clear" w:color="auto" w:fill="FFFFFF" w:themeFill="background1"/>
        <w:spacing w:after="120"/>
        <w:ind w:firstLine="426"/>
        <w:jc w:val="both"/>
        <w:rPr>
          <w:sz w:val="22"/>
          <w:szCs w:val="22"/>
        </w:rPr>
      </w:pPr>
      <w:r w:rsidRPr="00BD49FD">
        <w:rPr>
          <w:sz w:val="22"/>
          <w:szCs w:val="22"/>
        </w:rPr>
        <w:t>За да няма риск от отмяна на бюджетни задължения по ПТП</w:t>
      </w:r>
      <w:r w:rsidRPr="00BD49FD">
        <w:rPr>
          <w:rStyle w:val="FootnoteReference"/>
          <w:sz w:val="22"/>
          <w:szCs w:val="22"/>
        </w:rPr>
        <w:footnoteReference w:id="6"/>
      </w:r>
      <w:r w:rsidRPr="00BD49FD">
        <w:rPr>
          <w:sz w:val="22"/>
          <w:szCs w:val="22"/>
        </w:rPr>
        <w:t>, към края на всяка календарна година следва да бъде верифицирана и отчетена към Европейската комисия, определена част от средствата по Програмата. Към</w:t>
      </w:r>
      <w:r w:rsidR="00AE2E91">
        <w:rPr>
          <w:sz w:val="22"/>
          <w:szCs w:val="22"/>
        </w:rPr>
        <w:t xml:space="preserve"> </w:t>
      </w:r>
      <w:r w:rsidRPr="00BD49FD">
        <w:rPr>
          <w:sz w:val="22"/>
          <w:szCs w:val="22"/>
        </w:rPr>
        <w:t>31.12.2025 г. целта възлиза</w:t>
      </w:r>
      <w:r w:rsidR="00AE2E91">
        <w:rPr>
          <w:sz w:val="22"/>
          <w:szCs w:val="22"/>
        </w:rPr>
        <w:t xml:space="preserve"> </w:t>
      </w:r>
      <w:r w:rsidRPr="00BD49FD">
        <w:rPr>
          <w:sz w:val="22"/>
          <w:szCs w:val="22"/>
        </w:rPr>
        <w:t>на 27 млн. лв. (европейско и национално финансиране).</w:t>
      </w:r>
      <w:r w:rsidR="00AE2E91">
        <w:rPr>
          <w:sz w:val="22"/>
          <w:szCs w:val="22"/>
        </w:rPr>
        <w:t xml:space="preserve"> </w:t>
      </w:r>
      <w:r w:rsidRPr="00BD49FD">
        <w:rPr>
          <w:sz w:val="22"/>
          <w:szCs w:val="22"/>
        </w:rPr>
        <w:t>Към 30.06.2025 г. верифицираните по ПТП средства възлизат на 24.4 млн. лв., или 90% от целта. На база прогнозите за верификация по проектите в изпълнение през</w:t>
      </w:r>
      <w:r w:rsidR="00AE2E91">
        <w:rPr>
          <w:sz w:val="22"/>
          <w:szCs w:val="22"/>
        </w:rPr>
        <w:t xml:space="preserve"> </w:t>
      </w:r>
      <w:r w:rsidRPr="00BD49FD">
        <w:rPr>
          <w:sz w:val="22"/>
          <w:szCs w:val="22"/>
        </w:rPr>
        <w:t>2025 г. Управляващият орган счита, че финансовата цел за 2025 г. ще бъде преизпълнена.</w:t>
      </w:r>
    </w:p>
    <w:p w14:paraId="2DEBA43E" w14:textId="3CE5B463" w:rsidR="00F57429" w:rsidRPr="00F57429" w:rsidRDefault="00F57429" w:rsidP="00E317AB">
      <w:pPr>
        <w:widowControl w:val="0"/>
        <w:shd w:val="clear" w:color="auto" w:fill="FFFFFF" w:themeFill="background1"/>
        <w:tabs>
          <w:tab w:val="left" w:pos="426"/>
        </w:tabs>
        <w:spacing w:before="120"/>
        <w:ind w:firstLine="425"/>
        <w:jc w:val="both"/>
        <w:outlineLvl w:val="3"/>
        <w:rPr>
          <w:b/>
          <w:bCs/>
          <w:iCs/>
          <w:color w:val="215E99" w:themeColor="text2" w:themeTint="BF"/>
          <w:sz w:val="22"/>
          <w:szCs w:val="22"/>
          <w:lang w:val="en-US" w:eastAsia="en-US"/>
        </w:rPr>
      </w:pPr>
      <w:r w:rsidRPr="00F57429">
        <w:rPr>
          <w:b/>
          <w:bCs/>
          <w:iCs/>
          <w:color w:val="215E99" w:themeColor="text2" w:themeTint="BF"/>
          <w:sz w:val="22"/>
          <w:szCs w:val="22"/>
          <w:lang w:eastAsia="en-US"/>
        </w:rPr>
        <w:t>Описание на степента на достигане на очакваните ползи/ефекти за обществото и резултати, относими към съответната област на политика/функционална област</w:t>
      </w:r>
      <w:r w:rsidRPr="00F57429">
        <w:rPr>
          <w:b/>
          <w:bCs/>
          <w:iCs/>
          <w:color w:val="215E99" w:themeColor="text2" w:themeTint="BF"/>
          <w:sz w:val="22"/>
          <w:szCs w:val="22"/>
          <w:lang w:val="en-US" w:eastAsia="en-US"/>
        </w:rPr>
        <w:t>:</w:t>
      </w:r>
    </w:p>
    <w:p w14:paraId="4408BA63" w14:textId="77777777" w:rsidR="00F57429" w:rsidRDefault="00F57429" w:rsidP="00E317AB">
      <w:pPr>
        <w:shd w:val="clear" w:color="auto" w:fill="FFFFFF" w:themeFill="background1"/>
        <w:spacing w:after="240"/>
        <w:ind w:firstLine="425"/>
        <w:jc w:val="both"/>
        <w:rPr>
          <w:sz w:val="22"/>
          <w:szCs w:val="22"/>
        </w:rPr>
      </w:pPr>
      <w:r w:rsidRPr="001778F8">
        <w:rPr>
          <w:sz w:val="22"/>
          <w:szCs w:val="22"/>
        </w:rPr>
        <w:t xml:space="preserve">В настоящия отчет се отчита изпълнение на показатели, включени в програмния бюджет на Министерския съвет за 2025 г. Не се отчитат показатели за Оперативна програма „Добро управление“, които са изпълнени към 31.12.2023 г. </w:t>
      </w:r>
    </w:p>
    <w:p w14:paraId="4A78353A" w14:textId="049E1370" w:rsidR="003C00B7" w:rsidRDefault="003C00B7" w:rsidP="00E317AB">
      <w:pPr>
        <w:widowControl w:val="0"/>
        <w:shd w:val="clear" w:color="auto" w:fill="FFFFFF" w:themeFill="background1"/>
        <w:tabs>
          <w:tab w:val="left" w:pos="426"/>
        </w:tabs>
        <w:spacing w:before="120" w:after="120"/>
        <w:ind w:firstLine="425"/>
        <w:jc w:val="both"/>
        <w:outlineLvl w:val="3"/>
        <w:rPr>
          <w:b/>
          <w:bCs/>
          <w:iCs/>
          <w:color w:val="215E99" w:themeColor="text2" w:themeTint="BF"/>
          <w:sz w:val="22"/>
          <w:szCs w:val="22"/>
          <w:lang w:eastAsia="en-US"/>
        </w:rPr>
      </w:pPr>
      <w:r w:rsidRPr="003C00B7">
        <w:rPr>
          <w:b/>
          <w:bCs/>
          <w:iCs/>
          <w:color w:val="215E99" w:themeColor="text2" w:themeTint="BF"/>
          <w:sz w:val="22"/>
          <w:szCs w:val="22"/>
          <w:lang w:eastAsia="en-US"/>
        </w:rPr>
        <w:t>Отчет на показателите за полза/ефект</w:t>
      </w:r>
    </w:p>
    <w:tbl>
      <w:tblPr>
        <w:tblW w:w="5000" w:type="pct"/>
        <w:jc w:val="center"/>
        <w:tblCellMar>
          <w:left w:w="70" w:type="dxa"/>
          <w:right w:w="70" w:type="dxa"/>
        </w:tblCellMar>
        <w:tblLook w:val="0000" w:firstRow="0" w:lastRow="0" w:firstColumn="0" w:lastColumn="0" w:noHBand="0" w:noVBand="0"/>
      </w:tblPr>
      <w:tblGrid>
        <w:gridCol w:w="4928"/>
        <w:gridCol w:w="28"/>
        <w:gridCol w:w="2831"/>
        <w:gridCol w:w="56"/>
        <w:gridCol w:w="788"/>
        <w:gridCol w:w="9"/>
        <w:gridCol w:w="696"/>
      </w:tblGrid>
      <w:tr w:rsidR="00DC0272" w:rsidRPr="00080DAE" w14:paraId="1A46AF0B" w14:textId="77777777" w:rsidTr="00FF4E77">
        <w:trPr>
          <w:trHeight w:val="420"/>
          <w:jc w:val="center"/>
        </w:trPr>
        <w:tc>
          <w:tcPr>
            <w:tcW w:w="5000" w:type="pct"/>
            <w:gridSpan w:val="7"/>
            <w:tcBorders>
              <w:top w:val="single" w:sz="8" w:space="0" w:color="auto"/>
              <w:left w:val="single" w:sz="8" w:space="0" w:color="auto"/>
              <w:bottom w:val="single" w:sz="4" w:space="0" w:color="auto"/>
              <w:right w:val="single" w:sz="8" w:space="0" w:color="000000"/>
            </w:tcBorders>
            <w:shd w:val="clear" w:color="auto" w:fill="FFCC99"/>
            <w:vAlign w:val="center"/>
          </w:tcPr>
          <w:p w14:paraId="0FE9E018" w14:textId="77777777" w:rsidR="00DC0272" w:rsidRPr="00AE6576" w:rsidRDefault="00DC0272" w:rsidP="00E025BA">
            <w:pPr>
              <w:spacing w:before="120" w:after="240"/>
              <w:jc w:val="center"/>
              <w:rPr>
                <w:b/>
                <w:bCs/>
                <w:sz w:val="22"/>
                <w:szCs w:val="22"/>
              </w:rPr>
            </w:pPr>
            <w:r w:rsidRPr="00596F8B">
              <w:rPr>
                <w:b/>
                <w:sz w:val="22"/>
                <w:szCs w:val="22"/>
              </w:rPr>
              <w:t xml:space="preserve">Отчет на показателите за полза/ефект </w:t>
            </w:r>
          </w:p>
        </w:tc>
      </w:tr>
      <w:tr w:rsidR="00DC0272" w:rsidRPr="005D5B09" w14:paraId="529F9048" w14:textId="77777777" w:rsidTr="00FF4E77">
        <w:trPr>
          <w:trHeight w:val="255"/>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CC99"/>
          </w:tcPr>
          <w:p w14:paraId="24B606EC" w14:textId="77777777" w:rsidR="00DC0272" w:rsidRDefault="00DC0272" w:rsidP="003C6E60">
            <w:pPr>
              <w:jc w:val="center"/>
              <w:rPr>
                <w:rFonts w:cstheme="minorHAnsi"/>
                <w:sz w:val="16"/>
                <w:szCs w:val="16"/>
              </w:rPr>
            </w:pPr>
            <w:r w:rsidRPr="005D5B09">
              <w:rPr>
                <w:i/>
                <w:iCs/>
                <w:sz w:val="16"/>
                <w:szCs w:val="16"/>
              </w:rPr>
              <w:t>Ползи/ефекти:</w:t>
            </w:r>
            <w:r w:rsidRPr="005D5B09">
              <w:rPr>
                <w:sz w:val="16"/>
                <w:szCs w:val="16"/>
              </w:rPr>
              <w:t xml:space="preserve"> </w:t>
            </w:r>
            <w:r w:rsidRPr="007520F1">
              <w:rPr>
                <w:rFonts w:cstheme="minorHAnsi"/>
                <w:sz w:val="16"/>
                <w:szCs w:val="16"/>
              </w:rPr>
              <w:t xml:space="preserve">ПОСТИГАНЕ НА ЦЕЛИТЕ НА ПОЛИТИКИТЕ И ПРИОРИТЕТИТЕ, ФИНАНСИРАНИ СЪС СРЕДСТВА </w:t>
            </w:r>
          </w:p>
          <w:p w14:paraId="763461F9" w14:textId="77777777" w:rsidR="00DC0272" w:rsidRPr="005D5B09" w:rsidRDefault="00DC0272" w:rsidP="003C6E60">
            <w:pPr>
              <w:jc w:val="center"/>
              <w:rPr>
                <w:sz w:val="16"/>
                <w:szCs w:val="16"/>
              </w:rPr>
            </w:pPr>
            <w:r w:rsidRPr="007520F1">
              <w:rPr>
                <w:rFonts w:cstheme="minorHAnsi"/>
                <w:sz w:val="16"/>
                <w:szCs w:val="16"/>
              </w:rPr>
              <w:t>ОТ ЕСИФ, ЕФСУ И НПВУ</w:t>
            </w:r>
          </w:p>
        </w:tc>
      </w:tr>
      <w:tr w:rsidR="00DC0272" w:rsidRPr="005D5B09" w14:paraId="2C350AED" w14:textId="77777777" w:rsidTr="00FF4E77">
        <w:trPr>
          <w:trHeight w:val="255"/>
          <w:jc w:val="center"/>
        </w:trPr>
        <w:tc>
          <w:tcPr>
            <w:tcW w:w="2639" w:type="pct"/>
            <w:tcBorders>
              <w:top w:val="single" w:sz="4" w:space="0" w:color="auto"/>
              <w:left w:val="single" w:sz="4" w:space="0" w:color="auto"/>
              <w:bottom w:val="single" w:sz="4" w:space="0" w:color="auto"/>
              <w:right w:val="single" w:sz="4" w:space="0" w:color="auto"/>
            </w:tcBorders>
            <w:shd w:val="clear" w:color="auto" w:fill="FFCC99"/>
            <w:vAlign w:val="center"/>
          </w:tcPr>
          <w:p w14:paraId="4E6EF9B0" w14:textId="77777777" w:rsidR="00DC0272" w:rsidRPr="005D5B09" w:rsidRDefault="00DC0272" w:rsidP="003C6E60">
            <w:pPr>
              <w:jc w:val="center"/>
              <w:rPr>
                <w:sz w:val="16"/>
                <w:szCs w:val="16"/>
              </w:rPr>
            </w:pPr>
            <w:r w:rsidRPr="005D5B09">
              <w:rPr>
                <w:b/>
                <w:bCs/>
                <w:sz w:val="16"/>
                <w:szCs w:val="16"/>
              </w:rPr>
              <w:t>Показатели за полза/ефект</w:t>
            </w:r>
          </w:p>
        </w:tc>
        <w:tc>
          <w:tcPr>
            <w:tcW w:w="1561" w:type="pct"/>
            <w:gridSpan w:val="3"/>
            <w:tcBorders>
              <w:top w:val="single" w:sz="4" w:space="0" w:color="auto"/>
              <w:left w:val="nil"/>
              <w:bottom w:val="single" w:sz="4" w:space="0" w:color="auto"/>
              <w:right w:val="single" w:sz="4" w:space="0" w:color="auto"/>
            </w:tcBorders>
            <w:shd w:val="clear" w:color="auto" w:fill="FFCC99"/>
            <w:vAlign w:val="center"/>
          </w:tcPr>
          <w:p w14:paraId="126DC57C" w14:textId="77777777" w:rsidR="00DC0272" w:rsidRPr="005D5B09" w:rsidRDefault="00DC0272" w:rsidP="003C6E60">
            <w:pPr>
              <w:jc w:val="both"/>
              <w:rPr>
                <w:sz w:val="16"/>
                <w:szCs w:val="16"/>
              </w:rPr>
            </w:pPr>
            <w:r w:rsidRPr="005D5B09">
              <w:rPr>
                <w:b/>
                <w:bCs/>
                <w:sz w:val="16"/>
                <w:szCs w:val="16"/>
              </w:rPr>
              <w:t>Мерна единица</w:t>
            </w:r>
          </w:p>
        </w:tc>
        <w:tc>
          <w:tcPr>
            <w:tcW w:w="422" w:type="pct"/>
            <w:tcBorders>
              <w:top w:val="single" w:sz="4" w:space="0" w:color="auto"/>
              <w:left w:val="nil"/>
              <w:bottom w:val="single" w:sz="4" w:space="0" w:color="auto"/>
              <w:right w:val="single" w:sz="4" w:space="0" w:color="auto"/>
            </w:tcBorders>
            <w:shd w:val="clear" w:color="auto" w:fill="FFCC99"/>
            <w:vAlign w:val="center"/>
          </w:tcPr>
          <w:p w14:paraId="183DD2C8" w14:textId="77777777" w:rsidR="00DC0272" w:rsidRPr="005D5B09" w:rsidRDefault="00DC0272" w:rsidP="003C6E60">
            <w:pPr>
              <w:jc w:val="center"/>
              <w:rPr>
                <w:b/>
                <w:bCs/>
                <w:iCs/>
                <w:sz w:val="16"/>
                <w:szCs w:val="16"/>
              </w:rPr>
            </w:pPr>
            <w:r w:rsidRPr="005D5B09">
              <w:rPr>
                <w:b/>
                <w:bCs/>
                <w:iCs/>
                <w:sz w:val="16"/>
                <w:szCs w:val="16"/>
              </w:rPr>
              <w:t>Целева стойност</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16CC06FE" w14:textId="77777777" w:rsidR="00DC0272" w:rsidRPr="005D5B09" w:rsidRDefault="00DC0272" w:rsidP="003C6E60">
            <w:pPr>
              <w:jc w:val="center"/>
              <w:rPr>
                <w:sz w:val="16"/>
                <w:szCs w:val="16"/>
              </w:rPr>
            </w:pPr>
            <w:r w:rsidRPr="005D5B09">
              <w:rPr>
                <w:b/>
                <w:bCs/>
                <w:iCs/>
                <w:sz w:val="16"/>
                <w:szCs w:val="16"/>
              </w:rPr>
              <w:t>Отчет</w:t>
            </w:r>
          </w:p>
        </w:tc>
      </w:tr>
      <w:tr w:rsidR="00DC0272" w:rsidRPr="00A515B4" w14:paraId="42A09452" w14:textId="77777777" w:rsidTr="00EA696E">
        <w:trPr>
          <w:trHeight w:val="255"/>
          <w:jc w:val="center"/>
        </w:trPr>
        <w:tc>
          <w:tcPr>
            <w:tcW w:w="2639" w:type="pct"/>
            <w:tcBorders>
              <w:top w:val="single" w:sz="4" w:space="0" w:color="auto"/>
              <w:left w:val="single" w:sz="4" w:space="0" w:color="auto"/>
              <w:bottom w:val="single" w:sz="4" w:space="0" w:color="auto"/>
              <w:right w:val="single" w:sz="4" w:space="0" w:color="auto"/>
            </w:tcBorders>
            <w:vAlign w:val="center"/>
          </w:tcPr>
          <w:p w14:paraId="09F0F8F9" w14:textId="4C48344B" w:rsidR="00DC0272" w:rsidRPr="00A515B4" w:rsidRDefault="00DC0272" w:rsidP="003C6E60">
            <w:pPr>
              <w:jc w:val="both"/>
              <w:rPr>
                <w:sz w:val="18"/>
                <w:szCs w:val="18"/>
              </w:rPr>
            </w:pPr>
            <w:r w:rsidRPr="00A515B4">
              <w:rPr>
                <w:sz w:val="16"/>
                <w:szCs w:val="16"/>
              </w:rPr>
              <w:t>Изпълнение на стратегическите приоритети на Споразуменията за партньорство за програмни периоди 2014 – 2020 и 2021 – 2027 г. и на реформите, заложени в НПВУ</w:t>
            </w:r>
          </w:p>
        </w:tc>
        <w:tc>
          <w:tcPr>
            <w:tcW w:w="1561" w:type="pct"/>
            <w:gridSpan w:val="3"/>
            <w:tcBorders>
              <w:top w:val="single" w:sz="4" w:space="0" w:color="auto"/>
              <w:left w:val="nil"/>
              <w:bottom w:val="single" w:sz="4" w:space="0" w:color="auto"/>
              <w:right w:val="single" w:sz="4" w:space="0" w:color="auto"/>
            </w:tcBorders>
            <w:vAlign w:val="center"/>
          </w:tcPr>
          <w:p w14:paraId="7C8C17E2" w14:textId="77777777" w:rsidR="00DC0272" w:rsidRPr="00A515B4" w:rsidRDefault="00DC0272" w:rsidP="003C6E60">
            <w:pPr>
              <w:jc w:val="both"/>
              <w:rPr>
                <w:sz w:val="18"/>
                <w:szCs w:val="18"/>
              </w:rPr>
            </w:pPr>
            <w:r w:rsidRPr="00A515B4">
              <w:rPr>
                <w:i/>
                <w:sz w:val="16"/>
                <w:szCs w:val="16"/>
              </w:rPr>
              <w:t xml:space="preserve">Качествен показател: </w:t>
            </w:r>
            <w:r w:rsidRPr="00A515B4">
              <w:rPr>
                <w:sz w:val="16"/>
                <w:szCs w:val="16"/>
              </w:rPr>
              <w:t>Осъществена координация и наблюдение на изпълнението на програмите, съфинансирани от ЕСИФ, ЕФСУ и НПВУ и оказване на необходимата методическа подкрепа</w:t>
            </w:r>
          </w:p>
        </w:tc>
        <w:tc>
          <w:tcPr>
            <w:tcW w:w="422" w:type="pct"/>
            <w:tcBorders>
              <w:top w:val="single" w:sz="4" w:space="0" w:color="auto"/>
              <w:left w:val="nil"/>
              <w:bottom w:val="single" w:sz="4" w:space="0" w:color="auto"/>
              <w:right w:val="single" w:sz="4" w:space="0" w:color="auto"/>
            </w:tcBorders>
            <w:vAlign w:val="center"/>
          </w:tcPr>
          <w:p w14:paraId="257D387B" w14:textId="77777777" w:rsidR="00DC0272" w:rsidRPr="00A515B4" w:rsidRDefault="00DC0272" w:rsidP="003C6E60">
            <w:pPr>
              <w:jc w:val="right"/>
              <w:rPr>
                <w:color w:val="000000" w:themeColor="text1"/>
                <w:sz w:val="16"/>
                <w:szCs w:val="16"/>
              </w:rPr>
            </w:pPr>
            <w:r w:rsidRPr="00A515B4">
              <w:rPr>
                <w:sz w:val="16"/>
                <w:szCs w:val="16"/>
              </w:rPr>
              <w:t>текущо</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C986E" w14:textId="62740775" w:rsidR="00DC0272" w:rsidRPr="00A515B4" w:rsidRDefault="00DC0272" w:rsidP="003C6E60">
            <w:pPr>
              <w:jc w:val="right"/>
              <w:rPr>
                <w:sz w:val="16"/>
                <w:szCs w:val="16"/>
              </w:rPr>
            </w:pPr>
            <w:proofErr w:type="spellStart"/>
            <w:r w:rsidRPr="00A515B4">
              <w:rPr>
                <w:sz w:val="16"/>
                <w:szCs w:val="16"/>
              </w:rPr>
              <w:t>н.п</w:t>
            </w:r>
            <w:proofErr w:type="spellEnd"/>
            <w:r w:rsidRPr="00A515B4">
              <w:rPr>
                <w:sz w:val="16"/>
                <w:szCs w:val="16"/>
              </w:rPr>
              <w:t>.</w:t>
            </w:r>
          </w:p>
        </w:tc>
      </w:tr>
      <w:tr w:rsidR="00DC0272" w:rsidRPr="00A515B4" w14:paraId="7D3B6484" w14:textId="77777777" w:rsidTr="00EA696E">
        <w:trPr>
          <w:trHeight w:val="255"/>
          <w:jc w:val="center"/>
        </w:trPr>
        <w:tc>
          <w:tcPr>
            <w:tcW w:w="2639" w:type="pct"/>
            <w:tcBorders>
              <w:top w:val="single" w:sz="4" w:space="0" w:color="auto"/>
              <w:left w:val="single" w:sz="4" w:space="0" w:color="auto"/>
              <w:bottom w:val="single" w:sz="4" w:space="0" w:color="auto"/>
              <w:right w:val="single" w:sz="4" w:space="0" w:color="auto"/>
            </w:tcBorders>
            <w:vAlign w:val="center"/>
          </w:tcPr>
          <w:p w14:paraId="2566D7E5" w14:textId="7EF6DF89" w:rsidR="00E025BA" w:rsidRPr="00A515B4" w:rsidRDefault="00DC0272" w:rsidP="00C77507">
            <w:pPr>
              <w:jc w:val="both"/>
              <w:rPr>
                <w:color w:val="000000" w:themeColor="text1"/>
                <w:sz w:val="18"/>
                <w:szCs w:val="18"/>
              </w:rPr>
            </w:pPr>
            <w:r w:rsidRPr="00A515B4">
              <w:rPr>
                <w:sz w:val="16"/>
                <w:szCs w:val="16"/>
              </w:rPr>
              <w:t>Прилагане принципа на партньорство при изпълнението на Споразумението за партньорство за програмен период 2021 – 2027 г.</w:t>
            </w:r>
          </w:p>
        </w:tc>
        <w:tc>
          <w:tcPr>
            <w:tcW w:w="1561" w:type="pct"/>
            <w:gridSpan w:val="3"/>
            <w:tcBorders>
              <w:top w:val="single" w:sz="4" w:space="0" w:color="auto"/>
              <w:left w:val="nil"/>
              <w:bottom w:val="single" w:sz="4" w:space="0" w:color="auto"/>
              <w:right w:val="single" w:sz="4" w:space="0" w:color="auto"/>
            </w:tcBorders>
            <w:vAlign w:val="center"/>
          </w:tcPr>
          <w:p w14:paraId="75753851" w14:textId="77777777" w:rsidR="00DC0272" w:rsidRPr="00A515B4" w:rsidRDefault="00DC0272" w:rsidP="003C6E60">
            <w:pPr>
              <w:jc w:val="both"/>
              <w:rPr>
                <w:sz w:val="18"/>
                <w:szCs w:val="18"/>
              </w:rPr>
            </w:pPr>
            <w:r w:rsidRPr="00A515B4">
              <w:rPr>
                <w:sz w:val="16"/>
                <w:szCs w:val="16"/>
              </w:rPr>
              <w:t>Брой проведени заседания на КН на СП</w:t>
            </w:r>
          </w:p>
        </w:tc>
        <w:tc>
          <w:tcPr>
            <w:tcW w:w="422" w:type="pct"/>
            <w:tcBorders>
              <w:top w:val="single" w:sz="4" w:space="0" w:color="auto"/>
              <w:left w:val="nil"/>
              <w:bottom w:val="single" w:sz="4" w:space="0" w:color="auto"/>
              <w:right w:val="single" w:sz="4" w:space="0" w:color="auto"/>
            </w:tcBorders>
            <w:vAlign w:val="center"/>
          </w:tcPr>
          <w:p w14:paraId="2CFE6A3F" w14:textId="77777777" w:rsidR="00DC0272" w:rsidRPr="00A515B4" w:rsidRDefault="00DC0272" w:rsidP="003C6E60">
            <w:pPr>
              <w:jc w:val="right"/>
              <w:rPr>
                <w:color w:val="000000" w:themeColor="text1"/>
                <w:sz w:val="16"/>
                <w:szCs w:val="16"/>
              </w:rPr>
            </w:pPr>
            <w:r w:rsidRPr="00A515B4">
              <w:rPr>
                <w:sz w:val="16"/>
                <w:szCs w:val="16"/>
              </w:rPr>
              <w:t>1</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EBF3D" w14:textId="77777777" w:rsidR="00DC0272" w:rsidRPr="00A515B4" w:rsidRDefault="00DC0272" w:rsidP="003C6E60">
            <w:pPr>
              <w:jc w:val="right"/>
              <w:rPr>
                <w:sz w:val="16"/>
                <w:szCs w:val="16"/>
              </w:rPr>
            </w:pPr>
            <w:r w:rsidRPr="00A515B4">
              <w:rPr>
                <w:sz w:val="16"/>
                <w:szCs w:val="16"/>
              </w:rPr>
              <w:t>0</w:t>
            </w:r>
            <w:r w:rsidRPr="00A515B4">
              <w:rPr>
                <w:rStyle w:val="FootnoteReference"/>
                <w:sz w:val="16"/>
                <w:szCs w:val="16"/>
              </w:rPr>
              <w:footnoteReference w:id="7"/>
            </w:r>
          </w:p>
        </w:tc>
      </w:tr>
      <w:tr w:rsidR="00DC0272" w:rsidRPr="00A515B4" w14:paraId="1DFE26D0" w14:textId="77777777" w:rsidTr="00FF4E77">
        <w:trPr>
          <w:trHeight w:val="255"/>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CC99"/>
          </w:tcPr>
          <w:p w14:paraId="6A8C2897" w14:textId="4B2DB775" w:rsidR="00DC0272" w:rsidRPr="00A515B4" w:rsidRDefault="00DC0272" w:rsidP="003C6E60">
            <w:pPr>
              <w:jc w:val="both"/>
              <w:rPr>
                <w:sz w:val="16"/>
                <w:szCs w:val="16"/>
              </w:rPr>
            </w:pPr>
            <w:r w:rsidRPr="00A515B4">
              <w:rPr>
                <w:i/>
                <w:iCs/>
                <w:sz w:val="16"/>
                <w:szCs w:val="16"/>
              </w:rPr>
              <w:t xml:space="preserve">Ползи/ефекти: </w:t>
            </w:r>
            <w:r w:rsidRPr="00A515B4">
              <w:rPr>
                <w:rFonts w:cstheme="minorHAnsi"/>
                <w:sz w:val="16"/>
                <w:szCs w:val="16"/>
              </w:rPr>
              <w:t>ЕФЕКТИВНО И ЕФИКАСНО УПРАВЛЕНИЕ НА ПРОГРАМИТЕ, СЪФИНАНСИРАНИ ОТ ЕСИФ, ЕФСУ, НПВУ, ШБПС, ФМ НА ЕИП И НФМ, В РЕЗУЛТАТ ОТ НАЛИЧИЕТО НА АДЕКВАТНА НОРМАТИВНА УРЕДБА, РАБОТЕЩИ СИСТЕМИ ЗА УПРАВЛЕНИЕ И КОНТРОЛ, УЕДНАКВЕНИ ПРОЦЕДУРИ И ДОПЪЛВАЩИ СЕ МЕРКИ С ТЕРИТОРИАЛЕН ИЛИ СЕКТОРЕН ОБХВАТ</w:t>
            </w:r>
          </w:p>
        </w:tc>
      </w:tr>
      <w:tr w:rsidR="00DC0272" w:rsidRPr="00A515B4" w14:paraId="030524B4" w14:textId="77777777" w:rsidTr="00FF4E77">
        <w:trPr>
          <w:trHeight w:val="255"/>
          <w:jc w:val="center"/>
        </w:trPr>
        <w:tc>
          <w:tcPr>
            <w:tcW w:w="2639" w:type="pct"/>
            <w:tcBorders>
              <w:top w:val="single" w:sz="4" w:space="0" w:color="auto"/>
              <w:left w:val="single" w:sz="4" w:space="0" w:color="auto"/>
              <w:bottom w:val="single" w:sz="4" w:space="0" w:color="auto"/>
              <w:right w:val="single" w:sz="4" w:space="0" w:color="auto"/>
            </w:tcBorders>
            <w:shd w:val="clear" w:color="auto" w:fill="FFCC99"/>
            <w:vAlign w:val="center"/>
          </w:tcPr>
          <w:p w14:paraId="3A23BA00" w14:textId="77777777" w:rsidR="00DC0272" w:rsidRPr="00A515B4" w:rsidRDefault="00DC0272" w:rsidP="003C6E60">
            <w:pPr>
              <w:jc w:val="center"/>
              <w:rPr>
                <w:sz w:val="16"/>
                <w:szCs w:val="16"/>
              </w:rPr>
            </w:pPr>
            <w:r w:rsidRPr="00A515B4">
              <w:rPr>
                <w:b/>
                <w:bCs/>
                <w:sz w:val="16"/>
                <w:szCs w:val="16"/>
              </w:rPr>
              <w:t>Показатели за полза/ефект</w:t>
            </w:r>
          </w:p>
        </w:tc>
        <w:tc>
          <w:tcPr>
            <w:tcW w:w="1561" w:type="pct"/>
            <w:gridSpan w:val="3"/>
            <w:tcBorders>
              <w:top w:val="single" w:sz="4" w:space="0" w:color="auto"/>
              <w:left w:val="nil"/>
              <w:bottom w:val="single" w:sz="4" w:space="0" w:color="auto"/>
              <w:right w:val="single" w:sz="4" w:space="0" w:color="auto"/>
            </w:tcBorders>
            <w:shd w:val="clear" w:color="auto" w:fill="FFCC99"/>
            <w:vAlign w:val="center"/>
          </w:tcPr>
          <w:p w14:paraId="07A373EF" w14:textId="77777777" w:rsidR="00DC0272" w:rsidRPr="00A515B4" w:rsidRDefault="00DC0272" w:rsidP="003C6E60">
            <w:pPr>
              <w:jc w:val="both"/>
              <w:rPr>
                <w:sz w:val="16"/>
                <w:szCs w:val="16"/>
              </w:rPr>
            </w:pPr>
            <w:r w:rsidRPr="00A515B4">
              <w:rPr>
                <w:b/>
                <w:bCs/>
                <w:sz w:val="16"/>
                <w:szCs w:val="16"/>
              </w:rPr>
              <w:t>Мерна единица</w:t>
            </w:r>
          </w:p>
        </w:tc>
        <w:tc>
          <w:tcPr>
            <w:tcW w:w="422" w:type="pct"/>
            <w:tcBorders>
              <w:top w:val="single" w:sz="4" w:space="0" w:color="auto"/>
              <w:left w:val="nil"/>
              <w:bottom w:val="single" w:sz="4" w:space="0" w:color="auto"/>
              <w:right w:val="single" w:sz="4" w:space="0" w:color="auto"/>
            </w:tcBorders>
            <w:shd w:val="clear" w:color="auto" w:fill="FFCC99"/>
            <w:vAlign w:val="center"/>
          </w:tcPr>
          <w:p w14:paraId="24A35AD0" w14:textId="77777777" w:rsidR="00DC0272" w:rsidRPr="00A515B4" w:rsidRDefault="00DC0272" w:rsidP="003C6E60">
            <w:pPr>
              <w:jc w:val="center"/>
              <w:rPr>
                <w:b/>
                <w:bCs/>
                <w:iCs/>
                <w:sz w:val="16"/>
                <w:szCs w:val="16"/>
              </w:rPr>
            </w:pPr>
            <w:r w:rsidRPr="00A515B4">
              <w:rPr>
                <w:b/>
                <w:bCs/>
                <w:iCs/>
                <w:sz w:val="16"/>
                <w:szCs w:val="16"/>
              </w:rPr>
              <w:t>Целева стойност</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29DF9FE0" w14:textId="77777777" w:rsidR="00DC0272" w:rsidRPr="00A515B4" w:rsidRDefault="00DC0272" w:rsidP="003C6E60">
            <w:pPr>
              <w:jc w:val="center"/>
              <w:rPr>
                <w:sz w:val="16"/>
                <w:szCs w:val="16"/>
              </w:rPr>
            </w:pPr>
            <w:r w:rsidRPr="00A515B4">
              <w:rPr>
                <w:b/>
                <w:bCs/>
                <w:iCs/>
                <w:sz w:val="16"/>
                <w:szCs w:val="16"/>
              </w:rPr>
              <w:t>Отчет</w:t>
            </w:r>
          </w:p>
        </w:tc>
      </w:tr>
      <w:tr w:rsidR="00DC0272" w:rsidRPr="00A515B4" w14:paraId="19765722" w14:textId="77777777" w:rsidTr="00EA696E">
        <w:trPr>
          <w:trHeight w:val="255"/>
          <w:jc w:val="center"/>
        </w:trPr>
        <w:tc>
          <w:tcPr>
            <w:tcW w:w="2639" w:type="pct"/>
            <w:tcBorders>
              <w:top w:val="single" w:sz="4" w:space="0" w:color="auto"/>
              <w:left w:val="single" w:sz="4" w:space="0" w:color="auto"/>
              <w:bottom w:val="single" w:sz="4" w:space="0" w:color="auto"/>
              <w:right w:val="single" w:sz="4" w:space="0" w:color="auto"/>
            </w:tcBorders>
            <w:vAlign w:val="center"/>
          </w:tcPr>
          <w:p w14:paraId="775DB613" w14:textId="77777777" w:rsidR="00DC0272" w:rsidRPr="00A515B4" w:rsidRDefault="00DC0272" w:rsidP="003C6E60">
            <w:pPr>
              <w:jc w:val="both"/>
              <w:rPr>
                <w:color w:val="000000" w:themeColor="text1"/>
                <w:sz w:val="18"/>
                <w:szCs w:val="18"/>
              </w:rPr>
            </w:pPr>
            <w:r w:rsidRPr="00A515B4">
              <w:rPr>
                <w:sz w:val="16"/>
                <w:szCs w:val="16"/>
              </w:rPr>
              <w:t>Осигурена адекватна нормативна уредба за изпълнение на програмите, съфинансирани със средства от ЕФСУ</w:t>
            </w:r>
          </w:p>
        </w:tc>
        <w:tc>
          <w:tcPr>
            <w:tcW w:w="1561" w:type="pct"/>
            <w:gridSpan w:val="3"/>
            <w:tcBorders>
              <w:top w:val="single" w:sz="4" w:space="0" w:color="auto"/>
              <w:left w:val="nil"/>
              <w:bottom w:val="single" w:sz="4" w:space="0" w:color="auto"/>
              <w:right w:val="single" w:sz="4" w:space="0" w:color="auto"/>
            </w:tcBorders>
            <w:vAlign w:val="center"/>
          </w:tcPr>
          <w:p w14:paraId="611EE8F2" w14:textId="77777777" w:rsidR="00DC0272" w:rsidRPr="00A515B4" w:rsidRDefault="00DC0272" w:rsidP="003C6E60">
            <w:pPr>
              <w:jc w:val="both"/>
              <w:rPr>
                <w:sz w:val="18"/>
                <w:szCs w:val="18"/>
              </w:rPr>
            </w:pPr>
            <w:r w:rsidRPr="00A515B4">
              <w:rPr>
                <w:sz w:val="16"/>
                <w:szCs w:val="16"/>
              </w:rPr>
              <w:t>Брой разработени проекти на нормативни актове, вкл. за изменение и допълнение</w:t>
            </w:r>
            <w:r w:rsidRPr="00A515B4">
              <w:rPr>
                <w:sz w:val="16"/>
                <w:szCs w:val="16"/>
                <w:vertAlign w:val="superscript"/>
              </w:rPr>
              <w:footnoteReference w:id="8"/>
            </w:r>
          </w:p>
        </w:tc>
        <w:tc>
          <w:tcPr>
            <w:tcW w:w="422" w:type="pct"/>
            <w:tcBorders>
              <w:top w:val="single" w:sz="4" w:space="0" w:color="auto"/>
              <w:left w:val="nil"/>
              <w:bottom w:val="single" w:sz="4" w:space="0" w:color="auto"/>
              <w:right w:val="single" w:sz="4" w:space="0" w:color="auto"/>
            </w:tcBorders>
            <w:vAlign w:val="center"/>
          </w:tcPr>
          <w:p w14:paraId="79DB67FF" w14:textId="77777777" w:rsidR="00DC0272" w:rsidRPr="00A515B4" w:rsidRDefault="00DC0272" w:rsidP="003C6E60">
            <w:pPr>
              <w:jc w:val="right"/>
              <w:rPr>
                <w:color w:val="000000" w:themeColor="text1"/>
                <w:sz w:val="16"/>
                <w:szCs w:val="16"/>
              </w:rPr>
            </w:pPr>
            <w:r w:rsidRPr="00A515B4">
              <w:rPr>
                <w:sz w:val="16"/>
                <w:szCs w:val="16"/>
              </w:rPr>
              <w:t>2</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1AAE7" w14:textId="77777777" w:rsidR="00DC0272" w:rsidRPr="00A515B4" w:rsidRDefault="00DC0272" w:rsidP="003C6E60">
            <w:pPr>
              <w:jc w:val="right"/>
              <w:rPr>
                <w:sz w:val="16"/>
                <w:szCs w:val="16"/>
              </w:rPr>
            </w:pPr>
            <w:r w:rsidRPr="00A515B4">
              <w:rPr>
                <w:sz w:val="16"/>
                <w:szCs w:val="16"/>
              </w:rPr>
              <w:t>0</w:t>
            </w:r>
            <w:r w:rsidRPr="00A515B4">
              <w:rPr>
                <w:rStyle w:val="FootnoteReference"/>
                <w:sz w:val="16"/>
                <w:szCs w:val="16"/>
              </w:rPr>
              <w:footnoteReference w:id="9"/>
            </w:r>
          </w:p>
        </w:tc>
      </w:tr>
      <w:tr w:rsidR="00DC0272" w:rsidRPr="00A515B4" w14:paraId="17DB6C21" w14:textId="77777777" w:rsidTr="00EA696E">
        <w:trPr>
          <w:trHeight w:val="255"/>
          <w:jc w:val="center"/>
        </w:trPr>
        <w:tc>
          <w:tcPr>
            <w:tcW w:w="2639" w:type="pct"/>
            <w:vMerge w:val="restart"/>
            <w:tcBorders>
              <w:top w:val="single" w:sz="4" w:space="0" w:color="auto"/>
              <w:left w:val="single" w:sz="4" w:space="0" w:color="auto"/>
              <w:right w:val="single" w:sz="4" w:space="0" w:color="auto"/>
            </w:tcBorders>
            <w:vAlign w:val="center"/>
          </w:tcPr>
          <w:p w14:paraId="6BF96686" w14:textId="1CB4604A" w:rsidR="00DC0272" w:rsidRPr="00A515B4" w:rsidRDefault="00DC0272" w:rsidP="003C6E60">
            <w:pPr>
              <w:jc w:val="both"/>
              <w:rPr>
                <w:color w:val="000000" w:themeColor="text1"/>
                <w:sz w:val="18"/>
                <w:szCs w:val="18"/>
              </w:rPr>
            </w:pPr>
            <w:r w:rsidRPr="00A515B4">
              <w:rPr>
                <w:sz w:val="16"/>
                <w:szCs w:val="16"/>
              </w:rPr>
              <w:t xml:space="preserve">Осъществено наблюдение на изпълнението на програмите, финансирани от ЕСИФ, ЕФСУ, НПВУ, ФМ на ЕИП и НФМ 2014-2021 г. и ШБПС </w:t>
            </w:r>
          </w:p>
        </w:tc>
        <w:tc>
          <w:tcPr>
            <w:tcW w:w="1561" w:type="pct"/>
            <w:gridSpan w:val="3"/>
            <w:tcBorders>
              <w:top w:val="single" w:sz="4" w:space="0" w:color="auto"/>
              <w:left w:val="nil"/>
              <w:bottom w:val="single" w:sz="4" w:space="0" w:color="auto"/>
              <w:right w:val="single" w:sz="4" w:space="0" w:color="auto"/>
            </w:tcBorders>
            <w:vAlign w:val="center"/>
          </w:tcPr>
          <w:p w14:paraId="59DF2534" w14:textId="56007530" w:rsidR="00DC0272" w:rsidRPr="00A515B4" w:rsidRDefault="00DC0272" w:rsidP="003C6E60">
            <w:pPr>
              <w:rPr>
                <w:sz w:val="16"/>
                <w:szCs w:val="16"/>
              </w:rPr>
            </w:pPr>
            <w:r w:rsidRPr="00A515B4">
              <w:rPr>
                <w:sz w:val="16"/>
                <w:szCs w:val="16"/>
              </w:rPr>
              <w:t>Качествен показател:</w:t>
            </w:r>
            <w:r w:rsidR="00EA696E">
              <w:rPr>
                <w:sz w:val="16"/>
                <w:szCs w:val="16"/>
              </w:rPr>
              <w:t xml:space="preserve"> </w:t>
            </w:r>
          </w:p>
          <w:p w14:paraId="60A325EA" w14:textId="77777777" w:rsidR="00DC0272" w:rsidRPr="00A515B4" w:rsidRDefault="00DC0272" w:rsidP="003C6E60">
            <w:pPr>
              <w:jc w:val="both"/>
              <w:rPr>
                <w:sz w:val="18"/>
                <w:szCs w:val="18"/>
              </w:rPr>
            </w:pPr>
            <w:r w:rsidRPr="00A515B4">
              <w:rPr>
                <w:sz w:val="16"/>
                <w:szCs w:val="16"/>
              </w:rPr>
              <w:t>Проследяване на финансовия и физическия напредък на програмите, съфинансирани от ЕФСУ. Текущ мониторинг</w:t>
            </w:r>
          </w:p>
        </w:tc>
        <w:tc>
          <w:tcPr>
            <w:tcW w:w="422" w:type="pct"/>
            <w:tcBorders>
              <w:top w:val="single" w:sz="4" w:space="0" w:color="auto"/>
              <w:left w:val="nil"/>
              <w:bottom w:val="single" w:sz="4" w:space="0" w:color="auto"/>
              <w:right w:val="single" w:sz="4" w:space="0" w:color="auto"/>
            </w:tcBorders>
            <w:vAlign w:val="center"/>
          </w:tcPr>
          <w:p w14:paraId="6DF25CAB" w14:textId="77777777" w:rsidR="00DC0272" w:rsidRPr="00A515B4" w:rsidRDefault="00DC0272" w:rsidP="003C6E60">
            <w:pPr>
              <w:jc w:val="right"/>
              <w:rPr>
                <w:color w:val="000000" w:themeColor="text1"/>
                <w:sz w:val="16"/>
                <w:szCs w:val="16"/>
              </w:rPr>
            </w:pPr>
            <w:proofErr w:type="spellStart"/>
            <w:r w:rsidRPr="00A515B4">
              <w:rPr>
                <w:sz w:val="16"/>
                <w:szCs w:val="16"/>
              </w:rPr>
              <w:t>н.п</w:t>
            </w:r>
            <w:proofErr w:type="spellEnd"/>
            <w:r w:rsidRPr="00A515B4">
              <w:rPr>
                <w:sz w:val="16"/>
                <w:szCs w:val="16"/>
              </w:rPr>
              <w:t>.</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A0416" w14:textId="77777777" w:rsidR="00DC0272" w:rsidRPr="00A515B4" w:rsidRDefault="00DC0272" w:rsidP="003C6E60">
            <w:pPr>
              <w:jc w:val="right"/>
              <w:rPr>
                <w:sz w:val="16"/>
                <w:szCs w:val="16"/>
              </w:rPr>
            </w:pPr>
            <w:proofErr w:type="spellStart"/>
            <w:r w:rsidRPr="00A515B4">
              <w:rPr>
                <w:sz w:val="16"/>
                <w:szCs w:val="16"/>
              </w:rPr>
              <w:t>н.п</w:t>
            </w:r>
            <w:proofErr w:type="spellEnd"/>
            <w:r w:rsidRPr="00A515B4">
              <w:rPr>
                <w:sz w:val="16"/>
                <w:szCs w:val="16"/>
              </w:rPr>
              <w:t>.</w:t>
            </w:r>
          </w:p>
        </w:tc>
      </w:tr>
      <w:tr w:rsidR="00DC0272" w:rsidRPr="00A515B4" w14:paraId="58BC5E44" w14:textId="77777777" w:rsidTr="00EA696E">
        <w:trPr>
          <w:trHeight w:val="255"/>
          <w:jc w:val="center"/>
        </w:trPr>
        <w:tc>
          <w:tcPr>
            <w:tcW w:w="2639" w:type="pct"/>
            <w:vMerge/>
            <w:tcBorders>
              <w:left w:val="single" w:sz="4" w:space="0" w:color="auto"/>
              <w:bottom w:val="single" w:sz="4" w:space="0" w:color="auto"/>
              <w:right w:val="single" w:sz="4" w:space="0" w:color="auto"/>
            </w:tcBorders>
            <w:vAlign w:val="center"/>
          </w:tcPr>
          <w:p w14:paraId="57CFE0F0" w14:textId="77777777" w:rsidR="00DC0272" w:rsidRPr="00A515B4" w:rsidRDefault="00DC0272" w:rsidP="003C6E60">
            <w:pPr>
              <w:jc w:val="both"/>
              <w:rPr>
                <w:color w:val="000000" w:themeColor="text1"/>
                <w:sz w:val="18"/>
                <w:szCs w:val="18"/>
              </w:rPr>
            </w:pPr>
          </w:p>
        </w:tc>
        <w:tc>
          <w:tcPr>
            <w:tcW w:w="1561" w:type="pct"/>
            <w:gridSpan w:val="3"/>
            <w:tcBorders>
              <w:top w:val="single" w:sz="4" w:space="0" w:color="auto"/>
              <w:left w:val="nil"/>
              <w:bottom w:val="single" w:sz="4" w:space="0" w:color="auto"/>
              <w:right w:val="single" w:sz="4" w:space="0" w:color="auto"/>
            </w:tcBorders>
            <w:vAlign w:val="center"/>
          </w:tcPr>
          <w:p w14:paraId="5CF544CE" w14:textId="77777777" w:rsidR="00DC0272" w:rsidRPr="00A515B4" w:rsidRDefault="00DC0272" w:rsidP="003C6E60">
            <w:pPr>
              <w:jc w:val="both"/>
              <w:rPr>
                <w:sz w:val="18"/>
                <w:szCs w:val="18"/>
              </w:rPr>
            </w:pPr>
            <w:r w:rsidRPr="00A515B4">
              <w:rPr>
                <w:sz w:val="16"/>
                <w:szCs w:val="16"/>
              </w:rPr>
              <w:t>Брой ключови етапи и цели, заложени в НПВУ, върху чието изпълнение е осъществен текущ мониторинг</w:t>
            </w:r>
          </w:p>
        </w:tc>
        <w:tc>
          <w:tcPr>
            <w:tcW w:w="422" w:type="pct"/>
            <w:tcBorders>
              <w:top w:val="single" w:sz="4" w:space="0" w:color="auto"/>
              <w:left w:val="nil"/>
              <w:bottom w:val="single" w:sz="4" w:space="0" w:color="auto"/>
              <w:right w:val="single" w:sz="4" w:space="0" w:color="auto"/>
            </w:tcBorders>
            <w:vAlign w:val="center"/>
          </w:tcPr>
          <w:p w14:paraId="485D8913" w14:textId="77777777" w:rsidR="00DC0272" w:rsidRPr="00A515B4" w:rsidRDefault="00DC0272" w:rsidP="003C6E60">
            <w:pPr>
              <w:jc w:val="right"/>
              <w:rPr>
                <w:color w:val="000000" w:themeColor="text1"/>
                <w:sz w:val="16"/>
                <w:szCs w:val="16"/>
              </w:rPr>
            </w:pPr>
            <w:r w:rsidRPr="00A515B4">
              <w:rPr>
                <w:sz w:val="16"/>
                <w:szCs w:val="16"/>
              </w:rPr>
              <w:t>35</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06981" w14:textId="77777777" w:rsidR="00DC0272" w:rsidRPr="00A515B4" w:rsidRDefault="00DC0272" w:rsidP="003C6E60">
            <w:pPr>
              <w:jc w:val="right"/>
              <w:rPr>
                <w:sz w:val="16"/>
                <w:szCs w:val="16"/>
              </w:rPr>
            </w:pPr>
            <w:r w:rsidRPr="00A515B4">
              <w:rPr>
                <w:sz w:val="16"/>
                <w:szCs w:val="16"/>
              </w:rPr>
              <w:t>42</w:t>
            </w:r>
            <w:r w:rsidRPr="00A515B4">
              <w:rPr>
                <w:rStyle w:val="FootnoteReference"/>
                <w:sz w:val="16"/>
                <w:szCs w:val="16"/>
              </w:rPr>
              <w:footnoteReference w:id="10"/>
            </w:r>
          </w:p>
        </w:tc>
      </w:tr>
      <w:tr w:rsidR="00DC0272" w:rsidRPr="00A515B4" w14:paraId="49D87C74" w14:textId="77777777" w:rsidTr="00EA696E">
        <w:trPr>
          <w:trHeight w:val="255"/>
          <w:jc w:val="center"/>
        </w:trPr>
        <w:tc>
          <w:tcPr>
            <w:tcW w:w="2639" w:type="pct"/>
            <w:vMerge w:val="restart"/>
            <w:tcBorders>
              <w:top w:val="single" w:sz="4" w:space="0" w:color="auto"/>
              <w:left w:val="single" w:sz="4" w:space="0" w:color="auto"/>
              <w:right w:val="single" w:sz="4" w:space="0" w:color="auto"/>
            </w:tcBorders>
            <w:vAlign w:val="center"/>
          </w:tcPr>
          <w:p w14:paraId="4D793FD4" w14:textId="77777777" w:rsidR="00DC0272" w:rsidRPr="00A515B4" w:rsidRDefault="00DC0272" w:rsidP="003C6E60">
            <w:pPr>
              <w:jc w:val="both"/>
              <w:rPr>
                <w:color w:val="000000" w:themeColor="text1"/>
                <w:sz w:val="18"/>
                <w:szCs w:val="18"/>
              </w:rPr>
            </w:pPr>
            <w:r w:rsidRPr="00A515B4">
              <w:rPr>
                <w:sz w:val="16"/>
                <w:szCs w:val="16"/>
              </w:rPr>
              <w:t>Координиране на дейностите по оценка на СП и програмите, съфинансирани от ЕСИФ И ЕФСУ</w:t>
            </w:r>
          </w:p>
        </w:tc>
        <w:tc>
          <w:tcPr>
            <w:tcW w:w="1561" w:type="pct"/>
            <w:gridSpan w:val="3"/>
            <w:tcBorders>
              <w:top w:val="single" w:sz="4" w:space="0" w:color="auto"/>
              <w:left w:val="nil"/>
              <w:bottom w:val="single" w:sz="4" w:space="0" w:color="auto"/>
              <w:right w:val="single" w:sz="4" w:space="0" w:color="auto"/>
            </w:tcBorders>
            <w:vAlign w:val="center"/>
          </w:tcPr>
          <w:p w14:paraId="3F927BC9" w14:textId="77777777" w:rsidR="00DC0272" w:rsidRPr="00A515B4" w:rsidRDefault="00DC0272" w:rsidP="003C6E60">
            <w:pPr>
              <w:jc w:val="both"/>
              <w:rPr>
                <w:sz w:val="18"/>
                <w:szCs w:val="18"/>
              </w:rPr>
            </w:pPr>
            <w:r w:rsidRPr="00A515B4">
              <w:rPr>
                <w:i/>
                <w:sz w:val="16"/>
                <w:szCs w:val="16"/>
              </w:rPr>
              <w:t xml:space="preserve">Качествен показател: </w:t>
            </w:r>
            <w:r w:rsidRPr="00A515B4">
              <w:rPr>
                <w:sz w:val="16"/>
                <w:szCs w:val="16"/>
              </w:rPr>
              <w:t>Осигуряване на координация на оценките на програмите, съфинансирани от ЕСИФ и ЕФСУ</w:t>
            </w:r>
          </w:p>
        </w:tc>
        <w:tc>
          <w:tcPr>
            <w:tcW w:w="422" w:type="pct"/>
            <w:tcBorders>
              <w:top w:val="single" w:sz="4" w:space="0" w:color="auto"/>
              <w:left w:val="nil"/>
              <w:bottom w:val="single" w:sz="4" w:space="0" w:color="auto"/>
              <w:right w:val="single" w:sz="4" w:space="0" w:color="auto"/>
            </w:tcBorders>
            <w:vAlign w:val="center"/>
          </w:tcPr>
          <w:p w14:paraId="71A3AAB4" w14:textId="77777777" w:rsidR="00DC0272" w:rsidRPr="00A515B4" w:rsidRDefault="00DC0272" w:rsidP="003C6E60">
            <w:pPr>
              <w:jc w:val="right"/>
              <w:rPr>
                <w:color w:val="000000" w:themeColor="text1"/>
                <w:sz w:val="16"/>
                <w:szCs w:val="16"/>
              </w:rPr>
            </w:pPr>
            <w:proofErr w:type="spellStart"/>
            <w:r w:rsidRPr="00A515B4">
              <w:rPr>
                <w:sz w:val="16"/>
                <w:szCs w:val="16"/>
              </w:rPr>
              <w:t>н.п</w:t>
            </w:r>
            <w:proofErr w:type="spellEnd"/>
            <w:r w:rsidRPr="00A515B4">
              <w:rPr>
                <w:sz w:val="16"/>
                <w:szCs w:val="16"/>
              </w:rPr>
              <w:t>.</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8AFAE" w14:textId="77777777" w:rsidR="00DC0272" w:rsidRPr="00A515B4" w:rsidRDefault="00DC0272" w:rsidP="003C6E60">
            <w:pPr>
              <w:jc w:val="right"/>
              <w:rPr>
                <w:sz w:val="16"/>
                <w:szCs w:val="16"/>
              </w:rPr>
            </w:pPr>
            <w:proofErr w:type="spellStart"/>
            <w:r w:rsidRPr="00A515B4">
              <w:rPr>
                <w:sz w:val="16"/>
                <w:szCs w:val="16"/>
              </w:rPr>
              <w:t>н.п</w:t>
            </w:r>
            <w:proofErr w:type="spellEnd"/>
            <w:r w:rsidRPr="00A515B4">
              <w:rPr>
                <w:sz w:val="16"/>
                <w:szCs w:val="16"/>
              </w:rPr>
              <w:t>.</w:t>
            </w:r>
          </w:p>
        </w:tc>
      </w:tr>
      <w:tr w:rsidR="00DC0272" w:rsidRPr="00A515B4" w14:paraId="7B7D819A" w14:textId="77777777" w:rsidTr="00EA696E">
        <w:trPr>
          <w:trHeight w:val="255"/>
          <w:jc w:val="center"/>
        </w:trPr>
        <w:tc>
          <w:tcPr>
            <w:tcW w:w="2639" w:type="pct"/>
            <w:vMerge/>
            <w:tcBorders>
              <w:left w:val="single" w:sz="4" w:space="0" w:color="auto"/>
              <w:right w:val="single" w:sz="4" w:space="0" w:color="auto"/>
            </w:tcBorders>
            <w:vAlign w:val="center"/>
          </w:tcPr>
          <w:p w14:paraId="112B4A9B" w14:textId="77777777" w:rsidR="00DC0272" w:rsidRPr="00A515B4" w:rsidRDefault="00DC0272" w:rsidP="003C6E60">
            <w:pPr>
              <w:jc w:val="both"/>
              <w:rPr>
                <w:color w:val="000000" w:themeColor="text1"/>
                <w:sz w:val="18"/>
                <w:szCs w:val="18"/>
              </w:rPr>
            </w:pPr>
          </w:p>
        </w:tc>
        <w:tc>
          <w:tcPr>
            <w:tcW w:w="1561" w:type="pct"/>
            <w:gridSpan w:val="3"/>
            <w:tcBorders>
              <w:top w:val="single" w:sz="4" w:space="0" w:color="auto"/>
              <w:left w:val="nil"/>
              <w:bottom w:val="single" w:sz="4" w:space="0" w:color="auto"/>
              <w:right w:val="single" w:sz="4" w:space="0" w:color="auto"/>
            </w:tcBorders>
            <w:vAlign w:val="center"/>
          </w:tcPr>
          <w:p w14:paraId="44D9D554" w14:textId="77777777" w:rsidR="00DC0272" w:rsidRPr="00A515B4" w:rsidRDefault="00DC0272" w:rsidP="003C6E60">
            <w:pPr>
              <w:jc w:val="both"/>
              <w:rPr>
                <w:sz w:val="18"/>
                <w:szCs w:val="18"/>
              </w:rPr>
            </w:pPr>
            <w:r w:rsidRPr="00A515B4">
              <w:rPr>
                <w:i/>
                <w:sz w:val="16"/>
                <w:szCs w:val="16"/>
              </w:rPr>
              <w:t>Качествен показател:</w:t>
            </w:r>
            <w:r w:rsidRPr="00A515B4">
              <w:rPr>
                <w:sz w:val="16"/>
                <w:szCs w:val="16"/>
              </w:rPr>
              <w:t xml:space="preserve"> Ръководене дейността на МРГ за оценка на ЕСИФ</w:t>
            </w:r>
          </w:p>
        </w:tc>
        <w:tc>
          <w:tcPr>
            <w:tcW w:w="422" w:type="pct"/>
            <w:tcBorders>
              <w:top w:val="single" w:sz="4" w:space="0" w:color="auto"/>
              <w:left w:val="nil"/>
              <w:bottom w:val="single" w:sz="4" w:space="0" w:color="auto"/>
              <w:right w:val="single" w:sz="4" w:space="0" w:color="auto"/>
            </w:tcBorders>
            <w:vAlign w:val="center"/>
          </w:tcPr>
          <w:p w14:paraId="73D9DA1E" w14:textId="77777777" w:rsidR="00DC0272" w:rsidRPr="00A515B4" w:rsidRDefault="00DC0272" w:rsidP="003C6E60">
            <w:pPr>
              <w:jc w:val="right"/>
              <w:rPr>
                <w:color w:val="000000" w:themeColor="text1"/>
                <w:sz w:val="16"/>
                <w:szCs w:val="16"/>
              </w:rPr>
            </w:pPr>
            <w:proofErr w:type="spellStart"/>
            <w:r w:rsidRPr="00A515B4">
              <w:rPr>
                <w:sz w:val="16"/>
                <w:szCs w:val="16"/>
              </w:rPr>
              <w:t>н.п</w:t>
            </w:r>
            <w:proofErr w:type="spellEnd"/>
            <w:r w:rsidRPr="00A515B4">
              <w:rPr>
                <w:sz w:val="16"/>
                <w:szCs w:val="16"/>
              </w:rPr>
              <w:t>.</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1B29A" w14:textId="77777777" w:rsidR="00DC0272" w:rsidRPr="00A515B4" w:rsidRDefault="00DC0272" w:rsidP="003C6E60">
            <w:pPr>
              <w:jc w:val="right"/>
              <w:rPr>
                <w:sz w:val="16"/>
                <w:szCs w:val="16"/>
              </w:rPr>
            </w:pPr>
            <w:proofErr w:type="spellStart"/>
            <w:r w:rsidRPr="00A515B4">
              <w:rPr>
                <w:sz w:val="16"/>
                <w:szCs w:val="16"/>
              </w:rPr>
              <w:t>н.п</w:t>
            </w:r>
            <w:proofErr w:type="spellEnd"/>
            <w:r w:rsidRPr="00A515B4">
              <w:rPr>
                <w:sz w:val="16"/>
                <w:szCs w:val="16"/>
              </w:rPr>
              <w:t>.</w:t>
            </w:r>
          </w:p>
        </w:tc>
      </w:tr>
      <w:tr w:rsidR="00DC0272" w:rsidRPr="00A515B4" w14:paraId="70125A2F" w14:textId="77777777" w:rsidTr="00EA696E">
        <w:trPr>
          <w:trHeight w:val="255"/>
          <w:jc w:val="center"/>
        </w:trPr>
        <w:tc>
          <w:tcPr>
            <w:tcW w:w="2639" w:type="pct"/>
            <w:vMerge/>
            <w:tcBorders>
              <w:left w:val="single" w:sz="4" w:space="0" w:color="auto"/>
              <w:bottom w:val="single" w:sz="4" w:space="0" w:color="auto"/>
              <w:right w:val="single" w:sz="4" w:space="0" w:color="auto"/>
            </w:tcBorders>
            <w:vAlign w:val="center"/>
          </w:tcPr>
          <w:p w14:paraId="18E1F1F9" w14:textId="77777777" w:rsidR="00DC0272" w:rsidRPr="00A515B4" w:rsidRDefault="00DC0272" w:rsidP="003C6E60">
            <w:pPr>
              <w:jc w:val="both"/>
              <w:rPr>
                <w:color w:val="000000" w:themeColor="text1"/>
                <w:sz w:val="18"/>
                <w:szCs w:val="18"/>
              </w:rPr>
            </w:pPr>
          </w:p>
        </w:tc>
        <w:tc>
          <w:tcPr>
            <w:tcW w:w="1561" w:type="pct"/>
            <w:gridSpan w:val="3"/>
            <w:tcBorders>
              <w:top w:val="single" w:sz="4" w:space="0" w:color="auto"/>
              <w:left w:val="nil"/>
              <w:bottom w:val="single" w:sz="4" w:space="0" w:color="auto"/>
              <w:right w:val="single" w:sz="4" w:space="0" w:color="auto"/>
            </w:tcBorders>
            <w:vAlign w:val="center"/>
          </w:tcPr>
          <w:p w14:paraId="2F0CAF35" w14:textId="77777777" w:rsidR="00DC0272" w:rsidRPr="00A515B4" w:rsidRDefault="00DC0272" w:rsidP="003C6E60">
            <w:pPr>
              <w:jc w:val="both"/>
              <w:rPr>
                <w:sz w:val="18"/>
                <w:szCs w:val="18"/>
              </w:rPr>
            </w:pPr>
            <w:r w:rsidRPr="00A515B4">
              <w:rPr>
                <w:sz w:val="16"/>
                <w:szCs w:val="16"/>
              </w:rPr>
              <w:t>Провеждане на хоризонтални оценки на Споразумението за партньорство за периода 2021 – 2027 г. и на програмите, обхванати от него</w:t>
            </w:r>
          </w:p>
        </w:tc>
        <w:tc>
          <w:tcPr>
            <w:tcW w:w="422" w:type="pct"/>
            <w:tcBorders>
              <w:top w:val="single" w:sz="4" w:space="0" w:color="auto"/>
              <w:left w:val="nil"/>
              <w:bottom w:val="single" w:sz="4" w:space="0" w:color="auto"/>
              <w:right w:val="single" w:sz="4" w:space="0" w:color="auto"/>
            </w:tcBorders>
            <w:vAlign w:val="center"/>
          </w:tcPr>
          <w:p w14:paraId="14AA3E40" w14:textId="77777777" w:rsidR="00DC0272" w:rsidRPr="00A515B4" w:rsidRDefault="00DC0272" w:rsidP="003C6E60">
            <w:pPr>
              <w:jc w:val="right"/>
              <w:rPr>
                <w:color w:val="000000" w:themeColor="text1"/>
                <w:sz w:val="16"/>
                <w:szCs w:val="16"/>
              </w:rPr>
            </w:pPr>
            <w:r w:rsidRPr="00A515B4">
              <w:rPr>
                <w:sz w:val="16"/>
                <w:szCs w:val="16"/>
              </w:rPr>
              <w:t>0</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2E75A" w14:textId="77777777" w:rsidR="00DC0272" w:rsidRPr="00A515B4" w:rsidRDefault="00DC0272" w:rsidP="003C6E60">
            <w:pPr>
              <w:jc w:val="right"/>
              <w:rPr>
                <w:sz w:val="16"/>
                <w:szCs w:val="16"/>
              </w:rPr>
            </w:pPr>
            <w:r w:rsidRPr="00A515B4">
              <w:rPr>
                <w:sz w:val="16"/>
                <w:szCs w:val="16"/>
              </w:rPr>
              <w:t>0</w:t>
            </w:r>
          </w:p>
        </w:tc>
      </w:tr>
      <w:tr w:rsidR="00DC0272" w:rsidRPr="00A515B4" w14:paraId="5F5668AE" w14:textId="77777777" w:rsidTr="00EA696E">
        <w:trPr>
          <w:trHeight w:val="255"/>
          <w:jc w:val="center"/>
        </w:trPr>
        <w:tc>
          <w:tcPr>
            <w:tcW w:w="2639" w:type="pct"/>
            <w:tcBorders>
              <w:top w:val="single" w:sz="4" w:space="0" w:color="auto"/>
              <w:left w:val="single" w:sz="4" w:space="0" w:color="auto"/>
              <w:bottom w:val="single" w:sz="4" w:space="0" w:color="auto"/>
              <w:right w:val="single" w:sz="4" w:space="0" w:color="auto"/>
            </w:tcBorders>
            <w:vAlign w:val="center"/>
          </w:tcPr>
          <w:p w14:paraId="0B1AABE6" w14:textId="77777777" w:rsidR="00DC0272" w:rsidRPr="00A515B4" w:rsidRDefault="00DC0272" w:rsidP="003C6E60">
            <w:pPr>
              <w:jc w:val="both"/>
              <w:rPr>
                <w:color w:val="000000" w:themeColor="text1"/>
                <w:sz w:val="18"/>
                <w:szCs w:val="18"/>
              </w:rPr>
            </w:pPr>
            <w:r w:rsidRPr="00A515B4">
              <w:rPr>
                <w:sz w:val="16"/>
                <w:szCs w:val="16"/>
              </w:rPr>
              <w:t>Осъществен мониторинг на функционирането на системите за управление и контрол на ШБПС</w:t>
            </w:r>
          </w:p>
        </w:tc>
        <w:tc>
          <w:tcPr>
            <w:tcW w:w="1561" w:type="pct"/>
            <w:gridSpan w:val="3"/>
            <w:tcBorders>
              <w:top w:val="single" w:sz="4" w:space="0" w:color="auto"/>
              <w:left w:val="nil"/>
              <w:bottom w:val="single" w:sz="4" w:space="0" w:color="auto"/>
              <w:right w:val="single" w:sz="4" w:space="0" w:color="auto"/>
            </w:tcBorders>
            <w:vAlign w:val="center"/>
          </w:tcPr>
          <w:p w14:paraId="19413C8C" w14:textId="77777777" w:rsidR="00DC0272" w:rsidRPr="00A515B4" w:rsidRDefault="00DC0272" w:rsidP="003C6E60">
            <w:pPr>
              <w:rPr>
                <w:i/>
                <w:sz w:val="16"/>
                <w:szCs w:val="16"/>
              </w:rPr>
            </w:pPr>
            <w:r w:rsidRPr="00A515B4">
              <w:rPr>
                <w:i/>
                <w:sz w:val="16"/>
                <w:szCs w:val="16"/>
              </w:rPr>
              <w:t>Качествен показател:</w:t>
            </w:r>
          </w:p>
          <w:p w14:paraId="76BC7DDB" w14:textId="77777777" w:rsidR="00DC0272" w:rsidRPr="00A515B4" w:rsidRDefault="00DC0272" w:rsidP="003C6E60">
            <w:pPr>
              <w:jc w:val="both"/>
              <w:rPr>
                <w:sz w:val="18"/>
                <w:szCs w:val="18"/>
              </w:rPr>
            </w:pPr>
            <w:r w:rsidRPr="00A515B4">
              <w:rPr>
                <w:sz w:val="16"/>
                <w:szCs w:val="16"/>
              </w:rPr>
              <w:t>Осъществено наблюдение на функционирането на системите за управление и контрол</w:t>
            </w:r>
          </w:p>
        </w:tc>
        <w:tc>
          <w:tcPr>
            <w:tcW w:w="422" w:type="pct"/>
            <w:tcBorders>
              <w:top w:val="single" w:sz="4" w:space="0" w:color="auto"/>
              <w:left w:val="nil"/>
              <w:bottom w:val="single" w:sz="4" w:space="0" w:color="auto"/>
              <w:right w:val="single" w:sz="4" w:space="0" w:color="auto"/>
            </w:tcBorders>
            <w:vAlign w:val="center"/>
          </w:tcPr>
          <w:p w14:paraId="383520D6" w14:textId="77777777" w:rsidR="00DC0272" w:rsidRPr="00A515B4" w:rsidRDefault="00DC0272" w:rsidP="003C6E60">
            <w:pPr>
              <w:jc w:val="right"/>
              <w:rPr>
                <w:color w:val="000000" w:themeColor="text1"/>
                <w:sz w:val="16"/>
                <w:szCs w:val="16"/>
              </w:rPr>
            </w:pPr>
            <w:proofErr w:type="spellStart"/>
            <w:r w:rsidRPr="00A515B4">
              <w:rPr>
                <w:sz w:val="16"/>
                <w:szCs w:val="16"/>
              </w:rPr>
              <w:t>н.п</w:t>
            </w:r>
            <w:proofErr w:type="spellEnd"/>
            <w:r w:rsidRPr="00A515B4">
              <w:rPr>
                <w:sz w:val="16"/>
                <w:szCs w:val="16"/>
              </w:rPr>
              <w:t>.</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98955" w14:textId="77777777" w:rsidR="00DC0272" w:rsidRPr="00A515B4" w:rsidRDefault="00DC0272" w:rsidP="003C6E60">
            <w:pPr>
              <w:jc w:val="right"/>
              <w:rPr>
                <w:sz w:val="16"/>
                <w:szCs w:val="16"/>
              </w:rPr>
            </w:pPr>
            <w:proofErr w:type="spellStart"/>
            <w:r w:rsidRPr="00A515B4">
              <w:rPr>
                <w:sz w:val="16"/>
                <w:szCs w:val="16"/>
              </w:rPr>
              <w:t>н.п</w:t>
            </w:r>
            <w:proofErr w:type="spellEnd"/>
            <w:r w:rsidRPr="00A515B4">
              <w:rPr>
                <w:sz w:val="16"/>
                <w:szCs w:val="16"/>
              </w:rPr>
              <w:t>.</w:t>
            </w:r>
          </w:p>
        </w:tc>
      </w:tr>
      <w:tr w:rsidR="00DC0272" w:rsidRPr="00A515B4" w14:paraId="07D81509" w14:textId="77777777" w:rsidTr="00EA696E">
        <w:trPr>
          <w:trHeight w:val="255"/>
          <w:jc w:val="center"/>
        </w:trPr>
        <w:tc>
          <w:tcPr>
            <w:tcW w:w="2639" w:type="pct"/>
            <w:vMerge w:val="restart"/>
            <w:tcBorders>
              <w:top w:val="single" w:sz="4" w:space="0" w:color="auto"/>
              <w:left w:val="single" w:sz="4" w:space="0" w:color="auto"/>
              <w:right w:val="single" w:sz="4" w:space="0" w:color="auto"/>
            </w:tcBorders>
            <w:vAlign w:val="center"/>
          </w:tcPr>
          <w:p w14:paraId="10FABD25" w14:textId="28084804" w:rsidR="00DC0272" w:rsidRPr="00A515B4" w:rsidRDefault="00DC0272" w:rsidP="003C6E60">
            <w:pPr>
              <w:jc w:val="both"/>
              <w:rPr>
                <w:color w:val="000000" w:themeColor="text1"/>
                <w:sz w:val="18"/>
                <w:szCs w:val="18"/>
              </w:rPr>
            </w:pPr>
            <w:r w:rsidRPr="00A515B4">
              <w:rPr>
                <w:sz w:val="16"/>
                <w:szCs w:val="16"/>
              </w:rPr>
              <w:t>Осъществено наблюдение на изпълнението на програмите, финансирани от ШБПС</w:t>
            </w:r>
          </w:p>
        </w:tc>
        <w:tc>
          <w:tcPr>
            <w:tcW w:w="1561" w:type="pct"/>
            <w:gridSpan w:val="3"/>
            <w:tcBorders>
              <w:top w:val="single" w:sz="4" w:space="0" w:color="auto"/>
              <w:left w:val="nil"/>
              <w:bottom w:val="single" w:sz="4" w:space="0" w:color="auto"/>
              <w:right w:val="single" w:sz="4" w:space="0" w:color="auto"/>
            </w:tcBorders>
            <w:vAlign w:val="center"/>
          </w:tcPr>
          <w:p w14:paraId="7E36F76D" w14:textId="33B462AF" w:rsidR="00DC0272" w:rsidRPr="00A515B4" w:rsidRDefault="00DC0272" w:rsidP="003C6E60">
            <w:pPr>
              <w:jc w:val="both"/>
              <w:rPr>
                <w:sz w:val="18"/>
                <w:szCs w:val="18"/>
              </w:rPr>
            </w:pPr>
            <w:r w:rsidRPr="00A515B4">
              <w:rPr>
                <w:sz w:val="16"/>
                <w:szCs w:val="16"/>
              </w:rPr>
              <w:t>Брой проведени годишни срещи</w:t>
            </w:r>
            <w:r w:rsidR="008E424D">
              <w:rPr>
                <w:sz w:val="16"/>
                <w:szCs w:val="16"/>
              </w:rPr>
              <w:t xml:space="preserve"> </w:t>
            </w:r>
          </w:p>
        </w:tc>
        <w:tc>
          <w:tcPr>
            <w:tcW w:w="422" w:type="pct"/>
            <w:tcBorders>
              <w:top w:val="single" w:sz="4" w:space="0" w:color="auto"/>
              <w:left w:val="nil"/>
              <w:bottom w:val="single" w:sz="4" w:space="0" w:color="auto"/>
              <w:right w:val="single" w:sz="4" w:space="0" w:color="auto"/>
            </w:tcBorders>
            <w:vAlign w:val="center"/>
          </w:tcPr>
          <w:p w14:paraId="1DBEF946" w14:textId="77777777" w:rsidR="00DC0272" w:rsidRPr="00A515B4" w:rsidRDefault="00DC0272" w:rsidP="003C6E60">
            <w:pPr>
              <w:jc w:val="right"/>
              <w:rPr>
                <w:color w:val="000000" w:themeColor="text1"/>
                <w:sz w:val="16"/>
                <w:szCs w:val="16"/>
              </w:rPr>
            </w:pPr>
            <w:r w:rsidRPr="00A515B4">
              <w:rPr>
                <w:sz w:val="16"/>
                <w:szCs w:val="16"/>
              </w:rPr>
              <w:t>1</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DC2D4" w14:textId="77777777" w:rsidR="00DC0272" w:rsidRPr="00A515B4" w:rsidRDefault="00DC0272" w:rsidP="003C6E60">
            <w:pPr>
              <w:jc w:val="right"/>
              <w:rPr>
                <w:sz w:val="16"/>
                <w:szCs w:val="16"/>
              </w:rPr>
            </w:pPr>
            <w:r w:rsidRPr="00A515B4">
              <w:rPr>
                <w:sz w:val="16"/>
                <w:szCs w:val="16"/>
              </w:rPr>
              <w:t>1</w:t>
            </w:r>
          </w:p>
        </w:tc>
      </w:tr>
      <w:tr w:rsidR="00DC0272" w:rsidRPr="00A515B4" w14:paraId="66267785" w14:textId="77777777" w:rsidTr="00EA696E">
        <w:trPr>
          <w:trHeight w:val="255"/>
          <w:jc w:val="center"/>
        </w:trPr>
        <w:tc>
          <w:tcPr>
            <w:tcW w:w="2639" w:type="pct"/>
            <w:vMerge/>
            <w:tcBorders>
              <w:left w:val="single" w:sz="4" w:space="0" w:color="auto"/>
              <w:bottom w:val="single" w:sz="4" w:space="0" w:color="auto"/>
              <w:right w:val="single" w:sz="4" w:space="0" w:color="auto"/>
            </w:tcBorders>
            <w:vAlign w:val="center"/>
          </w:tcPr>
          <w:p w14:paraId="07ABC1D4" w14:textId="77777777" w:rsidR="00DC0272" w:rsidRPr="00A515B4" w:rsidRDefault="00DC0272" w:rsidP="003C6E60">
            <w:pPr>
              <w:jc w:val="both"/>
              <w:rPr>
                <w:color w:val="000000" w:themeColor="text1"/>
                <w:sz w:val="18"/>
                <w:szCs w:val="18"/>
              </w:rPr>
            </w:pPr>
          </w:p>
        </w:tc>
        <w:tc>
          <w:tcPr>
            <w:tcW w:w="1561" w:type="pct"/>
            <w:gridSpan w:val="3"/>
            <w:tcBorders>
              <w:top w:val="single" w:sz="4" w:space="0" w:color="auto"/>
              <w:left w:val="nil"/>
              <w:bottom w:val="single" w:sz="4" w:space="0" w:color="auto"/>
              <w:right w:val="single" w:sz="4" w:space="0" w:color="auto"/>
            </w:tcBorders>
            <w:vAlign w:val="center"/>
          </w:tcPr>
          <w:p w14:paraId="6337A766" w14:textId="69D88D5F" w:rsidR="00DC0272" w:rsidRPr="00A515B4" w:rsidRDefault="00DC0272" w:rsidP="003C6E60">
            <w:pPr>
              <w:jc w:val="both"/>
              <w:rPr>
                <w:sz w:val="18"/>
                <w:szCs w:val="18"/>
              </w:rPr>
            </w:pPr>
            <w:r w:rsidRPr="00A515B4">
              <w:rPr>
                <w:sz w:val="16"/>
                <w:szCs w:val="16"/>
              </w:rPr>
              <w:t>Брой изготвени годишни доклади по ШБПС</w:t>
            </w:r>
          </w:p>
        </w:tc>
        <w:tc>
          <w:tcPr>
            <w:tcW w:w="422" w:type="pct"/>
            <w:tcBorders>
              <w:top w:val="single" w:sz="4" w:space="0" w:color="auto"/>
              <w:left w:val="nil"/>
              <w:bottom w:val="single" w:sz="4" w:space="0" w:color="auto"/>
              <w:right w:val="single" w:sz="4" w:space="0" w:color="auto"/>
            </w:tcBorders>
            <w:vAlign w:val="center"/>
          </w:tcPr>
          <w:p w14:paraId="691DD589" w14:textId="77777777" w:rsidR="00DC0272" w:rsidRPr="00A515B4" w:rsidRDefault="00DC0272" w:rsidP="003C6E60">
            <w:pPr>
              <w:jc w:val="right"/>
              <w:rPr>
                <w:color w:val="000000" w:themeColor="text1"/>
                <w:sz w:val="16"/>
                <w:szCs w:val="16"/>
              </w:rPr>
            </w:pPr>
            <w:r w:rsidRPr="00A515B4">
              <w:rPr>
                <w:sz w:val="16"/>
                <w:szCs w:val="16"/>
              </w:rPr>
              <w:t>1</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5CEAC" w14:textId="77777777" w:rsidR="00DC0272" w:rsidRPr="00A515B4" w:rsidRDefault="00DC0272" w:rsidP="003C6E60">
            <w:pPr>
              <w:jc w:val="right"/>
              <w:rPr>
                <w:sz w:val="16"/>
                <w:szCs w:val="16"/>
              </w:rPr>
            </w:pPr>
            <w:r w:rsidRPr="00A515B4">
              <w:rPr>
                <w:sz w:val="16"/>
                <w:szCs w:val="16"/>
              </w:rPr>
              <w:t>1</w:t>
            </w:r>
          </w:p>
        </w:tc>
      </w:tr>
      <w:tr w:rsidR="00DC0272" w:rsidRPr="00A515B4" w14:paraId="3AB6594B" w14:textId="77777777" w:rsidTr="00FF4E77">
        <w:trPr>
          <w:trHeight w:val="255"/>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CC99"/>
          </w:tcPr>
          <w:p w14:paraId="6CC41DC1" w14:textId="229F2BD4" w:rsidR="00DC0272" w:rsidRPr="00A515B4" w:rsidRDefault="00DC0272" w:rsidP="003C6E60">
            <w:pPr>
              <w:jc w:val="both"/>
              <w:rPr>
                <w:sz w:val="16"/>
                <w:szCs w:val="16"/>
              </w:rPr>
            </w:pPr>
            <w:r w:rsidRPr="00A515B4">
              <w:rPr>
                <w:i/>
                <w:iCs/>
                <w:sz w:val="16"/>
                <w:szCs w:val="16"/>
              </w:rPr>
              <w:t>Ползи/ефекти:</w:t>
            </w:r>
            <w:r w:rsidRPr="00A515B4">
              <w:rPr>
                <w:sz w:val="16"/>
                <w:szCs w:val="16"/>
              </w:rPr>
              <w:t xml:space="preserve"> </w:t>
            </w:r>
            <w:r w:rsidRPr="00A515B4">
              <w:rPr>
                <w:iCs/>
                <w:sz w:val="16"/>
                <w:szCs w:val="16"/>
              </w:rPr>
              <w:t>СЪЗДАВАНЕ НА ПРЕДПОСТАВКИ ЗА ЕФЕКТИВНО УЧАСТИЕ НА РЕПУБЛИКА БЪЛГАРИЯ В КОХЕЗИОННАТА ПОЛИТИКА НА ЕС ЗА ПРОГРАМНИ ПЕРИОДИ 2014</w:t>
            </w:r>
            <w:r w:rsidR="008E424D">
              <w:rPr>
                <w:iCs/>
                <w:sz w:val="16"/>
                <w:szCs w:val="16"/>
              </w:rPr>
              <w:t xml:space="preserve"> – </w:t>
            </w:r>
            <w:r w:rsidRPr="00A515B4">
              <w:rPr>
                <w:iCs/>
                <w:sz w:val="16"/>
                <w:szCs w:val="16"/>
              </w:rPr>
              <w:t xml:space="preserve">2020 </w:t>
            </w:r>
            <w:r w:rsidR="008E424D">
              <w:rPr>
                <w:iCs/>
                <w:sz w:val="16"/>
                <w:szCs w:val="16"/>
              </w:rPr>
              <w:t>и</w:t>
            </w:r>
            <w:r w:rsidRPr="00A515B4">
              <w:rPr>
                <w:iCs/>
                <w:sz w:val="16"/>
                <w:szCs w:val="16"/>
              </w:rPr>
              <w:t xml:space="preserve"> 2021</w:t>
            </w:r>
            <w:r w:rsidR="008E424D">
              <w:rPr>
                <w:iCs/>
                <w:sz w:val="16"/>
                <w:szCs w:val="16"/>
              </w:rPr>
              <w:t xml:space="preserve"> – </w:t>
            </w:r>
            <w:r w:rsidRPr="00A515B4">
              <w:rPr>
                <w:iCs/>
                <w:sz w:val="16"/>
                <w:szCs w:val="16"/>
              </w:rPr>
              <w:t xml:space="preserve">2027 </w:t>
            </w:r>
            <w:r w:rsidR="00D241EB">
              <w:rPr>
                <w:iCs/>
                <w:sz w:val="16"/>
                <w:szCs w:val="16"/>
              </w:rPr>
              <w:t>г</w:t>
            </w:r>
            <w:r w:rsidRPr="00A515B4">
              <w:rPr>
                <w:iCs/>
                <w:sz w:val="16"/>
                <w:szCs w:val="16"/>
              </w:rPr>
              <w:t>.</w:t>
            </w:r>
          </w:p>
        </w:tc>
      </w:tr>
      <w:tr w:rsidR="00DC0272" w:rsidRPr="00A515B4" w14:paraId="47706180" w14:textId="77777777" w:rsidTr="00FF4E77">
        <w:trPr>
          <w:trHeight w:val="255"/>
          <w:jc w:val="center"/>
        </w:trPr>
        <w:tc>
          <w:tcPr>
            <w:tcW w:w="2639" w:type="pct"/>
            <w:tcBorders>
              <w:top w:val="single" w:sz="4" w:space="0" w:color="auto"/>
              <w:left w:val="single" w:sz="4" w:space="0" w:color="auto"/>
              <w:bottom w:val="single" w:sz="4" w:space="0" w:color="auto"/>
              <w:right w:val="single" w:sz="4" w:space="0" w:color="auto"/>
            </w:tcBorders>
            <w:shd w:val="clear" w:color="auto" w:fill="FFCC99"/>
            <w:vAlign w:val="center"/>
          </w:tcPr>
          <w:p w14:paraId="008C668B" w14:textId="77777777" w:rsidR="00DC0272" w:rsidRPr="00A515B4" w:rsidRDefault="00DC0272" w:rsidP="003C6E60">
            <w:pPr>
              <w:jc w:val="center"/>
              <w:rPr>
                <w:sz w:val="16"/>
                <w:szCs w:val="16"/>
              </w:rPr>
            </w:pPr>
            <w:r w:rsidRPr="00A515B4">
              <w:rPr>
                <w:b/>
                <w:bCs/>
                <w:sz w:val="16"/>
                <w:szCs w:val="16"/>
              </w:rPr>
              <w:t>Показатели за полза/ефект</w:t>
            </w:r>
          </w:p>
        </w:tc>
        <w:tc>
          <w:tcPr>
            <w:tcW w:w="1561" w:type="pct"/>
            <w:gridSpan w:val="3"/>
            <w:tcBorders>
              <w:top w:val="single" w:sz="4" w:space="0" w:color="auto"/>
              <w:left w:val="nil"/>
              <w:bottom w:val="single" w:sz="4" w:space="0" w:color="auto"/>
              <w:right w:val="single" w:sz="4" w:space="0" w:color="auto"/>
            </w:tcBorders>
            <w:shd w:val="clear" w:color="auto" w:fill="FFCC99"/>
            <w:vAlign w:val="center"/>
          </w:tcPr>
          <w:p w14:paraId="2546A33C" w14:textId="77777777" w:rsidR="00DC0272" w:rsidRPr="00A515B4" w:rsidRDefault="00DC0272" w:rsidP="003C6E60">
            <w:pPr>
              <w:jc w:val="both"/>
              <w:rPr>
                <w:sz w:val="16"/>
                <w:szCs w:val="16"/>
              </w:rPr>
            </w:pPr>
            <w:r w:rsidRPr="00A515B4">
              <w:rPr>
                <w:b/>
                <w:bCs/>
                <w:sz w:val="16"/>
                <w:szCs w:val="16"/>
              </w:rPr>
              <w:t>Мерна единица</w:t>
            </w:r>
          </w:p>
        </w:tc>
        <w:tc>
          <w:tcPr>
            <w:tcW w:w="422" w:type="pct"/>
            <w:tcBorders>
              <w:top w:val="single" w:sz="4" w:space="0" w:color="auto"/>
              <w:left w:val="nil"/>
              <w:bottom w:val="single" w:sz="4" w:space="0" w:color="auto"/>
              <w:right w:val="single" w:sz="4" w:space="0" w:color="auto"/>
            </w:tcBorders>
            <w:shd w:val="clear" w:color="auto" w:fill="FFCC99"/>
            <w:vAlign w:val="center"/>
          </w:tcPr>
          <w:p w14:paraId="21F10C3E" w14:textId="77777777" w:rsidR="00DC0272" w:rsidRPr="00A515B4" w:rsidRDefault="00DC0272" w:rsidP="003C6E60">
            <w:pPr>
              <w:jc w:val="center"/>
              <w:rPr>
                <w:b/>
                <w:bCs/>
                <w:iCs/>
                <w:sz w:val="16"/>
                <w:szCs w:val="16"/>
              </w:rPr>
            </w:pPr>
            <w:r w:rsidRPr="00A515B4">
              <w:rPr>
                <w:b/>
                <w:bCs/>
                <w:iCs/>
                <w:sz w:val="16"/>
                <w:szCs w:val="16"/>
              </w:rPr>
              <w:t>Целева стойност</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376F6487" w14:textId="77777777" w:rsidR="00DC0272" w:rsidRPr="00A515B4" w:rsidRDefault="00DC0272" w:rsidP="003C6E60">
            <w:pPr>
              <w:jc w:val="center"/>
              <w:rPr>
                <w:sz w:val="16"/>
                <w:szCs w:val="16"/>
              </w:rPr>
            </w:pPr>
            <w:r w:rsidRPr="00A515B4">
              <w:rPr>
                <w:b/>
                <w:bCs/>
                <w:iCs/>
                <w:sz w:val="16"/>
                <w:szCs w:val="16"/>
              </w:rPr>
              <w:t>Отчет</w:t>
            </w:r>
          </w:p>
        </w:tc>
      </w:tr>
      <w:tr w:rsidR="00DC0272" w:rsidRPr="00A515B4" w14:paraId="6106B3A1" w14:textId="77777777" w:rsidTr="00EA696E">
        <w:trPr>
          <w:trHeight w:val="255"/>
          <w:jc w:val="center"/>
        </w:trPr>
        <w:tc>
          <w:tcPr>
            <w:tcW w:w="2639" w:type="pct"/>
            <w:vMerge w:val="restart"/>
            <w:tcBorders>
              <w:top w:val="single" w:sz="4" w:space="0" w:color="auto"/>
              <w:left w:val="single" w:sz="4" w:space="0" w:color="auto"/>
              <w:right w:val="single" w:sz="4" w:space="0" w:color="auto"/>
            </w:tcBorders>
            <w:vAlign w:val="center"/>
          </w:tcPr>
          <w:p w14:paraId="3D59548D" w14:textId="77777777" w:rsidR="00DC0272" w:rsidRPr="00A515B4" w:rsidRDefault="00DC0272" w:rsidP="003C6E60">
            <w:pPr>
              <w:jc w:val="both"/>
              <w:rPr>
                <w:color w:val="000000" w:themeColor="text1"/>
                <w:sz w:val="18"/>
                <w:szCs w:val="18"/>
              </w:rPr>
            </w:pPr>
            <w:r w:rsidRPr="00A515B4">
              <w:rPr>
                <w:sz w:val="16"/>
                <w:szCs w:val="16"/>
              </w:rPr>
              <w:t>Активно участие в дебата по Кохезионната политика на ЕС в работни формати към Съвета и ЕК</w:t>
            </w:r>
          </w:p>
        </w:tc>
        <w:tc>
          <w:tcPr>
            <w:tcW w:w="1561" w:type="pct"/>
            <w:gridSpan w:val="3"/>
            <w:tcBorders>
              <w:top w:val="single" w:sz="4" w:space="0" w:color="auto"/>
              <w:left w:val="nil"/>
              <w:bottom w:val="single" w:sz="4" w:space="0" w:color="auto"/>
              <w:right w:val="single" w:sz="4" w:space="0" w:color="auto"/>
            </w:tcBorders>
            <w:vAlign w:val="center"/>
          </w:tcPr>
          <w:p w14:paraId="270D7207" w14:textId="77777777" w:rsidR="00DC0272" w:rsidRPr="00A515B4" w:rsidRDefault="00DC0272" w:rsidP="003C6E60">
            <w:pPr>
              <w:jc w:val="both"/>
              <w:rPr>
                <w:sz w:val="18"/>
                <w:szCs w:val="18"/>
              </w:rPr>
            </w:pPr>
            <w:r w:rsidRPr="00A515B4">
              <w:rPr>
                <w:sz w:val="16"/>
                <w:szCs w:val="16"/>
              </w:rPr>
              <w:t>Брой изготвени/изменени позиции и указания</w:t>
            </w:r>
          </w:p>
        </w:tc>
        <w:tc>
          <w:tcPr>
            <w:tcW w:w="422" w:type="pct"/>
            <w:tcBorders>
              <w:top w:val="single" w:sz="4" w:space="0" w:color="auto"/>
              <w:left w:val="nil"/>
              <w:bottom w:val="single" w:sz="4" w:space="0" w:color="auto"/>
              <w:right w:val="single" w:sz="4" w:space="0" w:color="auto"/>
            </w:tcBorders>
            <w:vAlign w:val="center"/>
          </w:tcPr>
          <w:p w14:paraId="49DC30FD" w14:textId="77777777" w:rsidR="00DC0272" w:rsidRPr="00A515B4" w:rsidRDefault="00DC0272" w:rsidP="003C6E60">
            <w:pPr>
              <w:jc w:val="right"/>
              <w:rPr>
                <w:color w:val="000000" w:themeColor="text1"/>
                <w:sz w:val="16"/>
                <w:szCs w:val="16"/>
              </w:rPr>
            </w:pPr>
            <w:r w:rsidRPr="00A515B4">
              <w:rPr>
                <w:sz w:val="16"/>
                <w:szCs w:val="16"/>
              </w:rPr>
              <w:t>44</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02777" w14:textId="77777777" w:rsidR="00DC0272" w:rsidRPr="00A515B4" w:rsidRDefault="00DC0272" w:rsidP="003C6E60">
            <w:pPr>
              <w:jc w:val="right"/>
              <w:rPr>
                <w:sz w:val="16"/>
                <w:szCs w:val="16"/>
              </w:rPr>
            </w:pPr>
            <w:r w:rsidRPr="00A515B4">
              <w:rPr>
                <w:sz w:val="16"/>
                <w:szCs w:val="16"/>
              </w:rPr>
              <w:t>23</w:t>
            </w:r>
          </w:p>
        </w:tc>
      </w:tr>
      <w:tr w:rsidR="00DC0272" w:rsidRPr="00A515B4" w14:paraId="6E28FCA9" w14:textId="77777777" w:rsidTr="00EA696E">
        <w:trPr>
          <w:trHeight w:val="255"/>
          <w:jc w:val="center"/>
        </w:trPr>
        <w:tc>
          <w:tcPr>
            <w:tcW w:w="2639" w:type="pct"/>
            <w:vMerge/>
            <w:tcBorders>
              <w:left w:val="single" w:sz="4" w:space="0" w:color="auto"/>
              <w:bottom w:val="single" w:sz="4" w:space="0" w:color="auto"/>
              <w:right w:val="single" w:sz="4" w:space="0" w:color="auto"/>
            </w:tcBorders>
            <w:vAlign w:val="center"/>
          </w:tcPr>
          <w:p w14:paraId="5926188E" w14:textId="77777777" w:rsidR="00DC0272" w:rsidRPr="00A515B4" w:rsidRDefault="00DC0272" w:rsidP="003C6E60">
            <w:pPr>
              <w:jc w:val="both"/>
              <w:rPr>
                <w:color w:val="000000" w:themeColor="text1"/>
                <w:sz w:val="18"/>
                <w:szCs w:val="18"/>
              </w:rPr>
            </w:pPr>
          </w:p>
        </w:tc>
        <w:tc>
          <w:tcPr>
            <w:tcW w:w="1561" w:type="pct"/>
            <w:gridSpan w:val="3"/>
            <w:tcBorders>
              <w:top w:val="single" w:sz="4" w:space="0" w:color="auto"/>
              <w:left w:val="nil"/>
              <w:bottom w:val="single" w:sz="4" w:space="0" w:color="auto"/>
              <w:right w:val="single" w:sz="4" w:space="0" w:color="auto"/>
            </w:tcBorders>
            <w:vAlign w:val="center"/>
          </w:tcPr>
          <w:p w14:paraId="2588DD19" w14:textId="77777777" w:rsidR="00DC0272" w:rsidRPr="00A515B4" w:rsidRDefault="00DC0272" w:rsidP="003C6E60">
            <w:pPr>
              <w:jc w:val="both"/>
              <w:rPr>
                <w:sz w:val="18"/>
                <w:szCs w:val="18"/>
              </w:rPr>
            </w:pPr>
            <w:r w:rsidRPr="00A515B4">
              <w:rPr>
                <w:sz w:val="16"/>
                <w:szCs w:val="16"/>
              </w:rPr>
              <w:t>Брой участия в заседания на КОРОР и други работни формати на ЕК и на Съвета на ЕС</w:t>
            </w:r>
          </w:p>
        </w:tc>
        <w:tc>
          <w:tcPr>
            <w:tcW w:w="422" w:type="pct"/>
            <w:tcBorders>
              <w:top w:val="single" w:sz="4" w:space="0" w:color="auto"/>
              <w:left w:val="nil"/>
              <w:bottom w:val="single" w:sz="4" w:space="0" w:color="auto"/>
              <w:right w:val="single" w:sz="4" w:space="0" w:color="auto"/>
            </w:tcBorders>
            <w:vAlign w:val="center"/>
          </w:tcPr>
          <w:p w14:paraId="0E96D5F0" w14:textId="77777777" w:rsidR="00DC0272" w:rsidRPr="00A515B4" w:rsidRDefault="00DC0272" w:rsidP="003C6E60">
            <w:pPr>
              <w:jc w:val="right"/>
              <w:rPr>
                <w:color w:val="000000" w:themeColor="text1"/>
                <w:sz w:val="16"/>
                <w:szCs w:val="16"/>
              </w:rPr>
            </w:pPr>
            <w:r w:rsidRPr="00A515B4">
              <w:rPr>
                <w:sz w:val="16"/>
                <w:szCs w:val="16"/>
              </w:rPr>
              <w:t>49</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A0119" w14:textId="77777777" w:rsidR="00DC0272" w:rsidRPr="00A515B4" w:rsidRDefault="00DC0272" w:rsidP="003C6E60">
            <w:pPr>
              <w:jc w:val="right"/>
              <w:rPr>
                <w:sz w:val="16"/>
                <w:szCs w:val="16"/>
              </w:rPr>
            </w:pPr>
            <w:r w:rsidRPr="00A515B4">
              <w:rPr>
                <w:sz w:val="16"/>
                <w:szCs w:val="16"/>
              </w:rPr>
              <w:t>22</w:t>
            </w:r>
          </w:p>
        </w:tc>
      </w:tr>
      <w:tr w:rsidR="00DC0272" w:rsidRPr="00A515B4" w14:paraId="6D621954" w14:textId="77777777" w:rsidTr="00FF4E77">
        <w:trPr>
          <w:trHeight w:val="255"/>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CC99"/>
          </w:tcPr>
          <w:p w14:paraId="3571E4C5" w14:textId="77777777" w:rsidR="00DC0272" w:rsidRPr="00A515B4" w:rsidRDefault="00DC0272" w:rsidP="003C6E60">
            <w:pPr>
              <w:jc w:val="both"/>
              <w:rPr>
                <w:sz w:val="16"/>
                <w:szCs w:val="16"/>
              </w:rPr>
            </w:pPr>
            <w:r w:rsidRPr="00A515B4">
              <w:rPr>
                <w:i/>
                <w:iCs/>
                <w:sz w:val="16"/>
                <w:szCs w:val="16"/>
              </w:rPr>
              <w:t>Ползи/ефекти:</w:t>
            </w:r>
            <w:r w:rsidRPr="00A515B4">
              <w:rPr>
                <w:sz w:val="16"/>
                <w:szCs w:val="16"/>
              </w:rPr>
              <w:t xml:space="preserve"> НАМАЛЯВАНЕ НА ИКОНОМИЧЕСКИТЕ И СОЦИАЛНИ РАЗЛИЧИЯ МЕЖДУ БЪЛГАРИЯ И ДРУГИТЕ ДЪРЖАВИ В ЕИП И ЕС И УКРЕПВАНЕ НА ДВУСТРАННИТЕ ОТНОШЕНИЯ МЕЖДУ СТРАНИТЕ-ДОНОРИ И БЪЛГАРИЯ</w:t>
            </w:r>
          </w:p>
        </w:tc>
      </w:tr>
      <w:tr w:rsidR="00DC0272" w:rsidRPr="00A515B4" w14:paraId="334B9953" w14:textId="77777777" w:rsidTr="00FF4E77">
        <w:trPr>
          <w:trHeight w:val="255"/>
          <w:jc w:val="center"/>
        </w:trPr>
        <w:tc>
          <w:tcPr>
            <w:tcW w:w="2639" w:type="pct"/>
            <w:tcBorders>
              <w:top w:val="single" w:sz="4" w:space="0" w:color="auto"/>
              <w:left w:val="single" w:sz="4" w:space="0" w:color="auto"/>
              <w:bottom w:val="single" w:sz="4" w:space="0" w:color="auto"/>
              <w:right w:val="single" w:sz="4" w:space="0" w:color="auto"/>
            </w:tcBorders>
            <w:shd w:val="clear" w:color="auto" w:fill="FFCC99"/>
            <w:vAlign w:val="center"/>
          </w:tcPr>
          <w:p w14:paraId="67729B75" w14:textId="77777777" w:rsidR="00DC0272" w:rsidRPr="00A515B4" w:rsidRDefault="00DC0272" w:rsidP="003C6E60">
            <w:pPr>
              <w:jc w:val="center"/>
              <w:rPr>
                <w:sz w:val="16"/>
                <w:szCs w:val="16"/>
              </w:rPr>
            </w:pPr>
            <w:r w:rsidRPr="00A515B4">
              <w:rPr>
                <w:b/>
                <w:bCs/>
                <w:sz w:val="16"/>
                <w:szCs w:val="16"/>
              </w:rPr>
              <w:t>Показатели за полза/ефект</w:t>
            </w:r>
          </w:p>
        </w:tc>
        <w:tc>
          <w:tcPr>
            <w:tcW w:w="1561" w:type="pct"/>
            <w:gridSpan w:val="3"/>
            <w:tcBorders>
              <w:top w:val="single" w:sz="4" w:space="0" w:color="auto"/>
              <w:left w:val="nil"/>
              <w:bottom w:val="single" w:sz="4" w:space="0" w:color="auto"/>
              <w:right w:val="single" w:sz="4" w:space="0" w:color="auto"/>
            </w:tcBorders>
            <w:shd w:val="clear" w:color="auto" w:fill="FFCC99"/>
            <w:vAlign w:val="center"/>
          </w:tcPr>
          <w:p w14:paraId="32C2BFBB" w14:textId="77777777" w:rsidR="00DC0272" w:rsidRPr="00A515B4" w:rsidRDefault="00DC0272" w:rsidP="003C6E60">
            <w:pPr>
              <w:jc w:val="both"/>
              <w:rPr>
                <w:sz w:val="16"/>
                <w:szCs w:val="16"/>
              </w:rPr>
            </w:pPr>
            <w:r w:rsidRPr="00A515B4">
              <w:rPr>
                <w:b/>
                <w:bCs/>
                <w:sz w:val="16"/>
                <w:szCs w:val="16"/>
              </w:rPr>
              <w:t>Мерна единица</w:t>
            </w:r>
          </w:p>
        </w:tc>
        <w:tc>
          <w:tcPr>
            <w:tcW w:w="422" w:type="pct"/>
            <w:tcBorders>
              <w:top w:val="single" w:sz="4" w:space="0" w:color="auto"/>
              <w:left w:val="nil"/>
              <w:bottom w:val="single" w:sz="4" w:space="0" w:color="auto"/>
              <w:right w:val="single" w:sz="4" w:space="0" w:color="auto"/>
            </w:tcBorders>
            <w:shd w:val="clear" w:color="auto" w:fill="FFCC99"/>
            <w:vAlign w:val="center"/>
          </w:tcPr>
          <w:p w14:paraId="744235CF" w14:textId="77777777" w:rsidR="00DC0272" w:rsidRPr="00A515B4" w:rsidRDefault="00DC0272" w:rsidP="003C6E60">
            <w:pPr>
              <w:jc w:val="center"/>
              <w:rPr>
                <w:b/>
                <w:bCs/>
                <w:iCs/>
                <w:sz w:val="16"/>
                <w:szCs w:val="16"/>
              </w:rPr>
            </w:pPr>
            <w:r w:rsidRPr="00A515B4">
              <w:rPr>
                <w:b/>
                <w:bCs/>
                <w:iCs/>
                <w:sz w:val="16"/>
                <w:szCs w:val="16"/>
              </w:rPr>
              <w:t>Целева стойност</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2B172DFA" w14:textId="77777777" w:rsidR="00DC0272" w:rsidRPr="00A515B4" w:rsidRDefault="00DC0272" w:rsidP="003C6E60">
            <w:pPr>
              <w:jc w:val="center"/>
              <w:rPr>
                <w:sz w:val="16"/>
                <w:szCs w:val="16"/>
              </w:rPr>
            </w:pPr>
            <w:r w:rsidRPr="00A515B4">
              <w:rPr>
                <w:b/>
                <w:bCs/>
                <w:iCs/>
                <w:sz w:val="16"/>
                <w:szCs w:val="16"/>
              </w:rPr>
              <w:t>Отчет</w:t>
            </w:r>
          </w:p>
        </w:tc>
      </w:tr>
      <w:tr w:rsidR="00DC0272" w:rsidRPr="00A515B4" w14:paraId="6C12729E" w14:textId="77777777" w:rsidTr="00EA696E">
        <w:trPr>
          <w:trHeight w:val="255"/>
          <w:jc w:val="center"/>
        </w:trPr>
        <w:tc>
          <w:tcPr>
            <w:tcW w:w="2639" w:type="pct"/>
            <w:tcBorders>
              <w:top w:val="single" w:sz="4" w:space="0" w:color="auto"/>
              <w:left w:val="single" w:sz="4" w:space="0" w:color="auto"/>
              <w:bottom w:val="single" w:sz="4" w:space="0" w:color="auto"/>
              <w:right w:val="single" w:sz="4" w:space="0" w:color="auto"/>
            </w:tcBorders>
            <w:vAlign w:val="center"/>
          </w:tcPr>
          <w:p w14:paraId="7645E642" w14:textId="77777777" w:rsidR="00DC0272" w:rsidRPr="00A515B4" w:rsidRDefault="00DC0272" w:rsidP="003C6E60">
            <w:pPr>
              <w:jc w:val="both"/>
              <w:rPr>
                <w:color w:val="000000" w:themeColor="text1"/>
                <w:sz w:val="18"/>
                <w:szCs w:val="18"/>
              </w:rPr>
            </w:pPr>
            <w:r w:rsidRPr="00A515B4">
              <w:rPr>
                <w:sz w:val="16"/>
                <w:szCs w:val="16"/>
              </w:rPr>
              <w:t xml:space="preserve">Осъществяване на координация при изпълнението и приключването на програмите, финансирани от ФМ на ЕИП и НФМ </w:t>
            </w:r>
          </w:p>
        </w:tc>
        <w:tc>
          <w:tcPr>
            <w:tcW w:w="1561" w:type="pct"/>
            <w:gridSpan w:val="3"/>
            <w:tcBorders>
              <w:top w:val="single" w:sz="4" w:space="0" w:color="auto"/>
              <w:left w:val="nil"/>
              <w:bottom w:val="single" w:sz="4" w:space="0" w:color="auto"/>
              <w:right w:val="single" w:sz="4" w:space="0" w:color="auto"/>
            </w:tcBorders>
            <w:vAlign w:val="center"/>
          </w:tcPr>
          <w:p w14:paraId="729F5B66" w14:textId="77777777" w:rsidR="00DC0272" w:rsidRPr="00A515B4" w:rsidRDefault="00DC0272" w:rsidP="003C6E60">
            <w:pPr>
              <w:jc w:val="both"/>
              <w:rPr>
                <w:sz w:val="18"/>
                <w:szCs w:val="18"/>
              </w:rPr>
            </w:pPr>
            <w:r w:rsidRPr="00A515B4">
              <w:rPr>
                <w:sz w:val="16"/>
                <w:szCs w:val="16"/>
              </w:rPr>
              <w:t>Брой приключили програми, финансирани по ФМ на ЕИП и НФМ</w:t>
            </w:r>
          </w:p>
        </w:tc>
        <w:tc>
          <w:tcPr>
            <w:tcW w:w="422" w:type="pct"/>
            <w:tcBorders>
              <w:top w:val="single" w:sz="4" w:space="0" w:color="auto"/>
              <w:left w:val="nil"/>
              <w:bottom w:val="single" w:sz="4" w:space="0" w:color="auto"/>
              <w:right w:val="single" w:sz="4" w:space="0" w:color="auto"/>
            </w:tcBorders>
            <w:vAlign w:val="center"/>
          </w:tcPr>
          <w:p w14:paraId="668247C5" w14:textId="77777777" w:rsidR="00DC0272" w:rsidRPr="00A515B4" w:rsidRDefault="00DC0272" w:rsidP="003C6E60">
            <w:pPr>
              <w:jc w:val="right"/>
              <w:rPr>
                <w:color w:val="000000" w:themeColor="text1"/>
                <w:sz w:val="16"/>
                <w:szCs w:val="16"/>
              </w:rPr>
            </w:pPr>
            <w:r w:rsidRPr="00A515B4">
              <w:rPr>
                <w:sz w:val="16"/>
                <w:szCs w:val="16"/>
              </w:rPr>
              <w:t>2</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84A2D" w14:textId="77777777" w:rsidR="00DC0272" w:rsidRPr="00A515B4" w:rsidRDefault="00DC0272" w:rsidP="003C6E60">
            <w:pPr>
              <w:jc w:val="right"/>
              <w:rPr>
                <w:sz w:val="16"/>
                <w:szCs w:val="16"/>
              </w:rPr>
            </w:pPr>
            <w:r w:rsidRPr="00A515B4">
              <w:rPr>
                <w:sz w:val="16"/>
                <w:szCs w:val="16"/>
              </w:rPr>
              <w:t>0</w:t>
            </w:r>
            <w:r w:rsidRPr="00A515B4">
              <w:rPr>
                <w:rStyle w:val="FootnoteReference"/>
                <w:sz w:val="16"/>
                <w:szCs w:val="16"/>
              </w:rPr>
              <w:footnoteReference w:id="11"/>
            </w:r>
          </w:p>
        </w:tc>
      </w:tr>
      <w:tr w:rsidR="00DC0272" w:rsidRPr="00A515B4" w14:paraId="6C9425AD" w14:textId="77777777" w:rsidTr="00FF4E77">
        <w:trPr>
          <w:trHeight w:val="255"/>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CC99"/>
          </w:tcPr>
          <w:p w14:paraId="1AC4022D" w14:textId="77777777" w:rsidR="00DC0272" w:rsidRPr="00A515B4" w:rsidRDefault="00DC0272" w:rsidP="003C6E60">
            <w:pPr>
              <w:jc w:val="both"/>
              <w:rPr>
                <w:sz w:val="16"/>
                <w:szCs w:val="16"/>
              </w:rPr>
            </w:pPr>
            <w:r w:rsidRPr="00A515B4">
              <w:rPr>
                <w:i/>
                <w:iCs/>
                <w:sz w:val="16"/>
                <w:szCs w:val="16"/>
              </w:rPr>
              <w:t>Ползи/ефекти:</w:t>
            </w:r>
            <w:r w:rsidRPr="00A515B4">
              <w:rPr>
                <w:sz w:val="16"/>
                <w:szCs w:val="16"/>
              </w:rPr>
              <w:t xml:space="preserve"> ОСИГУРЯВАНЕ НА ПРЕДПОСТАВКИ ЗА НАМАЛЯВАНЕ НА ИКОНОМИЧЕСКИТЕ И СОЦИАЛНИ РАЗЛИЧИЯ, ОСИГУРЯВАНЕ НА СТАБИЛНОСТ, СИГУРНОСТ И РАЗВИТИЕ И УКРЕПВАНЕ НА ДВУСТРАННИТЕ ОТНОШЕНИЯ МЕЖДУ БЪЛГАРИЯ И КОНФЕДЕРАЦИЯ ШВЕЙЦАРИЯ</w:t>
            </w:r>
          </w:p>
        </w:tc>
      </w:tr>
      <w:tr w:rsidR="00DC0272" w:rsidRPr="00A515B4" w14:paraId="5E65CCC2" w14:textId="77777777" w:rsidTr="00FF4E77">
        <w:trPr>
          <w:trHeight w:val="255"/>
          <w:jc w:val="center"/>
        </w:trPr>
        <w:tc>
          <w:tcPr>
            <w:tcW w:w="2639" w:type="pct"/>
            <w:tcBorders>
              <w:top w:val="single" w:sz="4" w:space="0" w:color="auto"/>
              <w:left w:val="single" w:sz="4" w:space="0" w:color="auto"/>
              <w:bottom w:val="single" w:sz="4" w:space="0" w:color="auto"/>
              <w:right w:val="single" w:sz="4" w:space="0" w:color="auto"/>
            </w:tcBorders>
            <w:shd w:val="clear" w:color="auto" w:fill="FFCC99"/>
            <w:vAlign w:val="center"/>
          </w:tcPr>
          <w:p w14:paraId="0A7659EF" w14:textId="77777777" w:rsidR="00DC0272" w:rsidRPr="00A515B4" w:rsidRDefault="00DC0272" w:rsidP="003C6E60">
            <w:pPr>
              <w:jc w:val="center"/>
              <w:rPr>
                <w:sz w:val="16"/>
                <w:szCs w:val="16"/>
              </w:rPr>
            </w:pPr>
            <w:r w:rsidRPr="00A515B4">
              <w:rPr>
                <w:b/>
                <w:bCs/>
                <w:sz w:val="16"/>
                <w:szCs w:val="16"/>
              </w:rPr>
              <w:t>Показатели за полза/ефект</w:t>
            </w:r>
          </w:p>
        </w:tc>
        <w:tc>
          <w:tcPr>
            <w:tcW w:w="1561" w:type="pct"/>
            <w:gridSpan w:val="3"/>
            <w:tcBorders>
              <w:top w:val="single" w:sz="4" w:space="0" w:color="auto"/>
              <w:left w:val="nil"/>
              <w:bottom w:val="single" w:sz="4" w:space="0" w:color="auto"/>
              <w:right w:val="single" w:sz="4" w:space="0" w:color="auto"/>
            </w:tcBorders>
            <w:shd w:val="clear" w:color="auto" w:fill="FFCC99"/>
            <w:vAlign w:val="center"/>
          </w:tcPr>
          <w:p w14:paraId="7964D181" w14:textId="77777777" w:rsidR="00DC0272" w:rsidRPr="00A515B4" w:rsidRDefault="00DC0272" w:rsidP="003C6E60">
            <w:pPr>
              <w:jc w:val="both"/>
              <w:rPr>
                <w:sz w:val="16"/>
                <w:szCs w:val="16"/>
              </w:rPr>
            </w:pPr>
            <w:r w:rsidRPr="00A515B4">
              <w:rPr>
                <w:b/>
                <w:bCs/>
                <w:sz w:val="16"/>
                <w:szCs w:val="16"/>
              </w:rPr>
              <w:t>Мерна единица</w:t>
            </w:r>
          </w:p>
        </w:tc>
        <w:tc>
          <w:tcPr>
            <w:tcW w:w="422" w:type="pct"/>
            <w:tcBorders>
              <w:top w:val="single" w:sz="4" w:space="0" w:color="auto"/>
              <w:left w:val="nil"/>
              <w:bottom w:val="single" w:sz="4" w:space="0" w:color="auto"/>
              <w:right w:val="single" w:sz="4" w:space="0" w:color="auto"/>
            </w:tcBorders>
            <w:shd w:val="clear" w:color="auto" w:fill="FFCC99"/>
            <w:vAlign w:val="center"/>
          </w:tcPr>
          <w:p w14:paraId="2BC63E19" w14:textId="77777777" w:rsidR="00DC0272" w:rsidRPr="00A515B4" w:rsidRDefault="00DC0272" w:rsidP="003C6E60">
            <w:pPr>
              <w:jc w:val="center"/>
              <w:rPr>
                <w:b/>
                <w:bCs/>
                <w:iCs/>
                <w:sz w:val="16"/>
                <w:szCs w:val="16"/>
              </w:rPr>
            </w:pPr>
            <w:r w:rsidRPr="00A515B4">
              <w:rPr>
                <w:b/>
                <w:bCs/>
                <w:iCs/>
                <w:sz w:val="16"/>
                <w:szCs w:val="16"/>
              </w:rPr>
              <w:t>Целева стойност</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6F48FED9" w14:textId="77777777" w:rsidR="00DC0272" w:rsidRPr="00A515B4" w:rsidRDefault="00DC0272" w:rsidP="003C6E60">
            <w:pPr>
              <w:jc w:val="center"/>
              <w:rPr>
                <w:sz w:val="16"/>
                <w:szCs w:val="16"/>
              </w:rPr>
            </w:pPr>
            <w:r w:rsidRPr="00A515B4">
              <w:rPr>
                <w:b/>
                <w:bCs/>
                <w:iCs/>
                <w:sz w:val="16"/>
                <w:szCs w:val="16"/>
              </w:rPr>
              <w:t>Отчет</w:t>
            </w:r>
          </w:p>
        </w:tc>
      </w:tr>
      <w:tr w:rsidR="00DC0272" w:rsidRPr="00A515B4" w14:paraId="5DB5B238" w14:textId="77777777" w:rsidTr="00EA696E">
        <w:trPr>
          <w:trHeight w:val="255"/>
          <w:jc w:val="center"/>
        </w:trPr>
        <w:tc>
          <w:tcPr>
            <w:tcW w:w="2639" w:type="pct"/>
            <w:tcBorders>
              <w:top w:val="single" w:sz="4" w:space="0" w:color="auto"/>
              <w:left w:val="single" w:sz="4" w:space="0" w:color="auto"/>
              <w:bottom w:val="single" w:sz="4" w:space="0" w:color="auto"/>
              <w:right w:val="single" w:sz="4" w:space="0" w:color="auto"/>
            </w:tcBorders>
            <w:vAlign w:val="center"/>
          </w:tcPr>
          <w:p w14:paraId="026D071F" w14:textId="77777777" w:rsidR="00DC0272" w:rsidRPr="00A515B4" w:rsidRDefault="00DC0272" w:rsidP="003C6E60">
            <w:pPr>
              <w:jc w:val="both"/>
              <w:rPr>
                <w:color w:val="000000" w:themeColor="text1"/>
                <w:sz w:val="18"/>
                <w:szCs w:val="18"/>
              </w:rPr>
            </w:pPr>
            <w:r w:rsidRPr="00A515B4">
              <w:rPr>
                <w:iCs/>
                <w:sz w:val="16"/>
                <w:szCs w:val="16"/>
              </w:rPr>
              <w:t>Финализиране на преговорите по Втория швейцарски принос  (ШБПС)</w:t>
            </w:r>
          </w:p>
        </w:tc>
        <w:tc>
          <w:tcPr>
            <w:tcW w:w="1561" w:type="pct"/>
            <w:gridSpan w:val="3"/>
            <w:tcBorders>
              <w:top w:val="single" w:sz="4" w:space="0" w:color="auto"/>
              <w:left w:val="nil"/>
              <w:bottom w:val="single" w:sz="4" w:space="0" w:color="auto"/>
              <w:right w:val="single" w:sz="4" w:space="0" w:color="auto"/>
            </w:tcBorders>
            <w:vAlign w:val="center"/>
          </w:tcPr>
          <w:p w14:paraId="2BB6DF2B" w14:textId="77777777" w:rsidR="00DC0272" w:rsidRPr="00A515B4" w:rsidRDefault="00DC0272" w:rsidP="003C6E60">
            <w:pPr>
              <w:jc w:val="both"/>
              <w:rPr>
                <w:sz w:val="18"/>
                <w:szCs w:val="18"/>
              </w:rPr>
            </w:pPr>
            <w:r w:rsidRPr="00A515B4">
              <w:rPr>
                <w:sz w:val="16"/>
                <w:szCs w:val="16"/>
              </w:rPr>
              <w:t>Брой сключени споразумения</w:t>
            </w:r>
          </w:p>
        </w:tc>
        <w:tc>
          <w:tcPr>
            <w:tcW w:w="422" w:type="pct"/>
            <w:tcBorders>
              <w:top w:val="single" w:sz="4" w:space="0" w:color="auto"/>
              <w:left w:val="nil"/>
              <w:bottom w:val="single" w:sz="4" w:space="0" w:color="auto"/>
              <w:right w:val="single" w:sz="4" w:space="0" w:color="auto"/>
            </w:tcBorders>
            <w:vAlign w:val="center"/>
          </w:tcPr>
          <w:p w14:paraId="219C433A" w14:textId="77777777" w:rsidR="00DC0272" w:rsidRPr="00A515B4" w:rsidRDefault="00DC0272" w:rsidP="003C6E60">
            <w:pPr>
              <w:jc w:val="right"/>
              <w:rPr>
                <w:color w:val="000000" w:themeColor="text1"/>
                <w:sz w:val="16"/>
                <w:szCs w:val="16"/>
              </w:rPr>
            </w:pPr>
            <w:r w:rsidRPr="00A515B4">
              <w:rPr>
                <w:bCs/>
                <w:sz w:val="16"/>
                <w:szCs w:val="16"/>
              </w:rPr>
              <w:t>9</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BC0F2" w14:textId="77777777" w:rsidR="00DC0272" w:rsidRPr="00A515B4" w:rsidRDefault="00DC0272" w:rsidP="003C6E60">
            <w:pPr>
              <w:jc w:val="right"/>
              <w:rPr>
                <w:sz w:val="16"/>
                <w:szCs w:val="16"/>
                <w:lang w:val="en-US"/>
              </w:rPr>
            </w:pPr>
            <w:r w:rsidRPr="00A515B4">
              <w:rPr>
                <w:sz w:val="16"/>
                <w:szCs w:val="16"/>
                <w:lang w:val="en-US"/>
              </w:rPr>
              <w:t>5</w:t>
            </w:r>
            <w:r w:rsidRPr="00A515B4">
              <w:rPr>
                <w:rStyle w:val="FootnoteReference"/>
                <w:sz w:val="16"/>
                <w:szCs w:val="16"/>
                <w:lang w:val="en-US"/>
              </w:rPr>
              <w:footnoteReference w:id="12"/>
            </w:r>
          </w:p>
        </w:tc>
      </w:tr>
      <w:tr w:rsidR="00DC0272" w:rsidRPr="00A515B4" w14:paraId="0C30524B" w14:textId="77777777" w:rsidTr="00EA696E">
        <w:trPr>
          <w:trHeight w:val="255"/>
          <w:jc w:val="center"/>
        </w:trPr>
        <w:tc>
          <w:tcPr>
            <w:tcW w:w="2639" w:type="pct"/>
            <w:tcBorders>
              <w:top w:val="single" w:sz="4" w:space="0" w:color="auto"/>
              <w:left w:val="single" w:sz="4" w:space="0" w:color="auto"/>
              <w:bottom w:val="single" w:sz="4" w:space="0" w:color="auto"/>
              <w:right w:val="single" w:sz="4" w:space="0" w:color="auto"/>
            </w:tcBorders>
            <w:vAlign w:val="center"/>
          </w:tcPr>
          <w:p w14:paraId="1E82F1EE" w14:textId="77777777" w:rsidR="00DC0272" w:rsidRPr="00A515B4" w:rsidRDefault="00DC0272" w:rsidP="003C6E60">
            <w:pPr>
              <w:jc w:val="both"/>
              <w:rPr>
                <w:color w:val="000000" w:themeColor="text1"/>
                <w:sz w:val="18"/>
                <w:szCs w:val="18"/>
              </w:rPr>
            </w:pPr>
            <w:r w:rsidRPr="00A515B4">
              <w:rPr>
                <w:sz w:val="16"/>
                <w:szCs w:val="16"/>
              </w:rPr>
              <w:t>Изпълнение на стратегическите цели на Рамковото споразумение между правителството на Република България и Федералния съвет на Конфедерация Швейцария относно изпълнението на Втория швейцарски принос към избрани държави – членки на Европейския съюз, за намаляване на икономическите и социалните различия в Европейския съюз (ШБПС)</w:t>
            </w:r>
          </w:p>
        </w:tc>
        <w:tc>
          <w:tcPr>
            <w:tcW w:w="1561" w:type="pct"/>
            <w:gridSpan w:val="3"/>
            <w:tcBorders>
              <w:top w:val="single" w:sz="4" w:space="0" w:color="auto"/>
              <w:left w:val="nil"/>
              <w:bottom w:val="single" w:sz="4" w:space="0" w:color="auto"/>
              <w:right w:val="single" w:sz="4" w:space="0" w:color="auto"/>
            </w:tcBorders>
            <w:vAlign w:val="center"/>
          </w:tcPr>
          <w:p w14:paraId="2087EAF0" w14:textId="77777777" w:rsidR="00DC0272" w:rsidRPr="00A515B4" w:rsidRDefault="00DC0272" w:rsidP="003C6E60">
            <w:pPr>
              <w:jc w:val="both"/>
              <w:rPr>
                <w:sz w:val="18"/>
                <w:szCs w:val="18"/>
              </w:rPr>
            </w:pPr>
            <w:r w:rsidRPr="00A515B4">
              <w:rPr>
                <w:i/>
                <w:sz w:val="16"/>
                <w:szCs w:val="16"/>
              </w:rPr>
              <w:t xml:space="preserve">Качествен показател: </w:t>
            </w:r>
            <w:r w:rsidRPr="00A515B4">
              <w:rPr>
                <w:sz w:val="16"/>
                <w:szCs w:val="16"/>
              </w:rPr>
              <w:t>Осъществена координация и наблюдение на изпълнението на програмите, съфинансирани от ШБПС и оказване на необходимата методическа подкрепа</w:t>
            </w:r>
          </w:p>
        </w:tc>
        <w:tc>
          <w:tcPr>
            <w:tcW w:w="422" w:type="pct"/>
            <w:tcBorders>
              <w:top w:val="single" w:sz="4" w:space="0" w:color="auto"/>
              <w:left w:val="nil"/>
              <w:bottom w:val="single" w:sz="4" w:space="0" w:color="auto"/>
              <w:right w:val="single" w:sz="4" w:space="0" w:color="auto"/>
            </w:tcBorders>
            <w:vAlign w:val="center"/>
          </w:tcPr>
          <w:p w14:paraId="194CCADD" w14:textId="77777777" w:rsidR="00DC0272" w:rsidRPr="00A515B4" w:rsidRDefault="00DC0272" w:rsidP="003C6E60">
            <w:pPr>
              <w:jc w:val="right"/>
              <w:rPr>
                <w:color w:val="000000" w:themeColor="text1"/>
                <w:sz w:val="16"/>
                <w:szCs w:val="16"/>
              </w:rPr>
            </w:pPr>
            <w:r w:rsidRPr="00A515B4">
              <w:rPr>
                <w:sz w:val="16"/>
                <w:szCs w:val="16"/>
              </w:rPr>
              <w:t>текущо</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F3350" w14:textId="77777777" w:rsidR="00DC0272" w:rsidRPr="00A515B4" w:rsidRDefault="00DC0272" w:rsidP="003C6E60">
            <w:pPr>
              <w:jc w:val="right"/>
              <w:rPr>
                <w:sz w:val="16"/>
                <w:szCs w:val="16"/>
              </w:rPr>
            </w:pPr>
          </w:p>
        </w:tc>
      </w:tr>
      <w:tr w:rsidR="00DC0272" w:rsidRPr="00A515B4" w14:paraId="6AD8B531" w14:textId="77777777" w:rsidTr="00FF4E77">
        <w:trPr>
          <w:trHeight w:val="255"/>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CC99"/>
          </w:tcPr>
          <w:p w14:paraId="34D1ACA3" w14:textId="77777777" w:rsidR="00DC0272" w:rsidRPr="00A515B4" w:rsidRDefault="00DC0272" w:rsidP="003C6E60">
            <w:pPr>
              <w:jc w:val="both"/>
              <w:rPr>
                <w:sz w:val="16"/>
                <w:szCs w:val="16"/>
              </w:rPr>
            </w:pPr>
            <w:r w:rsidRPr="00A515B4">
              <w:rPr>
                <w:i/>
                <w:iCs/>
                <w:sz w:val="16"/>
                <w:szCs w:val="16"/>
              </w:rPr>
              <w:t>Ползи/ефекти:</w:t>
            </w:r>
            <w:r w:rsidRPr="00A515B4">
              <w:rPr>
                <w:sz w:val="16"/>
                <w:szCs w:val="16"/>
              </w:rPr>
              <w:t xml:space="preserve"> УЛЕСНЕН ДОСТЪП НА ПОТЕНЦИАЛНИТЕ БЕНЕФИЦИЕНТИ ДО СРЕДСТВАТА ОТ ЕСИФ, ЕФСУ, НПВУ, ФМ НА ЕИП И НФМ И НАМАЛЯВАНЕ НА АДМИНИСТРАТИВНАТА ТЕЖЕСТ ПРИ ИЗПЪЛНЕНИЕ НА ПРОГРАМИТЕ И ПРОЕКТИТЕ</w:t>
            </w:r>
          </w:p>
        </w:tc>
      </w:tr>
      <w:tr w:rsidR="00DC0272" w:rsidRPr="00A515B4" w14:paraId="4A30C77A" w14:textId="77777777" w:rsidTr="00FF4E77">
        <w:trPr>
          <w:trHeight w:val="255"/>
          <w:jc w:val="center"/>
        </w:trPr>
        <w:tc>
          <w:tcPr>
            <w:tcW w:w="2639" w:type="pct"/>
            <w:tcBorders>
              <w:top w:val="single" w:sz="4" w:space="0" w:color="auto"/>
              <w:left w:val="single" w:sz="4" w:space="0" w:color="auto"/>
              <w:bottom w:val="single" w:sz="4" w:space="0" w:color="auto"/>
              <w:right w:val="single" w:sz="4" w:space="0" w:color="auto"/>
            </w:tcBorders>
            <w:shd w:val="clear" w:color="auto" w:fill="FFCC99"/>
            <w:vAlign w:val="center"/>
          </w:tcPr>
          <w:p w14:paraId="16ABF9B0" w14:textId="77777777" w:rsidR="00DC0272" w:rsidRPr="00A515B4" w:rsidRDefault="00DC0272" w:rsidP="003C6E60">
            <w:pPr>
              <w:jc w:val="center"/>
              <w:rPr>
                <w:sz w:val="16"/>
                <w:szCs w:val="16"/>
              </w:rPr>
            </w:pPr>
            <w:r w:rsidRPr="00A515B4">
              <w:rPr>
                <w:b/>
                <w:bCs/>
                <w:sz w:val="16"/>
                <w:szCs w:val="16"/>
              </w:rPr>
              <w:t>Показатели за полза/ефект</w:t>
            </w:r>
          </w:p>
        </w:tc>
        <w:tc>
          <w:tcPr>
            <w:tcW w:w="1561" w:type="pct"/>
            <w:gridSpan w:val="3"/>
            <w:tcBorders>
              <w:top w:val="single" w:sz="4" w:space="0" w:color="auto"/>
              <w:left w:val="nil"/>
              <w:bottom w:val="single" w:sz="4" w:space="0" w:color="auto"/>
              <w:right w:val="single" w:sz="4" w:space="0" w:color="auto"/>
            </w:tcBorders>
            <w:shd w:val="clear" w:color="auto" w:fill="FFCC99"/>
            <w:vAlign w:val="center"/>
          </w:tcPr>
          <w:p w14:paraId="5E96832B" w14:textId="77777777" w:rsidR="00DC0272" w:rsidRPr="00A515B4" w:rsidRDefault="00DC0272" w:rsidP="003C6E60">
            <w:pPr>
              <w:jc w:val="both"/>
              <w:rPr>
                <w:sz w:val="16"/>
                <w:szCs w:val="16"/>
              </w:rPr>
            </w:pPr>
            <w:r w:rsidRPr="00A515B4">
              <w:rPr>
                <w:b/>
                <w:bCs/>
                <w:sz w:val="16"/>
                <w:szCs w:val="16"/>
              </w:rPr>
              <w:t>Мерна единица</w:t>
            </w:r>
          </w:p>
        </w:tc>
        <w:tc>
          <w:tcPr>
            <w:tcW w:w="422" w:type="pct"/>
            <w:tcBorders>
              <w:top w:val="single" w:sz="4" w:space="0" w:color="auto"/>
              <w:left w:val="nil"/>
              <w:bottom w:val="single" w:sz="4" w:space="0" w:color="auto"/>
              <w:right w:val="single" w:sz="4" w:space="0" w:color="auto"/>
            </w:tcBorders>
            <w:shd w:val="clear" w:color="auto" w:fill="FFCC99"/>
            <w:vAlign w:val="center"/>
          </w:tcPr>
          <w:p w14:paraId="4F32E53B" w14:textId="77777777" w:rsidR="00DC0272" w:rsidRPr="00A515B4" w:rsidRDefault="00DC0272" w:rsidP="003C6E60">
            <w:pPr>
              <w:jc w:val="center"/>
              <w:rPr>
                <w:b/>
                <w:bCs/>
                <w:iCs/>
                <w:sz w:val="16"/>
                <w:szCs w:val="16"/>
              </w:rPr>
            </w:pPr>
            <w:r w:rsidRPr="00A515B4">
              <w:rPr>
                <w:b/>
                <w:bCs/>
                <w:iCs/>
                <w:sz w:val="16"/>
                <w:szCs w:val="16"/>
              </w:rPr>
              <w:t>Целева стойност</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6E90F5C0" w14:textId="77777777" w:rsidR="00DC0272" w:rsidRPr="00A515B4" w:rsidRDefault="00DC0272" w:rsidP="003C6E60">
            <w:pPr>
              <w:jc w:val="center"/>
              <w:rPr>
                <w:sz w:val="16"/>
                <w:szCs w:val="16"/>
              </w:rPr>
            </w:pPr>
            <w:r w:rsidRPr="00A515B4">
              <w:rPr>
                <w:b/>
                <w:bCs/>
                <w:iCs/>
                <w:sz w:val="16"/>
                <w:szCs w:val="16"/>
              </w:rPr>
              <w:t>Отчет</w:t>
            </w:r>
          </w:p>
        </w:tc>
      </w:tr>
      <w:tr w:rsidR="00DC0272" w:rsidRPr="00A515B4" w14:paraId="1484D7FB" w14:textId="77777777" w:rsidTr="00EA696E">
        <w:trPr>
          <w:trHeight w:val="255"/>
          <w:jc w:val="center"/>
        </w:trPr>
        <w:tc>
          <w:tcPr>
            <w:tcW w:w="2639" w:type="pct"/>
            <w:tcBorders>
              <w:top w:val="single" w:sz="4" w:space="0" w:color="auto"/>
              <w:left w:val="single" w:sz="4" w:space="0" w:color="auto"/>
              <w:bottom w:val="single" w:sz="4" w:space="0" w:color="auto"/>
              <w:right w:val="single" w:sz="4" w:space="0" w:color="auto"/>
            </w:tcBorders>
            <w:vAlign w:val="center"/>
          </w:tcPr>
          <w:p w14:paraId="4C616F8E" w14:textId="1EAD792D" w:rsidR="00DC0272" w:rsidRPr="00A515B4" w:rsidRDefault="00DC0272" w:rsidP="003C6E60">
            <w:pPr>
              <w:jc w:val="both"/>
              <w:rPr>
                <w:color w:val="000000" w:themeColor="text1"/>
                <w:sz w:val="18"/>
                <w:szCs w:val="18"/>
              </w:rPr>
            </w:pPr>
            <w:r w:rsidRPr="00A515B4">
              <w:rPr>
                <w:sz w:val="16"/>
                <w:szCs w:val="16"/>
              </w:rPr>
              <w:t>Функционираща Информационна система за управление и наблюдение ИСУН</w:t>
            </w:r>
            <w:r w:rsidR="00E37136">
              <w:rPr>
                <w:sz w:val="16"/>
                <w:szCs w:val="16"/>
              </w:rPr>
              <w:t xml:space="preserve"> </w:t>
            </w:r>
            <w:r w:rsidRPr="00A515B4">
              <w:rPr>
                <w:sz w:val="16"/>
                <w:szCs w:val="16"/>
              </w:rPr>
              <w:t>2020</w:t>
            </w:r>
          </w:p>
        </w:tc>
        <w:tc>
          <w:tcPr>
            <w:tcW w:w="1561" w:type="pct"/>
            <w:gridSpan w:val="3"/>
            <w:tcBorders>
              <w:top w:val="single" w:sz="4" w:space="0" w:color="auto"/>
              <w:left w:val="nil"/>
              <w:bottom w:val="single" w:sz="4" w:space="0" w:color="auto"/>
              <w:right w:val="single" w:sz="4" w:space="0" w:color="auto"/>
            </w:tcBorders>
            <w:vAlign w:val="center"/>
          </w:tcPr>
          <w:p w14:paraId="51018B6D" w14:textId="77777777" w:rsidR="00DC0272" w:rsidRPr="00A515B4" w:rsidRDefault="00DC0272" w:rsidP="003C6E60">
            <w:pPr>
              <w:jc w:val="both"/>
              <w:rPr>
                <w:sz w:val="18"/>
                <w:szCs w:val="18"/>
              </w:rPr>
            </w:pPr>
            <w:r w:rsidRPr="00A515B4">
              <w:rPr>
                <w:sz w:val="16"/>
                <w:szCs w:val="16"/>
              </w:rPr>
              <w:t>Брой</w:t>
            </w:r>
          </w:p>
        </w:tc>
        <w:tc>
          <w:tcPr>
            <w:tcW w:w="422" w:type="pct"/>
            <w:tcBorders>
              <w:top w:val="single" w:sz="4" w:space="0" w:color="auto"/>
              <w:left w:val="nil"/>
              <w:bottom w:val="single" w:sz="4" w:space="0" w:color="auto"/>
              <w:right w:val="single" w:sz="4" w:space="0" w:color="auto"/>
            </w:tcBorders>
            <w:vAlign w:val="center"/>
          </w:tcPr>
          <w:p w14:paraId="434EC391" w14:textId="77777777" w:rsidR="00DC0272" w:rsidRPr="00A515B4" w:rsidRDefault="00DC0272" w:rsidP="003C6E60">
            <w:pPr>
              <w:jc w:val="right"/>
              <w:rPr>
                <w:color w:val="000000" w:themeColor="text1"/>
                <w:sz w:val="16"/>
                <w:szCs w:val="16"/>
              </w:rPr>
            </w:pPr>
            <w:r w:rsidRPr="00A515B4">
              <w:rPr>
                <w:sz w:val="16"/>
                <w:szCs w:val="16"/>
              </w:rPr>
              <w:t>1</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16BE4" w14:textId="77777777" w:rsidR="00DC0272" w:rsidRPr="00A515B4" w:rsidRDefault="00DC0272" w:rsidP="003C6E60">
            <w:pPr>
              <w:jc w:val="right"/>
              <w:rPr>
                <w:sz w:val="16"/>
                <w:szCs w:val="16"/>
              </w:rPr>
            </w:pPr>
            <w:r w:rsidRPr="00A515B4">
              <w:rPr>
                <w:sz w:val="16"/>
                <w:szCs w:val="16"/>
              </w:rPr>
              <w:t>1</w:t>
            </w:r>
          </w:p>
        </w:tc>
      </w:tr>
      <w:tr w:rsidR="00DC0272" w:rsidRPr="00A515B4" w14:paraId="7E7D88E8" w14:textId="77777777" w:rsidTr="00EA696E">
        <w:trPr>
          <w:trHeight w:val="255"/>
          <w:jc w:val="center"/>
        </w:trPr>
        <w:tc>
          <w:tcPr>
            <w:tcW w:w="2639" w:type="pct"/>
            <w:tcBorders>
              <w:top w:val="single" w:sz="4" w:space="0" w:color="auto"/>
              <w:left w:val="single" w:sz="4" w:space="0" w:color="auto"/>
              <w:bottom w:val="single" w:sz="4" w:space="0" w:color="auto"/>
              <w:right w:val="single" w:sz="4" w:space="0" w:color="auto"/>
            </w:tcBorders>
            <w:vAlign w:val="center"/>
          </w:tcPr>
          <w:p w14:paraId="475E7CF8" w14:textId="77777777" w:rsidR="00DC0272" w:rsidRPr="00A515B4" w:rsidRDefault="00DC0272" w:rsidP="003C6E60">
            <w:pPr>
              <w:jc w:val="both"/>
              <w:rPr>
                <w:color w:val="000000" w:themeColor="text1"/>
                <w:sz w:val="18"/>
                <w:szCs w:val="18"/>
              </w:rPr>
            </w:pPr>
            <w:r w:rsidRPr="00A515B4">
              <w:rPr>
                <w:sz w:val="16"/>
                <w:szCs w:val="16"/>
              </w:rPr>
              <w:t>Нови функционалности в ИСУН</w:t>
            </w:r>
          </w:p>
        </w:tc>
        <w:tc>
          <w:tcPr>
            <w:tcW w:w="1561" w:type="pct"/>
            <w:gridSpan w:val="3"/>
            <w:tcBorders>
              <w:top w:val="single" w:sz="4" w:space="0" w:color="auto"/>
              <w:left w:val="nil"/>
              <w:bottom w:val="single" w:sz="4" w:space="0" w:color="auto"/>
              <w:right w:val="single" w:sz="4" w:space="0" w:color="auto"/>
            </w:tcBorders>
            <w:vAlign w:val="center"/>
          </w:tcPr>
          <w:p w14:paraId="0EED0632" w14:textId="77777777" w:rsidR="00DC0272" w:rsidRPr="00A515B4" w:rsidRDefault="00DC0272" w:rsidP="003C6E60">
            <w:pPr>
              <w:jc w:val="both"/>
              <w:rPr>
                <w:sz w:val="18"/>
                <w:szCs w:val="18"/>
              </w:rPr>
            </w:pPr>
            <w:r w:rsidRPr="00A515B4">
              <w:rPr>
                <w:sz w:val="16"/>
                <w:szCs w:val="16"/>
              </w:rPr>
              <w:t>Брой</w:t>
            </w:r>
          </w:p>
        </w:tc>
        <w:tc>
          <w:tcPr>
            <w:tcW w:w="422" w:type="pct"/>
            <w:tcBorders>
              <w:top w:val="single" w:sz="4" w:space="0" w:color="auto"/>
              <w:left w:val="nil"/>
              <w:bottom w:val="single" w:sz="4" w:space="0" w:color="auto"/>
              <w:right w:val="single" w:sz="4" w:space="0" w:color="auto"/>
            </w:tcBorders>
            <w:vAlign w:val="center"/>
          </w:tcPr>
          <w:p w14:paraId="3613664F" w14:textId="77777777" w:rsidR="00DC0272" w:rsidRPr="00A515B4" w:rsidRDefault="00DC0272" w:rsidP="003C6E60">
            <w:pPr>
              <w:jc w:val="right"/>
              <w:rPr>
                <w:color w:val="000000" w:themeColor="text1"/>
                <w:sz w:val="16"/>
                <w:szCs w:val="16"/>
              </w:rPr>
            </w:pPr>
            <w:r w:rsidRPr="00A515B4">
              <w:rPr>
                <w:sz w:val="16"/>
                <w:szCs w:val="16"/>
              </w:rPr>
              <w:t>20</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8BCBE" w14:textId="77777777" w:rsidR="00DC0272" w:rsidRPr="00A515B4" w:rsidRDefault="00DC0272" w:rsidP="003C6E60">
            <w:pPr>
              <w:jc w:val="right"/>
              <w:rPr>
                <w:sz w:val="16"/>
                <w:szCs w:val="16"/>
              </w:rPr>
            </w:pPr>
            <w:r w:rsidRPr="00A515B4">
              <w:rPr>
                <w:sz w:val="16"/>
                <w:szCs w:val="16"/>
              </w:rPr>
              <w:t>1</w:t>
            </w:r>
            <w:r w:rsidRPr="005B3927">
              <w:rPr>
                <w:sz w:val="16"/>
                <w:szCs w:val="16"/>
                <w:vertAlign w:val="superscript"/>
              </w:rPr>
              <w:footnoteReference w:id="13"/>
            </w:r>
            <w:r w:rsidRPr="005B3927">
              <w:rPr>
                <w:sz w:val="16"/>
                <w:szCs w:val="16"/>
                <w:lang w:val="en-US"/>
              </w:rPr>
              <w:t xml:space="preserve"> </w:t>
            </w:r>
          </w:p>
        </w:tc>
      </w:tr>
      <w:tr w:rsidR="00DC0272" w:rsidRPr="00A515B4" w14:paraId="75CA104A" w14:textId="77777777" w:rsidTr="00EA696E">
        <w:trPr>
          <w:trHeight w:val="255"/>
          <w:jc w:val="center"/>
        </w:trPr>
        <w:tc>
          <w:tcPr>
            <w:tcW w:w="2639" w:type="pct"/>
            <w:tcBorders>
              <w:top w:val="single" w:sz="4" w:space="0" w:color="auto"/>
              <w:left w:val="single" w:sz="4" w:space="0" w:color="auto"/>
              <w:bottom w:val="single" w:sz="4" w:space="0" w:color="auto"/>
              <w:right w:val="single" w:sz="4" w:space="0" w:color="auto"/>
            </w:tcBorders>
            <w:vAlign w:val="center"/>
          </w:tcPr>
          <w:p w14:paraId="30FA1BDA" w14:textId="77777777" w:rsidR="00DC0272" w:rsidRPr="00A515B4" w:rsidRDefault="00DC0272" w:rsidP="003C6E60">
            <w:pPr>
              <w:jc w:val="both"/>
              <w:rPr>
                <w:color w:val="000000" w:themeColor="text1"/>
                <w:sz w:val="18"/>
                <w:szCs w:val="18"/>
              </w:rPr>
            </w:pPr>
            <w:r w:rsidRPr="00A515B4">
              <w:rPr>
                <w:sz w:val="16"/>
                <w:szCs w:val="16"/>
              </w:rPr>
              <w:t>Ефективност на електронните услуги за кандидатите и бенефициентите: удовлетвореност на кандидати и бенефициенти от електронните услуги на ИСУН 2020</w:t>
            </w:r>
          </w:p>
        </w:tc>
        <w:tc>
          <w:tcPr>
            <w:tcW w:w="1561" w:type="pct"/>
            <w:gridSpan w:val="3"/>
            <w:tcBorders>
              <w:top w:val="single" w:sz="4" w:space="0" w:color="auto"/>
              <w:left w:val="nil"/>
              <w:bottom w:val="single" w:sz="4" w:space="0" w:color="auto"/>
              <w:right w:val="single" w:sz="4" w:space="0" w:color="auto"/>
            </w:tcBorders>
            <w:vAlign w:val="center"/>
          </w:tcPr>
          <w:p w14:paraId="060B3F82" w14:textId="77777777" w:rsidR="00DC0272" w:rsidRPr="00A515B4" w:rsidRDefault="00DC0272" w:rsidP="003C6E60">
            <w:pPr>
              <w:jc w:val="both"/>
              <w:rPr>
                <w:sz w:val="18"/>
                <w:szCs w:val="18"/>
              </w:rPr>
            </w:pPr>
            <w:r w:rsidRPr="00A515B4">
              <w:rPr>
                <w:sz w:val="16"/>
                <w:szCs w:val="16"/>
              </w:rPr>
              <w:t>%</w:t>
            </w:r>
          </w:p>
        </w:tc>
        <w:tc>
          <w:tcPr>
            <w:tcW w:w="422" w:type="pct"/>
            <w:tcBorders>
              <w:top w:val="single" w:sz="4" w:space="0" w:color="auto"/>
              <w:left w:val="nil"/>
              <w:bottom w:val="single" w:sz="4" w:space="0" w:color="auto"/>
              <w:right w:val="single" w:sz="4" w:space="0" w:color="auto"/>
            </w:tcBorders>
            <w:vAlign w:val="center"/>
          </w:tcPr>
          <w:p w14:paraId="78901260" w14:textId="77777777" w:rsidR="00DC0272" w:rsidRPr="00A515B4" w:rsidRDefault="00DC0272" w:rsidP="003C6E60">
            <w:pPr>
              <w:jc w:val="right"/>
              <w:rPr>
                <w:color w:val="000000" w:themeColor="text1"/>
                <w:sz w:val="16"/>
                <w:szCs w:val="16"/>
              </w:rPr>
            </w:pPr>
            <w:r w:rsidRPr="00A515B4">
              <w:rPr>
                <w:sz w:val="16"/>
                <w:szCs w:val="16"/>
              </w:rPr>
              <w:t>85</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DD6E6" w14:textId="77777777" w:rsidR="00DC0272" w:rsidRPr="00A515B4" w:rsidRDefault="00DC0272" w:rsidP="003C6E60">
            <w:pPr>
              <w:jc w:val="right"/>
              <w:rPr>
                <w:sz w:val="16"/>
                <w:szCs w:val="16"/>
              </w:rPr>
            </w:pPr>
            <w:r w:rsidRPr="00A515B4">
              <w:rPr>
                <w:sz w:val="16"/>
                <w:szCs w:val="16"/>
              </w:rPr>
              <w:t>96.77</w:t>
            </w:r>
          </w:p>
        </w:tc>
      </w:tr>
      <w:tr w:rsidR="00DC0272" w:rsidRPr="00A515B4" w14:paraId="53C424CA" w14:textId="77777777" w:rsidTr="00EA696E">
        <w:trPr>
          <w:trHeight w:val="255"/>
          <w:jc w:val="center"/>
        </w:trPr>
        <w:tc>
          <w:tcPr>
            <w:tcW w:w="2639" w:type="pct"/>
            <w:tcBorders>
              <w:top w:val="single" w:sz="4" w:space="0" w:color="auto"/>
              <w:left w:val="single" w:sz="4" w:space="0" w:color="auto"/>
              <w:bottom w:val="single" w:sz="4" w:space="0" w:color="auto"/>
              <w:right w:val="single" w:sz="4" w:space="0" w:color="auto"/>
            </w:tcBorders>
            <w:vAlign w:val="center"/>
          </w:tcPr>
          <w:p w14:paraId="63DFE5CF" w14:textId="77777777" w:rsidR="00DC0272" w:rsidRPr="00A515B4" w:rsidRDefault="00DC0272" w:rsidP="003C6E60">
            <w:pPr>
              <w:jc w:val="both"/>
              <w:rPr>
                <w:color w:val="000000" w:themeColor="text1"/>
                <w:sz w:val="18"/>
                <w:szCs w:val="18"/>
              </w:rPr>
            </w:pPr>
            <w:r w:rsidRPr="00A515B4">
              <w:rPr>
                <w:sz w:val="16"/>
                <w:szCs w:val="16"/>
              </w:rPr>
              <w:t>Осигуряване на пълноценно обслужване на потребителите на ИСУН2020 от “</w:t>
            </w:r>
            <w:proofErr w:type="spellStart"/>
            <w:r w:rsidRPr="00A515B4">
              <w:rPr>
                <w:sz w:val="16"/>
                <w:szCs w:val="16"/>
              </w:rPr>
              <w:t>help-desk</w:t>
            </w:r>
            <w:proofErr w:type="spellEnd"/>
            <w:r w:rsidRPr="00A515B4">
              <w:rPr>
                <w:sz w:val="16"/>
                <w:szCs w:val="16"/>
              </w:rPr>
              <w:t>” на системата: успешно приключени заявки</w:t>
            </w:r>
          </w:p>
        </w:tc>
        <w:tc>
          <w:tcPr>
            <w:tcW w:w="1561" w:type="pct"/>
            <w:gridSpan w:val="3"/>
            <w:tcBorders>
              <w:top w:val="single" w:sz="4" w:space="0" w:color="auto"/>
              <w:left w:val="nil"/>
              <w:bottom w:val="single" w:sz="4" w:space="0" w:color="auto"/>
              <w:right w:val="single" w:sz="4" w:space="0" w:color="auto"/>
            </w:tcBorders>
            <w:vAlign w:val="center"/>
          </w:tcPr>
          <w:p w14:paraId="1F802B04" w14:textId="77777777" w:rsidR="00DC0272" w:rsidRPr="00A515B4" w:rsidRDefault="00DC0272" w:rsidP="003C6E60">
            <w:pPr>
              <w:jc w:val="both"/>
              <w:rPr>
                <w:sz w:val="18"/>
                <w:szCs w:val="18"/>
              </w:rPr>
            </w:pPr>
            <w:r w:rsidRPr="00A515B4">
              <w:rPr>
                <w:sz w:val="16"/>
                <w:szCs w:val="16"/>
              </w:rPr>
              <w:t>%</w:t>
            </w:r>
          </w:p>
        </w:tc>
        <w:tc>
          <w:tcPr>
            <w:tcW w:w="422" w:type="pct"/>
            <w:tcBorders>
              <w:top w:val="single" w:sz="4" w:space="0" w:color="auto"/>
              <w:left w:val="nil"/>
              <w:bottom w:val="single" w:sz="4" w:space="0" w:color="auto"/>
              <w:right w:val="single" w:sz="4" w:space="0" w:color="auto"/>
            </w:tcBorders>
            <w:vAlign w:val="center"/>
          </w:tcPr>
          <w:p w14:paraId="12FEF2C0" w14:textId="77777777" w:rsidR="00DC0272" w:rsidRPr="00A515B4" w:rsidRDefault="00DC0272" w:rsidP="003C6E60">
            <w:pPr>
              <w:jc w:val="right"/>
              <w:rPr>
                <w:color w:val="000000" w:themeColor="text1"/>
                <w:sz w:val="16"/>
                <w:szCs w:val="16"/>
              </w:rPr>
            </w:pPr>
            <w:r w:rsidRPr="00A515B4">
              <w:rPr>
                <w:sz w:val="16"/>
                <w:szCs w:val="16"/>
              </w:rPr>
              <w:t>96</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36F5D" w14:textId="77777777" w:rsidR="00DC0272" w:rsidRPr="00A515B4" w:rsidRDefault="00DC0272" w:rsidP="003C6E60">
            <w:pPr>
              <w:jc w:val="right"/>
              <w:rPr>
                <w:sz w:val="16"/>
                <w:szCs w:val="16"/>
              </w:rPr>
            </w:pPr>
            <w:r w:rsidRPr="00A515B4">
              <w:rPr>
                <w:sz w:val="16"/>
                <w:szCs w:val="16"/>
              </w:rPr>
              <w:t>95.14</w:t>
            </w:r>
          </w:p>
        </w:tc>
      </w:tr>
      <w:tr w:rsidR="00DC0272" w:rsidRPr="00A515B4" w14:paraId="573A71EE" w14:textId="77777777" w:rsidTr="00EA696E">
        <w:trPr>
          <w:trHeight w:val="255"/>
          <w:jc w:val="center"/>
        </w:trPr>
        <w:tc>
          <w:tcPr>
            <w:tcW w:w="2639" w:type="pct"/>
            <w:tcBorders>
              <w:top w:val="single" w:sz="4" w:space="0" w:color="auto"/>
              <w:left w:val="single" w:sz="4" w:space="0" w:color="auto"/>
              <w:bottom w:val="single" w:sz="4" w:space="0" w:color="auto"/>
              <w:right w:val="single" w:sz="4" w:space="0" w:color="auto"/>
            </w:tcBorders>
            <w:vAlign w:val="center"/>
          </w:tcPr>
          <w:p w14:paraId="26C449B4" w14:textId="77777777" w:rsidR="00DC0272" w:rsidRPr="00A515B4" w:rsidRDefault="00DC0272" w:rsidP="003C6E60">
            <w:pPr>
              <w:jc w:val="both"/>
              <w:rPr>
                <w:color w:val="000000" w:themeColor="text1"/>
                <w:sz w:val="18"/>
                <w:szCs w:val="18"/>
              </w:rPr>
            </w:pPr>
            <w:r w:rsidRPr="00A515B4">
              <w:rPr>
                <w:sz w:val="16"/>
                <w:szCs w:val="16"/>
              </w:rPr>
              <w:t xml:space="preserve">Удовлетвореност на потребителите на ИСУН2020 от работата на “Help </w:t>
            </w:r>
            <w:proofErr w:type="spellStart"/>
            <w:r w:rsidRPr="00A515B4">
              <w:rPr>
                <w:sz w:val="16"/>
                <w:szCs w:val="16"/>
              </w:rPr>
              <w:t>desk</w:t>
            </w:r>
            <w:proofErr w:type="spellEnd"/>
            <w:r w:rsidRPr="00A515B4">
              <w:rPr>
                <w:sz w:val="16"/>
                <w:szCs w:val="16"/>
              </w:rPr>
              <w:t>” звеното</w:t>
            </w:r>
          </w:p>
        </w:tc>
        <w:tc>
          <w:tcPr>
            <w:tcW w:w="1561" w:type="pct"/>
            <w:gridSpan w:val="3"/>
            <w:tcBorders>
              <w:top w:val="single" w:sz="4" w:space="0" w:color="auto"/>
              <w:left w:val="nil"/>
              <w:bottom w:val="single" w:sz="4" w:space="0" w:color="auto"/>
              <w:right w:val="single" w:sz="4" w:space="0" w:color="auto"/>
            </w:tcBorders>
            <w:vAlign w:val="center"/>
          </w:tcPr>
          <w:p w14:paraId="534C3C95" w14:textId="77777777" w:rsidR="00DC0272" w:rsidRPr="00A515B4" w:rsidRDefault="00DC0272" w:rsidP="003C6E60">
            <w:pPr>
              <w:jc w:val="both"/>
              <w:rPr>
                <w:sz w:val="18"/>
                <w:szCs w:val="18"/>
              </w:rPr>
            </w:pPr>
            <w:r w:rsidRPr="00A515B4">
              <w:rPr>
                <w:sz w:val="16"/>
                <w:szCs w:val="16"/>
              </w:rPr>
              <w:t>%</w:t>
            </w:r>
          </w:p>
        </w:tc>
        <w:tc>
          <w:tcPr>
            <w:tcW w:w="422" w:type="pct"/>
            <w:tcBorders>
              <w:top w:val="single" w:sz="4" w:space="0" w:color="auto"/>
              <w:left w:val="nil"/>
              <w:bottom w:val="single" w:sz="4" w:space="0" w:color="auto"/>
              <w:right w:val="single" w:sz="4" w:space="0" w:color="auto"/>
            </w:tcBorders>
            <w:vAlign w:val="center"/>
          </w:tcPr>
          <w:p w14:paraId="2EBCF0D4" w14:textId="77777777" w:rsidR="00DC0272" w:rsidRPr="00A515B4" w:rsidRDefault="00DC0272" w:rsidP="003C6E60">
            <w:pPr>
              <w:jc w:val="right"/>
              <w:rPr>
                <w:color w:val="000000" w:themeColor="text1"/>
                <w:sz w:val="16"/>
                <w:szCs w:val="16"/>
              </w:rPr>
            </w:pPr>
            <w:r w:rsidRPr="00A515B4">
              <w:rPr>
                <w:sz w:val="16"/>
                <w:szCs w:val="16"/>
              </w:rPr>
              <w:t>83</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FC08C" w14:textId="77777777" w:rsidR="00DC0272" w:rsidRPr="00A515B4" w:rsidRDefault="00DC0272" w:rsidP="003C6E60">
            <w:pPr>
              <w:jc w:val="right"/>
              <w:rPr>
                <w:sz w:val="16"/>
                <w:szCs w:val="16"/>
              </w:rPr>
            </w:pPr>
            <w:r w:rsidRPr="00A515B4">
              <w:rPr>
                <w:sz w:val="16"/>
                <w:szCs w:val="16"/>
              </w:rPr>
              <w:t>99.17</w:t>
            </w:r>
          </w:p>
        </w:tc>
      </w:tr>
      <w:tr w:rsidR="00DC0272" w:rsidRPr="00A515B4" w14:paraId="23888727" w14:textId="77777777" w:rsidTr="00FF4E77">
        <w:trPr>
          <w:trHeight w:val="255"/>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CC99"/>
          </w:tcPr>
          <w:p w14:paraId="7831A4B4" w14:textId="77777777" w:rsidR="00DC0272" w:rsidRPr="00A515B4" w:rsidRDefault="00DC0272" w:rsidP="003C6E60">
            <w:pPr>
              <w:jc w:val="both"/>
              <w:rPr>
                <w:sz w:val="16"/>
                <w:szCs w:val="16"/>
              </w:rPr>
            </w:pPr>
            <w:r w:rsidRPr="00A515B4">
              <w:rPr>
                <w:i/>
                <w:iCs/>
                <w:sz w:val="16"/>
                <w:szCs w:val="16"/>
              </w:rPr>
              <w:t>Ползи/ефекти:</w:t>
            </w:r>
            <w:r w:rsidRPr="00A515B4">
              <w:rPr>
                <w:sz w:val="16"/>
                <w:szCs w:val="16"/>
              </w:rPr>
              <w:t xml:space="preserve"> НАЛИЧИЕ </w:t>
            </w:r>
            <w:r w:rsidRPr="00A515B4">
              <w:rPr>
                <w:iCs/>
                <w:sz w:val="16"/>
                <w:szCs w:val="16"/>
              </w:rPr>
              <w:t>НА НАВРЕМЕННА, НАДЕЖДНА И ТОЧНА ИНФОРМАЦИЯ ЗА ЕСИФ, ЕФСУ, НПВУ,</w:t>
            </w:r>
            <w:r w:rsidRPr="00A515B4">
              <w:rPr>
                <w:color w:val="000000"/>
                <w:sz w:val="16"/>
                <w:szCs w:val="16"/>
              </w:rPr>
              <w:t xml:space="preserve"> ФМ НА ЕИП И НФМ и ШПБС в България</w:t>
            </w:r>
          </w:p>
        </w:tc>
      </w:tr>
      <w:tr w:rsidR="00DC0272" w:rsidRPr="00A515B4" w14:paraId="14590824" w14:textId="77777777" w:rsidTr="00FF4E77">
        <w:trPr>
          <w:trHeight w:val="255"/>
          <w:jc w:val="center"/>
        </w:trPr>
        <w:tc>
          <w:tcPr>
            <w:tcW w:w="2639" w:type="pct"/>
            <w:tcBorders>
              <w:top w:val="single" w:sz="4" w:space="0" w:color="auto"/>
              <w:left w:val="single" w:sz="4" w:space="0" w:color="auto"/>
              <w:bottom w:val="single" w:sz="4" w:space="0" w:color="auto"/>
              <w:right w:val="single" w:sz="4" w:space="0" w:color="auto"/>
            </w:tcBorders>
            <w:shd w:val="clear" w:color="auto" w:fill="FFCC99"/>
            <w:vAlign w:val="center"/>
          </w:tcPr>
          <w:p w14:paraId="47B59D16" w14:textId="77777777" w:rsidR="00DC0272" w:rsidRPr="00A515B4" w:rsidRDefault="00DC0272" w:rsidP="003C6E60">
            <w:pPr>
              <w:jc w:val="center"/>
              <w:rPr>
                <w:sz w:val="16"/>
                <w:szCs w:val="16"/>
              </w:rPr>
            </w:pPr>
            <w:r w:rsidRPr="00A515B4">
              <w:rPr>
                <w:b/>
                <w:bCs/>
                <w:sz w:val="16"/>
                <w:szCs w:val="16"/>
              </w:rPr>
              <w:t>Показатели за полза/ефект</w:t>
            </w:r>
          </w:p>
        </w:tc>
        <w:tc>
          <w:tcPr>
            <w:tcW w:w="1561" w:type="pct"/>
            <w:gridSpan w:val="3"/>
            <w:tcBorders>
              <w:top w:val="single" w:sz="4" w:space="0" w:color="auto"/>
              <w:left w:val="nil"/>
              <w:bottom w:val="single" w:sz="4" w:space="0" w:color="auto"/>
              <w:right w:val="single" w:sz="4" w:space="0" w:color="auto"/>
            </w:tcBorders>
            <w:shd w:val="clear" w:color="auto" w:fill="FFCC99"/>
            <w:vAlign w:val="center"/>
          </w:tcPr>
          <w:p w14:paraId="1D583E7E" w14:textId="77777777" w:rsidR="00DC0272" w:rsidRPr="00A515B4" w:rsidRDefault="00DC0272" w:rsidP="003C6E60">
            <w:pPr>
              <w:jc w:val="both"/>
              <w:rPr>
                <w:sz w:val="16"/>
                <w:szCs w:val="16"/>
              </w:rPr>
            </w:pPr>
            <w:r w:rsidRPr="00A515B4">
              <w:rPr>
                <w:b/>
                <w:bCs/>
                <w:sz w:val="16"/>
                <w:szCs w:val="16"/>
              </w:rPr>
              <w:t>Мерна единица</w:t>
            </w:r>
          </w:p>
        </w:tc>
        <w:tc>
          <w:tcPr>
            <w:tcW w:w="422" w:type="pct"/>
            <w:tcBorders>
              <w:top w:val="single" w:sz="4" w:space="0" w:color="auto"/>
              <w:left w:val="nil"/>
              <w:bottom w:val="single" w:sz="4" w:space="0" w:color="auto"/>
              <w:right w:val="single" w:sz="4" w:space="0" w:color="auto"/>
            </w:tcBorders>
            <w:shd w:val="clear" w:color="auto" w:fill="FFCC99"/>
            <w:vAlign w:val="center"/>
          </w:tcPr>
          <w:p w14:paraId="5D623805" w14:textId="77777777" w:rsidR="00DC0272" w:rsidRPr="00A515B4" w:rsidRDefault="00DC0272" w:rsidP="003C6E60">
            <w:pPr>
              <w:jc w:val="center"/>
              <w:rPr>
                <w:b/>
                <w:bCs/>
                <w:iCs/>
                <w:sz w:val="16"/>
                <w:szCs w:val="16"/>
              </w:rPr>
            </w:pPr>
            <w:r w:rsidRPr="00A515B4">
              <w:rPr>
                <w:b/>
                <w:bCs/>
                <w:iCs/>
                <w:sz w:val="16"/>
                <w:szCs w:val="16"/>
              </w:rPr>
              <w:t>Целева стойност</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1C0C0643" w14:textId="77777777" w:rsidR="00DC0272" w:rsidRPr="00A515B4" w:rsidRDefault="00DC0272" w:rsidP="003C6E60">
            <w:pPr>
              <w:jc w:val="center"/>
              <w:rPr>
                <w:sz w:val="16"/>
                <w:szCs w:val="16"/>
              </w:rPr>
            </w:pPr>
            <w:r w:rsidRPr="00A515B4">
              <w:rPr>
                <w:b/>
                <w:bCs/>
                <w:iCs/>
                <w:sz w:val="16"/>
                <w:szCs w:val="16"/>
              </w:rPr>
              <w:t>Отчет</w:t>
            </w:r>
          </w:p>
        </w:tc>
      </w:tr>
      <w:tr w:rsidR="00DC0272" w:rsidRPr="00A515B4" w14:paraId="40E88C21" w14:textId="77777777" w:rsidTr="00EA696E">
        <w:trPr>
          <w:trHeight w:val="255"/>
          <w:jc w:val="center"/>
        </w:trPr>
        <w:tc>
          <w:tcPr>
            <w:tcW w:w="2639" w:type="pct"/>
            <w:tcBorders>
              <w:top w:val="single" w:sz="4" w:space="0" w:color="auto"/>
              <w:left w:val="single" w:sz="4" w:space="0" w:color="auto"/>
              <w:bottom w:val="single" w:sz="4" w:space="0" w:color="auto"/>
              <w:right w:val="single" w:sz="4" w:space="0" w:color="auto"/>
            </w:tcBorders>
            <w:vAlign w:val="center"/>
          </w:tcPr>
          <w:p w14:paraId="369A11B7" w14:textId="77777777" w:rsidR="00DC0272" w:rsidRPr="00A515B4" w:rsidRDefault="00DC0272" w:rsidP="003C6E60">
            <w:pPr>
              <w:jc w:val="both"/>
              <w:rPr>
                <w:color w:val="000000" w:themeColor="text1"/>
                <w:sz w:val="18"/>
                <w:szCs w:val="18"/>
              </w:rPr>
            </w:pPr>
            <w:r w:rsidRPr="00A515B4">
              <w:rPr>
                <w:iCs/>
                <w:sz w:val="16"/>
                <w:szCs w:val="16"/>
              </w:rPr>
              <w:lastRenderedPageBreak/>
              <w:t>Осигуряване функционирането на Единния информационен портал за средствата от ЕС</w:t>
            </w:r>
          </w:p>
        </w:tc>
        <w:tc>
          <w:tcPr>
            <w:tcW w:w="1561" w:type="pct"/>
            <w:gridSpan w:val="3"/>
            <w:tcBorders>
              <w:top w:val="single" w:sz="4" w:space="0" w:color="auto"/>
              <w:left w:val="nil"/>
              <w:bottom w:val="single" w:sz="4" w:space="0" w:color="auto"/>
              <w:right w:val="single" w:sz="4" w:space="0" w:color="auto"/>
            </w:tcBorders>
            <w:vAlign w:val="center"/>
          </w:tcPr>
          <w:p w14:paraId="4FA65BA4" w14:textId="77777777" w:rsidR="00DC0272" w:rsidRPr="00A515B4" w:rsidRDefault="00DC0272" w:rsidP="003C6E60">
            <w:pPr>
              <w:jc w:val="both"/>
              <w:rPr>
                <w:sz w:val="18"/>
                <w:szCs w:val="18"/>
              </w:rPr>
            </w:pPr>
            <w:r w:rsidRPr="00A515B4">
              <w:rPr>
                <w:sz w:val="16"/>
                <w:szCs w:val="16"/>
              </w:rPr>
              <w:t>Функциониращ Единен информационен портал</w:t>
            </w:r>
          </w:p>
        </w:tc>
        <w:tc>
          <w:tcPr>
            <w:tcW w:w="422" w:type="pct"/>
            <w:tcBorders>
              <w:top w:val="single" w:sz="4" w:space="0" w:color="auto"/>
              <w:left w:val="nil"/>
              <w:bottom w:val="single" w:sz="4" w:space="0" w:color="auto"/>
              <w:right w:val="single" w:sz="4" w:space="0" w:color="auto"/>
            </w:tcBorders>
            <w:vAlign w:val="center"/>
          </w:tcPr>
          <w:p w14:paraId="3C168B54" w14:textId="77777777" w:rsidR="00DC0272" w:rsidRPr="00A515B4" w:rsidRDefault="00DC0272" w:rsidP="003C6E60">
            <w:pPr>
              <w:jc w:val="right"/>
              <w:rPr>
                <w:color w:val="000000" w:themeColor="text1"/>
                <w:sz w:val="16"/>
                <w:szCs w:val="16"/>
              </w:rPr>
            </w:pPr>
            <w:r w:rsidRPr="00A515B4">
              <w:rPr>
                <w:sz w:val="16"/>
                <w:szCs w:val="16"/>
              </w:rPr>
              <w:t>1</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BECCF" w14:textId="77777777" w:rsidR="00DC0272" w:rsidRPr="00A515B4" w:rsidRDefault="00DC0272" w:rsidP="003C6E60">
            <w:pPr>
              <w:jc w:val="right"/>
              <w:rPr>
                <w:sz w:val="16"/>
                <w:szCs w:val="16"/>
              </w:rPr>
            </w:pPr>
            <w:r w:rsidRPr="00A515B4">
              <w:rPr>
                <w:sz w:val="16"/>
                <w:szCs w:val="16"/>
              </w:rPr>
              <w:t>1</w:t>
            </w:r>
          </w:p>
        </w:tc>
      </w:tr>
      <w:tr w:rsidR="00DC0272" w:rsidRPr="00A515B4" w14:paraId="69DCD2E1" w14:textId="77777777" w:rsidTr="00EA696E">
        <w:trPr>
          <w:trHeight w:val="255"/>
          <w:jc w:val="center"/>
        </w:trPr>
        <w:tc>
          <w:tcPr>
            <w:tcW w:w="2639" w:type="pct"/>
            <w:tcBorders>
              <w:top w:val="single" w:sz="4" w:space="0" w:color="auto"/>
              <w:left w:val="single" w:sz="4" w:space="0" w:color="auto"/>
              <w:bottom w:val="single" w:sz="4" w:space="0" w:color="auto"/>
              <w:right w:val="single" w:sz="4" w:space="0" w:color="auto"/>
            </w:tcBorders>
            <w:vAlign w:val="center"/>
          </w:tcPr>
          <w:p w14:paraId="34549A0B" w14:textId="77777777" w:rsidR="00DC0272" w:rsidRPr="00A515B4" w:rsidRDefault="00DC0272" w:rsidP="003C6E60">
            <w:pPr>
              <w:jc w:val="both"/>
              <w:rPr>
                <w:color w:val="000000" w:themeColor="text1"/>
                <w:sz w:val="18"/>
                <w:szCs w:val="18"/>
              </w:rPr>
            </w:pPr>
            <w:r w:rsidRPr="00A515B4">
              <w:rPr>
                <w:sz w:val="16"/>
                <w:szCs w:val="16"/>
              </w:rPr>
              <w:t>Изготвена стратегическа рамка за осъществяване на информационни и комуникационни дейности по отношение на НПВУ</w:t>
            </w:r>
          </w:p>
        </w:tc>
        <w:tc>
          <w:tcPr>
            <w:tcW w:w="1561" w:type="pct"/>
            <w:gridSpan w:val="3"/>
            <w:tcBorders>
              <w:top w:val="single" w:sz="4" w:space="0" w:color="auto"/>
              <w:left w:val="nil"/>
              <w:bottom w:val="single" w:sz="4" w:space="0" w:color="auto"/>
              <w:right w:val="single" w:sz="4" w:space="0" w:color="auto"/>
            </w:tcBorders>
            <w:vAlign w:val="center"/>
          </w:tcPr>
          <w:p w14:paraId="2CA6597C" w14:textId="77777777" w:rsidR="00DC0272" w:rsidRPr="00A515B4" w:rsidRDefault="00DC0272" w:rsidP="003C6E60">
            <w:pPr>
              <w:jc w:val="both"/>
              <w:rPr>
                <w:sz w:val="18"/>
                <w:szCs w:val="18"/>
              </w:rPr>
            </w:pPr>
            <w:r w:rsidRPr="00A515B4">
              <w:rPr>
                <w:sz w:val="16"/>
                <w:szCs w:val="16"/>
              </w:rPr>
              <w:t>Брой</w:t>
            </w:r>
          </w:p>
        </w:tc>
        <w:tc>
          <w:tcPr>
            <w:tcW w:w="422" w:type="pct"/>
            <w:tcBorders>
              <w:top w:val="single" w:sz="4" w:space="0" w:color="auto"/>
              <w:left w:val="nil"/>
              <w:bottom w:val="single" w:sz="4" w:space="0" w:color="auto"/>
              <w:right w:val="single" w:sz="4" w:space="0" w:color="auto"/>
            </w:tcBorders>
            <w:vAlign w:val="center"/>
          </w:tcPr>
          <w:p w14:paraId="04C3BA73" w14:textId="77777777" w:rsidR="00DC0272" w:rsidRPr="00A515B4" w:rsidRDefault="00DC0272" w:rsidP="003C6E60">
            <w:pPr>
              <w:jc w:val="right"/>
              <w:rPr>
                <w:color w:val="000000" w:themeColor="text1"/>
                <w:sz w:val="16"/>
                <w:szCs w:val="16"/>
              </w:rPr>
            </w:pPr>
            <w:r w:rsidRPr="00A515B4">
              <w:rPr>
                <w:sz w:val="16"/>
                <w:szCs w:val="16"/>
              </w:rPr>
              <w:t>1</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47D6E" w14:textId="77777777" w:rsidR="00DC0272" w:rsidRPr="00A515B4" w:rsidRDefault="00DC0272" w:rsidP="003C6E60">
            <w:pPr>
              <w:jc w:val="right"/>
              <w:rPr>
                <w:sz w:val="16"/>
                <w:szCs w:val="16"/>
              </w:rPr>
            </w:pPr>
            <w:r w:rsidRPr="00A515B4">
              <w:rPr>
                <w:sz w:val="16"/>
                <w:szCs w:val="16"/>
              </w:rPr>
              <w:t>1</w:t>
            </w:r>
          </w:p>
        </w:tc>
      </w:tr>
      <w:tr w:rsidR="00DC0272" w:rsidRPr="00A515B4" w14:paraId="33A263A9" w14:textId="77777777" w:rsidTr="00EA696E">
        <w:trPr>
          <w:trHeight w:val="255"/>
          <w:jc w:val="center"/>
        </w:trPr>
        <w:tc>
          <w:tcPr>
            <w:tcW w:w="2639" w:type="pct"/>
            <w:tcBorders>
              <w:top w:val="single" w:sz="4" w:space="0" w:color="auto"/>
              <w:left w:val="single" w:sz="4" w:space="0" w:color="auto"/>
              <w:bottom w:val="single" w:sz="4" w:space="0" w:color="auto"/>
              <w:right w:val="single" w:sz="4" w:space="0" w:color="auto"/>
            </w:tcBorders>
            <w:vAlign w:val="center"/>
          </w:tcPr>
          <w:p w14:paraId="5792ED7C" w14:textId="77777777" w:rsidR="00DC0272" w:rsidRPr="00A515B4" w:rsidRDefault="00DC0272" w:rsidP="003C6E60">
            <w:pPr>
              <w:jc w:val="both"/>
              <w:rPr>
                <w:color w:val="000000" w:themeColor="text1"/>
                <w:sz w:val="18"/>
                <w:szCs w:val="18"/>
              </w:rPr>
            </w:pPr>
            <w:r w:rsidRPr="00A515B4">
              <w:rPr>
                <w:iCs/>
                <w:sz w:val="16"/>
                <w:szCs w:val="16"/>
              </w:rPr>
              <w:t>Осигуряване на ефективна координация на Мрежата от областни информационни центрове</w:t>
            </w:r>
          </w:p>
        </w:tc>
        <w:tc>
          <w:tcPr>
            <w:tcW w:w="1561" w:type="pct"/>
            <w:gridSpan w:val="3"/>
            <w:tcBorders>
              <w:top w:val="single" w:sz="4" w:space="0" w:color="auto"/>
              <w:left w:val="nil"/>
              <w:bottom w:val="single" w:sz="4" w:space="0" w:color="auto"/>
              <w:right w:val="single" w:sz="4" w:space="0" w:color="auto"/>
            </w:tcBorders>
            <w:vAlign w:val="center"/>
          </w:tcPr>
          <w:p w14:paraId="3AAD8F87" w14:textId="77777777" w:rsidR="00DC0272" w:rsidRPr="00A515B4" w:rsidRDefault="00DC0272" w:rsidP="003C6E60">
            <w:pPr>
              <w:rPr>
                <w:i/>
                <w:sz w:val="16"/>
                <w:szCs w:val="16"/>
              </w:rPr>
            </w:pPr>
            <w:r w:rsidRPr="00A515B4">
              <w:rPr>
                <w:i/>
                <w:sz w:val="16"/>
                <w:szCs w:val="16"/>
              </w:rPr>
              <w:t>Качествен показател:</w:t>
            </w:r>
          </w:p>
          <w:p w14:paraId="2F6813F2" w14:textId="77777777" w:rsidR="00DC0272" w:rsidRPr="00A515B4" w:rsidRDefault="00DC0272" w:rsidP="003C6E60">
            <w:pPr>
              <w:jc w:val="both"/>
              <w:rPr>
                <w:sz w:val="18"/>
                <w:szCs w:val="18"/>
              </w:rPr>
            </w:pPr>
            <w:r w:rsidRPr="00A515B4">
              <w:rPr>
                <w:sz w:val="16"/>
                <w:szCs w:val="16"/>
              </w:rPr>
              <w:t>Ефективно функционираща Мрежа от Областни информационни центрове, предоставяща навременна</w:t>
            </w:r>
            <w:r w:rsidRPr="00A515B4">
              <w:rPr>
                <w:iCs/>
                <w:sz w:val="16"/>
                <w:szCs w:val="16"/>
              </w:rPr>
              <w:t>, надеждна и точна информация</w:t>
            </w:r>
          </w:p>
        </w:tc>
        <w:tc>
          <w:tcPr>
            <w:tcW w:w="422" w:type="pct"/>
            <w:tcBorders>
              <w:top w:val="single" w:sz="4" w:space="0" w:color="auto"/>
              <w:left w:val="nil"/>
              <w:bottom w:val="single" w:sz="4" w:space="0" w:color="auto"/>
              <w:right w:val="single" w:sz="4" w:space="0" w:color="auto"/>
            </w:tcBorders>
            <w:vAlign w:val="center"/>
          </w:tcPr>
          <w:p w14:paraId="46D205F4" w14:textId="77777777" w:rsidR="00DC0272" w:rsidRPr="00A515B4" w:rsidRDefault="00DC0272" w:rsidP="003C6E60">
            <w:pPr>
              <w:jc w:val="right"/>
              <w:rPr>
                <w:color w:val="000000" w:themeColor="text1"/>
                <w:sz w:val="16"/>
                <w:szCs w:val="16"/>
              </w:rPr>
            </w:pPr>
            <w:proofErr w:type="spellStart"/>
            <w:r w:rsidRPr="00A515B4">
              <w:rPr>
                <w:sz w:val="16"/>
                <w:szCs w:val="16"/>
              </w:rPr>
              <w:t>н.п</w:t>
            </w:r>
            <w:proofErr w:type="spellEnd"/>
            <w:r w:rsidRPr="00A515B4">
              <w:rPr>
                <w:sz w:val="16"/>
                <w:szCs w:val="16"/>
              </w:rPr>
              <w:t>.</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B2FB8" w14:textId="77777777" w:rsidR="00DC0272" w:rsidRPr="00A515B4" w:rsidRDefault="00DC0272" w:rsidP="003C6E60">
            <w:pPr>
              <w:jc w:val="right"/>
              <w:rPr>
                <w:sz w:val="16"/>
                <w:szCs w:val="16"/>
              </w:rPr>
            </w:pPr>
            <w:proofErr w:type="spellStart"/>
            <w:r w:rsidRPr="00A515B4">
              <w:rPr>
                <w:sz w:val="16"/>
                <w:szCs w:val="16"/>
              </w:rPr>
              <w:t>н.п</w:t>
            </w:r>
            <w:proofErr w:type="spellEnd"/>
            <w:r w:rsidRPr="00A515B4">
              <w:rPr>
                <w:sz w:val="16"/>
                <w:szCs w:val="16"/>
              </w:rPr>
              <w:t>.</w:t>
            </w:r>
          </w:p>
        </w:tc>
      </w:tr>
      <w:tr w:rsidR="00DC0272" w:rsidRPr="00A515B4" w14:paraId="4430D0FC" w14:textId="77777777" w:rsidTr="00EA696E">
        <w:trPr>
          <w:trHeight w:val="255"/>
          <w:jc w:val="center"/>
        </w:trPr>
        <w:tc>
          <w:tcPr>
            <w:tcW w:w="2639" w:type="pct"/>
            <w:tcBorders>
              <w:top w:val="single" w:sz="4" w:space="0" w:color="auto"/>
              <w:left w:val="single" w:sz="4" w:space="0" w:color="auto"/>
              <w:bottom w:val="single" w:sz="4" w:space="0" w:color="auto"/>
              <w:right w:val="single" w:sz="4" w:space="0" w:color="auto"/>
            </w:tcBorders>
            <w:vAlign w:val="center"/>
          </w:tcPr>
          <w:p w14:paraId="77D61E9D" w14:textId="77777777" w:rsidR="00DC0272" w:rsidRPr="00A515B4" w:rsidRDefault="00DC0272" w:rsidP="003C6E60">
            <w:pPr>
              <w:jc w:val="both"/>
              <w:rPr>
                <w:color w:val="000000" w:themeColor="text1"/>
                <w:sz w:val="18"/>
                <w:szCs w:val="18"/>
              </w:rPr>
            </w:pPr>
            <w:r w:rsidRPr="00A515B4">
              <w:rPr>
                <w:iCs/>
                <w:sz w:val="16"/>
                <w:szCs w:val="16"/>
              </w:rPr>
              <w:t>Осигуряване на прозрачност при управлението и изпълнението на ФМ на ЕИП и НФМ</w:t>
            </w:r>
          </w:p>
        </w:tc>
        <w:tc>
          <w:tcPr>
            <w:tcW w:w="1561" w:type="pct"/>
            <w:gridSpan w:val="3"/>
            <w:tcBorders>
              <w:top w:val="single" w:sz="4" w:space="0" w:color="auto"/>
              <w:left w:val="nil"/>
              <w:bottom w:val="single" w:sz="4" w:space="0" w:color="auto"/>
              <w:right w:val="single" w:sz="4" w:space="0" w:color="auto"/>
            </w:tcBorders>
            <w:vAlign w:val="center"/>
          </w:tcPr>
          <w:p w14:paraId="6C61642B" w14:textId="77777777" w:rsidR="00DC0272" w:rsidRPr="00A515B4" w:rsidRDefault="00DC0272" w:rsidP="003C6E60">
            <w:pPr>
              <w:jc w:val="both"/>
              <w:rPr>
                <w:sz w:val="18"/>
                <w:szCs w:val="18"/>
              </w:rPr>
            </w:pPr>
            <w:r w:rsidRPr="00A515B4">
              <w:rPr>
                <w:sz w:val="16"/>
                <w:szCs w:val="16"/>
              </w:rPr>
              <w:t xml:space="preserve">Функциониращ Интернет портал за всички програмни оператори по ФМ на ЕИП и НФМ </w:t>
            </w:r>
          </w:p>
        </w:tc>
        <w:tc>
          <w:tcPr>
            <w:tcW w:w="422" w:type="pct"/>
            <w:tcBorders>
              <w:top w:val="single" w:sz="4" w:space="0" w:color="auto"/>
              <w:left w:val="nil"/>
              <w:bottom w:val="single" w:sz="4" w:space="0" w:color="auto"/>
              <w:right w:val="single" w:sz="4" w:space="0" w:color="auto"/>
            </w:tcBorders>
            <w:vAlign w:val="center"/>
          </w:tcPr>
          <w:p w14:paraId="6F4CBEA1" w14:textId="77777777" w:rsidR="00DC0272" w:rsidRPr="00A515B4" w:rsidRDefault="00DC0272" w:rsidP="003C6E60">
            <w:pPr>
              <w:jc w:val="right"/>
              <w:rPr>
                <w:color w:val="000000" w:themeColor="text1"/>
                <w:sz w:val="16"/>
                <w:szCs w:val="16"/>
              </w:rPr>
            </w:pPr>
            <w:r w:rsidRPr="00A515B4">
              <w:rPr>
                <w:sz w:val="16"/>
                <w:szCs w:val="16"/>
              </w:rPr>
              <w:t>1</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A0DD0" w14:textId="77777777" w:rsidR="00DC0272" w:rsidRPr="00A515B4" w:rsidRDefault="00DC0272" w:rsidP="003C6E60">
            <w:pPr>
              <w:jc w:val="right"/>
              <w:rPr>
                <w:sz w:val="16"/>
                <w:szCs w:val="16"/>
              </w:rPr>
            </w:pPr>
            <w:r w:rsidRPr="00A515B4">
              <w:rPr>
                <w:sz w:val="16"/>
                <w:szCs w:val="16"/>
              </w:rPr>
              <w:t>1</w:t>
            </w:r>
          </w:p>
        </w:tc>
      </w:tr>
      <w:tr w:rsidR="00DC0272" w:rsidRPr="00A515B4" w14:paraId="05038688" w14:textId="77777777" w:rsidTr="00EA696E">
        <w:trPr>
          <w:trHeight w:val="255"/>
          <w:jc w:val="center"/>
        </w:trPr>
        <w:tc>
          <w:tcPr>
            <w:tcW w:w="2639" w:type="pct"/>
            <w:tcBorders>
              <w:top w:val="single" w:sz="4" w:space="0" w:color="auto"/>
              <w:left w:val="single" w:sz="4" w:space="0" w:color="auto"/>
              <w:bottom w:val="single" w:sz="4" w:space="0" w:color="auto"/>
              <w:right w:val="single" w:sz="4" w:space="0" w:color="auto"/>
            </w:tcBorders>
            <w:vAlign w:val="center"/>
          </w:tcPr>
          <w:p w14:paraId="1FCE2718" w14:textId="77777777" w:rsidR="00DC0272" w:rsidRPr="00A515B4" w:rsidRDefault="00DC0272" w:rsidP="003C6E60">
            <w:pPr>
              <w:jc w:val="both"/>
              <w:rPr>
                <w:color w:val="000000" w:themeColor="text1"/>
                <w:sz w:val="18"/>
                <w:szCs w:val="18"/>
              </w:rPr>
            </w:pPr>
            <w:r w:rsidRPr="00A515B4">
              <w:rPr>
                <w:iCs/>
                <w:sz w:val="16"/>
                <w:szCs w:val="16"/>
              </w:rPr>
              <w:t>Осигуряване на прозрачност при управлението и изпълнението на ШБПС</w:t>
            </w:r>
          </w:p>
        </w:tc>
        <w:tc>
          <w:tcPr>
            <w:tcW w:w="1561" w:type="pct"/>
            <w:gridSpan w:val="3"/>
            <w:tcBorders>
              <w:top w:val="single" w:sz="4" w:space="0" w:color="auto"/>
              <w:left w:val="nil"/>
              <w:bottom w:val="single" w:sz="4" w:space="0" w:color="auto"/>
              <w:right w:val="single" w:sz="4" w:space="0" w:color="auto"/>
            </w:tcBorders>
            <w:vAlign w:val="center"/>
          </w:tcPr>
          <w:p w14:paraId="42BE8B80" w14:textId="77777777" w:rsidR="00DC0272" w:rsidRPr="00A515B4" w:rsidRDefault="00DC0272" w:rsidP="003C6E60">
            <w:pPr>
              <w:jc w:val="both"/>
              <w:rPr>
                <w:sz w:val="18"/>
                <w:szCs w:val="18"/>
              </w:rPr>
            </w:pPr>
            <w:r w:rsidRPr="00A515B4">
              <w:rPr>
                <w:sz w:val="16"/>
                <w:szCs w:val="16"/>
              </w:rPr>
              <w:t>Функциониращ интернет портал</w:t>
            </w:r>
          </w:p>
        </w:tc>
        <w:tc>
          <w:tcPr>
            <w:tcW w:w="422" w:type="pct"/>
            <w:tcBorders>
              <w:top w:val="single" w:sz="4" w:space="0" w:color="auto"/>
              <w:left w:val="nil"/>
              <w:bottom w:val="single" w:sz="4" w:space="0" w:color="auto"/>
              <w:right w:val="single" w:sz="4" w:space="0" w:color="auto"/>
            </w:tcBorders>
            <w:vAlign w:val="center"/>
          </w:tcPr>
          <w:p w14:paraId="22FA87CA" w14:textId="77777777" w:rsidR="00DC0272" w:rsidRPr="00A515B4" w:rsidRDefault="00DC0272" w:rsidP="003C6E60">
            <w:pPr>
              <w:jc w:val="right"/>
              <w:rPr>
                <w:color w:val="000000" w:themeColor="text1"/>
                <w:sz w:val="16"/>
                <w:szCs w:val="16"/>
              </w:rPr>
            </w:pPr>
            <w:r w:rsidRPr="00A515B4">
              <w:rPr>
                <w:sz w:val="16"/>
                <w:szCs w:val="16"/>
              </w:rPr>
              <w:t>1</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82581" w14:textId="77777777" w:rsidR="00DC0272" w:rsidRPr="00A515B4" w:rsidRDefault="00DC0272" w:rsidP="003C6E60">
            <w:pPr>
              <w:jc w:val="right"/>
              <w:rPr>
                <w:sz w:val="16"/>
                <w:szCs w:val="16"/>
              </w:rPr>
            </w:pPr>
            <w:r w:rsidRPr="00A515B4">
              <w:rPr>
                <w:sz w:val="16"/>
                <w:szCs w:val="16"/>
              </w:rPr>
              <w:t>0</w:t>
            </w:r>
            <w:r w:rsidRPr="00A515B4">
              <w:rPr>
                <w:rStyle w:val="FootnoteReference"/>
                <w:sz w:val="16"/>
                <w:szCs w:val="16"/>
              </w:rPr>
              <w:footnoteReference w:id="14"/>
            </w:r>
          </w:p>
        </w:tc>
      </w:tr>
      <w:tr w:rsidR="00DC0272" w:rsidRPr="00080DAE" w14:paraId="6175E84F" w14:textId="77777777" w:rsidTr="00FF4E77">
        <w:trPr>
          <w:trHeight w:val="255"/>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CC99"/>
          </w:tcPr>
          <w:p w14:paraId="734CB984" w14:textId="77777777" w:rsidR="00DC0272" w:rsidRPr="00080DAE" w:rsidRDefault="00DC0272" w:rsidP="003C6E60">
            <w:pPr>
              <w:spacing w:before="120"/>
              <w:jc w:val="both"/>
              <w:rPr>
                <w:sz w:val="16"/>
                <w:szCs w:val="16"/>
              </w:rPr>
            </w:pPr>
            <w:r w:rsidRPr="00080DAE">
              <w:rPr>
                <w:i/>
                <w:iCs/>
                <w:sz w:val="16"/>
                <w:szCs w:val="16"/>
              </w:rPr>
              <w:t>Ползи/ефекти:</w:t>
            </w:r>
            <w:r w:rsidRPr="00080DAE">
              <w:rPr>
                <w:sz w:val="16"/>
                <w:szCs w:val="16"/>
              </w:rPr>
              <w:t xml:space="preserve"> ЕФЕКТИВНОТО И КООРДИНИРАНО ПРИЛАГАНЕ НА ПОЛИТИКАТА НА СБЛИЖАВАНЕ</w:t>
            </w:r>
            <w:r w:rsidRPr="00080DAE" w:rsidDel="00821A94">
              <w:rPr>
                <w:sz w:val="16"/>
                <w:szCs w:val="16"/>
              </w:rPr>
              <w:t xml:space="preserve"> </w:t>
            </w:r>
            <w:r w:rsidRPr="00080DAE">
              <w:rPr>
                <w:bCs/>
                <w:iCs/>
                <w:sz w:val="16"/>
                <w:szCs w:val="16"/>
              </w:rPr>
              <w:t xml:space="preserve">ПРЕЗ ПРОГРАМЕН ПЕРИОД </w:t>
            </w:r>
            <w:r w:rsidRPr="00080DAE">
              <w:rPr>
                <w:bCs/>
                <w:sz w:val="16"/>
                <w:szCs w:val="16"/>
              </w:rPr>
              <w:t>2021-2027 Г.</w:t>
            </w:r>
          </w:p>
        </w:tc>
      </w:tr>
      <w:tr w:rsidR="008F7718" w:rsidRPr="00080DAE" w14:paraId="2CF73CBA" w14:textId="77777777" w:rsidTr="00AA17C3">
        <w:trPr>
          <w:trHeight w:val="332"/>
          <w:jc w:val="center"/>
        </w:trPr>
        <w:tc>
          <w:tcPr>
            <w:tcW w:w="2654"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035E1337" w14:textId="77777777" w:rsidR="00DC0272" w:rsidRPr="00080DAE" w:rsidRDefault="00DC0272" w:rsidP="003C6E60">
            <w:pPr>
              <w:spacing w:before="120"/>
              <w:jc w:val="center"/>
              <w:rPr>
                <w:sz w:val="16"/>
                <w:szCs w:val="16"/>
              </w:rPr>
            </w:pPr>
            <w:r w:rsidRPr="00080DAE">
              <w:rPr>
                <w:b/>
                <w:bCs/>
                <w:sz w:val="16"/>
                <w:szCs w:val="16"/>
              </w:rPr>
              <w:t>Показатели за полза/ефект</w:t>
            </w:r>
          </w:p>
        </w:tc>
        <w:tc>
          <w:tcPr>
            <w:tcW w:w="1516" w:type="pct"/>
            <w:tcBorders>
              <w:top w:val="single" w:sz="4" w:space="0" w:color="auto"/>
              <w:left w:val="nil"/>
              <w:bottom w:val="single" w:sz="4" w:space="0" w:color="auto"/>
              <w:right w:val="single" w:sz="4" w:space="0" w:color="auto"/>
            </w:tcBorders>
            <w:shd w:val="clear" w:color="auto" w:fill="FFCC99"/>
            <w:vAlign w:val="center"/>
          </w:tcPr>
          <w:p w14:paraId="4B13E9C4" w14:textId="77777777" w:rsidR="00DC0272" w:rsidRPr="00080DAE" w:rsidRDefault="00DC0272" w:rsidP="003C6E60">
            <w:pPr>
              <w:spacing w:before="120"/>
              <w:jc w:val="both"/>
              <w:rPr>
                <w:sz w:val="16"/>
                <w:szCs w:val="16"/>
              </w:rPr>
            </w:pPr>
            <w:r w:rsidRPr="00080DAE">
              <w:rPr>
                <w:b/>
                <w:bCs/>
                <w:sz w:val="16"/>
                <w:szCs w:val="16"/>
              </w:rPr>
              <w:t>Мерна единица</w:t>
            </w:r>
          </w:p>
        </w:tc>
        <w:tc>
          <w:tcPr>
            <w:tcW w:w="457" w:type="pct"/>
            <w:gridSpan w:val="3"/>
            <w:tcBorders>
              <w:top w:val="single" w:sz="4" w:space="0" w:color="auto"/>
              <w:left w:val="nil"/>
              <w:bottom w:val="single" w:sz="4" w:space="0" w:color="auto"/>
              <w:right w:val="single" w:sz="4" w:space="0" w:color="auto"/>
            </w:tcBorders>
            <w:shd w:val="clear" w:color="auto" w:fill="FFCC99"/>
            <w:vAlign w:val="center"/>
          </w:tcPr>
          <w:p w14:paraId="55FBD44D" w14:textId="77777777" w:rsidR="00DC0272" w:rsidRPr="00080DAE" w:rsidRDefault="00DC0272" w:rsidP="003C6E60">
            <w:pPr>
              <w:spacing w:before="120"/>
              <w:jc w:val="center"/>
              <w:rPr>
                <w:b/>
                <w:bCs/>
                <w:iCs/>
                <w:sz w:val="16"/>
                <w:szCs w:val="16"/>
              </w:rPr>
            </w:pPr>
            <w:r w:rsidRPr="00080DAE">
              <w:rPr>
                <w:b/>
                <w:bCs/>
                <w:iCs/>
                <w:sz w:val="16"/>
                <w:szCs w:val="16"/>
              </w:rPr>
              <w:t>Целева стойност</w:t>
            </w:r>
          </w:p>
        </w:tc>
        <w:tc>
          <w:tcPr>
            <w:tcW w:w="373" w:type="pct"/>
            <w:tcBorders>
              <w:top w:val="single" w:sz="4" w:space="0" w:color="auto"/>
              <w:left w:val="single" w:sz="4" w:space="0" w:color="auto"/>
              <w:bottom w:val="single" w:sz="4" w:space="0" w:color="auto"/>
              <w:right w:val="single" w:sz="4" w:space="0" w:color="auto"/>
            </w:tcBorders>
            <w:shd w:val="clear" w:color="auto" w:fill="FFCC99"/>
            <w:vAlign w:val="center"/>
          </w:tcPr>
          <w:p w14:paraId="390C6E7B" w14:textId="77777777" w:rsidR="00DC0272" w:rsidRPr="00080DAE" w:rsidRDefault="00DC0272" w:rsidP="003C6E60">
            <w:pPr>
              <w:spacing w:before="120"/>
              <w:jc w:val="center"/>
              <w:rPr>
                <w:sz w:val="16"/>
                <w:szCs w:val="16"/>
              </w:rPr>
            </w:pPr>
            <w:r w:rsidRPr="00080DAE">
              <w:rPr>
                <w:b/>
                <w:bCs/>
                <w:iCs/>
                <w:sz w:val="16"/>
                <w:szCs w:val="16"/>
              </w:rPr>
              <w:t>Отчет</w:t>
            </w:r>
          </w:p>
        </w:tc>
      </w:tr>
      <w:tr w:rsidR="00FF7BB5" w:rsidRPr="00080DAE" w14:paraId="4BA8F94E" w14:textId="77777777" w:rsidTr="00AA17C3">
        <w:trPr>
          <w:trHeight w:val="537"/>
          <w:jc w:val="center"/>
        </w:trPr>
        <w:tc>
          <w:tcPr>
            <w:tcW w:w="2654" w:type="pct"/>
            <w:gridSpan w:val="2"/>
            <w:tcBorders>
              <w:top w:val="single" w:sz="4" w:space="0" w:color="auto"/>
              <w:left w:val="single" w:sz="4" w:space="0" w:color="auto"/>
              <w:bottom w:val="single" w:sz="4" w:space="0" w:color="auto"/>
              <w:right w:val="single" w:sz="4" w:space="0" w:color="auto"/>
            </w:tcBorders>
            <w:shd w:val="clear" w:color="auto" w:fill="auto"/>
          </w:tcPr>
          <w:p w14:paraId="23E16F75" w14:textId="77777777" w:rsidR="00DC0272" w:rsidRPr="00080DAE" w:rsidRDefault="00DC0272" w:rsidP="00AA17C3">
            <w:pPr>
              <w:jc w:val="both"/>
              <w:rPr>
                <w:color w:val="000000" w:themeColor="text1"/>
                <w:sz w:val="18"/>
                <w:szCs w:val="18"/>
              </w:rPr>
            </w:pPr>
            <w:r w:rsidRPr="00080DAE">
              <w:rPr>
                <w:color w:val="000000" w:themeColor="text1"/>
                <w:sz w:val="16"/>
                <w:szCs w:val="16"/>
              </w:rPr>
              <w:t>Брой органи/звена</w:t>
            </w:r>
            <w:r w:rsidRPr="00080DAE">
              <w:rPr>
                <w:color w:val="000000" w:themeColor="text1"/>
                <w:sz w:val="16"/>
                <w:szCs w:val="16"/>
                <w:vertAlign w:val="superscript"/>
              </w:rPr>
              <w:footnoteReference w:id="15"/>
            </w:r>
            <w:r w:rsidRPr="00080DAE">
              <w:rPr>
                <w:color w:val="000000" w:themeColor="text1"/>
                <w:sz w:val="16"/>
                <w:szCs w:val="16"/>
              </w:rPr>
              <w:t>, подкрепени по Програма „Техническа помощ“ за ефективното администриране и използване на фондовете в България във връзка с прилагането на политиката на сближаване на ЕС</w:t>
            </w:r>
          </w:p>
        </w:tc>
        <w:tc>
          <w:tcPr>
            <w:tcW w:w="1516" w:type="pct"/>
            <w:tcBorders>
              <w:top w:val="single" w:sz="4" w:space="0" w:color="auto"/>
              <w:left w:val="nil"/>
              <w:bottom w:val="single" w:sz="4" w:space="0" w:color="auto"/>
              <w:right w:val="single" w:sz="4" w:space="0" w:color="auto"/>
            </w:tcBorders>
            <w:shd w:val="clear" w:color="auto" w:fill="auto"/>
            <w:vAlign w:val="center"/>
          </w:tcPr>
          <w:p w14:paraId="1A7DA4B6" w14:textId="77777777" w:rsidR="00DC0272" w:rsidRPr="00080DAE" w:rsidRDefault="00DC0272" w:rsidP="00FF7BB5">
            <w:pPr>
              <w:spacing w:before="240"/>
              <w:jc w:val="both"/>
              <w:rPr>
                <w:sz w:val="18"/>
                <w:szCs w:val="18"/>
              </w:rPr>
            </w:pPr>
            <w:r w:rsidRPr="00080DAE">
              <w:rPr>
                <w:sz w:val="16"/>
                <w:szCs w:val="16"/>
              </w:rPr>
              <w:t>Брой</w:t>
            </w:r>
          </w:p>
        </w:tc>
        <w:tc>
          <w:tcPr>
            <w:tcW w:w="457" w:type="pct"/>
            <w:gridSpan w:val="3"/>
            <w:tcBorders>
              <w:top w:val="single" w:sz="4" w:space="0" w:color="auto"/>
              <w:left w:val="nil"/>
              <w:bottom w:val="single" w:sz="4" w:space="0" w:color="auto"/>
              <w:right w:val="single" w:sz="4" w:space="0" w:color="auto"/>
            </w:tcBorders>
            <w:vAlign w:val="center"/>
          </w:tcPr>
          <w:p w14:paraId="61249F59" w14:textId="77777777" w:rsidR="00DC0272" w:rsidRPr="00AC27C2" w:rsidRDefault="00DC0272" w:rsidP="00FF7BB5">
            <w:pPr>
              <w:spacing w:before="240"/>
              <w:jc w:val="right"/>
              <w:rPr>
                <w:sz w:val="16"/>
                <w:szCs w:val="16"/>
              </w:rPr>
            </w:pPr>
            <w:r w:rsidRPr="00080DAE">
              <w:rPr>
                <w:sz w:val="16"/>
                <w:szCs w:val="16"/>
              </w:rPr>
              <w:t>8</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2133D" w14:textId="77777777" w:rsidR="00DC0272" w:rsidRPr="00AC27C2" w:rsidRDefault="00DC0272" w:rsidP="00FF7BB5">
            <w:pPr>
              <w:spacing w:before="240"/>
              <w:jc w:val="right"/>
              <w:rPr>
                <w:sz w:val="16"/>
                <w:szCs w:val="16"/>
              </w:rPr>
            </w:pPr>
            <w:r w:rsidRPr="00080DAE">
              <w:rPr>
                <w:sz w:val="16"/>
                <w:szCs w:val="16"/>
              </w:rPr>
              <w:t>9</w:t>
            </w:r>
          </w:p>
        </w:tc>
      </w:tr>
    </w:tbl>
    <w:p w14:paraId="24B6C544" w14:textId="2D18FF56" w:rsidR="00FF7BB5" w:rsidRPr="00B70940" w:rsidRDefault="00FF7BB5" w:rsidP="00EA696E">
      <w:pPr>
        <w:widowControl w:val="0"/>
        <w:shd w:val="clear" w:color="auto" w:fill="FFFFFF" w:themeFill="background1"/>
        <w:tabs>
          <w:tab w:val="num" w:pos="426"/>
        </w:tabs>
        <w:spacing w:before="120"/>
        <w:ind w:firstLine="426"/>
        <w:jc w:val="both"/>
        <w:outlineLvl w:val="3"/>
        <w:rPr>
          <w:b/>
          <w:bCs/>
          <w:color w:val="215E99" w:themeColor="text2" w:themeTint="BF"/>
          <w:sz w:val="22"/>
          <w:szCs w:val="22"/>
          <w:lang w:eastAsia="en-US"/>
        </w:rPr>
      </w:pPr>
      <w:r w:rsidRPr="00B70940">
        <w:rPr>
          <w:b/>
          <w:bCs/>
          <w:color w:val="215E99" w:themeColor="text2" w:themeTint="BF"/>
          <w:sz w:val="22"/>
          <w:szCs w:val="22"/>
          <w:lang w:eastAsia="en-US"/>
        </w:rPr>
        <w:t>Кратко описание на показателите за полза/ефект</w:t>
      </w:r>
    </w:p>
    <w:p w14:paraId="12BA7555" w14:textId="16AF8A1E" w:rsidR="00FF7BB5" w:rsidRPr="00D600D7" w:rsidRDefault="00FF7BB5" w:rsidP="00EA696E">
      <w:pPr>
        <w:shd w:val="clear" w:color="auto" w:fill="FFFFFF" w:themeFill="background1"/>
        <w:ind w:firstLine="426"/>
        <w:jc w:val="both"/>
        <w:rPr>
          <w:sz w:val="22"/>
          <w:szCs w:val="22"/>
        </w:rPr>
      </w:pPr>
      <w:r w:rsidRPr="00D600D7">
        <w:rPr>
          <w:sz w:val="22"/>
          <w:szCs w:val="22"/>
        </w:rPr>
        <w:t>В рамките на отчетния период е осъществявана ефективна координация във връзка с осъществяване на процесите по приключване на програмен период 2014</w:t>
      </w:r>
      <w:r w:rsidR="00220548">
        <w:rPr>
          <w:sz w:val="22"/>
          <w:szCs w:val="22"/>
        </w:rPr>
        <w:t xml:space="preserve"> – </w:t>
      </w:r>
      <w:r w:rsidRPr="00D600D7">
        <w:rPr>
          <w:sz w:val="22"/>
          <w:szCs w:val="22"/>
        </w:rPr>
        <w:t>2020, ускоряване изпълнението на програмите за програмен период 2021</w:t>
      </w:r>
      <w:r w:rsidR="00220548">
        <w:rPr>
          <w:sz w:val="22"/>
          <w:szCs w:val="22"/>
        </w:rPr>
        <w:t xml:space="preserve"> – </w:t>
      </w:r>
      <w:r w:rsidRPr="00D600D7">
        <w:rPr>
          <w:sz w:val="22"/>
          <w:szCs w:val="22"/>
        </w:rPr>
        <w:t>2027 и стартиране на подготвителната фаза по преговорния процес за програмен период 2028</w:t>
      </w:r>
      <w:r w:rsidR="00220548">
        <w:rPr>
          <w:sz w:val="22"/>
          <w:szCs w:val="22"/>
        </w:rPr>
        <w:t xml:space="preserve"> – </w:t>
      </w:r>
      <w:r w:rsidRPr="00D600D7">
        <w:rPr>
          <w:sz w:val="22"/>
          <w:szCs w:val="22"/>
        </w:rPr>
        <w:t xml:space="preserve">2034 г. </w:t>
      </w:r>
    </w:p>
    <w:p w14:paraId="1633F721" w14:textId="77777777" w:rsidR="00FF7BB5" w:rsidRPr="00D600D7" w:rsidRDefault="00FF7BB5" w:rsidP="00EA696E">
      <w:pPr>
        <w:shd w:val="clear" w:color="auto" w:fill="FFFFFF" w:themeFill="background1"/>
        <w:ind w:firstLine="426"/>
        <w:jc w:val="both"/>
        <w:rPr>
          <w:sz w:val="22"/>
          <w:szCs w:val="22"/>
        </w:rPr>
      </w:pPr>
      <w:r w:rsidRPr="00D600D7">
        <w:rPr>
          <w:sz w:val="22"/>
          <w:szCs w:val="22"/>
        </w:rPr>
        <w:t>Целевата стойност за 2025 г. от 8 (осем) броя органи/звена подкрепени по ПТП за ефективното администриране и използване на фондовете в България във връзка с прилагането на политиката на сближаване на ЕС е изпълнена, като е предоставено финансиране на 9 органи/звена: УО на ПТП, ЦКЗ, ОО, СО, АОП, МВР (дирекция АФКОС, Министерство на околната среда и водите, МФ (Звено</w:t>
      </w:r>
      <w:r w:rsidRPr="00D600D7">
        <w:rPr>
          <w:sz w:val="22"/>
          <w:szCs w:val="22"/>
          <w:lang w:val="en-US"/>
        </w:rPr>
        <w:t xml:space="preserve"> </w:t>
      </w:r>
      <w:r w:rsidRPr="00D600D7">
        <w:rPr>
          <w:sz w:val="22"/>
          <w:szCs w:val="22"/>
        </w:rPr>
        <w:t xml:space="preserve">за държавни помощи) и Мрежата от 27 ОИЦ. </w:t>
      </w:r>
    </w:p>
    <w:p w14:paraId="629C57C5" w14:textId="6B6B7299" w:rsidR="00FF7BB5" w:rsidRPr="00D600D7" w:rsidRDefault="00FF7BB5" w:rsidP="00EA696E">
      <w:pPr>
        <w:shd w:val="clear" w:color="auto" w:fill="FFFFFF" w:themeFill="background1"/>
        <w:ind w:firstLine="567"/>
        <w:jc w:val="both"/>
        <w:rPr>
          <w:sz w:val="22"/>
          <w:szCs w:val="22"/>
        </w:rPr>
      </w:pPr>
      <w:r w:rsidRPr="00EA696E">
        <w:rPr>
          <w:sz w:val="22"/>
          <w:szCs w:val="22"/>
          <w:shd w:val="clear" w:color="auto" w:fill="FFFFFF" w:themeFill="background1"/>
        </w:rPr>
        <w:t>Във връзка с работата на РГ19 и координиране на българското участие в процеса на вземане на решения в ЕС в контекста на работната програма на Полското председателство на Съвета бяха</w:t>
      </w:r>
      <w:r w:rsidRPr="00D600D7">
        <w:rPr>
          <w:sz w:val="22"/>
          <w:szCs w:val="22"/>
        </w:rPr>
        <w:t xml:space="preserve"> проведени 13 заседания на подготвителния орган към Съвета – РГ „Структурни мерки и отдалечени региони“, 6 заседания на Комитета на постоянните представители към ЕК </w:t>
      </w:r>
      <w:r w:rsidRPr="00D600D7">
        <w:rPr>
          <w:sz w:val="22"/>
          <w:szCs w:val="22"/>
          <w:lang w:val="en-US"/>
        </w:rPr>
        <w:t>(</w:t>
      </w:r>
      <w:r w:rsidRPr="00D600D7">
        <w:rPr>
          <w:sz w:val="22"/>
          <w:szCs w:val="22"/>
        </w:rPr>
        <w:t>КОРЕПЕР2</w:t>
      </w:r>
      <w:r w:rsidRPr="00D600D7">
        <w:rPr>
          <w:sz w:val="22"/>
          <w:szCs w:val="22"/>
          <w:lang w:val="en-US"/>
        </w:rPr>
        <w:t>)</w:t>
      </w:r>
      <w:r w:rsidRPr="00D600D7">
        <w:rPr>
          <w:sz w:val="22"/>
          <w:szCs w:val="22"/>
        </w:rPr>
        <w:t>, 1 заседание на Съвета на министрите във формат „Кохезионна политика“ и 1 неформална среща на министрите от ЕС за кохезия, териториално и градско развитие, във връзка с които ЦКЗ подготви и осигури участието на Р. България, вкл. с представител на дирекцията. По законодателните досиетата за ревизията на правилата на Кохезионната политика с оглед адаптирането й в контекста на междинния преглед бяха изготвени, съгласувани, приети на СЕВ и комуникирани по реда на ПМС</w:t>
      </w:r>
      <w:r w:rsidR="00981E40">
        <w:rPr>
          <w:sz w:val="22"/>
          <w:szCs w:val="22"/>
        </w:rPr>
        <w:t xml:space="preserve"> № </w:t>
      </w:r>
      <w:r w:rsidRPr="00D600D7">
        <w:rPr>
          <w:sz w:val="22"/>
          <w:szCs w:val="22"/>
        </w:rPr>
        <w:t>85</w:t>
      </w:r>
      <w:r w:rsidR="00981E40">
        <w:rPr>
          <w:sz w:val="22"/>
          <w:szCs w:val="22"/>
        </w:rPr>
        <w:t xml:space="preserve"> от </w:t>
      </w:r>
      <w:r w:rsidR="00981E40">
        <w:rPr>
          <w:sz w:val="22"/>
          <w:szCs w:val="22"/>
        </w:rPr>
        <w:br/>
      </w:r>
      <w:r w:rsidRPr="00D600D7">
        <w:rPr>
          <w:sz w:val="22"/>
          <w:szCs w:val="22"/>
        </w:rPr>
        <w:t xml:space="preserve">2007 </w:t>
      </w:r>
      <w:r w:rsidR="00981E40">
        <w:rPr>
          <w:sz w:val="22"/>
          <w:szCs w:val="22"/>
        </w:rPr>
        <w:t xml:space="preserve">г. </w:t>
      </w:r>
      <w:r w:rsidRPr="00D600D7">
        <w:rPr>
          <w:sz w:val="22"/>
          <w:szCs w:val="22"/>
        </w:rPr>
        <w:t xml:space="preserve">рамкови позиции, а за целите на българското участие в отделните заседания на РГСМОР и КОРЕПЕР2 бяха предоставяни указания. Също така, в рамките на РГ19 бяха изготвени и изпратени за одобрение на СЕВ позиции за участие на България в заседанията на министрите от ЕС. В рамките на отчетния период се проведе и едно заседание на Експертната група към ЕК за Регламента относно общоприложимите разпоредби </w:t>
      </w:r>
      <w:r w:rsidRPr="00D600D7">
        <w:rPr>
          <w:sz w:val="22"/>
          <w:szCs w:val="22"/>
          <w:lang w:val="en-US"/>
        </w:rPr>
        <w:t>(</w:t>
      </w:r>
      <w:r w:rsidRPr="00D600D7">
        <w:rPr>
          <w:sz w:val="22"/>
          <w:szCs w:val="22"/>
        </w:rPr>
        <w:t>ЕГРОР</w:t>
      </w:r>
      <w:r w:rsidRPr="00D600D7">
        <w:rPr>
          <w:sz w:val="22"/>
          <w:szCs w:val="22"/>
          <w:lang w:val="en-US"/>
        </w:rPr>
        <w:t>)</w:t>
      </w:r>
      <w:r w:rsidRPr="00D600D7">
        <w:rPr>
          <w:sz w:val="22"/>
          <w:szCs w:val="22"/>
        </w:rPr>
        <w:t xml:space="preserve">, като ЦКЗ също така координира и осигури българско участие, вкл. от страна на съответните органи за управление и контрол на оперативни програми. </w:t>
      </w:r>
    </w:p>
    <w:p w14:paraId="5AEABBDF" w14:textId="6A3BD3DE" w:rsidR="002707EC" w:rsidRDefault="00FF7BB5" w:rsidP="00EA696E">
      <w:pPr>
        <w:shd w:val="clear" w:color="auto" w:fill="FFFFFF" w:themeFill="background1"/>
        <w:ind w:firstLine="425"/>
        <w:jc w:val="both"/>
        <w:rPr>
          <w:b/>
          <w:sz w:val="22"/>
          <w:szCs w:val="22"/>
          <w:u w:val="single"/>
          <w:lang w:val="en-US"/>
        </w:rPr>
      </w:pPr>
      <w:r w:rsidRPr="00D600D7">
        <w:rPr>
          <w:sz w:val="22"/>
          <w:szCs w:val="22"/>
        </w:rPr>
        <w:t xml:space="preserve">Архитектурата и параметрите на КП, като политика за регионално и териториално развитие в следващия програмен период </w:t>
      </w:r>
      <w:r w:rsidRPr="00D600D7">
        <w:rPr>
          <w:sz w:val="22"/>
          <w:szCs w:val="22"/>
          <w:lang w:val="en-US"/>
        </w:rPr>
        <w:t>(</w:t>
      </w:r>
      <w:r w:rsidRPr="00D600D7">
        <w:rPr>
          <w:sz w:val="22"/>
          <w:szCs w:val="22"/>
        </w:rPr>
        <w:t>КП 2027+</w:t>
      </w:r>
      <w:r w:rsidRPr="00D600D7">
        <w:rPr>
          <w:sz w:val="22"/>
          <w:szCs w:val="22"/>
          <w:lang w:val="en-US"/>
        </w:rPr>
        <w:t>)</w:t>
      </w:r>
      <w:r w:rsidRPr="00D600D7">
        <w:rPr>
          <w:sz w:val="22"/>
          <w:szCs w:val="22"/>
        </w:rPr>
        <w:t>,</w:t>
      </w:r>
      <w:r w:rsidRPr="00D600D7">
        <w:rPr>
          <w:sz w:val="22"/>
          <w:szCs w:val="22"/>
          <w:lang w:val="en-US"/>
        </w:rPr>
        <w:t xml:space="preserve"> </w:t>
      </w:r>
      <w:r w:rsidRPr="00D600D7">
        <w:rPr>
          <w:sz w:val="22"/>
          <w:szCs w:val="22"/>
        </w:rPr>
        <w:t xml:space="preserve">беше сред основните приоритети на институциите на ЕС, вкл. във връзка със Стратегическия дневен ред на ЕС и новите приоритети в областта на конкурентоспособността, отбранителни способности и сигурността, които бяха обсъдени от </w:t>
      </w:r>
      <w:r w:rsidRPr="00D600D7">
        <w:rPr>
          <w:sz w:val="22"/>
          <w:szCs w:val="22"/>
        </w:rPr>
        <w:lastRenderedPageBreak/>
        <w:t xml:space="preserve">европейските лидери. В рамките на отчетния период дебатът в РГСМОР придоби по-интензивен характер, което се отразява в изпълнение на индикаторите, отговарящо в основни линии на очакванията. Същевременно, предвид лекото закъснение, с което бе представен пакетът за Многогодишната финансова рамка </w:t>
      </w:r>
      <w:r w:rsidRPr="00D600D7">
        <w:rPr>
          <w:sz w:val="22"/>
          <w:szCs w:val="22"/>
          <w:lang w:val="en-US"/>
        </w:rPr>
        <w:t>(</w:t>
      </w:r>
      <w:r w:rsidRPr="00D600D7">
        <w:rPr>
          <w:sz w:val="22"/>
          <w:szCs w:val="22"/>
        </w:rPr>
        <w:t>МФР 2027+</w:t>
      </w:r>
      <w:r w:rsidRPr="00D600D7">
        <w:rPr>
          <w:sz w:val="22"/>
          <w:szCs w:val="22"/>
          <w:lang w:val="en-US"/>
        </w:rPr>
        <w:t>)</w:t>
      </w:r>
      <w:r w:rsidRPr="00D600D7">
        <w:rPr>
          <w:sz w:val="22"/>
          <w:szCs w:val="22"/>
        </w:rPr>
        <w:t xml:space="preserve"> – а именно през втората половина на м. юли </w:t>
      </w:r>
      <w:r w:rsidR="00D1408D">
        <w:rPr>
          <w:sz w:val="22"/>
          <w:szCs w:val="22"/>
        </w:rPr>
        <w:br/>
      </w:r>
      <w:r w:rsidRPr="00D600D7">
        <w:rPr>
          <w:sz w:val="22"/>
          <w:szCs w:val="22"/>
        </w:rPr>
        <w:t xml:space="preserve">2025 г., се очаква дебатът да се засили и задълбочи по време на Датското председателство </w:t>
      </w:r>
      <w:r w:rsidRPr="00D600D7">
        <w:rPr>
          <w:sz w:val="22"/>
          <w:szCs w:val="22"/>
          <w:lang w:val="en-US"/>
        </w:rPr>
        <w:t>(</w:t>
      </w:r>
      <w:r w:rsidRPr="00D600D7">
        <w:rPr>
          <w:sz w:val="22"/>
          <w:szCs w:val="22"/>
        </w:rPr>
        <w:t>юли</w:t>
      </w:r>
      <w:r w:rsidR="00D1408D">
        <w:rPr>
          <w:sz w:val="22"/>
          <w:szCs w:val="22"/>
        </w:rPr>
        <w:t xml:space="preserve"> – </w:t>
      </w:r>
      <w:r w:rsidRPr="00D600D7">
        <w:rPr>
          <w:sz w:val="22"/>
          <w:szCs w:val="22"/>
        </w:rPr>
        <w:t>декември 2025 г.</w:t>
      </w:r>
      <w:r w:rsidRPr="00D600D7">
        <w:rPr>
          <w:sz w:val="22"/>
          <w:szCs w:val="22"/>
          <w:lang w:val="en-US"/>
        </w:rPr>
        <w:t>)</w:t>
      </w:r>
      <w:r w:rsidRPr="00D600D7">
        <w:rPr>
          <w:sz w:val="22"/>
          <w:szCs w:val="22"/>
        </w:rPr>
        <w:t>.</w:t>
      </w:r>
    </w:p>
    <w:p w14:paraId="67031572" w14:textId="77777777" w:rsidR="00947ED2" w:rsidRPr="00EA696E" w:rsidRDefault="00947ED2" w:rsidP="00AA17C3">
      <w:pPr>
        <w:shd w:val="clear" w:color="auto" w:fill="FFFFFF" w:themeFill="background1"/>
        <w:ind w:firstLine="425"/>
        <w:jc w:val="both"/>
        <w:rPr>
          <w:b/>
          <w:color w:val="215E99" w:themeColor="text2" w:themeTint="BF"/>
          <w:sz w:val="22"/>
          <w:szCs w:val="22"/>
        </w:rPr>
      </w:pPr>
      <w:r w:rsidRPr="00EA696E">
        <w:rPr>
          <w:b/>
          <w:color w:val="215E99" w:themeColor="text2" w:themeTint="BF"/>
          <w:sz w:val="22"/>
          <w:szCs w:val="22"/>
        </w:rPr>
        <w:t xml:space="preserve">Други институции, допринесли за постигането на ползата/ефекта: </w:t>
      </w:r>
    </w:p>
    <w:p w14:paraId="7C5AA228" w14:textId="77777777" w:rsidR="00947ED2" w:rsidRPr="00A03FF6" w:rsidRDefault="00947ED2" w:rsidP="00AA17C3">
      <w:pPr>
        <w:shd w:val="clear" w:color="auto" w:fill="FFFFFF" w:themeFill="background1"/>
        <w:ind w:firstLine="426"/>
        <w:jc w:val="both"/>
        <w:rPr>
          <w:color w:val="000000" w:themeColor="text1"/>
          <w:sz w:val="22"/>
          <w:szCs w:val="22"/>
        </w:rPr>
      </w:pPr>
      <w:r w:rsidRPr="00A03FF6">
        <w:rPr>
          <w:color w:val="000000" w:themeColor="text1"/>
          <w:sz w:val="22"/>
          <w:szCs w:val="22"/>
        </w:rPr>
        <w:t xml:space="preserve">По отношение на показателите за изпълнение и постигнатите резултати, основен принос за постигането на </w:t>
      </w:r>
      <w:r w:rsidRPr="00A03FF6">
        <w:rPr>
          <w:sz w:val="22"/>
          <w:szCs w:val="22"/>
        </w:rPr>
        <w:t>посочените</w:t>
      </w:r>
      <w:r w:rsidRPr="00A03FF6">
        <w:rPr>
          <w:color w:val="000000" w:themeColor="text1"/>
          <w:sz w:val="22"/>
          <w:szCs w:val="22"/>
        </w:rPr>
        <w:t xml:space="preserve"> ползи и ефекти имат всички структури, участващи в процеса на управление на средствата от Европейския съюз. </w:t>
      </w:r>
    </w:p>
    <w:p w14:paraId="02D80C82" w14:textId="77777777" w:rsidR="00E4154D" w:rsidRPr="00EA696E" w:rsidRDefault="00E4154D" w:rsidP="00AA17C3">
      <w:pPr>
        <w:shd w:val="clear" w:color="auto" w:fill="FFFFFF" w:themeFill="background1"/>
        <w:ind w:firstLine="425"/>
        <w:jc w:val="both"/>
        <w:rPr>
          <w:b/>
          <w:color w:val="215E99" w:themeColor="text2" w:themeTint="BF"/>
          <w:sz w:val="22"/>
          <w:szCs w:val="22"/>
        </w:rPr>
      </w:pPr>
      <w:r w:rsidRPr="00EA696E">
        <w:rPr>
          <w:b/>
          <w:color w:val="215E99" w:themeColor="text2" w:themeTint="BF"/>
          <w:sz w:val="22"/>
          <w:szCs w:val="22"/>
        </w:rPr>
        <w:t>Източници на информацията за данните по показателите за полза/ефект:</w:t>
      </w:r>
    </w:p>
    <w:p w14:paraId="35647786" w14:textId="77777777" w:rsidR="00E4154D" w:rsidRPr="00A03FF6" w:rsidRDefault="00E4154D" w:rsidP="00AA17C3">
      <w:pPr>
        <w:shd w:val="clear" w:color="auto" w:fill="FFFFFF" w:themeFill="background1"/>
        <w:ind w:firstLine="426"/>
        <w:jc w:val="both"/>
        <w:rPr>
          <w:color w:val="000000" w:themeColor="text1"/>
          <w:sz w:val="22"/>
          <w:szCs w:val="22"/>
        </w:rPr>
      </w:pPr>
      <w:bookmarkStart w:id="8" w:name="_Hlk204865927"/>
      <w:r w:rsidRPr="00A03FF6">
        <w:rPr>
          <w:color w:val="000000" w:themeColor="text1"/>
          <w:sz w:val="22"/>
          <w:szCs w:val="22"/>
        </w:rPr>
        <w:t xml:space="preserve">Информационна система за управление и наблюдение на средствата от ЕС </w:t>
      </w:r>
      <w:bookmarkEnd w:id="8"/>
      <w:r w:rsidRPr="00A03FF6">
        <w:rPr>
          <w:color w:val="000000" w:themeColor="text1"/>
          <w:sz w:val="22"/>
          <w:szCs w:val="22"/>
        </w:rPr>
        <w:t>(ИСУН);</w:t>
      </w:r>
    </w:p>
    <w:p w14:paraId="6A4A0E2C" w14:textId="77777777" w:rsidR="00E4154D" w:rsidRPr="00A03FF6" w:rsidRDefault="00E4154D" w:rsidP="00AA17C3">
      <w:pPr>
        <w:shd w:val="clear" w:color="auto" w:fill="FFFFFF" w:themeFill="background1"/>
        <w:ind w:firstLine="426"/>
        <w:jc w:val="both"/>
        <w:rPr>
          <w:color w:val="000000" w:themeColor="text1"/>
          <w:sz w:val="22"/>
          <w:szCs w:val="22"/>
        </w:rPr>
      </w:pPr>
      <w:r w:rsidRPr="00A03FF6">
        <w:rPr>
          <w:color w:val="000000" w:themeColor="text1"/>
          <w:sz w:val="22"/>
          <w:szCs w:val="22"/>
        </w:rPr>
        <w:t>Електронна кореспонденция в рамките на РГ19, СЕВ и с ППРБЕС.</w:t>
      </w:r>
    </w:p>
    <w:p w14:paraId="62338A17" w14:textId="77777777" w:rsidR="00310D13" w:rsidRPr="00EA696E" w:rsidRDefault="00310D13" w:rsidP="00AA17C3">
      <w:pPr>
        <w:shd w:val="clear" w:color="auto" w:fill="FFFFFF" w:themeFill="background1"/>
        <w:ind w:firstLine="425"/>
        <w:jc w:val="both"/>
        <w:rPr>
          <w:b/>
          <w:color w:val="215E99" w:themeColor="text2" w:themeTint="BF"/>
          <w:sz w:val="22"/>
          <w:szCs w:val="22"/>
        </w:rPr>
      </w:pPr>
      <w:r w:rsidRPr="00EA696E">
        <w:rPr>
          <w:b/>
          <w:color w:val="215E99" w:themeColor="text2" w:themeTint="BF"/>
          <w:sz w:val="22"/>
          <w:szCs w:val="22"/>
        </w:rPr>
        <w:t>Отговорност за изпълнение на целите в съответната област на политика/функционална област</w:t>
      </w:r>
    </w:p>
    <w:p w14:paraId="6E4579A8" w14:textId="77777777" w:rsidR="00310D13" w:rsidRPr="00C14D13" w:rsidRDefault="00310D13" w:rsidP="00AA17C3">
      <w:pPr>
        <w:shd w:val="clear" w:color="auto" w:fill="FFFFFF" w:themeFill="background1"/>
        <w:ind w:firstLine="425"/>
        <w:jc w:val="both"/>
        <w:rPr>
          <w:color w:val="000000" w:themeColor="text1"/>
          <w:sz w:val="22"/>
          <w:szCs w:val="22"/>
        </w:rPr>
      </w:pPr>
      <w:r w:rsidRPr="00C14D13">
        <w:rPr>
          <w:color w:val="000000" w:themeColor="text1"/>
          <w:sz w:val="22"/>
          <w:szCs w:val="22"/>
        </w:rPr>
        <w:t>Председателят и членовете на програмния съвет на бюджетна програма 0300.02.01 „Координация при управление на средствата от ЕС”, съгласно Заповед № Р-116 от 03.06.2025 г.</w:t>
      </w:r>
    </w:p>
    <w:p w14:paraId="0DDE0EDB" w14:textId="77777777" w:rsidR="00310D13" w:rsidRPr="00EA696E" w:rsidRDefault="00310D13" w:rsidP="00AA17C3">
      <w:pPr>
        <w:shd w:val="clear" w:color="auto" w:fill="FFFFFF" w:themeFill="background1"/>
        <w:ind w:firstLine="425"/>
        <w:jc w:val="both"/>
        <w:rPr>
          <w:b/>
          <w:color w:val="215E99" w:themeColor="text2" w:themeTint="BF"/>
          <w:sz w:val="22"/>
          <w:szCs w:val="22"/>
        </w:rPr>
      </w:pPr>
      <w:r w:rsidRPr="00EA696E">
        <w:rPr>
          <w:b/>
          <w:color w:val="215E99" w:themeColor="text2" w:themeTint="BF"/>
          <w:sz w:val="22"/>
          <w:szCs w:val="22"/>
        </w:rPr>
        <w:t>Преглед на настъпили промени на нормативната уредба през отчетния период</w:t>
      </w:r>
    </w:p>
    <w:p w14:paraId="1AEC8D7A" w14:textId="77777777" w:rsidR="00310D13" w:rsidRPr="00C14D13" w:rsidRDefault="00310D13" w:rsidP="00AA17C3">
      <w:pPr>
        <w:shd w:val="clear" w:color="auto" w:fill="FFFFFF" w:themeFill="background1"/>
        <w:ind w:firstLine="425"/>
        <w:jc w:val="both"/>
        <w:rPr>
          <w:color w:val="000000" w:themeColor="text1"/>
          <w:sz w:val="22"/>
          <w:szCs w:val="22"/>
        </w:rPr>
      </w:pPr>
      <w:r w:rsidRPr="00310D13">
        <w:rPr>
          <w:color w:val="000000" w:themeColor="text1"/>
          <w:sz w:val="22"/>
          <w:szCs w:val="22"/>
        </w:rPr>
        <w:t>През отчетния период не са настъпили промени в нормативната уредба в областта</w:t>
      </w:r>
      <w:r w:rsidRPr="00C14D13">
        <w:rPr>
          <w:color w:val="000000" w:themeColor="text1"/>
          <w:sz w:val="22"/>
          <w:szCs w:val="22"/>
        </w:rPr>
        <w:t xml:space="preserve"> на управлението на средствата от Европейския съюз. </w:t>
      </w:r>
    </w:p>
    <w:p w14:paraId="1DF07405" w14:textId="3A169F14" w:rsidR="005418F2" w:rsidRPr="00DF2E5C" w:rsidRDefault="00310D13" w:rsidP="00EA696E">
      <w:pPr>
        <w:shd w:val="clear" w:color="auto" w:fill="FFFFFF" w:themeFill="background1"/>
        <w:spacing w:after="240"/>
        <w:ind w:firstLine="425"/>
        <w:jc w:val="both"/>
        <w:rPr>
          <w:bCs/>
          <w:color w:val="000000"/>
          <w:sz w:val="22"/>
          <w:szCs w:val="22"/>
        </w:rPr>
      </w:pPr>
      <w:r w:rsidRPr="00AA1C78">
        <w:rPr>
          <w:bCs/>
          <w:color w:val="000000"/>
          <w:sz w:val="22"/>
          <w:szCs w:val="22"/>
        </w:rPr>
        <w:t>Отчетната информация за приноса на дирекция „Централно координационно звено“ и дирекция „Добро управление“ към постигане целите на Политиката в областта на управлението на средствата от ЕС е изготвена съобразно планираните дейности и очакваните ползи/ефекти, продукти и резултати, заложени в бюджета на Министерския съвет за 2025 г.</w:t>
      </w:r>
    </w:p>
    <w:p w14:paraId="5EEDAF8A" w14:textId="77777777" w:rsidR="005451F4" w:rsidRPr="00667B09" w:rsidRDefault="00B54701" w:rsidP="00FE5CDF">
      <w:pPr>
        <w:pStyle w:val="Heading1"/>
      </w:pPr>
      <w:bookmarkStart w:id="9" w:name="_Toc239159340"/>
      <w:r w:rsidRPr="00667B09">
        <w:t>6</w:t>
      </w:r>
      <w:r w:rsidR="000E51FB" w:rsidRPr="00667B09">
        <w:t>.</w:t>
      </w:r>
      <w:r w:rsidR="0004162E" w:rsidRPr="00667B09">
        <w:t xml:space="preserve"> </w:t>
      </w:r>
      <w:r w:rsidR="005451F4" w:rsidRPr="00667B09">
        <w:t>Преглед на изпълнението на</w:t>
      </w:r>
      <w:r w:rsidR="005451F4" w:rsidRPr="00667B09">
        <w:rPr>
          <w:sz w:val="18"/>
          <w:szCs w:val="18"/>
        </w:rPr>
        <w:t xml:space="preserve"> </w:t>
      </w:r>
      <w:r w:rsidR="00755FAB" w:rsidRPr="00667B09">
        <w:t>политиката в областта на</w:t>
      </w:r>
      <w:r w:rsidR="005451F4" w:rsidRPr="00667B09">
        <w:t xml:space="preserve"> </w:t>
      </w:r>
      <w:r w:rsidR="00755FAB" w:rsidRPr="00667B09">
        <w:t>о</w:t>
      </w:r>
      <w:r w:rsidR="004A77D8" w:rsidRPr="00667B09">
        <w:t>съществяване</w:t>
      </w:r>
      <w:r w:rsidR="00755FAB" w:rsidRPr="00667B09">
        <w:t>то</w:t>
      </w:r>
      <w:r w:rsidR="004A77D8" w:rsidRPr="00667B09">
        <w:t xml:space="preserve"> на държавните функции на територията на областите в България</w:t>
      </w:r>
      <w:bookmarkEnd w:id="9"/>
    </w:p>
    <w:p w14:paraId="140FD114" w14:textId="77777777" w:rsidR="003D2CCD" w:rsidRPr="00232970" w:rsidRDefault="003D2CCD" w:rsidP="00EA696E">
      <w:pPr>
        <w:widowControl w:val="0"/>
        <w:shd w:val="clear" w:color="auto" w:fill="FFFFFF" w:themeFill="background1"/>
        <w:tabs>
          <w:tab w:val="num" w:pos="426"/>
        </w:tabs>
        <w:ind w:firstLine="425"/>
        <w:jc w:val="both"/>
        <w:outlineLvl w:val="3"/>
        <w:rPr>
          <w:b/>
          <w:bCs/>
          <w:color w:val="215E99" w:themeColor="text2" w:themeTint="BF"/>
          <w:sz w:val="22"/>
          <w:szCs w:val="22"/>
          <w:lang w:eastAsia="en-US"/>
        </w:rPr>
      </w:pPr>
      <w:r w:rsidRPr="00232970">
        <w:rPr>
          <w:b/>
          <w:bCs/>
          <w:color w:val="215E99" w:themeColor="text2" w:themeTint="BF"/>
          <w:sz w:val="22"/>
          <w:szCs w:val="22"/>
          <w:lang w:eastAsia="en-US"/>
        </w:rPr>
        <w:t>Описание на степента на изпълнение на заложените стратегически и оперативни цели, допринасящи за нейното постигане</w:t>
      </w:r>
    </w:p>
    <w:p w14:paraId="3DD4B8EB" w14:textId="77777777" w:rsidR="003D2CCD" w:rsidRPr="003B0871" w:rsidRDefault="003D2CCD" w:rsidP="00EA696E">
      <w:pPr>
        <w:shd w:val="clear" w:color="auto" w:fill="FFFFFF" w:themeFill="background1"/>
        <w:autoSpaceDE w:val="0"/>
        <w:autoSpaceDN w:val="0"/>
        <w:adjustRightInd w:val="0"/>
        <w:ind w:firstLine="426"/>
        <w:jc w:val="both"/>
        <w:rPr>
          <w:i/>
          <w:sz w:val="22"/>
          <w:szCs w:val="22"/>
        </w:rPr>
      </w:pPr>
      <w:r w:rsidRPr="003B0871">
        <w:rPr>
          <w:i/>
          <w:sz w:val="22"/>
          <w:szCs w:val="22"/>
        </w:rPr>
        <w:t>Основните цели на политиката са свързани с:</w:t>
      </w:r>
    </w:p>
    <w:p w14:paraId="24C6E23E" w14:textId="77777777" w:rsidR="003D2CCD" w:rsidRPr="00232970" w:rsidRDefault="003D2CCD" w:rsidP="00EA696E">
      <w:pPr>
        <w:pStyle w:val="ListParagraph"/>
        <w:numPr>
          <w:ilvl w:val="0"/>
          <w:numId w:val="41"/>
        </w:numPr>
        <w:shd w:val="clear" w:color="auto" w:fill="FFFFFF" w:themeFill="background1"/>
        <w:ind w:left="709" w:hanging="283"/>
        <w:jc w:val="both"/>
        <w:rPr>
          <w:bCs/>
          <w:sz w:val="22"/>
          <w:szCs w:val="22"/>
        </w:rPr>
      </w:pPr>
      <w:r w:rsidRPr="00232970">
        <w:rPr>
          <w:bCs/>
          <w:sz w:val="22"/>
          <w:szCs w:val="22"/>
        </w:rPr>
        <w:t>Провеждане на ефективна регионална политика и държавно управление по места;</w:t>
      </w:r>
    </w:p>
    <w:p w14:paraId="7CE23A50" w14:textId="77777777" w:rsidR="003D2CCD" w:rsidRPr="00232970" w:rsidRDefault="003D2CCD" w:rsidP="00EA696E">
      <w:pPr>
        <w:pStyle w:val="ListParagraph"/>
        <w:numPr>
          <w:ilvl w:val="0"/>
          <w:numId w:val="41"/>
        </w:numPr>
        <w:shd w:val="clear" w:color="auto" w:fill="FFFFFF" w:themeFill="background1"/>
        <w:ind w:left="709" w:hanging="283"/>
        <w:jc w:val="both"/>
        <w:rPr>
          <w:bCs/>
          <w:sz w:val="22"/>
          <w:szCs w:val="22"/>
        </w:rPr>
      </w:pPr>
      <w:r w:rsidRPr="00232970">
        <w:rPr>
          <w:bCs/>
          <w:sz w:val="22"/>
          <w:szCs w:val="22"/>
        </w:rPr>
        <w:t xml:space="preserve">Осигуряване на съответствие между националните и местните интереси. </w:t>
      </w:r>
    </w:p>
    <w:p w14:paraId="0DE40E72" w14:textId="77777777" w:rsidR="003D2CCD" w:rsidRPr="003B0871" w:rsidRDefault="003D2CCD" w:rsidP="00EA696E">
      <w:pPr>
        <w:shd w:val="clear" w:color="auto" w:fill="FFFFFF" w:themeFill="background1"/>
        <w:autoSpaceDE w:val="0"/>
        <w:autoSpaceDN w:val="0"/>
        <w:adjustRightInd w:val="0"/>
        <w:ind w:firstLine="426"/>
        <w:jc w:val="both"/>
        <w:rPr>
          <w:sz w:val="22"/>
          <w:szCs w:val="22"/>
        </w:rPr>
      </w:pPr>
      <w:r w:rsidRPr="003B0871">
        <w:rPr>
          <w:sz w:val="22"/>
          <w:szCs w:val="22"/>
        </w:rPr>
        <w:t>Основен приоритет на политиката е подобряването на управлението на областите при провеждане на държавната политика, защитата на националните интереси, на законността и на обществения ред и осъществяване на административен контрол.</w:t>
      </w:r>
    </w:p>
    <w:p w14:paraId="010AD6CD" w14:textId="77777777" w:rsidR="003D2CCD" w:rsidRPr="003B0871" w:rsidRDefault="003D2CCD" w:rsidP="00EA696E">
      <w:pPr>
        <w:shd w:val="clear" w:color="auto" w:fill="FFFFFF" w:themeFill="background1"/>
        <w:autoSpaceDE w:val="0"/>
        <w:autoSpaceDN w:val="0"/>
        <w:adjustRightInd w:val="0"/>
        <w:ind w:firstLine="426"/>
        <w:jc w:val="both"/>
        <w:rPr>
          <w:sz w:val="22"/>
          <w:szCs w:val="22"/>
        </w:rPr>
      </w:pPr>
      <w:r w:rsidRPr="003B0871">
        <w:rPr>
          <w:sz w:val="22"/>
          <w:szCs w:val="22"/>
        </w:rPr>
        <w:t>С оглед спецификата на политиката, която е с хоризонтален характер, взаимодействието и координацията между институциите на областно ниво е от изключително важно значение. В тази връзка, областните управители и техните администрации изпълняват функции по координация, контрол и взаимодействие, както с органите на централната изпълнителна власт и техните териториални звена, така и с органите на местната власт и местните администрации.</w:t>
      </w:r>
    </w:p>
    <w:p w14:paraId="17DF3078" w14:textId="77777777" w:rsidR="003D2CCD" w:rsidRPr="003B0871" w:rsidRDefault="003D2CCD" w:rsidP="00EA696E">
      <w:pPr>
        <w:shd w:val="clear" w:color="auto" w:fill="FFFFFF" w:themeFill="background1"/>
        <w:autoSpaceDE w:val="0"/>
        <w:autoSpaceDN w:val="0"/>
        <w:adjustRightInd w:val="0"/>
        <w:ind w:firstLine="426"/>
        <w:jc w:val="both"/>
        <w:rPr>
          <w:sz w:val="22"/>
          <w:szCs w:val="22"/>
        </w:rPr>
      </w:pPr>
      <w:r w:rsidRPr="003B0871">
        <w:rPr>
          <w:sz w:val="22"/>
          <w:szCs w:val="22"/>
        </w:rPr>
        <w:t>При изпълнението на целите на политиката участват всички 28 областни управители и техните администрации. За постигането на ползите/ефектите за обществото по провежданата политика, освен областните администрации, принос имат и други органи на централната изпълнителна власт и техните териториални звена.</w:t>
      </w:r>
    </w:p>
    <w:p w14:paraId="685335B2" w14:textId="77777777" w:rsidR="003D2CCD" w:rsidRDefault="003D2CCD" w:rsidP="00EA696E">
      <w:pPr>
        <w:shd w:val="clear" w:color="auto" w:fill="FFFFFF" w:themeFill="background1"/>
        <w:autoSpaceDE w:val="0"/>
        <w:autoSpaceDN w:val="0"/>
        <w:adjustRightInd w:val="0"/>
        <w:spacing w:after="120"/>
        <w:ind w:firstLine="425"/>
        <w:jc w:val="both"/>
        <w:rPr>
          <w:sz w:val="22"/>
          <w:szCs w:val="22"/>
        </w:rPr>
      </w:pPr>
      <w:r w:rsidRPr="003B0871">
        <w:rPr>
          <w:sz w:val="22"/>
          <w:szCs w:val="22"/>
        </w:rPr>
        <w:t>Степента на изпълнение на заложените стратегически и оперативни цели може да бъде оценена като добра, с оглед отчетените резултати за постигане на планираните целеви стойности на показателите полза/ефект.</w:t>
      </w:r>
    </w:p>
    <w:p w14:paraId="5B3FEBA8" w14:textId="77777777" w:rsidR="003D2CCD" w:rsidRPr="00D7537F" w:rsidRDefault="003D2CCD" w:rsidP="00AA17C3">
      <w:pPr>
        <w:widowControl w:val="0"/>
        <w:shd w:val="clear" w:color="auto" w:fill="FFFFFF" w:themeFill="background1"/>
        <w:tabs>
          <w:tab w:val="num" w:pos="426"/>
        </w:tabs>
        <w:ind w:firstLine="425"/>
        <w:jc w:val="both"/>
        <w:outlineLvl w:val="3"/>
        <w:rPr>
          <w:b/>
          <w:bCs/>
          <w:color w:val="215E99" w:themeColor="text2" w:themeTint="BF"/>
          <w:sz w:val="22"/>
          <w:szCs w:val="22"/>
          <w:lang w:eastAsia="en-US"/>
        </w:rPr>
      </w:pPr>
      <w:r w:rsidRPr="00D7537F">
        <w:rPr>
          <w:b/>
          <w:bCs/>
          <w:color w:val="215E99" w:themeColor="text2" w:themeTint="BF"/>
          <w:sz w:val="22"/>
          <w:szCs w:val="22"/>
          <w:lang w:eastAsia="en-US"/>
        </w:rPr>
        <w:t>Описание на степента на достигане на очакваната полза/ефект за обществото от постигането на стратегическата цел за съответната област на политика</w:t>
      </w:r>
    </w:p>
    <w:p w14:paraId="3E406319" w14:textId="77777777" w:rsidR="003D2CCD" w:rsidRDefault="003D2CCD" w:rsidP="00AA17C3">
      <w:pPr>
        <w:widowControl w:val="0"/>
        <w:shd w:val="clear" w:color="auto" w:fill="FFFFFF" w:themeFill="background1"/>
        <w:tabs>
          <w:tab w:val="left" w:pos="426"/>
        </w:tabs>
        <w:ind w:firstLine="426"/>
        <w:outlineLvl w:val="3"/>
        <w:rPr>
          <w:b/>
          <w:bCs/>
          <w:iCs/>
          <w:color w:val="215E99" w:themeColor="text2" w:themeTint="BF"/>
          <w:sz w:val="22"/>
          <w:szCs w:val="22"/>
          <w:lang w:eastAsia="en-US"/>
        </w:rPr>
      </w:pPr>
      <w:r w:rsidRPr="002B072C">
        <w:rPr>
          <w:b/>
          <w:bCs/>
          <w:iCs/>
          <w:color w:val="215E99" w:themeColor="text2" w:themeTint="BF"/>
          <w:sz w:val="22"/>
          <w:szCs w:val="22"/>
          <w:lang w:eastAsia="en-US"/>
        </w:rPr>
        <w:t>Отчет на показателите за полза/ефект</w:t>
      </w:r>
    </w:p>
    <w:tbl>
      <w:tblPr>
        <w:tblW w:w="5954" w:type="pct"/>
        <w:jc w:val="center"/>
        <w:tblLook w:val="04A0" w:firstRow="1" w:lastRow="0" w:firstColumn="1" w:lastColumn="0" w:noHBand="0" w:noVBand="1"/>
      </w:tblPr>
      <w:tblGrid>
        <w:gridCol w:w="1483"/>
        <w:gridCol w:w="676"/>
        <w:gridCol w:w="659"/>
        <w:gridCol w:w="547"/>
        <w:gridCol w:w="676"/>
        <w:gridCol w:w="659"/>
        <w:gridCol w:w="547"/>
        <w:gridCol w:w="676"/>
        <w:gridCol w:w="659"/>
        <w:gridCol w:w="548"/>
        <w:gridCol w:w="677"/>
        <w:gridCol w:w="659"/>
        <w:gridCol w:w="548"/>
        <w:gridCol w:w="677"/>
        <w:gridCol w:w="659"/>
        <w:gridCol w:w="548"/>
        <w:gridCol w:w="231"/>
      </w:tblGrid>
      <w:tr w:rsidR="00A6634E" w14:paraId="7356AB43" w14:textId="77777777" w:rsidTr="007F2111">
        <w:trPr>
          <w:gridAfter w:val="1"/>
          <w:wAfter w:w="104" w:type="pct"/>
          <w:trHeight w:val="839"/>
          <w:jc w:val="center"/>
        </w:trPr>
        <w:tc>
          <w:tcPr>
            <w:tcW w:w="666" w:type="pct"/>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14:paraId="1859D584" w14:textId="77777777" w:rsidR="0026263C" w:rsidRDefault="0026263C" w:rsidP="0026263C">
            <w:pPr>
              <w:rPr>
                <w:b/>
                <w:bCs/>
                <w:color w:val="000000"/>
                <w:sz w:val="13"/>
                <w:szCs w:val="13"/>
              </w:rPr>
            </w:pPr>
            <w:r w:rsidRPr="007F2111">
              <w:rPr>
                <w:b/>
                <w:bCs/>
                <w:sz w:val="13"/>
                <w:szCs w:val="13"/>
              </w:rPr>
              <w:lastRenderedPageBreak/>
              <w:t xml:space="preserve">ПОКАЗАТЕЛИ ЗА ИЗПЪЛНЕНИЕ </w:t>
            </w:r>
            <w:r>
              <w:rPr>
                <w:b/>
                <w:bCs/>
                <w:color w:val="000000"/>
                <w:sz w:val="13"/>
                <w:szCs w:val="13"/>
              </w:rPr>
              <w:t>→</w:t>
            </w:r>
          </w:p>
        </w:tc>
        <w:tc>
          <w:tcPr>
            <w:tcW w:w="846" w:type="pct"/>
            <w:gridSpan w:val="3"/>
            <w:tcBorders>
              <w:top w:val="single" w:sz="4" w:space="0" w:color="auto"/>
              <w:left w:val="nil"/>
              <w:bottom w:val="single" w:sz="4" w:space="0" w:color="auto"/>
              <w:right w:val="single" w:sz="4" w:space="0" w:color="auto"/>
            </w:tcBorders>
            <w:shd w:val="clear" w:color="auto" w:fill="D1D1D1" w:themeFill="background2" w:themeFillShade="E6"/>
            <w:vAlign w:val="center"/>
            <w:hideMark/>
          </w:tcPr>
          <w:p w14:paraId="4960EF4F" w14:textId="77777777" w:rsidR="0026263C" w:rsidRDefault="0026263C">
            <w:pPr>
              <w:rPr>
                <w:color w:val="000000"/>
                <w:sz w:val="14"/>
                <w:szCs w:val="14"/>
              </w:rPr>
            </w:pPr>
            <w:r>
              <w:rPr>
                <w:color w:val="000000"/>
                <w:sz w:val="14"/>
                <w:szCs w:val="14"/>
              </w:rPr>
              <w:t>1. Индикатор държавната собственост</w:t>
            </w:r>
          </w:p>
        </w:tc>
        <w:tc>
          <w:tcPr>
            <w:tcW w:w="846" w:type="pct"/>
            <w:gridSpan w:val="3"/>
            <w:tcBorders>
              <w:top w:val="single" w:sz="4" w:space="0" w:color="auto"/>
              <w:left w:val="nil"/>
              <w:bottom w:val="single" w:sz="4" w:space="0" w:color="auto"/>
              <w:right w:val="single" w:sz="4" w:space="0" w:color="auto"/>
            </w:tcBorders>
            <w:shd w:val="clear" w:color="auto" w:fill="D1D1D1" w:themeFill="background2" w:themeFillShade="E6"/>
            <w:vAlign w:val="center"/>
            <w:hideMark/>
          </w:tcPr>
          <w:p w14:paraId="26C9990B" w14:textId="77777777" w:rsidR="0026263C" w:rsidRDefault="0026263C">
            <w:pPr>
              <w:rPr>
                <w:color w:val="000000"/>
                <w:sz w:val="14"/>
                <w:szCs w:val="14"/>
              </w:rPr>
            </w:pPr>
            <w:r>
              <w:rPr>
                <w:color w:val="000000"/>
                <w:sz w:val="14"/>
                <w:szCs w:val="14"/>
              </w:rPr>
              <w:t>2. Индикатор за контрол по законосъобразност</w:t>
            </w:r>
          </w:p>
        </w:tc>
        <w:tc>
          <w:tcPr>
            <w:tcW w:w="846" w:type="pct"/>
            <w:gridSpan w:val="3"/>
            <w:tcBorders>
              <w:top w:val="single" w:sz="4" w:space="0" w:color="auto"/>
              <w:left w:val="nil"/>
              <w:bottom w:val="single" w:sz="4" w:space="0" w:color="auto"/>
              <w:right w:val="single" w:sz="4" w:space="0" w:color="auto"/>
            </w:tcBorders>
            <w:shd w:val="clear" w:color="auto" w:fill="D1D1D1" w:themeFill="background2" w:themeFillShade="E6"/>
            <w:vAlign w:val="center"/>
            <w:hideMark/>
          </w:tcPr>
          <w:p w14:paraId="1F0111B1" w14:textId="77777777" w:rsidR="0026263C" w:rsidRDefault="0026263C">
            <w:pPr>
              <w:rPr>
                <w:color w:val="000000"/>
                <w:sz w:val="14"/>
                <w:szCs w:val="14"/>
              </w:rPr>
            </w:pPr>
            <w:r>
              <w:rPr>
                <w:color w:val="000000"/>
                <w:sz w:val="14"/>
                <w:szCs w:val="14"/>
              </w:rPr>
              <w:t>3. Индикатор за регионално развитие</w:t>
            </w:r>
          </w:p>
        </w:tc>
        <w:tc>
          <w:tcPr>
            <w:tcW w:w="846" w:type="pct"/>
            <w:gridSpan w:val="3"/>
            <w:tcBorders>
              <w:top w:val="single" w:sz="4" w:space="0" w:color="auto"/>
              <w:left w:val="nil"/>
              <w:bottom w:val="single" w:sz="4" w:space="0" w:color="auto"/>
              <w:right w:val="single" w:sz="4" w:space="0" w:color="auto"/>
            </w:tcBorders>
            <w:shd w:val="clear" w:color="auto" w:fill="D1D1D1" w:themeFill="background2" w:themeFillShade="E6"/>
            <w:vAlign w:val="center"/>
            <w:hideMark/>
          </w:tcPr>
          <w:p w14:paraId="07106CD9" w14:textId="77777777" w:rsidR="0026263C" w:rsidRDefault="0026263C">
            <w:pPr>
              <w:rPr>
                <w:color w:val="000000"/>
                <w:sz w:val="14"/>
                <w:szCs w:val="14"/>
              </w:rPr>
            </w:pPr>
            <w:r>
              <w:rPr>
                <w:color w:val="000000"/>
                <w:sz w:val="14"/>
                <w:szCs w:val="14"/>
              </w:rPr>
              <w:t>4. Индикатор за административно обслужване</w:t>
            </w:r>
          </w:p>
        </w:tc>
        <w:tc>
          <w:tcPr>
            <w:tcW w:w="846" w:type="pct"/>
            <w:gridSpan w:val="3"/>
            <w:tcBorders>
              <w:top w:val="single" w:sz="4" w:space="0" w:color="auto"/>
              <w:left w:val="nil"/>
              <w:bottom w:val="single" w:sz="4" w:space="0" w:color="auto"/>
              <w:right w:val="single" w:sz="4" w:space="0" w:color="auto"/>
            </w:tcBorders>
            <w:shd w:val="clear" w:color="auto" w:fill="D1D1D1" w:themeFill="background2" w:themeFillShade="E6"/>
            <w:vAlign w:val="center"/>
            <w:hideMark/>
          </w:tcPr>
          <w:p w14:paraId="1C2C877E" w14:textId="1B38B9BC" w:rsidR="0026263C" w:rsidRDefault="0026263C">
            <w:pPr>
              <w:rPr>
                <w:color w:val="000000"/>
                <w:sz w:val="14"/>
                <w:szCs w:val="14"/>
              </w:rPr>
            </w:pPr>
            <w:r>
              <w:rPr>
                <w:color w:val="000000"/>
                <w:sz w:val="14"/>
                <w:szCs w:val="14"/>
              </w:rPr>
              <w:t>5. Индикатор за допълнителни функции по специални закони (§4 от ЗСПЗЗ, речни корита по ЗВ, плажове по ЗЧК)</w:t>
            </w:r>
          </w:p>
        </w:tc>
      </w:tr>
      <w:tr w:rsidR="007F2111" w14:paraId="53E89682" w14:textId="77777777" w:rsidTr="007F2111">
        <w:trPr>
          <w:gridAfter w:val="1"/>
          <w:wAfter w:w="104" w:type="pct"/>
          <w:trHeight w:val="315"/>
          <w:jc w:val="center"/>
        </w:trPr>
        <w:tc>
          <w:tcPr>
            <w:tcW w:w="666" w:type="pct"/>
            <w:vMerge/>
            <w:tcBorders>
              <w:top w:val="single" w:sz="4" w:space="0" w:color="auto"/>
              <w:left w:val="single" w:sz="4" w:space="0" w:color="auto"/>
              <w:bottom w:val="single" w:sz="4" w:space="0" w:color="auto"/>
              <w:right w:val="single" w:sz="4" w:space="0" w:color="auto"/>
            </w:tcBorders>
            <w:vAlign w:val="center"/>
            <w:hideMark/>
          </w:tcPr>
          <w:p w14:paraId="5EF515E9" w14:textId="77777777" w:rsidR="0026263C" w:rsidRDefault="0026263C">
            <w:pPr>
              <w:rPr>
                <w:b/>
                <w:bCs/>
                <w:color w:val="000000"/>
                <w:sz w:val="13"/>
                <w:szCs w:val="13"/>
              </w:rPr>
            </w:pPr>
          </w:p>
        </w:tc>
        <w:tc>
          <w:tcPr>
            <w:tcW w:w="304" w:type="pct"/>
            <w:vMerge w:val="restart"/>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7B566D1F" w14:textId="77777777" w:rsidR="0026263C" w:rsidRDefault="0026263C">
            <w:pPr>
              <w:jc w:val="center"/>
              <w:rPr>
                <w:color w:val="000000"/>
                <w:sz w:val="13"/>
                <w:szCs w:val="13"/>
              </w:rPr>
            </w:pPr>
            <w:r>
              <w:rPr>
                <w:color w:val="000000"/>
                <w:sz w:val="13"/>
                <w:szCs w:val="13"/>
              </w:rPr>
              <w:t>Мерна единица</w:t>
            </w:r>
          </w:p>
        </w:tc>
        <w:tc>
          <w:tcPr>
            <w:tcW w:w="296" w:type="pct"/>
            <w:vMerge w:val="restart"/>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3DA54A87" w14:textId="77777777" w:rsidR="0026263C" w:rsidRDefault="0026263C">
            <w:pPr>
              <w:jc w:val="center"/>
              <w:rPr>
                <w:color w:val="000000"/>
                <w:sz w:val="13"/>
                <w:szCs w:val="13"/>
              </w:rPr>
            </w:pPr>
            <w:r>
              <w:rPr>
                <w:color w:val="000000"/>
                <w:sz w:val="13"/>
                <w:szCs w:val="13"/>
              </w:rPr>
              <w:t>Бюджет</w:t>
            </w:r>
          </w:p>
        </w:tc>
        <w:tc>
          <w:tcPr>
            <w:tcW w:w="246" w:type="pct"/>
            <w:vMerge w:val="restart"/>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0928F816" w14:textId="77777777" w:rsidR="0026263C" w:rsidRDefault="0026263C">
            <w:pPr>
              <w:jc w:val="center"/>
              <w:rPr>
                <w:color w:val="000000"/>
                <w:sz w:val="13"/>
                <w:szCs w:val="13"/>
              </w:rPr>
            </w:pPr>
            <w:r>
              <w:rPr>
                <w:color w:val="000000"/>
                <w:sz w:val="13"/>
                <w:szCs w:val="13"/>
              </w:rPr>
              <w:t>Отчет</w:t>
            </w:r>
          </w:p>
        </w:tc>
        <w:tc>
          <w:tcPr>
            <w:tcW w:w="304" w:type="pct"/>
            <w:vMerge w:val="restart"/>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03C20BB5" w14:textId="77777777" w:rsidR="0026263C" w:rsidRDefault="0026263C">
            <w:pPr>
              <w:jc w:val="center"/>
              <w:rPr>
                <w:color w:val="000000"/>
                <w:sz w:val="13"/>
                <w:szCs w:val="13"/>
              </w:rPr>
            </w:pPr>
            <w:r>
              <w:rPr>
                <w:color w:val="000000"/>
                <w:sz w:val="13"/>
                <w:szCs w:val="13"/>
              </w:rPr>
              <w:t>Мерна единица</w:t>
            </w:r>
          </w:p>
        </w:tc>
        <w:tc>
          <w:tcPr>
            <w:tcW w:w="296" w:type="pct"/>
            <w:vMerge w:val="restart"/>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4647DC92" w14:textId="77777777" w:rsidR="0026263C" w:rsidRDefault="0026263C">
            <w:pPr>
              <w:jc w:val="center"/>
              <w:rPr>
                <w:color w:val="000000"/>
                <w:sz w:val="13"/>
                <w:szCs w:val="13"/>
              </w:rPr>
            </w:pPr>
            <w:r>
              <w:rPr>
                <w:color w:val="000000"/>
                <w:sz w:val="13"/>
                <w:szCs w:val="13"/>
              </w:rPr>
              <w:t>Бюджет</w:t>
            </w:r>
          </w:p>
        </w:tc>
        <w:tc>
          <w:tcPr>
            <w:tcW w:w="246" w:type="pct"/>
            <w:vMerge w:val="restart"/>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4DE5A142" w14:textId="77777777" w:rsidR="0026263C" w:rsidRDefault="0026263C">
            <w:pPr>
              <w:jc w:val="center"/>
              <w:rPr>
                <w:color w:val="000000"/>
                <w:sz w:val="13"/>
                <w:szCs w:val="13"/>
              </w:rPr>
            </w:pPr>
            <w:r>
              <w:rPr>
                <w:color w:val="000000"/>
                <w:sz w:val="13"/>
                <w:szCs w:val="13"/>
              </w:rPr>
              <w:t>Отчет</w:t>
            </w:r>
          </w:p>
        </w:tc>
        <w:tc>
          <w:tcPr>
            <w:tcW w:w="304" w:type="pct"/>
            <w:vMerge w:val="restart"/>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7D68411B" w14:textId="77777777" w:rsidR="0026263C" w:rsidRDefault="0026263C">
            <w:pPr>
              <w:jc w:val="center"/>
              <w:rPr>
                <w:color w:val="000000"/>
                <w:sz w:val="13"/>
                <w:szCs w:val="13"/>
              </w:rPr>
            </w:pPr>
            <w:r>
              <w:rPr>
                <w:color w:val="000000"/>
                <w:sz w:val="13"/>
                <w:szCs w:val="13"/>
              </w:rPr>
              <w:t>Мерна единица</w:t>
            </w:r>
          </w:p>
        </w:tc>
        <w:tc>
          <w:tcPr>
            <w:tcW w:w="296" w:type="pct"/>
            <w:vMerge w:val="restart"/>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2396AABC" w14:textId="77777777" w:rsidR="0026263C" w:rsidRDefault="0026263C">
            <w:pPr>
              <w:jc w:val="center"/>
              <w:rPr>
                <w:color w:val="000000"/>
                <w:sz w:val="13"/>
                <w:szCs w:val="13"/>
              </w:rPr>
            </w:pPr>
            <w:r>
              <w:rPr>
                <w:color w:val="000000"/>
                <w:sz w:val="13"/>
                <w:szCs w:val="13"/>
              </w:rPr>
              <w:t>Бюджет</w:t>
            </w:r>
          </w:p>
        </w:tc>
        <w:tc>
          <w:tcPr>
            <w:tcW w:w="246" w:type="pct"/>
            <w:vMerge w:val="restart"/>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6620C6EF" w14:textId="77777777" w:rsidR="0026263C" w:rsidRDefault="0026263C">
            <w:pPr>
              <w:jc w:val="center"/>
              <w:rPr>
                <w:color w:val="000000"/>
                <w:sz w:val="13"/>
                <w:szCs w:val="13"/>
              </w:rPr>
            </w:pPr>
            <w:r>
              <w:rPr>
                <w:color w:val="000000"/>
                <w:sz w:val="13"/>
                <w:szCs w:val="13"/>
              </w:rPr>
              <w:t>Отчет</w:t>
            </w:r>
          </w:p>
        </w:tc>
        <w:tc>
          <w:tcPr>
            <w:tcW w:w="304" w:type="pct"/>
            <w:vMerge w:val="restart"/>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127CBA76" w14:textId="77777777" w:rsidR="0026263C" w:rsidRDefault="0026263C">
            <w:pPr>
              <w:jc w:val="center"/>
              <w:rPr>
                <w:color w:val="000000"/>
                <w:sz w:val="13"/>
                <w:szCs w:val="13"/>
              </w:rPr>
            </w:pPr>
            <w:r>
              <w:rPr>
                <w:color w:val="000000"/>
                <w:sz w:val="13"/>
                <w:szCs w:val="13"/>
              </w:rPr>
              <w:t>Мерна единица</w:t>
            </w:r>
          </w:p>
        </w:tc>
        <w:tc>
          <w:tcPr>
            <w:tcW w:w="296" w:type="pct"/>
            <w:vMerge w:val="restart"/>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5609E91A" w14:textId="77777777" w:rsidR="0026263C" w:rsidRDefault="0026263C">
            <w:pPr>
              <w:jc w:val="center"/>
              <w:rPr>
                <w:color w:val="000000"/>
                <w:sz w:val="13"/>
                <w:szCs w:val="13"/>
              </w:rPr>
            </w:pPr>
            <w:r>
              <w:rPr>
                <w:color w:val="000000"/>
                <w:sz w:val="13"/>
                <w:szCs w:val="13"/>
              </w:rPr>
              <w:t>Бюджет</w:t>
            </w:r>
          </w:p>
        </w:tc>
        <w:tc>
          <w:tcPr>
            <w:tcW w:w="246" w:type="pct"/>
            <w:vMerge w:val="restart"/>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5540790A" w14:textId="77777777" w:rsidR="0026263C" w:rsidRDefault="0026263C">
            <w:pPr>
              <w:jc w:val="center"/>
              <w:rPr>
                <w:color w:val="000000"/>
                <w:sz w:val="13"/>
                <w:szCs w:val="13"/>
              </w:rPr>
            </w:pPr>
            <w:r>
              <w:rPr>
                <w:color w:val="000000"/>
                <w:sz w:val="13"/>
                <w:szCs w:val="13"/>
              </w:rPr>
              <w:t>Отчет</w:t>
            </w:r>
          </w:p>
        </w:tc>
        <w:tc>
          <w:tcPr>
            <w:tcW w:w="304" w:type="pct"/>
            <w:vMerge w:val="restart"/>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2570525F" w14:textId="77777777" w:rsidR="0026263C" w:rsidRDefault="0026263C">
            <w:pPr>
              <w:jc w:val="center"/>
              <w:rPr>
                <w:color w:val="000000"/>
                <w:sz w:val="13"/>
                <w:szCs w:val="13"/>
              </w:rPr>
            </w:pPr>
            <w:r>
              <w:rPr>
                <w:color w:val="000000"/>
                <w:sz w:val="13"/>
                <w:szCs w:val="13"/>
              </w:rPr>
              <w:t>Мерна единица</w:t>
            </w:r>
          </w:p>
        </w:tc>
        <w:tc>
          <w:tcPr>
            <w:tcW w:w="296" w:type="pct"/>
            <w:vMerge w:val="restart"/>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6114C2E7" w14:textId="77777777" w:rsidR="0026263C" w:rsidRDefault="0026263C">
            <w:pPr>
              <w:jc w:val="center"/>
              <w:rPr>
                <w:color w:val="000000"/>
                <w:sz w:val="13"/>
                <w:szCs w:val="13"/>
              </w:rPr>
            </w:pPr>
            <w:r>
              <w:rPr>
                <w:color w:val="000000"/>
                <w:sz w:val="13"/>
                <w:szCs w:val="13"/>
              </w:rPr>
              <w:t>Бюджет</w:t>
            </w:r>
          </w:p>
        </w:tc>
        <w:tc>
          <w:tcPr>
            <w:tcW w:w="246" w:type="pct"/>
            <w:vMerge w:val="restart"/>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74860130" w14:textId="77777777" w:rsidR="0026263C" w:rsidRDefault="0026263C">
            <w:pPr>
              <w:jc w:val="center"/>
              <w:rPr>
                <w:color w:val="000000"/>
                <w:sz w:val="13"/>
                <w:szCs w:val="13"/>
              </w:rPr>
            </w:pPr>
            <w:r>
              <w:rPr>
                <w:color w:val="000000"/>
                <w:sz w:val="13"/>
                <w:szCs w:val="13"/>
              </w:rPr>
              <w:t>Отчет</w:t>
            </w:r>
          </w:p>
        </w:tc>
      </w:tr>
      <w:tr w:rsidR="007F2111" w14:paraId="7116DFAC" w14:textId="77777777" w:rsidTr="00A57AA7">
        <w:trPr>
          <w:trHeight w:val="60"/>
          <w:jc w:val="center"/>
        </w:trPr>
        <w:tc>
          <w:tcPr>
            <w:tcW w:w="666" w:type="pct"/>
            <w:vMerge/>
            <w:tcBorders>
              <w:top w:val="single" w:sz="4" w:space="0" w:color="auto"/>
              <w:left w:val="single" w:sz="4" w:space="0" w:color="auto"/>
              <w:bottom w:val="single" w:sz="4" w:space="0" w:color="auto"/>
              <w:right w:val="single" w:sz="4" w:space="0" w:color="auto"/>
            </w:tcBorders>
            <w:vAlign w:val="center"/>
            <w:hideMark/>
          </w:tcPr>
          <w:p w14:paraId="1CE2CDAC" w14:textId="77777777" w:rsidR="0026263C" w:rsidRDefault="0026263C">
            <w:pPr>
              <w:rPr>
                <w:b/>
                <w:bCs/>
                <w:color w:val="000000"/>
                <w:sz w:val="13"/>
                <w:szCs w:val="13"/>
              </w:rPr>
            </w:pPr>
          </w:p>
        </w:tc>
        <w:tc>
          <w:tcPr>
            <w:tcW w:w="304" w:type="pct"/>
            <w:vMerge/>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43F90E29" w14:textId="77777777" w:rsidR="0026263C" w:rsidRDefault="0026263C">
            <w:pPr>
              <w:rPr>
                <w:color w:val="000000"/>
                <w:sz w:val="13"/>
                <w:szCs w:val="13"/>
              </w:rPr>
            </w:pPr>
          </w:p>
        </w:tc>
        <w:tc>
          <w:tcPr>
            <w:tcW w:w="296" w:type="pct"/>
            <w:vMerge/>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44A10A18" w14:textId="77777777" w:rsidR="0026263C" w:rsidRDefault="0026263C">
            <w:pPr>
              <w:rPr>
                <w:color w:val="000000"/>
                <w:sz w:val="13"/>
                <w:szCs w:val="13"/>
              </w:rPr>
            </w:pPr>
          </w:p>
        </w:tc>
        <w:tc>
          <w:tcPr>
            <w:tcW w:w="246" w:type="pct"/>
            <w:vMerge/>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710D1455" w14:textId="77777777" w:rsidR="0026263C" w:rsidRDefault="0026263C">
            <w:pPr>
              <w:rPr>
                <w:color w:val="000000"/>
                <w:sz w:val="13"/>
                <w:szCs w:val="13"/>
              </w:rPr>
            </w:pPr>
          </w:p>
        </w:tc>
        <w:tc>
          <w:tcPr>
            <w:tcW w:w="304" w:type="pct"/>
            <w:vMerge/>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1DD1E403" w14:textId="77777777" w:rsidR="0026263C" w:rsidRDefault="0026263C">
            <w:pPr>
              <w:rPr>
                <w:color w:val="000000"/>
                <w:sz w:val="13"/>
                <w:szCs w:val="13"/>
              </w:rPr>
            </w:pPr>
          </w:p>
        </w:tc>
        <w:tc>
          <w:tcPr>
            <w:tcW w:w="296" w:type="pct"/>
            <w:vMerge/>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1825068F" w14:textId="77777777" w:rsidR="0026263C" w:rsidRDefault="0026263C">
            <w:pPr>
              <w:rPr>
                <w:color w:val="000000"/>
                <w:sz w:val="13"/>
                <w:szCs w:val="13"/>
              </w:rPr>
            </w:pPr>
          </w:p>
        </w:tc>
        <w:tc>
          <w:tcPr>
            <w:tcW w:w="246" w:type="pct"/>
            <w:vMerge/>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5F7949A7" w14:textId="77777777" w:rsidR="0026263C" w:rsidRDefault="0026263C">
            <w:pPr>
              <w:rPr>
                <w:color w:val="000000"/>
                <w:sz w:val="13"/>
                <w:szCs w:val="13"/>
              </w:rPr>
            </w:pPr>
          </w:p>
        </w:tc>
        <w:tc>
          <w:tcPr>
            <w:tcW w:w="304" w:type="pct"/>
            <w:vMerge/>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4B0B843A" w14:textId="77777777" w:rsidR="0026263C" w:rsidRDefault="0026263C">
            <w:pPr>
              <w:rPr>
                <w:color w:val="000000"/>
                <w:sz w:val="13"/>
                <w:szCs w:val="13"/>
              </w:rPr>
            </w:pPr>
          </w:p>
        </w:tc>
        <w:tc>
          <w:tcPr>
            <w:tcW w:w="296" w:type="pct"/>
            <w:vMerge/>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13DC88E1" w14:textId="77777777" w:rsidR="0026263C" w:rsidRDefault="0026263C">
            <w:pPr>
              <w:rPr>
                <w:color w:val="000000"/>
                <w:sz w:val="13"/>
                <w:szCs w:val="13"/>
              </w:rPr>
            </w:pPr>
          </w:p>
        </w:tc>
        <w:tc>
          <w:tcPr>
            <w:tcW w:w="246" w:type="pct"/>
            <w:vMerge/>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0E7BD11F" w14:textId="77777777" w:rsidR="0026263C" w:rsidRDefault="0026263C">
            <w:pPr>
              <w:rPr>
                <w:color w:val="000000"/>
                <w:sz w:val="13"/>
                <w:szCs w:val="13"/>
              </w:rPr>
            </w:pPr>
          </w:p>
        </w:tc>
        <w:tc>
          <w:tcPr>
            <w:tcW w:w="304" w:type="pct"/>
            <w:vMerge/>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3F123A46" w14:textId="77777777" w:rsidR="0026263C" w:rsidRDefault="0026263C">
            <w:pPr>
              <w:rPr>
                <w:color w:val="000000"/>
                <w:sz w:val="13"/>
                <w:szCs w:val="13"/>
              </w:rPr>
            </w:pPr>
          </w:p>
        </w:tc>
        <w:tc>
          <w:tcPr>
            <w:tcW w:w="296" w:type="pct"/>
            <w:vMerge/>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3952691F" w14:textId="77777777" w:rsidR="0026263C" w:rsidRDefault="0026263C">
            <w:pPr>
              <w:rPr>
                <w:color w:val="000000"/>
                <w:sz w:val="13"/>
                <w:szCs w:val="13"/>
              </w:rPr>
            </w:pPr>
          </w:p>
        </w:tc>
        <w:tc>
          <w:tcPr>
            <w:tcW w:w="246" w:type="pct"/>
            <w:vMerge/>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29978E00" w14:textId="77777777" w:rsidR="0026263C" w:rsidRDefault="0026263C">
            <w:pPr>
              <w:rPr>
                <w:color w:val="000000"/>
                <w:sz w:val="13"/>
                <w:szCs w:val="13"/>
              </w:rPr>
            </w:pPr>
          </w:p>
        </w:tc>
        <w:tc>
          <w:tcPr>
            <w:tcW w:w="304" w:type="pct"/>
            <w:vMerge/>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362F5145" w14:textId="77777777" w:rsidR="0026263C" w:rsidRDefault="0026263C">
            <w:pPr>
              <w:rPr>
                <w:color w:val="000000"/>
                <w:sz w:val="13"/>
                <w:szCs w:val="13"/>
              </w:rPr>
            </w:pPr>
          </w:p>
        </w:tc>
        <w:tc>
          <w:tcPr>
            <w:tcW w:w="296" w:type="pct"/>
            <w:vMerge/>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504D918B" w14:textId="77777777" w:rsidR="0026263C" w:rsidRDefault="0026263C">
            <w:pPr>
              <w:rPr>
                <w:color w:val="000000"/>
                <w:sz w:val="13"/>
                <w:szCs w:val="13"/>
              </w:rPr>
            </w:pPr>
          </w:p>
        </w:tc>
        <w:tc>
          <w:tcPr>
            <w:tcW w:w="246" w:type="pct"/>
            <w:vMerge/>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4AD5544B" w14:textId="77777777" w:rsidR="0026263C" w:rsidRDefault="0026263C">
            <w:pPr>
              <w:rPr>
                <w:color w:val="000000"/>
                <w:sz w:val="13"/>
                <w:szCs w:val="13"/>
              </w:rPr>
            </w:pPr>
          </w:p>
        </w:tc>
        <w:tc>
          <w:tcPr>
            <w:tcW w:w="104" w:type="pct"/>
            <w:tcBorders>
              <w:top w:val="nil"/>
              <w:left w:val="nil"/>
              <w:bottom w:val="nil"/>
              <w:right w:val="nil"/>
            </w:tcBorders>
            <w:shd w:val="clear" w:color="auto" w:fill="auto"/>
            <w:noWrap/>
            <w:vAlign w:val="bottom"/>
            <w:hideMark/>
          </w:tcPr>
          <w:p w14:paraId="750F9011" w14:textId="77777777" w:rsidR="0026263C" w:rsidRDefault="0026263C">
            <w:pPr>
              <w:jc w:val="center"/>
              <w:rPr>
                <w:color w:val="000000"/>
                <w:sz w:val="13"/>
                <w:szCs w:val="13"/>
              </w:rPr>
            </w:pPr>
          </w:p>
        </w:tc>
      </w:tr>
      <w:tr w:rsidR="007F2111" w14:paraId="1F731B3E" w14:textId="77777777" w:rsidTr="00A57AA7">
        <w:trPr>
          <w:trHeight w:val="503"/>
          <w:jc w:val="center"/>
        </w:trPr>
        <w:tc>
          <w:tcPr>
            <w:tcW w:w="666" w:type="pct"/>
            <w:tcBorders>
              <w:top w:val="nil"/>
              <w:left w:val="single" w:sz="4" w:space="0" w:color="auto"/>
              <w:bottom w:val="single" w:sz="4" w:space="0" w:color="auto"/>
              <w:right w:val="single" w:sz="4" w:space="0" w:color="auto"/>
            </w:tcBorders>
            <w:shd w:val="clear" w:color="000000" w:fill="E3E3E3"/>
            <w:vAlign w:val="center"/>
            <w:hideMark/>
          </w:tcPr>
          <w:p w14:paraId="158FC14C" w14:textId="77777777" w:rsidR="0026263C" w:rsidRDefault="0026263C">
            <w:pPr>
              <w:jc w:val="center"/>
              <w:rPr>
                <w:b/>
                <w:bCs/>
                <w:color w:val="000000"/>
                <w:sz w:val="13"/>
                <w:szCs w:val="13"/>
              </w:rPr>
            </w:pPr>
            <w:r>
              <w:rPr>
                <w:b/>
                <w:bCs/>
                <w:color w:val="000000"/>
                <w:sz w:val="13"/>
                <w:szCs w:val="13"/>
              </w:rPr>
              <w:t>ОБЛАСТНИ АДМИНИСТРАЦИИ</w:t>
            </w:r>
            <w:r>
              <w:rPr>
                <w:b/>
                <w:bCs/>
                <w:color w:val="000000"/>
                <w:sz w:val="14"/>
                <w:szCs w:val="14"/>
              </w:rPr>
              <w:t xml:space="preserve"> ↓</w:t>
            </w:r>
          </w:p>
        </w:tc>
        <w:tc>
          <w:tcPr>
            <w:tcW w:w="304" w:type="pct"/>
            <w:vMerge/>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46F7452B" w14:textId="77777777" w:rsidR="0026263C" w:rsidRDefault="0026263C">
            <w:pPr>
              <w:rPr>
                <w:color w:val="000000"/>
                <w:sz w:val="13"/>
                <w:szCs w:val="13"/>
              </w:rPr>
            </w:pPr>
          </w:p>
        </w:tc>
        <w:tc>
          <w:tcPr>
            <w:tcW w:w="296" w:type="pct"/>
            <w:tcBorders>
              <w:top w:val="nil"/>
              <w:left w:val="nil"/>
              <w:bottom w:val="single" w:sz="4" w:space="0" w:color="auto"/>
              <w:right w:val="single" w:sz="4" w:space="0" w:color="auto"/>
            </w:tcBorders>
            <w:shd w:val="clear" w:color="auto" w:fill="D1D1D1" w:themeFill="background2" w:themeFillShade="E6"/>
            <w:vAlign w:val="center"/>
            <w:hideMark/>
          </w:tcPr>
          <w:p w14:paraId="1725642E" w14:textId="77777777" w:rsidR="0026263C" w:rsidRDefault="0026263C">
            <w:pPr>
              <w:jc w:val="center"/>
              <w:rPr>
                <w:color w:val="000000"/>
                <w:sz w:val="13"/>
                <w:szCs w:val="13"/>
              </w:rPr>
            </w:pPr>
            <w:r>
              <w:rPr>
                <w:color w:val="000000"/>
                <w:sz w:val="13"/>
                <w:szCs w:val="13"/>
              </w:rPr>
              <w:t>2025</w:t>
            </w:r>
          </w:p>
        </w:tc>
        <w:tc>
          <w:tcPr>
            <w:tcW w:w="246" w:type="pct"/>
            <w:tcBorders>
              <w:top w:val="nil"/>
              <w:left w:val="nil"/>
              <w:bottom w:val="single" w:sz="4" w:space="0" w:color="auto"/>
              <w:right w:val="single" w:sz="4" w:space="0" w:color="auto"/>
            </w:tcBorders>
            <w:shd w:val="clear" w:color="auto" w:fill="D1D1D1" w:themeFill="background2" w:themeFillShade="E6"/>
            <w:vAlign w:val="center"/>
            <w:hideMark/>
          </w:tcPr>
          <w:p w14:paraId="1080FF39" w14:textId="77777777" w:rsidR="0026263C" w:rsidRDefault="0026263C">
            <w:pPr>
              <w:jc w:val="center"/>
              <w:rPr>
                <w:color w:val="000000"/>
                <w:sz w:val="13"/>
                <w:szCs w:val="13"/>
              </w:rPr>
            </w:pPr>
            <w:r>
              <w:rPr>
                <w:color w:val="000000"/>
                <w:sz w:val="13"/>
                <w:szCs w:val="13"/>
              </w:rPr>
              <w:t>2025</w:t>
            </w:r>
          </w:p>
        </w:tc>
        <w:tc>
          <w:tcPr>
            <w:tcW w:w="304" w:type="pct"/>
            <w:vMerge/>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3FCBDE43" w14:textId="77777777" w:rsidR="0026263C" w:rsidRDefault="0026263C">
            <w:pPr>
              <w:rPr>
                <w:color w:val="000000"/>
                <w:sz w:val="13"/>
                <w:szCs w:val="13"/>
              </w:rPr>
            </w:pPr>
          </w:p>
        </w:tc>
        <w:tc>
          <w:tcPr>
            <w:tcW w:w="296" w:type="pct"/>
            <w:tcBorders>
              <w:top w:val="nil"/>
              <w:left w:val="nil"/>
              <w:bottom w:val="single" w:sz="4" w:space="0" w:color="auto"/>
              <w:right w:val="single" w:sz="4" w:space="0" w:color="auto"/>
            </w:tcBorders>
            <w:shd w:val="clear" w:color="auto" w:fill="D1D1D1" w:themeFill="background2" w:themeFillShade="E6"/>
            <w:vAlign w:val="center"/>
            <w:hideMark/>
          </w:tcPr>
          <w:p w14:paraId="0B1A7ECB" w14:textId="77777777" w:rsidR="0026263C" w:rsidRDefault="0026263C">
            <w:pPr>
              <w:jc w:val="center"/>
              <w:rPr>
                <w:color w:val="000000"/>
                <w:sz w:val="13"/>
                <w:szCs w:val="13"/>
              </w:rPr>
            </w:pPr>
            <w:r>
              <w:rPr>
                <w:color w:val="000000"/>
                <w:sz w:val="13"/>
                <w:szCs w:val="13"/>
              </w:rPr>
              <w:t>2025</w:t>
            </w:r>
          </w:p>
        </w:tc>
        <w:tc>
          <w:tcPr>
            <w:tcW w:w="246" w:type="pct"/>
            <w:tcBorders>
              <w:top w:val="nil"/>
              <w:left w:val="nil"/>
              <w:bottom w:val="single" w:sz="4" w:space="0" w:color="auto"/>
              <w:right w:val="single" w:sz="4" w:space="0" w:color="auto"/>
            </w:tcBorders>
            <w:shd w:val="clear" w:color="auto" w:fill="D1D1D1" w:themeFill="background2" w:themeFillShade="E6"/>
            <w:vAlign w:val="center"/>
            <w:hideMark/>
          </w:tcPr>
          <w:p w14:paraId="127EEC0B" w14:textId="77777777" w:rsidR="0026263C" w:rsidRDefault="0026263C">
            <w:pPr>
              <w:jc w:val="center"/>
              <w:rPr>
                <w:color w:val="000000"/>
                <w:sz w:val="13"/>
                <w:szCs w:val="13"/>
              </w:rPr>
            </w:pPr>
            <w:r>
              <w:rPr>
                <w:color w:val="000000"/>
                <w:sz w:val="13"/>
                <w:szCs w:val="13"/>
              </w:rPr>
              <w:t>2025</w:t>
            </w:r>
          </w:p>
        </w:tc>
        <w:tc>
          <w:tcPr>
            <w:tcW w:w="304" w:type="pct"/>
            <w:vMerge/>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2A32219D" w14:textId="77777777" w:rsidR="0026263C" w:rsidRDefault="0026263C">
            <w:pPr>
              <w:rPr>
                <w:color w:val="000000"/>
                <w:sz w:val="13"/>
                <w:szCs w:val="13"/>
              </w:rPr>
            </w:pPr>
          </w:p>
        </w:tc>
        <w:tc>
          <w:tcPr>
            <w:tcW w:w="296" w:type="pct"/>
            <w:tcBorders>
              <w:top w:val="nil"/>
              <w:left w:val="nil"/>
              <w:bottom w:val="single" w:sz="4" w:space="0" w:color="auto"/>
              <w:right w:val="single" w:sz="4" w:space="0" w:color="auto"/>
            </w:tcBorders>
            <w:shd w:val="clear" w:color="auto" w:fill="D1D1D1" w:themeFill="background2" w:themeFillShade="E6"/>
            <w:vAlign w:val="center"/>
            <w:hideMark/>
          </w:tcPr>
          <w:p w14:paraId="60403FAD" w14:textId="77777777" w:rsidR="0026263C" w:rsidRDefault="0026263C">
            <w:pPr>
              <w:jc w:val="center"/>
              <w:rPr>
                <w:color w:val="000000"/>
                <w:sz w:val="13"/>
                <w:szCs w:val="13"/>
              </w:rPr>
            </w:pPr>
            <w:r>
              <w:rPr>
                <w:color w:val="000000"/>
                <w:sz w:val="13"/>
                <w:szCs w:val="13"/>
              </w:rPr>
              <w:t>2025</w:t>
            </w:r>
          </w:p>
        </w:tc>
        <w:tc>
          <w:tcPr>
            <w:tcW w:w="246" w:type="pct"/>
            <w:tcBorders>
              <w:top w:val="nil"/>
              <w:left w:val="nil"/>
              <w:bottom w:val="single" w:sz="4" w:space="0" w:color="auto"/>
              <w:right w:val="single" w:sz="4" w:space="0" w:color="auto"/>
            </w:tcBorders>
            <w:shd w:val="clear" w:color="auto" w:fill="D1D1D1" w:themeFill="background2" w:themeFillShade="E6"/>
            <w:vAlign w:val="center"/>
            <w:hideMark/>
          </w:tcPr>
          <w:p w14:paraId="1BD7C02B" w14:textId="77777777" w:rsidR="0026263C" w:rsidRDefault="0026263C">
            <w:pPr>
              <w:jc w:val="center"/>
              <w:rPr>
                <w:color w:val="000000"/>
                <w:sz w:val="13"/>
                <w:szCs w:val="13"/>
              </w:rPr>
            </w:pPr>
            <w:r>
              <w:rPr>
                <w:color w:val="000000"/>
                <w:sz w:val="13"/>
                <w:szCs w:val="13"/>
              </w:rPr>
              <w:t>2025</w:t>
            </w:r>
          </w:p>
        </w:tc>
        <w:tc>
          <w:tcPr>
            <w:tcW w:w="304" w:type="pct"/>
            <w:vMerge/>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3EF3EFD0" w14:textId="77777777" w:rsidR="0026263C" w:rsidRDefault="0026263C">
            <w:pPr>
              <w:rPr>
                <w:color w:val="000000"/>
                <w:sz w:val="13"/>
                <w:szCs w:val="13"/>
              </w:rPr>
            </w:pPr>
          </w:p>
        </w:tc>
        <w:tc>
          <w:tcPr>
            <w:tcW w:w="296" w:type="pct"/>
            <w:tcBorders>
              <w:top w:val="nil"/>
              <w:left w:val="nil"/>
              <w:bottom w:val="single" w:sz="4" w:space="0" w:color="auto"/>
              <w:right w:val="single" w:sz="4" w:space="0" w:color="auto"/>
            </w:tcBorders>
            <w:shd w:val="clear" w:color="auto" w:fill="D1D1D1" w:themeFill="background2" w:themeFillShade="E6"/>
            <w:vAlign w:val="center"/>
            <w:hideMark/>
          </w:tcPr>
          <w:p w14:paraId="2F43CF43" w14:textId="77777777" w:rsidR="0026263C" w:rsidRDefault="0026263C">
            <w:pPr>
              <w:jc w:val="center"/>
              <w:rPr>
                <w:color w:val="000000"/>
                <w:sz w:val="13"/>
                <w:szCs w:val="13"/>
              </w:rPr>
            </w:pPr>
            <w:r>
              <w:rPr>
                <w:color w:val="000000"/>
                <w:sz w:val="13"/>
                <w:szCs w:val="13"/>
              </w:rPr>
              <w:t>2025</w:t>
            </w:r>
          </w:p>
        </w:tc>
        <w:tc>
          <w:tcPr>
            <w:tcW w:w="246" w:type="pct"/>
            <w:tcBorders>
              <w:top w:val="nil"/>
              <w:left w:val="nil"/>
              <w:bottom w:val="single" w:sz="4" w:space="0" w:color="auto"/>
              <w:right w:val="single" w:sz="4" w:space="0" w:color="auto"/>
            </w:tcBorders>
            <w:shd w:val="clear" w:color="auto" w:fill="D1D1D1" w:themeFill="background2" w:themeFillShade="E6"/>
            <w:vAlign w:val="center"/>
            <w:hideMark/>
          </w:tcPr>
          <w:p w14:paraId="577308DE" w14:textId="77777777" w:rsidR="0026263C" w:rsidRDefault="0026263C">
            <w:pPr>
              <w:jc w:val="center"/>
              <w:rPr>
                <w:color w:val="000000"/>
                <w:sz w:val="13"/>
                <w:szCs w:val="13"/>
              </w:rPr>
            </w:pPr>
            <w:r>
              <w:rPr>
                <w:color w:val="000000"/>
                <w:sz w:val="13"/>
                <w:szCs w:val="13"/>
              </w:rPr>
              <w:t>2025</w:t>
            </w:r>
          </w:p>
        </w:tc>
        <w:tc>
          <w:tcPr>
            <w:tcW w:w="304" w:type="pct"/>
            <w:vMerge/>
            <w:tcBorders>
              <w:top w:val="nil"/>
              <w:left w:val="single" w:sz="4" w:space="0" w:color="auto"/>
              <w:bottom w:val="single" w:sz="4" w:space="0" w:color="auto"/>
              <w:right w:val="single" w:sz="4" w:space="0" w:color="auto"/>
            </w:tcBorders>
            <w:shd w:val="clear" w:color="auto" w:fill="D1D1D1" w:themeFill="background2" w:themeFillShade="E6"/>
            <w:vAlign w:val="center"/>
            <w:hideMark/>
          </w:tcPr>
          <w:p w14:paraId="73280A15" w14:textId="77777777" w:rsidR="0026263C" w:rsidRDefault="0026263C">
            <w:pPr>
              <w:rPr>
                <w:color w:val="000000"/>
                <w:sz w:val="13"/>
                <w:szCs w:val="13"/>
              </w:rPr>
            </w:pPr>
          </w:p>
        </w:tc>
        <w:tc>
          <w:tcPr>
            <w:tcW w:w="296" w:type="pct"/>
            <w:tcBorders>
              <w:top w:val="nil"/>
              <w:left w:val="nil"/>
              <w:bottom w:val="single" w:sz="4" w:space="0" w:color="auto"/>
              <w:right w:val="single" w:sz="4" w:space="0" w:color="auto"/>
            </w:tcBorders>
            <w:shd w:val="clear" w:color="auto" w:fill="D1D1D1" w:themeFill="background2" w:themeFillShade="E6"/>
            <w:vAlign w:val="center"/>
            <w:hideMark/>
          </w:tcPr>
          <w:p w14:paraId="6217B4DF" w14:textId="77777777" w:rsidR="0026263C" w:rsidRDefault="0026263C">
            <w:pPr>
              <w:jc w:val="center"/>
              <w:rPr>
                <w:color w:val="000000"/>
                <w:sz w:val="13"/>
                <w:szCs w:val="13"/>
              </w:rPr>
            </w:pPr>
            <w:r>
              <w:rPr>
                <w:color w:val="000000"/>
                <w:sz w:val="13"/>
                <w:szCs w:val="13"/>
              </w:rPr>
              <w:t>2025</w:t>
            </w:r>
          </w:p>
        </w:tc>
        <w:tc>
          <w:tcPr>
            <w:tcW w:w="246" w:type="pct"/>
            <w:tcBorders>
              <w:top w:val="nil"/>
              <w:left w:val="nil"/>
              <w:bottom w:val="single" w:sz="4" w:space="0" w:color="auto"/>
              <w:right w:val="single" w:sz="4" w:space="0" w:color="auto"/>
            </w:tcBorders>
            <w:shd w:val="clear" w:color="auto" w:fill="D1D1D1" w:themeFill="background2" w:themeFillShade="E6"/>
            <w:vAlign w:val="center"/>
            <w:hideMark/>
          </w:tcPr>
          <w:p w14:paraId="4282C8EC" w14:textId="77777777" w:rsidR="0026263C" w:rsidRDefault="0026263C">
            <w:pPr>
              <w:jc w:val="center"/>
              <w:rPr>
                <w:color w:val="000000"/>
                <w:sz w:val="13"/>
                <w:szCs w:val="13"/>
              </w:rPr>
            </w:pPr>
            <w:r>
              <w:rPr>
                <w:color w:val="000000"/>
                <w:sz w:val="13"/>
                <w:szCs w:val="13"/>
              </w:rPr>
              <w:t>2025</w:t>
            </w:r>
          </w:p>
        </w:tc>
        <w:tc>
          <w:tcPr>
            <w:tcW w:w="104" w:type="pct"/>
            <w:vAlign w:val="center"/>
            <w:hideMark/>
          </w:tcPr>
          <w:p w14:paraId="2E62CD84" w14:textId="77777777" w:rsidR="0026263C" w:rsidRDefault="0026263C">
            <w:pPr>
              <w:rPr>
                <w:sz w:val="20"/>
                <w:szCs w:val="20"/>
              </w:rPr>
            </w:pPr>
          </w:p>
        </w:tc>
      </w:tr>
      <w:tr w:rsidR="00215C71" w14:paraId="6D1CE2E7"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1DE8EEA5" w14:textId="07D341DA" w:rsidR="00215C71" w:rsidRDefault="00215C71" w:rsidP="00215C71">
            <w:pPr>
              <w:rPr>
                <w:color w:val="000000"/>
                <w:sz w:val="14"/>
                <w:szCs w:val="14"/>
              </w:rPr>
            </w:pPr>
            <w:r>
              <w:rPr>
                <w:color w:val="000000"/>
                <w:sz w:val="14"/>
                <w:szCs w:val="14"/>
              </w:rPr>
              <w:t xml:space="preserve">Благоевград </w:t>
            </w:r>
          </w:p>
        </w:tc>
        <w:tc>
          <w:tcPr>
            <w:tcW w:w="304" w:type="pct"/>
            <w:tcBorders>
              <w:top w:val="nil"/>
              <w:left w:val="nil"/>
              <w:bottom w:val="single" w:sz="4" w:space="0" w:color="auto"/>
              <w:right w:val="single" w:sz="4" w:space="0" w:color="auto"/>
            </w:tcBorders>
            <w:shd w:val="clear" w:color="auto" w:fill="auto"/>
            <w:vAlign w:val="center"/>
            <w:hideMark/>
          </w:tcPr>
          <w:p w14:paraId="0C17F09C"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0D763AC9" w14:textId="2D1E4F9A" w:rsidR="00215C71" w:rsidRPr="00E82C5A" w:rsidRDefault="00215C71" w:rsidP="00215C71">
            <w:pPr>
              <w:jc w:val="right"/>
              <w:rPr>
                <w:sz w:val="14"/>
                <w:szCs w:val="14"/>
              </w:rPr>
            </w:pPr>
            <w:r w:rsidRPr="00E82C5A">
              <w:rPr>
                <w:sz w:val="14"/>
                <w:szCs w:val="14"/>
              </w:rPr>
              <w:t>67</w:t>
            </w:r>
          </w:p>
        </w:tc>
        <w:tc>
          <w:tcPr>
            <w:tcW w:w="246" w:type="pct"/>
            <w:tcBorders>
              <w:top w:val="nil"/>
              <w:left w:val="nil"/>
              <w:bottom w:val="single" w:sz="4" w:space="0" w:color="auto"/>
              <w:right w:val="single" w:sz="4" w:space="0" w:color="auto"/>
            </w:tcBorders>
            <w:shd w:val="clear" w:color="auto" w:fill="auto"/>
            <w:vAlign w:val="center"/>
            <w:hideMark/>
          </w:tcPr>
          <w:p w14:paraId="0BB9E7A5" w14:textId="77777777" w:rsidR="00215C71" w:rsidRPr="00E82C5A" w:rsidRDefault="00215C71" w:rsidP="00215C71">
            <w:pPr>
              <w:jc w:val="right"/>
              <w:rPr>
                <w:sz w:val="14"/>
                <w:szCs w:val="14"/>
              </w:rPr>
            </w:pPr>
            <w:r w:rsidRPr="00E82C5A">
              <w:rPr>
                <w:sz w:val="14"/>
                <w:szCs w:val="14"/>
              </w:rPr>
              <w:t>67</w:t>
            </w:r>
          </w:p>
        </w:tc>
        <w:tc>
          <w:tcPr>
            <w:tcW w:w="304" w:type="pct"/>
            <w:tcBorders>
              <w:top w:val="nil"/>
              <w:left w:val="nil"/>
              <w:bottom w:val="single" w:sz="4" w:space="0" w:color="auto"/>
              <w:right w:val="single" w:sz="4" w:space="0" w:color="auto"/>
            </w:tcBorders>
            <w:shd w:val="clear" w:color="auto" w:fill="auto"/>
            <w:vAlign w:val="center"/>
            <w:hideMark/>
          </w:tcPr>
          <w:p w14:paraId="75F86860"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55C916FF" w14:textId="3CEBCEE9" w:rsidR="00215C71" w:rsidRPr="00E82C5A" w:rsidRDefault="00215C71" w:rsidP="00215C71">
            <w:pPr>
              <w:jc w:val="right"/>
              <w:rPr>
                <w:sz w:val="14"/>
                <w:szCs w:val="14"/>
              </w:rPr>
            </w:pPr>
            <w:r w:rsidRPr="00E82C5A">
              <w:rPr>
                <w:sz w:val="14"/>
                <w:szCs w:val="14"/>
              </w:rPr>
              <w:t>3 510</w:t>
            </w:r>
          </w:p>
        </w:tc>
        <w:tc>
          <w:tcPr>
            <w:tcW w:w="246" w:type="pct"/>
            <w:tcBorders>
              <w:top w:val="nil"/>
              <w:left w:val="nil"/>
              <w:bottom w:val="single" w:sz="4" w:space="0" w:color="auto"/>
              <w:right w:val="single" w:sz="4" w:space="0" w:color="auto"/>
            </w:tcBorders>
            <w:shd w:val="clear" w:color="auto" w:fill="auto"/>
            <w:vAlign w:val="center"/>
            <w:hideMark/>
          </w:tcPr>
          <w:p w14:paraId="1E8412AD" w14:textId="77777777" w:rsidR="00215C71" w:rsidRPr="00E82C5A" w:rsidRDefault="00215C71" w:rsidP="00215C71">
            <w:pPr>
              <w:jc w:val="right"/>
              <w:rPr>
                <w:sz w:val="14"/>
                <w:szCs w:val="14"/>
              </w:rPr>
            </w:pPr>
            <w:r w:rsidRPr="00E82C5A">
              <w:rPr>
                <w:sz w:val="14"/>
                <w:szCs w:val="14"/>
              </w:rPr>
              <w:t>1 782</w:t>
            </w:r>
          </w:p>
        </w:tc>
        <w:tc>
          <w:tcPr>
            <w:tcW w:w="304" w:type="pct"/>
            <w:tcBorders>
              <w:top w:val="nil"/>
              <w:left w:val="nil"/>
              <w:bottom w:val="single" w:sz="4" w:space="0" w:color="auto"/>
              <w:right w:val="single" w:sz="4" w:space="0" w:color="auto"/>
            </w:tcBorders>
            <w:shd w:val="clear" w:color="auto" w:fill="auto"/>
            <w:vAlign w:val="center"/>
            <w:hideMark/>
          </w:tcPr>
          <w:p w14:paraId="4BCD28C0"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18A1268B" w14:textId="77777777"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79505F56" w14:textId="77777777" w:rsidR="00215C71" w:rsidRPr="00E82C5A" w:rsidRDefault="00215C71" w:rsidP="00215C71">
            <w:pPr>
              <w:jc w:val="right"/>
              <w:rPr>
                <w:sz w:val="14"/>
                <w:szCs w:val="14"/>
              </w:rPr>
            </w:pPr>
            <w:r w:rsidRPr="00E82C5A">
              <w:rPr>
                <w:sz w:val="14"/>
                <w:szCs w:val="14"/>
              </w:rPr>
              <w:t>0</w:t>
            </w:r>
          </w:p>
        </w:tc>
        <w:tc>
          <w:tcPr>
            <w:tcW w:w="304" w:type="pct"/>
            <w:tcBorders>
              <w:top w:val="nil"/>
              <w:left w:val="nil"/>
              <w:bottom w:val="single" w:sz="4" w:space="0" w:color="auto"/>
              <w:right w:val="single" w:sz="4" w:space="0" w:color="auto"/>
            </w:tcBorders>
            <w:shd w:val="clear" w:color="auto" w:fill="auto"/>
            <w:vAlign w:val="center"/>
            <w:hideMark/>
          </w:tcPr>
          <w:p w14:paraId="1B6652F7"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3F8996C9" w14:textId="63F08455" w:rsidR="00215C71" w:rsidRPr="00E82C5A" w:rsidRDefault="00215C71" w:rsidP="00215C71">
            <w:pPr>
              <w:jc w:val="right"/>
              <w:rPr>
                <w:sz w:val="14"/>
                <w:szCs w:val="14"/>
              </w:rPr>
            </w:pPr>
            <w:r w:rsidRPr="00E82C5A">
              <w:rPr>
                <w:sz w:val="14"/>
                <w:szCs w:val="14"/>
              </w:rPr>
              <w:t>6 000</w:t>
            </w:r>
          </w:p>
        </w:tc>
        <w:tc>
          <w:tcPr>
            <w:tcW w:w="246" w:type="pct"/>
            <w:tcBorders>
              <w:top w:val="nil"/>
              <w:left w:val="nil"/>
              <w:bottom w:val="single" w:sz="4" w:space="0" w:color="auto"/>
              <w:right w:val="single" w:sz="4" w:space="0" w:color="auto"/>
            </w:tcBorders>
            <w:shd w:val="clear" w:color="auto" w:fill="auto"/>
            <w:vAlign w:val="center"/>
            <w:hideMark/>
          </w:tcPr>
          <w:p w14:paraId="1C6A7AAF" w14:textId="77777777" w:rsidR="00215C71" w:rsidRPr="00E82C5A" w:rsidRDefault="00215C71" w:rsidP="00215C71">
            <w:pPr>
              <w:jc w:val="right"/>
              <w:rPr>
                <w:sz w:val="14"/>
                <w:szCs w:val="14"/>
              </w:rPr>
            </w:pPr>
            <w:r w:rsidRPr="00E82C5A">
              <w:rPr>
                <w:sz w:val="14"/>
                <w:szCs w:val="14"/>
              </w:rPr>
              <w:t>3 092</w:t>
            </w:r>
          </w:p>
        </w:tc>
        <w:tc>
          <w:tcPr>
            <w:tcW w:w="304" w:type="pct"/>
            <w:tcBorders>
              <w:top w:val="nil"/>
              <w:left w:val="nil"/>
              <w:bottom w:val="single" w:sz="4" w:space="0" w:color="auto"/>
              <w:right w:val="single" w:sz="4" w:space="0" w:color="auto"/>
            </w:tcBorders>
            <w:shd w:val="clear" w:color="auto" w:fill="auto"/>
            <w:vAlign w:val="center"/>
            <w:hideMark/>
          </w:tcPr>
          <w:p w14:paraId="3BF14100"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31576409" w14:textId="50E38F01" w:rsidR="00215C71" w:rsidRPr="00E82C5A" w:rsidRDefault="00215C71" w:rsidP="00215C71">
            <w:pPr>
              <w:jc w:val="right"/>
              <w:rPr>
                <w:sz w:val="14"/>
                <w:szCs w:val="14"/>
              </w:rPr>
            </w:pPr>
            <w:r w:rsidRPr="00E82C5A">
              <w:rPr>
                <w:sz w:val="14"/>
                <w:szCs w:val="14"/>
              </w:rPr>
              <w:t>20</w:t>
            </w:r>
          </w:p>
        </w:tc>
        <w:tc>
          <w:tcPr>
            <w:tcW w:w="246" w:type="pct"/>
            <w:tcBorders>
              <w:top w:val="nil"/>
              <w:left w:val="nil"/>
              <w:bottom w:val="single" w:sz="4" w:space="0" w:color="auto"/>
              <w:right w:val="single" w:sz="4" w:space="0" w:color="auto"/>
            </w:tcBorders>
            <w:shd w:val="clear" w:color="auto" w:fill="auto"/>
            <w:vAlign w:val="center"/>
            <w:hideMark/>
          </w:tcPr>
          <w:p w14:paraId="00A5683E" w14:textId="77777777" w:rsidR="00215C71" w:rsidRPr="00E82C5A" w:rsidRDefault="00215C71" w:rsidP="00215C71">
            <w:pPr>
              <w:jc w:val="right"/>
              <w:rPr>
                <w:sz w:val="14"/>
                <w:szCs w:val="14"/>
              </w:rPr>
            </w:pPr>
            <w:r w:rsidRPr="00E82C5A">
              <w:rPr>
                <w:sz w:val="14"/>
                <w:szCs w:val="14"/>
              </w:rPr>
              <w:t>0</w:t>
            </w:r>
          </w:p>
        </w:tc>
        <w:tc>
          <w:tcPr>
            <w:tcW w:w="104" w:type="pct"/>
            <w:vAlign w:val="center"/>
            <w:hideMark/>
          </w:tcPr>
          <w:p w14:paraId="649CC420" w14:textId="77777777" w:rsidR="00215C71" w:rsidRDefault="00215C71" w:rsidP="00215C71">
            <w:pPr>
              <w:rPr>
                <w:sz w:val="20"/>
                <w:szCs w:val="20"/>
              </w:rPr>
            </w:pPr>
          </w:p>
        </w:tc>
      </w:tr>
      <w:tr w:rsidR="00215C71" w14:paraId="439016A1"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0839B713" w14:textId="77777777" w:rsidR="00215C71" w:rsidRDefault="00215C71" w:rsidP="00215C71">
            <w:pPr>
              <w:rPr>
                <w:color w:val="000000"/>
                <w:sz w:val="14"/>
                <w:szCs w:val="14"/>
              </w:rPr>
            </w:pPr>
            <w:r>
              <w:rPr>
                <w:color w:val="000000"/>
                <w:sz w:val="14"/>
                <w:szCs w:val="14"/>
              </w:rPr>
              <w:t>Бургас</w:t>
            </w:r>
          </w:p>
        </w:tc>
        <w:tc>
          <w:tcPr>
            <w:tcW w:w="304" w:type="pct"/>
            <w:tcBorders>
              <w:top w:val="nil"/>
              <w:left w:val="nil"/>
              <w:bottom w:val="single" w:sz="4" w:space="0" w:color="auto"/>
              <w:right w:val="single" w:sz="4" w:space="0" w:color="auto"/>
            </w:tcBorders>
            <w:shd w:val="clear" w:color="auto" w:fill="auto"/>
            <w:vAlign w:val="center"/>
            <w:hideMark/>
          </w:tcPr>
          <w:p w14:paraId="293110D2"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5A5F159D" w14:textId="0871489F" w:rsidR="00215C71" w:rsidRPr="00E82C5A" w:rsidRDefault="00215C71" w:rsidP="00215C71">
            <w:pPr>
              <w:jc w:val="right"/>
              <w:rPr>
                <w:sz w:val="14"/>
                <w:szCs w:val="14"/>
              </w:rPr>
            </w:pPr>
            <w:r w:rsidRPr="00E82C5A">
              <w:rPr>
                <w:sz w:val="14"/>
                <w:szCs w:val="14"/>
              </w:rPr>
              <w:t>1400</w:t>
            </w:r>
          </w:p>
        </w:tc>
        <w:tc>
          <w:tcPr>
            <w:tcW w:w="246" w:type="pct"/>
            <w:tcBorders>
              <w:top w:val="nil"/>
              <w:left w:val="nil"/>
              <w:bottom w:val="single" w:sz="4" w:space="0" w:color="auto"/>
              <w:right w:val="single" w:sz="4" w:space="0" w:color="auto"/>
            </w:tcBorders>
            <w:shd w:val="clear" w:color="auto" w:fill="auto"/>
            <w:vAlign w:val="center"/>
            <w:hideMark/>
          </w:tcPr>
          <w:p w14:paraId="0CCD1343" w14:textId="77777777" w:rsidR="00215C71" w:rsidRPr="00E82C5A" w:rsidRDefault="00215C71" w:rsidP="00215C71">
            <w:pPr>
              <w:jc w:val="right"/>
              <w:rPr>
                <w:sz w:val="14"/>
                <w:szCs w:val="14"/>
              </w:rPr>
            </w:pPr>
            <w:r w:rsidRPr="00E82C5A">
              <w:rPr>
                <w:sz w:val="14"/>
                <w:szCs w:val="14"/>
              </w:rPr>
              <w:t>1 315</w:t>
            </w:r>
          </w:p>
        </w:tc>
        <w:tc>
          <w:tcPr>
            <w:tcW w:w="304" w:type="pct"/>
            <w:tcBorders>
              <w:top w:val="nil"/>
              <w:left w:val="nil"/>
              <w:bottom w:val="single" w:sz="4" w:space="0" w:color="auto"/>
              <w:right w:val="single" w:sz="4" w:space="0" w:color="auto"/>
            </w:tcBorders>
            <w:shd w:val="clear" w:color="auto" w:fill="auto"/>
            <w:vAlign w:val="center"/>
            <w:hideMark/>
          </w:tcPr>
          <w:p w14:paraId="3268A20B"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731D5C61" w14:textId="32B222DD" w:rsidR="00215C71" w:rsidRPr="00E82C5A" w:rsidRDefault="00215C71" w:rsidP="00215C71">
            <w:pPr>
              <w:jc w:val="right"/>
              <w:rPr>
                <w:sz w:val="14"/>
                <w:szCs w:val="14"/>
              </w:rPr>
            </w:pPr>
            <w:r w:rsidRPr="00E82C5A">
              <w:rPr>
                <w:sz w:val="14"/>
                <w:szCs w:val="14"/>
              </w:rPr>
              <w:t>2810</w:t>
            </w:r>
          </w:p>
        </w:tc>
        <w:tc>
          <w:tcPr>
            <w:tcW w:w="246" w:type="pct"/>
            <w:tcBorders>
              <w:top w:val="nil"/>
              <w:left w:val="nil"/>
              <w:bottom w:val="single" w:sz="4" w:space="0" w:color="auto"/>
              <w:right w:val="single" w:sz="4" w:space="0" w:color="auto"/>
            </w:tcBorders>
            <w:shd w:val="clear" w:color="auto" w:fill="auto"/>
            <w:vAlign w:val="center"/>
            <w:hideMark/>
          </w:tcPr>
          <w:p w14:paraId="486DF404" w14:textId="77777777" w:rsidR="00215C71" w:rsidRPr="00E82C5A" w:rsidRDefault="00215C71" w:rsidP="00215C71">
            <w:pPr>
              <w:jc w:val="right"/>
              <w:rPr>
                <w:sz w:val="14"/>
                <w:szCs w:val="14"/>
              </w:rPr>
            </w:pPr>
            <w:r w:rsidRPr="00E82C5A">
              <w:rPr>
                <w:sz w:val="14"/>
                <w:szCs w:val="14"/>
              </w:rPr>
              <w:t>1 353</w:t>
            </w:r>
          </w:p>
        </w:tc>
        <w:tc>
          <w:tcPr>
            <w:tcW w:w="304" w:type="pct"/>
            <w:tcBorders>
              <w:top w:val="nil"/>
              <w:left w:val="nil"/>
              <w:bottom w:val="single" w:sz="4" w:space="0" w:color="auto"/>
              <w:right w:val="single" w:sz="4" w:space="0" w:color="auto"/>
            </w:tcBorders>
            <w:shd w:val="clear" w:color="auto" w:fill="auto"/>
            <w:vAlign w:val="center"/>
            <w:hideMark/>
          </w:tcPr>
          <w:p w14:paraId="3D37242E"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0773D3AD" w14:textId="05421055"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018C5AF5" w14:textId="77777777" w:rsidR="00215C71" w:rsidRPr="00E82C5A" w:rsidRDefault="00215C71" w:rsidP="00215C71">
            <w:pPr>
              <w:jc w:val="right"/>
              <w:rPr>
                <w:sz w:val="14"/>
                <w:szCs w:val="14"/>
              </w:rPr>
            </w:pPr>
            <w:r w:rsidRPr="00E82C5A">
              <w:rPr>
                <w:sz w:val="14"/>
                <w:szCs w:val="14"/>
              </w:rPr>
              <w:t>0</w:t>
            </w:r>
          </w:p>
        </w:tc>
        <w:tc>
          <w:tcPr>
            <w:tcW w:w="304" w:type="pct"/>
            <w:tcBorders>
              <w:top w:val="nil"/>
              <w:left w:val="nil"/>
              <w:bottom w:val="single" w:sz="4" w:space="0" w:color="auto"/>
              <w:right w:val="single" w:sz="4" w:space="0" w:color="auto"/>
            </w:tcBorders>
            <w:shd w:val="clear" w:color="auto" w:fill="auto"/>
            <w:vAlign w:val="center"/>
            <w:hideMark/>
          </w:tcPr>
          <w:p w14:paraId="008A2AF2"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4F9E3365" w14:textId="46D8116F" w:rsidR="00215C71" w:rsidRPr="00E82C5A" w:rsidRDefault="00215C71" w:rsidP="00215C71">
            <w:pPr>
              <w:jc w:val="right"/>
              <w:rPr>
                <w:sz w:val="14"/>
                <w:szCs w:val="14"/>
              </w:rPr>
            </w:pPr>
            <w:r w:rsidRPr="00E82C5A">
              <w:rPr>
                <w:sz w:val="14"/>
                <w:szCs w:val="14"/>
              </w:rPr>
              <w:t>15000</w:t>
            </w:r>
          </w:p>
        </w:tc>
        <w:tc>
          <w:tcPr>
            <w:tcW w:w="246" w:type="pct"/>
            <w:tcBorders>
              <w:top w:val="nil"/>
              <w:left w:val="nil"/>
              <w:bottom w:val="single" w:sz="4" w:space="0" w:color="auto"/>
              <w:right w:val="single" w:sz="4" w:space="0" w:color="auto"/>
            </w:tcBorders>
            <w:shd w:val="clear" w:color="auto" w:fill="auto"/>
            <w:vAlign w:val="center"/>
            <w:hideMark/>
          </w:tcPr>
          <w:p w14:paraId="032698D9" w14:textId="77777777" w:rsidR="00215C71" w:rsidRPr="00E82C5A" w:rsidRDefault="00215C71" w:rsidP="00215C71">
            <w:pPr>
              <w:jc w:val="right"/>
              <w:rPr>
                <w:sz w:val="14"/>
                <w:szCs w:val="14"/>
              </w:rPr>
            </w:pPr>
            <w:r w:rsidRPr="00E82C5A">
              <w:rPr>
                <w:sz w:val="14"/>
                <w:szCs w:val="14"/>
              </w:rPr>
              <w:t>8 932</w:t>
            </w:r>
          </w:p>
        </w:tc>
        <w:tc>
          <w:tcPr>
            <w:tcW w:w="304" w:type="pct"/>
            <w:tcBorders>
              <w:top w:val="nil"/>
              <w:left w:val="nil"/>
              <w:bottom w:val="single" w:sz="4" w:space="0" w:color="auto"/>
              <w:right w:val="single" w:sz="4" w:space="0" w:color="auto"/>
            </w:tcBorders>
            <w:shd w:val="clear" w:color="auto" w:fill="auto"/>
            <w:vAlign w:val="center"/>
            <w:hideMark/>
          </w:tcPr>
          <w:p w14:paraId="7AC27E51"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1274E031" w14:textId="0FE3D0E3" w:rsidR="00215C71" w:rsidRPr="00E82C5A" w:rsidRDefault="00215C71" w:rsidP="00215C71">
            <w:pPr>
              <w:jc w:val="right"/>
              <w:rPr>
                <w:sz w:val="14"/>
                <w:szCs w:val="14"/>
              </w:rPr>
            </w:pPr>
            <w:r w:rsidRPr="00E82C5A">
              <w:rPr>
                <w:sz w:val="14"/>
                <w:szCs w:val="14"/>
              </w:rPr>
              <w:t>49</w:t>
            </w:r>
          </w:p>
        </w:tc>
        <w:tc>
          <w:tcPr>
            <w:tcW w:w="246" w:type="pct"/>
            <w:tcBorders>
              <w:top w:val="nil"/>
              <w:left w:val="nil"/>
              <w:bottom w:val="single" w:sz="4" w:space="0" w:color="auto"/>
              <w:right w:val="single" w:sz="4" w:space="0" w:color="auto"/>
            </w:tcBorders>
            <w:shd w:val="clear" w:color="auto" w:fill="auto"/>
            <w:vAlign w:val="center"/>
            <w:hideMark/>
          </w:tcPr>
          <w:p w14:paraId="28C97E76" w14:textId="77777777" w:rsidR="00215C71" w:rsidRPr="00E82C5A" w:rsidRDefault="00215C71" w:rsidP="00215C71">
            <w:pPr>
              <w:jc w:val="right"/>
              <w:rPr>
                <w:sz w:val="14"/>
                <w:szCs w:val="14"/>
              </w:rPr>
            </w:pPr>
            <w:r w:rsidRPr="00E82C5A">
              <w:rPr>
                <w:sz w:val="14"/>
                <w:szCs w:val="14"/>
              </w:rPr>
              <w:t>1</w:t>
            </w:r>
          </w:p>
        </w:tc>
        <w:tc>
          <w:tcPr>
            <w:tcW w:w="104" w:type="pct"/>
            <w:vAlign w:val="center"/>
            <w:hideMark/>
          </w:tcPr>
          <w:p w14:paraId="5505335B" w14:textId="77777777" w:rsidR="00215C71" w:rsidRDefault="00215C71" w:rsidP="00215C71">
            <w:pPr>
              <w:rPr>
                <w:sz w:val="20"/>
                <w:szCs w:val="20"/>
              </w:rPr>
            </w:pPr>
          </w:p>
        </w:tc>
      </w:tr>
      <w:tr w:rsidR="00215C71" w14:paraId="2A350768"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09C0FFE6" w14:textId="77777777" w:rsidR="00215C71" w:rsidRDefault="00215C71" w:rsidP="00215C71">
            <w:pPr>
              <w:rPr>
                <w:color w:val="000000"/>
                <w:sz w:val="14"/>
                <w:szCs w:val="14"/>
              </w:rPr>
            </w:pPr>
            <w:r>
              <w:rPr>
                <w:color w:val="000000"/>
                <w:sz w:val="14"/>
                <w:szCs w:val="14"/>
              </w:rPr>
              <w:t>Варна</w:t>
            </w:r>
          </w:p>
        </w:tc>
        <w:tc>
          <w:tcPr>
            <w:tcW w:w="304" w:type="pct"/>
            <w:tcBorders>
              <w:top w:val="nil"/>
              <w:left w:val="nil"/>
              <w:bottom w:val="single" w:sz="4" w:space="0" w:color="auto"/>
              <w:right w:val="single" w:sz="4" w:space="0" w:color="auto"/>
            </w:tcBorders>
            <w:shd w:val="clear" w:color="auto" w:fill="auto"/>
            <w:vAlign w:val="center"/>
            <w:hideMark/>
          </w:tcPr>
          <w:p w14:paraId="4C25D320"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622151C8" w14:textId="5DB551E2" w:rsidR="00215C71" w:rsidRPr="00E82C5A" w:rsidRDefault="00215C71" w:rsidP="00215C71">
            <w:pPr>
              <w:jc w:val="right"/>
              <w:rPr>
                <w:sz w:val="14"/>
                <w:szCs w:val="14"/>
              </w:rPr>
            </w:pPr>
            <w:r w:rsidRPr="00E82C5A">
              <w:rPr>
                <w:sz w:val="14"/>
                <w:szCs w:val="14"/>
              </w:rPr>
              <w:t>460</w:t>
            </w:r>
          </w:p>
        </w:tc>
        <w:tc>
          <w:tcPr>
            <w:tcW w:w="246" w:type="pct"/>
            <w:tcBorders>
              <w:top w:val="nil"/>
              <w:left w:val="nil"/>
              <w:bottom w:val="single" w:sz="4" w:space="0" w:color="auto"/>
              <w:right w:val="single" w:sz="4" w:space="0" w:color="auto"/>
            </w:tcBorders>
            <w:shd w:val="clear" w:color="auto" w:fill="auto"/>
            <w:vAlign w:val="center"/>
            <w:hideMark/>
          </w:tcPr>
          <w:p w14:paraId="334B59B9" w14:textId="77777777" w:rsidR="00215C71" w:rsidRPr="00E82C5A" w:rsidRDefault="00215C71" w:rsidP="00215C71">
            <w:pPr>
              <w:jc w:val="right"/>
              <w:rPr>
                <w:sz w:val="14"/>
                <w:szCs w:val="14"/>
              </w:rPr>
            </w:pPr>
            <w:r w:rsidRPr="00E82C5A">
              <w:rPr>
                <w:sz w:val="14"/>
                <w:szCs w:val="14"/>
              </w:rPr>
              <w:t>460</w:t>
            </w:r>
          </w:p>
        </w:tc>
        <w:tc>
          <w:tcPr>
            <w:tcW w:w="304" w:type="pct"/>
            <w:tcBorders>
              <w:top w:val="nil"/>
              <w:left w:val="nil"/>
              <w:bottom w:val="single" w:sz="4" w:space="0" w:color="auto"/>
              <w:right w:val="single" w:sz="4" w:space="0" w:color="auto"/>
            </w:tcBorders>
            <w:shd w:val="clear" w:color="auto" w:fill="auto"/>
            <w:vAlign w:val="center"/>
            <w:hideMark/>
          </w:tcPr>
          <w:p w14:paraId="6CBDCF8B"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48CFF052" w14:textId="7B971249" w:rsidR="00215C71" w:rsidRPr="00E82C5A" w:rsidRDefault="00215C71" w:rsidP="00215C71">
            <w:pPr>
              <w:jc w:val="right"/>
              <w:rPr>
                <w:sz w:val="14"/>
                <w:szCs w:val="14"/>
              </w:rPr>
            </w:pPr>
            <w:r w:rsidRPr="00E82C5A">
              <w:rPr>
                <w:sz w:val="14"/>
                <w:szCs w:val="14"/>
              </w:rPr>
              <w:t>3535</w:t>
            </w:r>
          </w:p>
        </w:tc>
        <w:tc>
          <w:tcPr>
            <w:tcW w:w="246" w:type="pct"/>
            <w:tcBorders>
              <w:top w:val="nil"/>
              <w:left w:val="nil"/>
              <w:bottom w:val="single" w:sz="4" w:space="0" w:color="auto"/>
              <w:right w:val="single" w:sz="4" w:space="0" w:color="auto"/>
            </w:tcBorders>
            <w:shd w:val="clear" w:color="auto" w:fill="auto"/>
            <w:vAlign w:val="center"/>
            <w:hideMark/>
          </w:tcPr>
          <w:p w14:paraId="6C43581F" w14:textId="77777777" w:rsidR="00215C71" w:rsidRPr="00E82C5A" w:rsidRDefault="00215C71" w:rsidP="00215C71">
            <w:pPr>
              <w:jc w:val="right"/>
              <w:rPr>
                <w:sz w:val="14"/>
                <w:szCs w:val="14"/>
              </w:rPr>
            </w:pPr>
            <w:r w:rsidRPr="00E82C5A">
              <w:rPr>
                <w:sz w:val="14"/>
                <w:szCs w:val="14"/>
              </w:rPr>
              <w:t>1 388</w:t>
            </w:r>
          </w:p>
        </w:tc>
        <w:tc>
          <w:tcPr>
            <w:tcW w:w="304" w:type="pct"/>
            <w:tcBorders>
              <w:top w:val="nil"/>
              <w:left w:val="nil"/>
              <w:bottom w:val="single" w:sz="4" w:space="0" w:color="auto"/>
              <w:right w:val="single" w:sz="4" w:space="0" w:color="auto"/>
            </w:tcBorders>
            <w:shd w:val="clear" w:color="auto" w:fill="auto"/>
            <w:vAlign w:val="center"/>
            <w:hideMark/>
          </w:tcPr>
          <w:p w14:paraId="6E989166"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6E0EE4DF" w14:textId="10C09392"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4C6F31BA" w14:textId="77777777" w:rsidR="00215C71" w:rsidRPr="00E82C5A" w:rsidRDefault="00215C71" w:rsidP="00215C71">
            <w:pPr>
              <w:jc w:val="right"/>
              <w:rPr>
                <w:sz w:val="14"/>
                <w:szCs w:val="14"/>
              </w:rPr>
            </w:pPr>
            <w:r w:rsidRPr="00E82C5A">
              <w:rPr>
                <w:sz w:val="14"/>
                <w:szCs w:val="14"/>
              </w:rPr>
              <w:t>100</w:t>
            </w:r>
          </w:p>
        </w:tc>
        <w:tc>
          <w:tcPr>
            <w:tcW w:w="304" w:type="pct"/>
            <w:tcBorders>
              <w:top w:val="nil"/>
              <w:left w:val="nil"/>
              <w:bottom w:val="single" w:sz="4" w:space="0" w:color="auto"/>
              <w:right w:val="single" w:sz="4" w:space="0" w:color="auto"/>
            </w:tcBorders>
            <w:shd w:val="clear" w:color="auto" w:fill="auto"/>
            <w:vAlign w:val="center"/>
            <w:hideMark/>
          </w:tcPr>
          <w:p w14:paraId="60D38A01"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2E62359C" w14:textId="2B23C23F" w:rsidR="00215C71" w:rsidRPr="00E82C5A" w:rsidRDefault="00215C71" w:rsidP="00215C71">
            <w:pPr>
              <w:jc w:val="right"/>
              <w:rPr>
                <w:sz w:val="14"/>
                <w:szCs w:val="14"/>
              </w:rPr>
            </w:pPr>
            <w:r w:rsidRPr="00E82C5A">
              <w:rPr>
                <w:sz w:val="14"/>
                <w:szCs w:val="14"/>
              </w:rPr>
              <w:t>5000</w:t>
            </w:r>
          </w:p>
        </w:tc>
        <w:tc>
          <w:tcPr>
            <w:tcW w:w="246" w:type="pct"/>
            <w:tcBorders>
              <w:top w:val="nil"/>
              <w:left w:val="nil"/>
              <w:bottom w:val="single" w:sz="4" w:space="0" w:color="auto"/>
              <w:right w:val="single" w:sz="4" w:space="0" w:color="auto"/>
            </w:tcBorders>
            <w:shd w:val="clear" w:color="auto" w:fill="auto"/>
            <w:vAlign w:val="center"/>
            <w:hideMark/>
          </w:tcPr>
          <w:p w14:paraId="08AF7512" w14:textId="77777777" w:rsidR="00215C71" w:rsidRPr="00E82C5A" w:rsidRDefault="00215C71" w:rsidP="00215C71">
            <w:pPr>
              <w:jc w:val="right"/>
              <w:rPr>
                <w:sz w:val="14"/>
                <w:szCs w:val="14"/>
              </w:rPr>
            </w:pPr>
            <w:r w:rsidRPr="00E82C5A">
              <w:rPr>
                <w:sz w:val="14"/>
                <w:szCs w:val="14"/>
              </w:rPr>
              <w:t>4 535</w:t>
            </w:r>
          </w:p>
        </w:tc>
        <w:tc>
          <w:tcPr>
            <w:tcW w:w="304" w:type="pct"/>
            <w:tcBorders>
              <w:top w:val="nil"/>
              <w:left w:val="nil"/>
              <w:bottom w:val="single" w:sz="4" w:space="0" w:color="auto"/>
              <w:right w:val="single" w:sz="4" w:space="0" w:color="auto"/>
            </w:tcBorders>
            <w:shd w:val="clear" w:color="auto" w:fill="auto"/>
            <w:vAlign w:val="center"/>
            <w:hideMark/>
          </w:tcPr>
          <w:p w14:paraId="4E2AED62"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5FE1AB21" w14:textId="450F56BB" w:rsidR="00215C71" w:rsidRPr="00E82C5A" w:rsidRDefault="00215C71" w:rsidP="00215C71">
            <w:pPr>
              <w:jc w:val="right"/>
              <w:rPr>
                <w:sz w:val="14"/>
                <w:szCs w:val="14"/>
              </w:rPr>
            </w:pPr>
            <w:r w:rsidRPr="00E82C5A">
              <w:rPr>
                <w:sz w:val="14"/>
                <w:szCs w:val="14"/>
              </w:rPr>
              <w:t>25</w:t>
            </w:r>
          </w:p>
        </w:tc>
        <w:tc>
          <w:tcPr>
            <w:tcW w:w="246" w:type="pct"/>
            <w:tcBorders>
              <w:top w:val="nil"/>
              <w:left w:val="nil"/>
              <w:bottom w:val="single" w:sz="4" w:space="0" w:color="auto"/>
              <w:right w:val="single" w:sz="4" w:space="0" w:color="auto"/>
            </w:tcBorders>
            <w:shd w:val="clear" w:color="auto" w:fill="auto"/>
            <w:vAlign w:val="center"/>
            <w:hideMark/>
          </w:tcPr>
          <w:p w14:paraId="6F6F0BB8" w14:textId="77777777" w:rsidR="00215C71" w:rsidRPr="00E82C5A" w:rsidRDefault="00215C71" w:rsidP="00215C71">
            <w:pPr>
              <w:jc w:val="right"/>
              <w:rPr>
                <w:sz w:val="14"/>
                <w:szCs w:val="14"/>
              </w:rPr>
            </w:pPr>
            <w:r w:rsidRPr="00E82C5A">
              <w:rPr>
                <w:sz w:val="14"/>
                <w:szCs w:val="14"/>
              </w:rPr>
              <w:t>20</w:t>
            </w:r>
          </w:p>
        </w:tc>
        <w:tc>
          <w:tcPr>
            <w:tcW w:w="104" w:type="pct"/>
            <w:vAlign w:val="center"/>
            <w:hideMark/>
          </w:tcPr>
          <w:p w14:paraId="12217FEB" w14:textId="77777777" w:rsidR="00215C71" w:rsidRDefault="00215C71" w:rsidP="00215C71">
            <w:pPr>
              <w:rPr>
                <w:sz w:val="20"/>
                <w:szCs w:val="20"/>
              </w:rPr>
            </w:pPr>
          </w:p>
        </w:tc>
      </w:tr>
      <w:tr w:rsidR="00215C71" w14:paraId="05C8F9E6"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4F69DAA0" w14:textId="77777777" w:rsidR="00215C71" w:rsidRDefault="00215C71" w:rsidP="00215C71">
            <w:pPr>
              <w:rPr>
                <w:color w:val="000000"/>
                <w:sz w:val="14"/>
                <w:szCs w:val="14"/>
              </w:rPr>
            </w:pPr>
            <w:r>
              <w:rPr>
                <w:color w:val="000000"/>
                <w:sz w:val="14"/>
                <w:szCs w:val="14"/>
              </w:rPr>
              <w:t>Велико Търново</w:t>
            </w:r>
          </w:p>
        </w:tc>
        <w:tc>
          <w:tcPr>
            <w:tcW w:w="304" w:type="pct"/>
            <w:tcBorders>
              <w:top w:val="nil"/>
              <w:left w:val="nil"/>
              <w:bottom w:val="single" w:sz="4" w:space="0" w:color="auto"/>
              <w:right w:val="single" w:sz="4" w:space="0" w:color="auto"/>
            </w:tcBorders>
            <w:shd w:val="clear" w:color="auto" w:fill="auto"/>
            <w:vAlign w:val="center"/>
            <w:hideMark/>
          </w:tcPr>
          <w:p w14:paraId="2AF50EA8"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16401767" w14:textId="4C686199" w:rsidR="00215C71" w:rsidRPr="00E82C5A" w:rsidRDefault="00215C71" w:rsidP="00215C71">
            <w:pPr>
              <w:jc w:val="right"/>
              <w:rPr>
                <w:sz w:val="14"/>
                <w:szCs w:val="14"/>
              </w:rPr>
            </w:pPr>
            <w:r w:rsidRPr="00E82C5A">
              <w:rPr>
                <w:sz w:val="14"/>
                <w:szCs w:val="14"/>
              </w:rPr>
              <w:t>29</w:t>
            </w:r>
          </w:p>
        </w:tc>
        <w:tc>
          <w:tcPr>
            <w:tcW w:w="246" w:type="pct"/>
            <w:tcBorders>
              <w:top w:val="nil"/>
              <w:left w:val="nil"/>
              <w:bottom w:val="single" w:sz="4" w:space="0" w:color="auto"/>
              <w:right w:val="single" w:sz="4" w:space="0" w:color="auto"/>
            </w:tcBorders>
            <w:shd w:val="clear" w:color="auto" w:fill="auto"/>
            <w:vAlign w:val="center"/>
            <w:hideMark/>
          </w:tcPr>
          <w:p w14:paraId="33CE9220" w14:textId="77777777" w:rsidR="00215C71" w:rsidRPr="00E82C5A" w:rsidRDefault="00215C71" w:rsidP="00215C71">
            <w:pPr>
              <w:jc w:val="right"/>
              <w:rPr>
                <w:sz w:val="14"/>
                <w:szCs w:val="14"/>
              </w:rPr>
            </w:pPr>
            <w:r w:rsidRPr="00E82C5A">
              <w:rPr>
                <w:sz w:val="14"/>
                <w:szCs w:val="14"/>
              </w:rPr>
              <w:t>36</w:t>
            </w:r>
          </w:p>
        </w:tc>
        <w:tc>
          <w:tcPr>
            <w:tcW w:w="304" w:type="pct"/>
            <w:tcBorders>
              <w:top w:val="nil"/>
              <w:left w:val="nil"/>
              <w:bottom w:val="single" w:sz="4" w:space="0" w:color="auto"/>
              <w:right w:val="single" w:sz="4" w:space="0" w:color="auto"/>
            </w:tcBorders>
            <w:shd w:val="clear" w:color="auto" w:fill="auto"/>
            <w:vAlign w:val="center"/>
            <w:hideMark/>
          </w:tcPr>
          <w:p w14:paraId="16C8A8F3"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2B062528" w14:textId="011414F1" w:rsidR="00215C71" w:rsidRPr="00E82C5A" w:rsidRDefault="00215C71" w:rsidP="00215C71">
            <w:pPr>
              <w:jc w:val="right"/>
              <w:rPr>
                <w:sz w:val="14"/>
                <w:szCs w:val="14"/>
              </w:rPr>
            </w:pPr>
            <w:r w:rsidRPr="00E82C5A">
              <w:rPr>
                <w:sz w:val="14"/>
                <w:szCs w:val="14"/>
              </w:rPr>
              <w:t>2000</w:t>
            </w:r>
          </w:p>
        </w:tc>
        <w:tc>
          <w:tcPr>
            <w:tcW w:w="246" w:type="pct"/>
            <w:tcBorders>
              <w:top w:val="nil"/>
              <w:left w:val="nil"/>
              <w:bottom w:val="single" w:sz="4" w:space="0" w:color="auto"/>
              <w:right w:val="single" w:sz="4" w:space="0" w:color="auto"/>
            </w:tcBorders>
            <w:shd w:val="clear" w:color="auto" w:fill="auto"/>
            <w:vAlign w:val="center"/>
            <w:hideMark/>
          </w:tcPr>
          <w:p w14:paraId="25CC2FD2" w14:textId="77777777" w:rsidR="00215C71" w:rsidRPr="00E82C5A" w:rsidRDefault="00215C71" w:rsidP="00215C71">
            <w:pPr>
              <w:jc w:val="right"/>
              <w:rPr>
                <w:sz w:val="14"/>
                <w:szCs w:val="14"/>
              </w:rPr>
            </w:pPr>
            <w:r w:rsidRPr="00E82C5A">
              <w:rPr>
                <w:sz w:val="14"/>
                <w:szCs w:val="14"/>
              </w:rPr>
              <w:t>1 246</w:t>
            </w:r>
          </w:p>
        </w:tc>
        <w:tc>
          <w:tcPr>
            <w:tcW w:w="304" w:type="pct"/>
            <w:tcBorders>
              <w:top w:val="nil"/>
              <w:left w:val="nil"/>
              <w:bottom w:val="single" w:sz="4" w:space="0" w:color="auto"/>
              <w:right w:val="single" w:sz="4" w:space="0" w:color="auto"/>
            </w:tcBorders>
            <w:shd w:val="clear" w:color="auto" w:fill="auto"/>
            <w:vAlign w:val="center"/>
            <w:hideMark/>
          </w:tcPr>
          <w:p w14:paraId="25535F49"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0A7B3EC0" w14:textId="19826734"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35230D50" w14:textId="77777777" w:rsidR="00215C71" w:rsidRPr="00E82C5A" w:rsidRDefault="00215C71" w:rsidP="00215C71">
            <w:pPr>
              <w:jc w:val="right"/>
              <w:rPr>
                <w:sz w:val="14"/>
                <w:szCs w:val="14"/>
              </w:rPr>
            </w:pPr>
            <w:r w:rsidRPr="00E82C5A">
              <w:rPr>
                <w:sz w:val="14"/>
                <w:szCs w:val="14"/>
              </w:rPr>
              <w:t>100</w:t>
            </w:r>
          </w:p>
        </w:tc>
        <w:tc>
          <w:tcPr>
            <w:tcW w:w="304" w:type="pct"/>
            <w:tcBorders>
              <w:top w:val="nil"/>
              <w:left w:val="nil"/>
              <w:bottom w:val="single" w:sz="4" w:space="0" w:color="auto"/>
              <w:right w:val="single" w:sz="4" w:space="0" w:color="auto"/>
            </w:tcBorders>
            <w:shd w:val="clear" w:color="auto" w:fill="auto"/>
            <w:vAlign w:val="center"/>
            <w:hideMark/>
          </w:tcPr>
          <w:p w14:paraId="1CC28D6E"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6EB886DB" w14:textId="42A51B19" w:rsidR="00215C71" w:rsidRPr="00E82C5A" w:rsidRDefault="00215C71" w:rsidP="00215C71">
            <w:pPr>
              <w:jc w:val="right"/>
              <w:rPr>
                <w:sz w:val="14"/>
                <w:szCs w:val="14"/>
              </w:rPr>
            </w:pPr>
            <w:r w:rsidRPr="00E82C5A">
              <w:rPr>
                <w:sz w:val="14"/>
                <w:szCs w:val="14"/>
              </w:rPr>
              <w:t>2500</w:t>
            </w:r>
          </w:p>
        </w:tc>
        <w:tc>
          <w:tcPr>
            <w:tcW w:w="246" w:type="pct"/>
            <w:tcBorders>
              <w:top w:val="nil"/>
              <w:left w:val="nil"/>
              <w:bottom w:val="single" w:sz="4" w:space="0" w:color="auto"/>
              <w:right w:val="single" w:sz="4" w:space="0" w:color="auto"/>
            </w:tcBorders>
            <w:shd w:val="clear" w:color="auto" w:fill="auto"/>
            <w:vAlign w:val="center"/>
            <w:hideMark/>
          </w:tcPr>
          <w:p w14:paraId="381A6DDB" w14:textId="77777777" w:rsidR="00215C71" w:rsidRPr="00E82C5A" w:rsidRDefault="00215C71" w:rsidP="00215C71">
            <w:pPr>
              <w:jc w:val="right"/>
              <w:rPr>
                <w:sz w:val="14"/>
                <w:szCs w:val="14"/>
              </w:rPr>
            </w:pPr>
            <w:r w:rsidRPr="00E82C5A">
              <w:rPr>
                <w:sz w:val="14"/>
                <w:szCs w:val="14"/>
              </w:rPr>
              <w:t>3 204</w:t>
            </w:r>
          </w:p>
        </w:tc>
        <w:tc>
          <w:tcPr>
            <w:tcW w:w="304" w:type="pct"/>
            <w:tcBorders>
              <w:top w:val="nil"/>
              <w:left w:val="nil"/>
              <w:bottom w:val="single" w:sz="4" w:space="0" w:color="auto"/>
              <w:right w:val="single" w:sz="4" w:space="0" w:color="auto"/>
            </w:tcBorders>
            <w:shd w:val="clear" w:color="auto" w:fill="auto"/>
            <w:vAlign w:val="center"/>
            <w:hideMark/>
          </w:tcPr>
          <w:p w14:paraId="68F52C6B"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20B5F81D" w14:textId="402760C8" w:rsidR="00215C71" w:rsidRPr="00E82C5A" w:rsidRDefault="00215C71" w:rsidP="00215C71">
            <w:pPr>
              <w:jc w:val="right"/>
              <w:rPr>
                <w:sz w:val="14"/>
                <w:szCs w:val="14"/>
              </w:rPr>
            </w:pPr>
            <w:r w:rsidRPr="00E82C5A">
              <w:rPr>
                <w:sz w:val="14"/>
                <w:szCs w:val="14"/>
              </w:rPr>
              <w:t>4</w:t>
            </w:r>
          </w:p>
        </w:tc>
        <w:tc>
          <w:tcPr>
            <w:tcW w:w="246" w:type="pct"/>
            <w:tcBorders>
              <w:top w:val="nil"/>
              <w:left w:val="nil"/>
              <w:bottom w:val="single" w:sz="4" w:space="0" w:color="auto"/>
              <w:right w:val="single" w:sz="4" w:space="0" w:color="auto"/>
            </w:tcBorders>
            <w:shd w:val="clear" w:color="auto" w:fill="auto"/>
            <w:vAlign w:val="center"/>
            <w:hideMark/>
          </w:tcPr>
          <w:p w14:paraId="7FFC31F2" w14:textId="77777777" w:rsidR="00215C71" w:rsidRPr="00E82C5A" w:rsidRDefault="00215C71" w:rsidP="00215C71">
            <w:pPr>
              <w:jc w:val="right"/>
              <w:rPr>
                <w:sz w:val="14"/>
                <w:szCs w:val="14"/>
              </w:rPr>
            </w:pPr>
            <w:r w:rsidRPr="00E82C5A">
              <w:rPr>
                <w:sz w:val="14"/>
                <w:szCs w:val="14"/>
              </w:rPr>
              <w:t>0</w:t>
            </w:r>
          </w:p>
        </w:tc>
        <w:tc>
          <w:tcPr>
            <w:tcW w:w="104" w:type="pct"/>
            <w:vAlign w:val="center"/>
            <w:hideMark/>
          </w:tcPr>
          <w:p w14:paraId="091500B6" w14:textId="77777777" w:rsidR="00215C71" w:rsidRDefault="00215C71" w:rsidP="00215C71">
            <w:pPr>
              <w:rPr>
                <w:sz w:val="20"/>
                <w:szCs w:val="20"/>
              </w:rPr>
            </w:pPr>
          </w:p>
        </w:tc>
      </w:tr>
      <w:tr w:rsidR="00215C71" w14:paraId="57CE7798"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0A278D60" w14:textId="77777777" w:rsidR="00215C71" w:rsidRDefault="00215C71" w:rsidP="00215C71">
            <w:pPr>
              <w:rPr>
                <w:color w:val="000000"/>
                <w:sz w:val="14"/>
                <w:szCs w:val="14"/>
              </w:rPr>
            </w:pPr>
            <w:r>
              <w:rPr>
                <w:color w:val="000000"/>
                <w:sz w:val="14"/>
                <w:szCs w:val="14"/>
              </w:rPr>
              <w:t>Видин</w:t>
            </w:r>
          </w:p>
        </w:tc>
        <w:tc>
          <w:tcPr>
            <w:tcW w:w="304" w:type="pct"/>
            <w:tcBorders>
              <w:top w:val="nil"/>
              <w:left w:val="nil"/>
              <w:bottom w:val="single" w:sz="4" w:space="0" w:color="auto"/>
              <w:right w:val="single" w:sz="4" w:space="0" w:color="auto"/>
            </w:tcBorders>
            <w:shd w:val="clear" w:color="auto" w:fill="auto"/>
            <w:vAlign w:val="center"/>
            <w:hideMark/>
          </w:tcPr>
          <w:p w14:paraId="2A6764C8"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5B921C61" w14:textId="338DB107" w:rsidR="00215C71" w:rsidRPr="00E82C5A" w:rsidRDefault="00215C71" w:rsidP="00215C71">
            <w:pPr>
              <w:jc w:val="right"/>
              <w:rPr>
                <w:sz w:val="14"/>
                <w:szCs w:val="14"/>
              </w:rPr>
            </w:pPr>
            <w:r w:rsidRPr="00E82C5A">
              <w:rPr>
                <w:sz w:val="14"/>
                <w:szCs w:val="14"/>
              </w:rPr>
              <w:t>36</w:t>
            </w:r>
          </w:p>
        </w:tc>
        <w:tc>
          <w:tcPr>
            <w:tcW w:w="246" w:type="pct"/>
            <w:tcBorders>
              <w:top w:val="nil"/>
              <w:left w:val="nil"/>
              <w:bottom w:val="single" w:sz="4" w:space="0" w:color="auto"/>
              <w:right w:val="single" w:sz="4" w:space="0" w:color="auto"/>
            </w:tcBorders>
            <w:shd w:val="clear" w:color="auto" w:fill="auto"/>
            <w:vAlign w:val="center"/>
            <w:hideMark/>
          </w:tcPr>
          <w:p w14:paraId="0F579945" w14:textId="77777777" w:rsidR="00215C71" w:rsidRPr="00E82C5A" w:rsidRDefault="00215C71" w:rsidP="00215C71">
            <w:pPr>
              <w:jc w:val="right"/>
              <w:rPr>
                <w:sz w:val="14"/>
                <w:szCs w:val="14"/>
              </w:rPr>
            </w:pPr>
            <w:r w:rsidRPr="00E82C5A">
              <w:rPr>
                <w:sz w:val="14"/>
                <w:szCs w:val="14"/>
              </w:rPr>
              <w:t>36</w:t>
            </w:r>
          </w:p>
        </w:tc>
        <w:tc>
          <w:tcPr>
            <w:tcW w:w="304" w:type="pct"/>
            <w:tcBorders>
              <w:top w:val="nil"/>
              <w:left w:val="nil"/>
              <w:bottom w:val="single" w:sz="4" w:space="0" w:color="auto"/>
              <w:right w:val="single" w:sz="4" w:space="0" w:color="auto"/>
            </w:tcBorders>
            <w:shd w:val="clear" w:color="auto" w:fill="auto"/>
            <w:vAlign w:val="center"/>
            <w:hideMark/>
          </w:tcPr>
          <w:p w14:paraId="2E9FB25A"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3F89E8B5" w14:textId="4F88DF8C" w:rsidR="00215C71" w:rsidRPr="00E82C5A" w:rsidRDefault="00215C71" w:rsidP="00215C71">
            <w:pPr>
              <w:jc w:val="right"/>
              <w:rPr>
                <w:sz w:val="14"/>
                <w:szCs w:val="14"/>
              </w:rPr>
            </w:pPr>
            <w:r w:rsidRPr="00E82C5A">
              <w:rPr>
                <w:sz w:val="14"/>
                <w:szCs w:val="14"/>
              </w:rPr>
              <w:t>1202</w:t>
            </w:r>
          </w:p>
        </w:tc>
        <w:tc>
          <w:tcPr>
            <w:tcW w:w="246" w:type="pct"/>
            <w:tcBorders>
              <w:top w:val="nil"/>
              <w:left w:val="nil"/>
              <w:bottom w:val="single" w:sz="4" w:space="0" w:color="auto"/>
              <w:right w:val="single" w:sz="4" w:space="0" w:color="auto"/>
            </w:tcBorders>
            <w:shd w:val="clear" w:color="auto" w:fill="auto"/>
            <w:vAlign w:val="center"/>
            <w:hideMark/>
          </w:tcPr>
          <w:p w14:paraId="28B14292" w14:textId="77777777" w:rsidR="00215C71" w:rsidRPr="00E82C5A" w:rsidRDefault="00215C71" w:rsidP="00215C71">
            <w:pPr>
              <w:jc w:val="right"/>
              <w:rPr>
                <w:sz w:val="14"/>
                <w:szCs w:val="14"/>
              </w:rPr>
            </w:pPr>
            <w:r w:rsidRPr="00E82C5A">
              <w:rPr>
                <w:sz w:val="14"/>
                <w:szCs w:val="14"/>
              </w:rPr>
              <w:t>643</w:t>
            </w:r>
          </w:p>
        </w:tc>
        <w:tc>
          <w:tcPr>
            <w:tcW w:w="304" w:type="pct"/>
            <w:tcBorders>
              <w:top w:val="nil"/>
              <w:left w:val="nil"/>
              <w:bottom w:val="single" w:sz="4" w:space="0" w:color="auto"/>
              <w:right w:val="single" w:sz="4" w:space="0" w:color="auto"/>
            </w:tcBorders>
            <w:shd w:val="clear" w:color="auto" w:fill="auto"/>
            <w:vAlign w:val="center"/>
            <w:hideMark/>
          </w:tcPr>
          <w:p w14:paraId="33539436"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2869A5CC" w14:textId="2751B769"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780A5634" w14:textId="77777777" w:rsidR="00215C71" w:rsidRPr="00E82C5A" w:rsidRDefault="00215C71" w:rsidP="00215C71">
            <w:pPr>
              <w:jc w:val="right"/>
              <w:rPr>
                <w:sz w:val="14"/>
                <w:szCs w:val="14"/>
              </w:rPr>
            </w:pPr>
            <w:r w:rsidRPr="00E82C5A">
              <w:rPr>
                <w:sz w:val="14"/>
                <w:szCs w:val="14"/>
              </w:rPr>
              <w:t>100</w:t>
            </w:r>
          </w:p>
        </w:tc>
        <w:tc>
          <w:tcPr>
            <w:tcW w:w="304" w:type="pct"/>
            <w:tcBorders>
              <w:top w:val="nil"/>
              <w:left w:val="nil"/>
              <w:bottom w:val="single" w:sz="4" w:space="0" w:color="auto"/>
              <w:right w:val="single" w:sz="4" w:space="0" w:color="auto"/>
            </w:tcBorders>
            <w:shd w:val="clear" w:color="auto" w:fill="auto"/>
            <w:vAlign w:val="center"/>
            <w:hideMark/>
          </w:tcPr>
          <w:p w14:paraId="3F99F397"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1022B483" w14:textId="452A70F7" w:rsidR="00215C71" w:rsidRPr="00E82C5A" w:rsidRDefault="00215C71" w:rsidP="00215C71">
            <w:pPr>
              <w:jc w:val="right"/>
              <w:rPr>
                <w:sz w:val="14"/>
                <w:szCs w:val="14"/>
              </w:rPr>
            </w:pPr>
            <w:r w:rsidRPr="00E82C5A">
              <w:rPr>
                <w:sz w:val="14"/>
                <w:szCs w:val="14"/>
              </w:rPr>
              <w:t>2500</w:t>
            </w:r>
          </w:p>
        </w:tc>
        <w:tc>
          <w:tcPr>
            <w:tcW w:w="246" w:type="pct"/>
            <w:tcBorders>
              <w:top w:val="nil"/>
              <w:left w:val="nil"/>
              <w:bottom w:val="single" w:sz="4" w:space="0" w:color="auto"/>
              <w:right w:val="single" w:sz="4" w:space="0" w:color="auto"/>
            </w:tcBorders>
            <w:shd w:val="clear" w:color="auto" w:fill="auto"/>
            <w:vAlign w:val="center"/>
            <w:hideMark/>
          </w:tcPr>
          <w:p w14:paraId="1E73B21A" w14:textId="77777777" w:rsidR="00215C71" w:rsidRPr="00E82C5A" w:rsidRDefault="00215C71" w:rsidP="00215C71">
            <w:pPr>
              <w:jc w:val="right"/>
              <w:rPr>
                <w:sz w:val="14"/>
                <w:szCs w:val="14"/>
              </w:rPr>
            </w:pPr>
            <w:r w:rsidRPr="00E82C5A">
              <w:rPr>
                <w:sz w:val="14"/>
                <w:szCs w:val="14"/>
              </w:rPr>
              <w:t>1 314</w:t>
            </w:r>
          </w:p>
        </w:tc>
        <w:tc>
          <w:tcPr>
            <w:tcW w:w="304" w:type="pct"/>
            <w:tcBorders>
              <w:top w:val="nil"/>
              <w:left w:val="nil"/>
              <w:bottom w:val="single" w:sz="4" w:space="0" w:color="auto"/>
              <w:right w:val="single" w:sz="4" w:space="0" w:color="auto"/>
            </w:tcBorders>
            <w:shd w:val="clear" w:color="auto" w:fill="auto"/>
            <w:vAlign w:val="center"/>
            <w:hideMark/>
          </w:tcPr>
          <w:p w14:paraId="57843EE0"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076CF065" w14:textId="668A7976" w:rsidR="00215C71" w:rsidRPr="00E82C5A" w:rsidRDefault="00215C71" w:rsidP="00215C71">
            <w:pPr>
              <w:jc w:val="right"/>
              <w:rPr>
                <w:sz w:val="14"/>
                <w:szCs w:val="14"/>
              </w:rPr>
            </w:pPr>
            <w:r w:rsidRPr="00E82C5A">
              <w:rPr>
                <w:sz w:val="14"/>
                <w:szCs w:val="14"/>
              </w:rPr>
              <w:t>57</w:t>
            </w:r>
          </w:p>
        </w:tc>
        <w:tc>
          <w:tcPr>
            <w:tcW w:w="246" w:type="pct"/>
            <w:tcBorders>
              <w:top w:val="nil"/>
              <w:left w:val="nil"/>
              <w:bottom w:val="single" w:sz="4" w:space="0" w:color="auto"/>
              <w:right w:val="single" w:sz="4" w:space="0" w:color="auto"/>
            </w:tcBorders>
            <w:shd w:val="clear" w:color="auto" w:fill="auto"/>
            <w:vAlign w:val="center"/>
            <w:hideMark/>
          </w:tcPr>
          <w:p w14:paraId="794EFE12" w14:textId="77777777" w:rsidR="00215C71" w:rsidRPr="00E82C5A" w:rsidRDefault="00215C71" w:rsidP="00215C71">
            <w:pPr>
              <w:jc w:val="right"/>
              <w:rPr>
                <w:sz w:val="14"/>
                <w:szCs w:val="14"/>
              </w:rPr>
            </w:pPr>
            <w:r w:rsidRPr="00E82C5A">
              <w:rPr>
                <w:sz w:val="14"/>
                <w:szCs w:val="14"/>
              </w:rPr>
              <w:t>86</w:t>
            </w:r>
          </w:p>
        </w:tc>
        <w:tc>
          <w:tcPr>
            <w:tcW w:w="104" w:type="pct"/>
            <w:vAlign w:val="center"/>
            <w:hideMark/>
          </w:tcPr>
          <w:p w14:paraId="6675FF42" w14:textId="77777777" w:rsidR="00215C71" w:rsidRDefault="00215C71" w:rsidP="00215C71">
            <w:pPr>
              <w:rPr>
                <w:sz w:val="20"/>
                <w:szCs w:val="20"/>
              </w:rPr>
            </w:pPr>
          </w:p>
        </w:tc>
      </w:tr>
      <w:tr w:rsidR="00215C71" w14:paraId="2EB121B8"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26CEDC49" w14:textId="77777777" w:rsidR="00215C71" w:rsidRDefault="00215C71" w:rsidP="00215C71">
            <w:pPr>
              <w:rPr>
                <w:color w:val="000000"/>
                <w:sz w:val="14"/>
                <w:szCs w:val="14"/>
              </w:rPr>
            </w:pPr>
            <w:r>
              <w:rPr>
                <w:color w:val="000000"/>
                <w:sz w:val="14"/>
                <w:szCs w:val="14"/>
              </w:rPr>
              <w:t>Враца</w:t>
            </w:r>
          </w:p>
        </w:tc>
        <w:tc>
          <w:tcPr>
            <w:tcW w:w="304" w:type="pct"/>
            <w:tcBorders>
              <w:top w:val="nil"/>
              <w:left w:val="nil"/>
              <w:bottom w:val="single" w:sz="4" w:space="0" w:color="auto"/>
              <w:right w:val="single" w:sz="4" w:space="0" w:color="auto"/>
            </w:tcBorders>
            <w:shd w:val="clear" w:color="auto" w:fill="auto"/>
            <w:vAlign w:val="center"/>
            <w:hideMark/>
          </w:tcPr>
          <w:p w14:paraId="68E59CBB"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4BBAA553" w14:textId="22E017CB"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52653080" w14:textId="77777777" w:rsidR="00215C71" w:rsidRPr="00E82C5A" w:rsidRDefault="00215C71" w:rsidP="00215C71">
            <w:pPr>
              <w:jc w:val="right"/>
              <w:rPr>
                <w:sz w:val="14"/>
                <w:szCs w:val="14"/>
              </w:rPr>
            </w:pPr>
            <w:r w:rsidRPr="00E82C5A">
              <w:rPr>
                <w:sz w:val="14"/>
                <w:szCs w:val="14"/>
              </w:rPr>
              <w:t>118</w:t>
            </w:r>
          </w:p>
        </w:tc>
        <w:tc>
          <w:tcPr>
            <w:tcW w:w="304" w:type="pct"/>
            <w:tcBorders>
              <w:top w:val="nil"/>
              <w:left w:val="nil"/>
              <w:bottom w:val="single" w:sz="4" w:space="0" w:color="auto"/>
              <w:right w:val="single" w:sz="4" w:space="0" w:color="auto"/>
            </w:tcBorders>
            <w:shd w:val="clear" w:color="auto" w:fill="auto"/>
            <w:vAlign w:val="center"/>
            <w:hideMark/>
          </w:tcPr>
          <w:p w14:paraId="0F02860E"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6EDD7B9C" w14:textId="5CD87621" w:rsidR="00215C71" w:rsidRPr="00E82C5A" w:rsidRDefault="00215C71" w:rsidP="00215C71">
            <w:pPr>
              <w:jc w:val="right"/>
              <w:rPr>
                <w:sz w:val="14"/>
                <w:szCs w:val="14"/>
              </w:rPr>
            </w:pPr>
            <w:r w:rsidRPr="00E82C5A">
              <w:rPr>
                <w:sz w:val="14"/>
                <w:szCs w:val="14"/>
              </w:rPr>
              <w:t>1700</w:t>
            </w:r>
          </w:p>
        </w:tc>
        <w:tc>
          <w:tcPr>
            <w:tcW w:w="246" w:type="pct"/>
            <w:tcBorders>
              <w:top w:val="nil"/>
              <w:left w:val="nil"/>
              <w:bottom w:val="single" w:sz="4" w:space="0" w:color="auto"/>
              <w:right w:val="single" w:sz="4" w:space="0" w:color="auto"/>
            </w:tcBorders>
            <w:shd w:val="clear" w:color="auto" w:fill="auto"/>
            <w:vAlign w:val="center"/>
            <w:hideMark/>
          </w:tcPr>
          <w:p w14:paraId="41DBF62D" w14:textId="77777777" w:rsidR="00215C71" w:rsidRPr="00E82C5A" w:rsidRDefault="00215C71" w:rsidP="00215C71">
            <w:pPr>
              <w:jc w:val="right"/>
              <w:rPr>
                <w:sz w:val="14"/>
                <w:szCs w:val="14"/>
              </w:rPr>
            </w:pPr>
            <w:r w:rsidRPr="00E82C5A">
              <w:rPr>
                <w:sz w:val="14"/>
                <w:szCs w:val="14"/>
              </w:rPr>
              <w:t>940</w:t>
            </w:r>
          </w:p>
        </w:tc>
        <w:tc>
          <w:tcPr>
            <w:tcW w:w="304" w:type="pct"/>
            <w:tcBorders>
              <w:top w:val="nil"/>
              <w:left w:val="nil"/>
              <w:bottom w:val="single" w:sz="4" w:space="0" w:color="auto"/>
              <w:right w:val="single" w:sz="4" w:space="0" w:color="auto"/>
            </w:tcBorders>
            <w:shd w:val="clear" w:color="auto" w:fill="auto"/>
            <w:vAlign w:val="center"/>
            <w:hideMark/>
          </w:tcPr>
          <w:p w14:paraId="2E7FE268"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7B1D8340" w14:textId="6CCB9E2D"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3641156D" w14:textId="77777777" w:rsidR="00215C71" w:rsidRPr="00E82C5A" w:rsidRDefault="00215C71" w:rsidP="00215C71">
            <w:pPr>
              <w:jc w:val="right"/>
              <w:rPr>
                <w:sz w:val="14"/>
                <w:szCs w:val="14"/>
              </w:rPr>
            </w:pPr>
            <w:r w:rsidRPr="00E82C5A">
              <w:rPr>
                <w:sz w:val="14"/>
                <w:szCs w:val="14"/>
              </w:rPr>
              <w:t>100</w:t>
            </w:r>
          </w:p>
        </w:tc>
        <w:tc>
          <w:tcPr>
            <w:tcW w:w="304" w:type="pct"/>
            <w:tcBorders>
              <w:top w:val="nil"/>
              <w:left w:val="nil"/>
              <w:bottom w:val="single" w:sz="4" w:space="0" w:color="auto"/>
              <w:right w:val="single" w:sz="4" w:space="0" w:color="auto"/>
            </w:tcBorders>
            <w:shd w:val="clear" w:color="auto" w:fill="auto"/>
            <w:vAlign w:val="center"/>
            <w:hideMark/>
          </w:tcPr>
          <w:p w14:paraId="79DFD514"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1AFE6258" w14:textId="16E78204" w:rsidR="00215C71" w:rsidRPr="00E82C5A" w:rsidRDefault="00215C71" w:rsidP="00215C71">
            <w:pPr>
              <w:jc w:val="right"/>
              <w:rPr>
                <w:sz w:val="14"/>
                <w:szCs w:val="14"/>
              </w:rPr>
            </w:pPr>
            <w:r w:rsidRPr="00E82C5A">
              <w:rPr>
                <w:sz w:val="14"/>
                <w:szCs w:val="14"/>
              </w:rPr>
              <w:t>7200</w:t>
            </w:r>
          </w:p>
        </w:tc>
        <w:tc>
          <w:tcPr>
            <w:tcW w:w="246" w:type="pct"/>
            <w:tcBorders>
              <w:top w:val="nil"/>
              <w:left w:val="nil"/>
              <w:bottom w:val="single" w:sz="4" w:space="0" w:color="auto"/>
              <w:right w:val="single" w:sz="4" w:space="0" w:color="auto"/>
            </w:tcBorders>
            <w:shd w:val="clear" w:color="auto" w:fill="auto"/>
            <w:vAlign w:val="center"/>
            <w:hideMark/>
          </w:tcPr>
          <w:p w14:paraId="2C0F8A09" w14:textId="77777777" w:rsidR="00215C71" w:rsidRPr="00E82C5A" w:rsidRDefault="00215C71" w:rsidP="00215C71">
            <w:pPr>
              <w:jc w:val="right"/>
              <w:rPr>
                <w:sz w:val="14"/>
                <w:szCs w:val="14"/>
              </w:rPr>
            </w:pPr>
            <w:r w:rsidRPr="00E82C5A">
              <w:rPr>
                <w:sz w:val="14"/>
                <w:szCs w:val="14"/>
              </w:rPr>
              <w:t>3 711</w:t>
            </w:r>
          </w:p>
        </w:tc>
        <w:tc>
          <w:tcPr>
            <w:tcW w:w="304" w:type="pct"/>
            <w:tcBorders>
              <w:top w:val="nil"/>
              <w:left w:val="nil"/>
              <w:bottom w:val="single" w:sz="4" w:space="0" w:color="auto"/>
              <w:right w:val="single" w:sz="4" w:space="0" w:color="auto"/>
            </w:tcBorders>
            <w:shd w:val="clear" w:color="auto" w:fill="auto"/>
            <w:vAlign w:val="center"/>
            <w:hideMark/>
          </w:tcPr>
          <w:p w14:paraId="6B2F3A5B"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0DDEB304" w14:textId="04C2004E" w:rsidR="00215C71" w:rsidRPr="00E82C5A" w:rsidRDefault="00215C71" w:rsidP="00215C71">
            <w:pPr>
              <w:jc w:val="right"/>
              <w:rPr>
                <w:sz w:val="14"/>
                <w:szCs w:val="14"/>
              </w:rPr>
            </w:pPr>
            <w:r w:rsidRPr="00E82C5A">
              <w:rPr>
                <w:sz w:val="14"/>
                <w:szCs w:val="14"/>
              </w:rPr>
              <w:t>10</w:t>
            </w:r>
          </w:p>
        </w:tc>
        <w:tc>
          <w:tcPr>
            <w:tcW w:w="246" w:type="pct"/>
            <w:tcBorders>
              <w:top w:val="nil"/>
              <w:left w:val="nil"/>
              <w:bottom w:val="single" w:sz="4" w:space="0" w:color="auto"/>
              <w:right w:val="single" w:sz="4" w:space="0" w:color="auto"/>
            </w:tcBorders>
            <w:shd w:val="clear" w:color="auto" w:fill="auto"/>
            <w:vAlign w:val="center"/>
            <w:hideMark/>
          </w:tcPr>
          <w:p w14:paraId="338660F8" w14:textId="77777777" w:rsidR="00215C71" w:rsidRPr="00E82C5A" w:rsidRDefault="00215C71" w:rsidP="00215C71">
            <w:pPr>
              <w:jc w:val="right"/>
              <w:rPr>
                <w:sz w:val="14"/>
                <w:szCs w:val="14"/>
              </w:rPr>
            </w:pPr>
            <w:r w:rsidRPr="00E82C5A">
              <w:rPr>
                <w:sz w:val="14"/>
                <w:szCs w:val="14"/>
              </w:rPr>
              <w:t>10</w:t>
            </w:r>
          </w:p>
        </w:tc>
        <w:tc>
          <w:tcPr>
            <w:tcW w:w="104" w:type="pct"/>
            <w:vAlign w:val="center"/>
            <w:hideMark/>
          </w:tcPr>
          <w:p w14:paraId="4542CCA1" w14:textId="77777777" w:rsidR="00215C71" w:rsidRDefault="00215C71" w:rsidP="00215C71">
            <w:pPr>
              <w:rPr>
                <w:sz w:val="20"/>
                <w:szCs w:val="20"/>
              </w:rPr>
            </w:pPr>
          </w:p>
        </w:tc>
      </w:tr>
      <w:tr w:rsidR="00215C71" w14:paraId="20F1F0E7"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5C675287" w14:textId="77777777" w:rsidR="00215C71" w:rsidRDefault="00215C71" w:rsidP="00215C71">
            <w:pPr>
              <w:rPr>
                <w:color w:val="000000"/>
                <w:sz w:val="14"/>
                <w:szCs w:val="14"/>
              </w:rPr>
            </w:pPr>
            <w:r>
              <w:rPr>
                <w:color w:val="000000"/>
                <w:sz w:val="14"/>
                <w:szCs w:val="14"/>
              </w:rPr>
              <w:t>Габрово</w:t>
            </w:r>
          </w:p>
        </w:tc>
        <w:tc>
          <w:tcPr>
            <w:tcW w:w="304" w:type="pct"/>
            <w:tcBorders>
              <w:top w:val="nil"/>
              <w:left w:val="nil"/>
              <w:bottom w:val="single" w:sz="4" w:space="0" w:color="auto"/>
              <w:right w:val="single" w:sz="4" w:space="0" w:color="auto"/>
            </w:tcBorders>
            <w:shd w:val="clear" w:color="auto" w:fill="auto"/>
            <w:vAlign w:val="center"/>
            <w:hideMark/>
          </w:tcPr>
          <w:p w14:paraId="02D5F836"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659FEA0F" w14:textId="6154342E" w:rsidR="00215C71" w:rsidRPr="00E82C5A" w:rsidRDefault="00215C71" w:rsidP="00215C71">
            <w:pPr>
              <w:jc w:val="right"/>
              <w:rPr>
                <w:sz w:val="14"/>
                <w:szCs w:val="14"/>
              </w:rPr>
            </w:pPr>
            <w:r w:rsidRPr="00E82C5A">
              <w:rPr>
                <w:sz w:val="14"/>
                <w:szCs w:val="14"/>
              </w:rPr>
              <w:t>320</w:t>
            </w:r>
          </w:p>
        </w:tc>
        <w:tc>
          <w:tcPr>
            <w:tcW w:w="246" w:type="pct"/>
            <w:tcBorders>
              <w:top w:val="nil"/>
              <w:left w:val="nil"/>
              <w:bottom w:val="single" w:sz="4" w:space="0" w:color="auto"/>
              <w:right w:val="single" w:sz="4" w:space="0" w:color="auto"/>
            </w:tcBorders>
            <w:shd w:val="clear" w:color="auto" w:fill="auto"/>
            <w:vAlign w:val="center"/>
            <w:hideMark/>
          </w:tcPr>
          <w:p w14:paraId="42E3355E" w14:textId="77777777" w:rsidR="00215C71" w:rsidRPr="00E82C5A" w:rsidRDefault="00215C71" w:rsidP="00215C71">
            <w:pPr>
              <w:jc w:val="right"/>
              <w:rPr>
                <w:sz w:val="14"/>
                <w:szCs w:val="14"/>
              </w:rPr>
            </w:pPr>
            <w:r w:rsidRPr="00E82C5A">
              <w:rPr>
                <w:sz w:val="14"/>
                <w:szCs w:val="14"/>
              </w:rPr>
              <w:t>317</w:t>
            </w:r>
          </w:p>
        </w:tc>
        <w:tc>
          <w:tcPr>
            <w:tcW w:w="304" w:type="pct"/>
            <w:tcBorders>
              <w:top w:val="nil"/>
              <w:left w:val="nil"/>
              <w:bottom w:val="single" w:sz="4" w:space="0" w:color="auto"/>
              <w:right w:val="single" w:sz="4" w:space="0" w:color="auto"/>
            </w:tcBorders>
            <w:shd w:val="clear" w:color="auto" w:fill="auto"/>
            <w:vAlign w:val="center"/>
            <w:hideMark/>
          </w:tcPr>
          <w:p w14:paraId="2183218E"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3EAB0639" w14:textId="5411791A" w:rsidR="00215C71" w:rsidRPr="00E82C5A" w:rsidRDefault="00215C71" w:rsidP="00215C71">
            <w:pPr>
              <w:jc w:val="right"/>
              <w:rPr>
                <w:sz w:val="14"/>
                <w:szCs w:val="14"/>
              </w:rPr>
            </w:pPr>
            <w:r w:rsidRPr="00E82C5A">
              <w:rPr>
                <w:sz w:val="14"/>
                <w:szCs w:val="14"/>
              </w:rPr>
              <w:t>853</w:t>
            </w:r>
          </w:p>
        </w:tc>
        <w:tc>
          <w:tcPr>
            <w:tcW w:w="246" w:type="pct"/>
            <w:tcBorders>
              <w:top w:val="nil"/>
              <w:left w:val="nil"/>
              <w:bottom w:val="single" w:sz="4" w:space="0" w:color="auto"/>
              <w:right w:val="single" w:sz="4" w:space="0" w:color="auto"/>
            </w:tcBorders>
            <w:shd w:val="clear" w:color="auto" w:fill="auto"/>
            <w:vAlign w:val="center"/>
            <w:hideMark/>
          </w:tcPr>
          <w:p w14:paraId="421A970B" w14:textId="77777777" w:rsidR="00215C71" w:rsidRPr="00E82C5A" w:rsidRDefault="00215C71" w:rsidP="00215C71">
            <w:pPr>
              <w:jc w:val="right"/>
              <w:rPr>
                <w:sz w:val="14"/>
                <w:szCs w:val="14"/>
              </w:rPr>
            </w:pPr>
            <w:r w:rsidRPr="00E82C5A">
              <w:rPr>
                <w:sz w:val="14"/>
                <w:szCs w:val="14"/>
              </w:rPr>
              <w:t>479</w:t>
            </w:r>
          </w:p>
        </w:tc>
        <w:tc>
          <w:tcPr>
            <w:tcW w:w="304" w:type="pct"/>
            <w:tcBorders>
              <w:top w:val="nil"/>
              <w:left w:val="nil"/>
              <w:bottom w:val="single" w:sz="4" w:space="0" w:color="auto"/>
              <w:right w:val="single" w:sz="4" w:space="0" w:color="auto"/>
            </w:tcBorders>
            <w:shd w:val="clear" w:color="auto" w:fill="auto"/>
            <w:vAlign w:val="center"/>
            <w:hideMark/>
          </w:tcPr>
          <w:p w14:paraId="11214EC6"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45D7CA3C" w14:textId="7F6BF962"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02764481" w14:textId="77777777" w:rsidR="00215C71" w:rsidRPr="00E82C5A" w:rsidRDefault="00215C71" w:rsidP="00215C71">
            <w:pPr>
              <w:jc w:val="right"/>
              <w:rPr>
                <w:sz w:val="14"/>
                <w:szCs w:val="14"/>
              </w:rPr>
            </w:pPr>
            <w:r w:rsidRPr="00E82C5A">
              <w:rPr>
                <w:sz w:val="14"/>
                <w:szCs w:val="14"/>
              </w:rPr>
              <w:t>100</w:t>
            </w:r>
          </w:p>
        </w:tc>
        <w:tc>
          <w:tcPr>
            <w:tcW w:w="304" w:type="pct"/>
            <w:tcBorders>
              <w:top w:val="nil"/>
              <w:left w:val="nil"/>
              <w:bottom w:val="single" w:sz="4" w:space="0" w:color="auto"/>
              <w:right w:val="single" w:sz="4" w:space="0" w:color="auto"/>
            </w:tcBorders>
            <w:shd w:val="clear" w:color="auto" w:fill="auto"/>
            <w:vAlign w:val="center"/>
            <w:hideMark/>
          </w:tcPr>
          <w:p w14:paraId="0E2EC123"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32B41F01" w14:textId="4CA78EA9" w:rsidR="00215C71" w:rsidRPr="00E82C5A" w:rsidRDefault="00215C71" w:rsidP="00215C71">
            <w:pPr>
              <w:jc w:val="right"/>
              <w:rPr>
                <w:sz w:val="14"/>
                <w:szCs w:val="14"/>
              </w:rPr>
            </w:pPr>
            <w:r w:rsidRPr="00E82C5A">
              <w:rPr>
                <w:sz w:val="14"/>
                <w:szCs w:val="14"/>
              </w:rPr>
              <w:t>5000</w:t>
            </w:r>
          </w:p>
        </w:tc>
        <w:tc>
          <w:tcPr>
            <w:tcW w:w="246" w:type="pct"/>
            <w:tcBorders>
              <w:top w:val="nil"/>
              <w:left w:val="nil"/>
              <w:bottom w:val="single" w:sz="4" w:space="0" w:color="auto"/>
              <w:right w:val="single" w:sz="4" w:space="0" w:color="auto"/>
            </w:tcBorders>
            <w:shd w:val="clear" w:color="auto" w:fill="auto"/>
            <w:vAlign w:val="center"/>
            <w:hideMark/>
          </w:tcPr>
          <w:p w14:paraId="43163830" w14:textId="77777777" w:rsidR="00215C71" w:rsidRPr="00E82C5A" w:rsidRDefault="00215C71" w:rsidP="00215C71">
            <w:pPr>
              <w:jc w:val="right"/>
              <w:rPr>
                <w:sz w:val="14"/>
                <w:szCs w:val="14"/>
              </w:rPr>
            </w:pPr>
            <w:r w:rsidRPr="00E82C5A">
              <w:rPr>
                <w:sz w:val="14"/>
                <w:szCs w:val="14"/>
              </w:rPr>
              <w:t>2 528</w:t>
            </w:r>
          </w:p>
        </w:tc>
        <w:tc>
          <w:tcPr>
            <w:tcW w:w="304" w:type="pct"/>
            <w:tcBorders>
              <w:top w:val="nil"/>
              <w:left w:val="nil"/>
              <w:bottom w:val="single" w:sz="4" w:space="0" w:color="auto"/>
              <w:right w:val="single" w:sz="4" w:space="0" w:color="auto"/>
            </w:tcBorders>
            <w:shd w:val="clear" w:color="auto" w:fill="auto"/>
            <w:vAlign w:val="center"/>
            <w:hideMark/>
          </w:tcPr>
          <w:p w14:paraId="46766693"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4749E6C6" w14:textId="09B56119" w:rsidR="00215C71" w:rsidRPr="00E82C5A" w:rsidRDefault="00215C71" w:rsidP="00215C71">
            <w:pPr>
              <w:jc w:val="right"/>
              <w:rPr>
                <w:sz w:val="14"/>
                <w:szCs w:val="14"/>
              </w:rPr>
            </w:pPr>
            <w:r w:rsidRPr="00E82C5A">
              <w:rPr>
                <w:sz w:val="14"/>
                <w:szCs w:val="14"/>
              </w:rPr>
              <w:t>2</w:t>
            </w:r>
          </w:p>
        </w:tc>
        <w:tc>
          <w:tcPr>
            <w:tcW w:w="246" w:type="pct"/>
            <w:tcBorders>
              <w:top w:val="nil"/>
              <w:left w:val="nil"/>
              <w:bottom w:val="single" w:sz="4" w:space="0" w:color="auto"/>
              <w:right w:val="single" w:sz="4" w:space="0" w:color="auto"/>
            </w:tcBorders>
            <w:shd w:val="clear" w:color="auto" w:fill="auto"/>
            <w:vAlign w:val="center"/>
            <w:hideMark/>
          </w:tcPr>
          <w:p w14:paraId="79271DCE" w14:textId="77777777" w:rsidR="00215C71" w:rsidRPr="00E82C5A" w:rsidRDefault="00215C71" w:rsidP="00215C71">
            <w:pPr>
              <w:jc w:val="right"/>
              <w:rPr>
                <w:sz w:val="14"/>
                <w:szCs w:val="14"/>
              </w:rPr>
            </w:pPr>
            <w:r w:rsidRPr="00E82C5A">
              <w:rPr>
                <w:sz w:val="14"/>
                <w:szCs w:val="14"/>
              </w:rPr>
              <w:t>1</w:t>
            </w:r>
          </w:p>
        </w:tc>
        <w:tc>
          <w:tcPr>
            <w:tcW w:w="104" w:type="pct"/>
            <w:vAlign w:val="center"/>
            <w:hideMark/>
          </w:tcPr>
          <w:p w14:paraId="6CAF6CE8" w14:textId="77777777" w:rsidR="00215C71" w:rsidRDefault="00215C71" w:rsidP="00215C71">
            <w:pPr>
              <w:rPr>
                <w:sz w:val="20"/>
                <w:szCs w:val="20"/>
              </w:rPr>
            </w:pPr>
          </w:p>
        </w:tc>
      </w:tr>
      <w:tr w:rsidR="00215C71" w14:paraId="5BD252F4"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7CB381B1" w14:textId="77777777" w:rsidR="00215C71" w:rsidRDefault="00215C71" w:rsidP="00215C71">
            <w:pPr>
              <w:rPr>
                <w:color w:val="000000"/>
                <w:sz w:val="14"/>
                <w:szCs w:val="14"/>
              </w:rPr>
            </w:pPr>
            <w:r>
              <w:rPr>
                <w:color w:val="000000"/>
                <w:sz w:val="14"/>
                <w:szCs w:val="14"/>
              </w:rPr>
              <w:t>Добрич</w:t>
            </w:r>
          </w:p>
        </w:tc>
        <w:tc>
          <w:tcPr>
            <w:tcW w:w="304" w:type="pct"/>
            <w:tcBorders>
              <w:top w:val="nil"/>
              <w:left w:val="nil"/>
              <w:bottom w:val="single" w:sz="4" w:space="0" w:color="auto"/>
              <w:right w:val="single" w:sz="4" w:space="0" w:color="auto"/>
            </w:tcBorders>
            <w:shd w:val="clear" w:color="auto" w:fill="auto"/>
            <w:vAlign w:val="center"/>
            <w:hideMark/>
          </w:tcPr>
          <w:p w14:paraId="0D8350D9"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01C15DE4" w14:textId="44BD21F5" w:rsidR="00215C71" w:rsidRPr="00E82C5A" w:rsidRDefault="00215C71" w:rsidP="00215C71">
            <w:pPr>
              <w:jc w:val="right"/>
              <w:rPr>
                <w:sz w:val="14"/>
                <w:szCs w:val="14"/>
              </w:rPr>
            </w:pPr>
            <w:r w:rsidRPr="00E82C5A">
              <w:rPr>
                <w:sz w:val="14"/>
                <w:szCs w:val="14"/>
              </w:rPr>
              <w:t>150</w:t>
            </w:r>
          </w:p>
        </w:tc>
        <w:tc>
          <w:tcPr>
            <w:tcW w:w="246" w:type="pct"/>
            <w:tcBorders>
              <w:top w:val="nil"/>
              <w:left w:val="nil"/>
              <w:bottom w:val="single" w:sz="4" w:space="0" w:color="auto"/>
              <w:right w:val="single" w:sz="4" w:space="0" w:color="auto"/>
            </w:tcBorders>
            <w:shd w:val="clear" w:color="auto" w:fill="auto"/>
            <w:vAlign w:val="center"/>
            <w:hideMark/>
          </w:tcPr>
          <w:p w14:paraId="723BAB1F" w14:textId="77777777" w:rsidR="00215C71" w:rsidRPr="00E82C5A" w:rsidRDefault="00215C71" w:rsidP="00215C71">
            <w:pPr>
              <w:jc w:val="right"/>
              <w:rPr>
                <w:sz w:val="14"/>
                <w:szCs w:val="14"/>
              </w:rPr>
            </w:pPr>
            <w:r w:rsidRPr="00E82C5A">
              <w:rPr>
                <w:sz w:val="14"/>
                <w:szCs w:val="14"/>
              </w:rPr>
              <w:t>158</w:t>
            </w:r>
          </w:p>
        </w:tc>
        <w:tc>
          <w:tcPr>
            <w:tcW w:w="304" w:type="pct"/>
            <w:tcBorders>
              <w:top w:val="nil"/>
              <w:left w:val="nil"/>
              <w:bottom w:val="single" w:sz="4" w:space="0" w:color="auto"/>
              <w:right w:val="single" w:sz="4" w:space="0" w:color="auto"/>
            </w:tcBorders>
            <w:shd w:val="clear" w:color="auto" w:fill="auto"/>
            <w:vAlign w:val="center"/>
            <w:hideMark/>
          </w:tcPr>
          <w:p w14:paraId="7620C669"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6268AE8B" w14:textId="1AAE308A" w:rsidR="00215C71" w:rsidRPr="00E82C5A" w:rsidRDefault="00215C71" w:rsidP="00215C71">
            <w:pPr>
              <w:jc w:val="right"/>
              <w:rPr>
                <w:sz w:val="14"/>
                <w:szCs w:val="14"/>
              </w:rPr>
            </w:pPr>
            <w:r w:rsidRPr="00E82C5A">
              <w:rPr>
                <w:sz w:val="14"/>
                <w:szCs w:val="14"/>
              </w:rPr>
              <w:t>755</w:t>
            </w:r>
          </w:p>
        </w:tc>
        <w:tc>
          <w:tcPr>
            <w:tcW w:w="246" w:type="pct"/>
            <w:tcBorders>
              <w:top w:val="nil"/>
              <w:left w:val="nil"/>
              <w:bottom w:val="single" w:sz="4" w:space="0" w:color="auto"/>
              <w:right w:val="single" w:sz="4" w:space="0" w:color="auto"/>
            </w:tcBorders>
            <w:shd w:val="clear" w:color="auto" w:fill="auto"/>
            <w:vAlign w:val="center"/>
            <w:hideMark/>
          </w:tcPr>
          <w:p w14:paraId="64FCE2D6" w14:textId="77777777" w:rsidR="00215C71" w:rsidRPr="00E82C5A" w:rsidRDefault="00215C71" w:rsidP="00215C71">
            <w:pPr>
              <w:jc w:val="right"/>
              <w:rPr>
                <w:sz w:val="14"/>
                <w:szCs w:val="14"/>
              </w:rPr>
            </w:pPr>
            <w:r w:rsidRPr="00E82C5A">
              <w:rPr>
                <w:sz w:val="14"/>
                <w:szCs w:val="14"/>
              </w:rPr>
              <w:t>985</w:t>
            </w:r>
          </w:p>
        </w:tc>
        <w:tc>
          <w:tcPr>
            <w:tcW w:w="304" w:type="pct"/>
            <w:tcBorders>
              <w:top w:val="nil"/>
              <w:left w:val="nil"/>
              <w:bottom w:val="single" w:sz="4" w:space="0" w:color="auto"/>
              <w:right w:val="single" w:sz="4" w:space="0" w:color="auto"/>
            </w:tcBorders>
            <w:shd w:val="clear" w:color="auto" w:fill="auto"/>
            <w:vAlign w:val="center"/>
            <w:hideMark/>
          </w:tcPr>
          <w:p w14:paraId="54970B80"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41A10C96" w14:textId="1BD24D83"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5A6C9D39" w14:textId="77777777" w:rsidR="00215C71" w:rsidRPr="00E82C5A" w:rsidRDefault="00215C71" w:rsidP="00215C71">
            <w:pPr>
              <w:jc w:val="right"/>
              <w:rPr>
                <w:sz w:val="14"/>
                <w:szCs w:val="14"/>
              </w:rPr>
            </w:pPr>
            <w:r w:rsidRPr="00E82C5A">
              <w:rPr>
                <w:sz w:val="14"/>
                <w:szCs w:val="14"/>
              </w:rPr>
              <w:t>100</w:t>
            </w:r>
          </w:p>
        </w:tc>
        <w:tc>
          <w:tcPr>
            <w:tcW w:w="304" w:type="pct"/>
            <w:tcBorders>
              <w:top w:val="nil"/>
              <w:left w:val="nil"/>
              <w:bottom w:val="single" w:sz="4" w:space="0" w:color="auto"/>
              <w:right w:val="single" w:sz="4" w:space="0" w:color="auto"/>
            </w:tcBorders>
            <w:shd w:val="clear" w:color="auto" w:fill="auto"/>
            <w:vAlign w:val="center"/>
            <w:hideMark/>
          </w:tcPr>
          <w:p w14:paraId="13D87F88"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73A1467D" w14:textId="7693D726" w:rsidR="00215C71" w:rsidRPr="00E82C5A" w:rsidRDefault="00215C71" w:rsidP="00215C71">
            <w:pPr>
              <w:jc w:val="right"/>
              <w:rPr>
                <w:sz w:val="14"/>
                <w:szCs w:val="14"/>
              </w:rPr>
            </w:pPr>
            <w:r w:rsidRPr="00E82C5A">
              <w:rPr>
                <w:sz w:val="14"/>
                <w:szCs w:val="14"/>
              </w:rPr>
              <w:t>2300</w:t>
            </w:r>
          </w:p>
        </w:tc>
        <w:tc>
          <w:tcPr>
            <w:tcW w:w="246" w:type="pct"/>
            <w:tcBorders>
              <w:top w:val="nil"/>
              <w:left w:val="nil"/>
              <w:bottom w:val="single" w:sz="4" w:space="0" w:color="auto"/>
              <w:right w:val="single" w:sz="4" w:space="0" w:color="auto"/>
            </w:tcBorders>
            <w:shd w:val="clear" w:color="auto" w:fill="auto"/>
            <w:vAlign w:val="center"/>
            <w:hideMark/>
          </w:tcPr>
          <w:p w14:paraId="0D1A318F" w14:textId="77777777" w:rsidR="00215C71" w:rsidRPr="00E82C5A" w:rsidRDefault="00215C71" w:rsidP="00215C71">
            <w:pPr>
              <w:jc w:val="right"/>
              <w:rPr>
                <w:sz w:val="14"/>
                <w:szCs w:val="14"/>
              </w:rPr>
            </w:pPr>
            <w:r w:rsidRPr="00E82C5A">
              <w:rPr>
                <w:sz w:val="14"/>
                <w:szCs w:val="14"/>
              </w:rPr>
              <w:t>6 364</w:t>
            </w:r>
          </w:p>
        </w:tc>
        <w:tc>
          <w:tcPr>
            <w:tcW w:w="304" w:type="pct"/>
            <w:tcBorders>
              <w:top w:val="nil"/>
              <w:left w:val="nil"/>
              <w:bottom w:val="single" w:sz="4" w:space="0" w:color="auto"/>
              <w:right w:val="single" w:sz="4" w:space="0" w:color="auto"/>
            </w:tcBorders>
            <w:shd w:val="clear" w:color="auto" w:fill="auto"/>
            <w:vAlign w:val="center"/>
            <w:hideMark/>
          </w:tcPr>
          <w:p w14:paraId="40EBF013"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3665DA6D" w14:textId="48920CAC" w:rsidR="00215C71" w:rsidRPr="00E82C5A" w:rsidRDefault="00215C71" w:rsidP="00215C71">
            <w:pPr>
              <w:jc w:val="right"/>
              <w:rPr>
                <w:sz w:val="14"/>
                <w:szCs w:val="14"/>
              </w:rPr>
            </w:pPr>
            <w:r w:rsidRPr="00E82C5A">
              <w:rPr>
                <w:sz w:val="14"/>
                <w:szCs w:val="14"/>
              </w:rPr>
              <w:t>2</w:t>
            </w:r>
          </w:p>
        </w:tc>
        <w:tc>
          <w:tcPr>
            <w:tcW w:w="246" w:type="pct"/>
            <w:tcBorders>
              <w:top w:val="nil"/>
              <w:left w:val="nil"/>
              <w:bottom w:val="single" w:sz="4" w:space="0" w:color="auto"/>
              <w:right w:val="single" w:sz="4" w:space="0" w:color="auto"/>
            </w:tcBorders>
            <w:shd w:val="clear" w:color="auto" w:fill="auto"/>
            <w:vAlign w:val="center"/>
            <w:hideMark/>
          </w:tcPr>
          <w:p w14:paraId="7C79530C" w14:textId="77777777" w:rsidR="00215C71" w:rsidRPr="00E82C5A" w:rsidRDefault="00215C71" w:rsidP="00215C71">
            <w:pPr>
              <w:jc w:val="right"/>
              <w:rPr>
                <w:sz w:val="14"/>
                <w:szCs w:val="14"/>
              </w:rPr>
            </w:pPr>
            <w:r w:rsidRPr="00E82C5A">
              <w:rPr>
                <w:sz w:val="14"/>
                <w:szCs w:val="14"/>
              </w:rPr>
              <w:t>3</w:t>
            </w:r>
          </w:p>
        </w:tc>
        <w:tc>
          <w:tcPr>
            <w:tcW w:w="104" w:type="pct"/>
            <w:vAlign w:val="center"/>
            <w:hideMark/>
          </w:tcPr>
          <w:p w14:paraId="5573F030" w14:textId="77777777" w:rsidR="00215C71" w:rsidRDefault="00215C71" w:rsidP="00215C71">
            <w:pPr>
              <w:rPr>
                <w:sz w:val="20"/>
                <w:szCs w:val="20"/>
              </w:rPr>
            </w:pPr>
          </w:p>
        </w:tc>
      </w:tr>
      <w:tr w:rsidR="00215C71" w14:paraId="468299B3"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2EC53B99" w14:textId="77777777" w:rsidR="00215C71" w:rsidRDefault="00215C71" w:rsidP="00215C71">
            <w:pPr>
              <w:rPr>
                <w:color w:val="000000"/>
                <w:sz w:val="14"/>
                <w:szCs w:val="14"/>
              </w:rPr>
            </w:pPr>
            <w:r>
              <w:rPr>
                <w:color w:val="000000"/>
                <w:sz w:val="14"/>
                <w:szCs w:val="14"/>
              </w:rPr>
              <w:t>Кърджали</w:t>
            </w:r>
          </w:p>
        </w:tc>
        <w:tc>
          <w:tcPr>
            <w:tcW w:w="304" w:type="pct"/>
            <w:tcBorders>
              <w:top w:val="nil"/>
              <w:left w:val="nil"/>
              <w:bottom w:val="single" w:sz="4" w:space="0" w:color="auto"/>
              <w:right w:val="single" w:sz="4" w:space="0" w:color="auto"/>
            </w:tcBorders>
            <w:shd w:val="clear" w:color="auto" w:fill="auto"/>
            <w:vAlign w:val="center"/>
            <w:hideMark/>
          </w:tcPr>
          <w:p w14:paraId="5F8C3811"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214FDC10" w14:textId="124D536B" w:rsidR="00215C71" w:rsidRPr="00E82C5A" w:rsidRDefault="00215C71" w:rsidP="00215C71">
            <w:pPr>
              <w:jc w:val="right"/>
              <w:rPr>
                <w:sz w:val="14"/>
                <w:szCs w:val="14"/>
              </w:rPr>
            </w:pPr>
            <w:r w:rsidRPr="00E82C5A">
              <w:rPr>
                <w:sz w:val="14"/>
                <w:szCs w:val="14"/>
              </w:rPr>
              <w:t>215</w:t>
            </w:r>
          </w:p>
        </w:tc>
        <w:tc>
          <w:tcPr>
            <w:tcW w:w="246" w:type="pct"/>
            <w:tcBorders>
              <w:top w:val="nil"/>
              <w:left w:val="nil"/>
              <w:bottom w:val="single" w:sz="4" w:space="0" w:color="auto"/>
              <w:right w:val="single" w:sz="4" w:space="0" w:color="auto"/>
            </w:tcBorders>
            <w:shd w:val="clear" w:color="auto" w:fill="auto"/>
            <w:vAlign w:val="center"/>
            <w:hideMark/>
          </w:tcPr>
          <w:p w14:paraId="0FBA1D45" w14:textId="77777777" w:rsidR="00215C71" w:rsidRPr="00E82C5A" w:rsidRDefault="00215C71" w:rsidP="00215C71">
            <w:pPr>
              <w:jc w:val="right"/>
              <w:rPr>
                <w:sz w:val="14"/>
                <w:szCs w:val="14"/>
              </w:rPr>
            </w:pPr>
            <w:r w:rsidRPr="00E82C5A">
              <w:rPr>
                <w:sz w:val="14"/>
                <w:szCs w:val="14"/>
              </w:rPr>
              <w:t>218</w:t>
            </w:r>
          </w:p>
        </w:tc>
        <w:tc>
          <w:tcPr>
            <w:tcW w:w="304" w:type="pct"/>
            <w:tcBorders>
              <w:top w:val="nil"/>
              <w:left w:val="nil"/>
              <w:bottom w:val="single" w:sz="4" w:space="0" w:color="auto"/>
              <w:right w:val="single" w:sz="4" w:space="0" w:color="auto"/>
            </w:tcBorders>
            <w:shd w:val="clear" w:color="auto" w:fill="auto"/>
            <w:vAlign w:val="center"/>
            <w:hideMark/>
          </w:tcPr>
          <w:p w14:paraId="7201902B"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4104B2FD" w14:textId="4A36B8CE" w:rsidR="00215C71" w:rsidRPr="00E82C5A" w:rsidRDefault="00215C71" w:rsidP="00215C71">
            <w:pPr>
              <w:jc w:val="right"/>
              <w:rPr>
                <w:sz w:val="14"/>
                <w:szCs w:val="14"/>
              </w:rPr>
            </w:pPr>
            <w:r w:rsidRPr="00E82C5A">
              <w:rPr>
                <w:sz w:val="14"/>
                <w:szCs w:val="14"/>
              </w:rPr>
              <w:t>1002</w:t>
            </w:r>
          </w:p>
        </w:tc>
        <w:tc>
          <w:tcPr>
            <w:tcW w:w="246" w:type="pct"/>
            <w:tcBorders>
              <w:top w:val="nil"/>
              <w:left w:val="nil"/>
              <w:bottom w:val="single" w:sz="4" w:space="0" w:color="auto"/>
              <w:right w:val="single" w:sz="4" w:space="0" w:color="auto"/>
            </w:tcBorders>
            <w:shd w:val="clear" w:color="auto" w:fill="auto"/>
            <w:vAlign w:val="center"/>
            <w:hideMark/>
          </w:tcPr>
          <w:p w14:paraId="6C536701" w14:textId="77777777" w:rsidR="00215C71" w:rsidRPr="00E82C5A" w:rsidRDefault="00215C71" w:rsidP="00215C71">
            <w:pPr>
              <w:jc w:val="right"/>
              <w:rPr>
                <w:sz w:val="14"/>
                <w:szCs w:val="14"/>
              </w:rPr>
            </w:pPr>
            <w:r w:rsidRPr="00E82C5A">
              <w:rPr>
                <w:sz w:val="14"/>
                <w:szCs w:val="14"/>
              </w:rPr>
              <w:t>652</w:t>
            </w:r>
          </w:p>
        </w:tc>
        <w:tc>
          <w:tcPr>
            <w:tcW w:w="304" w:type="pct"/>
            <w:tcBorders>
              <w:top w:val="nil"/>
              <w:left w:val="nil"/>
              <w:bottom w:val="single" w:sz="4" w:space="0" w:color="auto"/>
              <w:right w:val="single" w:sz="4" w:space="0" w:color="auto"/>
            </w:tcBorders>
            <w:shd w:val="clear" w:color="auto" w:fill="auto"/>
            <w:vAlign w:val="center"/>
            <w:hideMark/>
          </w:tcPr>
          <w:p w14:paraId="56A37C0F"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58DB3E77" w14:textId="511BAB92"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6DF82E19" w14:textId="77777777" w:rsidR="00215C71" w:rsidRPr="00E82C5A" w:rsidRDefault="00215C71" w:rsidP="00215C71">
            <w:pPr>
              <w:jc w:val="right"/>
              <w:rPr>
                <w:sz w:val="14"/>
                <w:szCs w:val="14"/>
              </w:rPr>
            </w:pPr>
            <w:r w:rsidRPr="00E82C5A">
              <w:rPr>
                <w:sz w:val="14"/>
                <w:szCs w:val="14"/>
              </w:rPr>
              <w:t>100</w:t>
            </w:r>
          </w:p>
        </w:tc>
        <w:tc>
          <w:tcPr>
            <w:tcW w:w="304" w:type="pct"/>
            <w:tcBorders>
              <w:top w:val="nil"/>
              <w:left w:val="nil"/>
              <w:bottom w:val="single" w:sz="4" w:space="0" w:color="auto"/>
              <w:right w:val="single" w:sz="4" w:space="0" w:color="auto"/>
            </w:tcBorders>
            <w:shd w:val="clear" w:color="auto" w:fill="auto"/>
            <w:vAlign w:val="center"/>
            <w:hideMark/>
          </w:tcPr>
          <w:p w14:paraId="650D713C"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4FBE0A40" w14:textId="5F2F819D" w:rsidR="00215C71" w:rsidRPr="00E82C5A" w:rsidRDefault="00215C71" w:rsidP="00215C71">
            <w:pPr>
              <w:jc w:val="right"/>
              <w:rPr>
                <w:sz w:val="14"/>
                <w:szCs w:val="14"/>
              </w:rPr>
            </w:pPr>
            <w:r w:rsidRPr="00E82C5A">
              <w:rPr>
                <w:sz w:val="14"/>
                <w:szCs w:val="14"/>
              </w:rPr>
              <w:t>8500</w:t>
            </w:r>
          </w:p>
        </w:tc>
        <w:tc>
          <w:tcPr>
            <w:tcW w:w="246" w:type="pct"/>
            <w:tcBorders>
              <w:top w:val="nil"/>
              <w:left w:val="nil"/>
              <w:bottom w:val="single" w:sz="4" w:space="0" w:color="auto"/>
              <w:right w:val="single" w:sz="4" w:space="0" w:color="auto"/>
            </w:tcBorders>
            <w:shd w:val="clear" w:color="auto" w:fill="auto"/>
            <w:vAlign w:val="center"/>
            <w:hideMark/>
          </w:tcPr>
          <w:p w14:paraId="489C11F7" w14:textId="77777777" w:rsidR="00215C71" w:rsidRPr="00E82C5A" w:rsidRDefault="00215C71" w:rsidP="00215C71">
            <w:pPr>
              <w:jc w:val="right"/>
              <w:rPr>
                <w:sz w:val="14"/>
                <w:szCs w:val="14"/>
              </w:rPr>
            </w:pPr>
            <w:r w:rsidRPr="00E82C5A">
              <w:rPr>
                <w:sz w:val="14"/>
                <w:szCs w:val="14"/>
              </w:rPr>
              <w:t>3 419</w:t>
            </w:r>
          </w:p>
        </w:tc>
        <w:tc>
          <w:tcPr>
            <w:tcW w:w="304" w:type="pct"/>
            <w:tcBorders>
              <w:top w:val="nil"/>
              <w:left w:val="nil"/>
              <w:bottom w:val="single" w:sz="4" w:space="0" w:color="auto"/>
              <w:right w:val="single" w:sz="4" w:space="0" w:color="auto"/>
            </w:tcBorders>
            <w:shd w:val="clear" w:color="auto" w:fill="auto"/>
            <w:vAlign w:val="center"/>
            <w:hideMark/>
          </w:tcPr>
          <w:p w14:paraId="266A0CF8"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4D805092" w14:textId="75ADCAB8" w:rsidR="00215C71" w:rsidRPr="00E82C5A" w:rsidRDefault="00215C71" w:rsidP="00215C71">
            <w:pPr>
              <w:jc w:val="right"/>
              <w:rPr>
                <w:sz w:val="14"/>
                <w:szCs w:val="14"/>
              </w:rPr>
            </w:pPr>
            <w:r w:rsidRPr="00E82C5A">
              <w:rPr>
                <w:sz w:val="14"/>
                <w:szCs w:val="14"/>
              </w:rPr>
              <w:t>44</w:t>
            </w:r>
          </w:p>
        </w:tc>
        <w:tc>
          <w:tcPr>
            <w:tcW w:w="246" w:type="pct"/>
            <w:tcBorders>
              <w:top w:val="nil"/>
              <w:left w:val="nil"/>
              <w:bottom w:val="single" w:sz="4" w:space="0" w:color="auto"/>
              <w:right w:val="single" w:sz="4" w:space="0" w:color="auto"/>
            </w:tcBorders>
            <w:shd w:val="clear" w:color="auto" w:fill="auto"/>
            <w:vAlign w:val="center"/>
            <w:hideMark/>
          </w:tcPr>
          <w:p w14:paraId="4E9FE002" w14:textId="77777777" w:rsidR="00215C71" w:rsidRPr="00E82C5A" w:rsidRDefault="00215C71" w:rsidP="00215C71">
            <w:pPr>
              <w:jc w:val="right"/>
              <w:rPr>
                <w:sz w:val="14"/>
                <w:szCs w:val="14"/>
              </w:rPr>
            </w:pPr>
            <w:r w:rsidRPr="00E82C5A">
              <w:rPr>
                <w:sz w:val="14"/>
                <w:szCs w:val="14"/>
              </w:rPr>
              <w:t>37</w:t>
            </w:r>
          </w:p>
        </w:tc>
        <w:tc>
          <w:tcPr>
            <w:tcW w:w="104" w:type="pct"/>
            <w:vAlign w:val="center"/>
            <w:hideMark/>
          </w:tcPr>
          <w:p w14:paraId="666186F0" w14:textId="77777777" w:rsidR="00215C71" w:rsidRDefault="00215C71" w:rsidP="00215C71">
            <w:pPr>
              <w:rPr>
                <w:sz w:val="20"/>
                <w:szCs w:val="20"/>
              </w:rPr>
            </w:pPr>
          </w:p>
        </w:tc>
      </w:tr>
      <w:tr w:rsidR="00215C71" w14:paraId="57F8D20E"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1B4F532D" w14:textId="77777777" w:rsidR="00215C71" w:rsidRDefault="00215C71" w:rsidP="00215C71">
            <w:pPr>
              <w:rPr>
                <w:color w:val="000000"/>
                <w:sz w:val="14"/>
                <w:szCs w:val="14"/>
              </w:rPr>
            </w:pPr>
            <w:r>
              <w:rPr>
                <w:color w:val="000000"/>
                <w:sz w:val="14"/>
                <w:szCs w:val="14"/>
              </w:rPr>
              <w:t>Кюстендил</w:t>
            </w:r>
          </w:p>
        </w:tc>
        <w:tc>
          <w:tcPr>
            <w:tcW w:w="304" w:type="pct"/>
            <w:tcBorders>
              <w:top w:val="nil"/>
              <w:left w:val="nil"/>
              <w:bottom w:val="single" w:sz="4" w:space="0" w:color="auto"/>
              <w:right w:val="single" w:sz="4" w:space="0" w:color="auto"/>
            </w:tcBorders>
            <w:shd w:val="clear" w:color="auto" w:fill="auto"/>
            <w:vAlign w:val="center"/>
            <w:hideMark/>
          </w:tcPr>
          <w:p w14:paraId="4D36B572"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46DBB6EC" w14:textId="1A1962E3" w:rsidR="00215C71" w:rsidRPr="00E82C5A" w:rsidRDefault="00215C71" w:rsidP="00215C71">
            <w:pPr>
              <w:jc w:val="right"/>
              <w:rPr>
                <w:sz w:val="14"/>
                <w:szCs w:val="14"/>
              </w:rPr>
            </w:pPr>
            <w:r w:rsidRPr="00E82C5A">
              <w:rPr>
                <w:sz w:val="14"/>
                <w:szCs w:val="14"/>
              </w:rPr>
              <w:t>70</w:t>
            </w:r>
          </w:p>
        </w:tc>
        <w:tc>
          <w:tcPr>
            <w:tcW w:w="246" w:type="pct"/>
            <w:tcBorders>
              <w:top w:val="nil"/>
              <w:left w:val="nil"/>
              <w:bottom w:val="single" w:sz="4" w:space="0" w:color="auto"/>
              <w:right w:val="single" w:sz="4" w:space="0" w:color="auto"/>
            </w:tcBorders>
            <w:shd w:val="clear" w:color="auto" w:fill="auto"/>
            <w:vAlign w:val="center"/>
            <w:hideMark/>
          </w:tcPr>
          <w:p w14:paraId="760553C6" w14:textId="77777777" w:rsidR="00215C71" w:rsidRPr="00E82C5A" w:rsidRDefault="00215C71" w:rsidP="00215C71">
            <w:pPr>
              <w:jc w:val="right"/>
              <w:rPr>
                <w:sz w:val="14"/>
                <w:szCs w:val="14"/>
              </w:rPr>
            </w:pPr>
            <w:r w:rsidRPr="00E82C5A">
              <w:rPr>
                <w:sz w:val="14"/>
                <w:szCs w:val="14"/>
              </w:rPr>
              <w:t>73</w:t>
            </w:r>
          </w:p>
        </w:tc>
        <w:tc>
          <w:tcPr>
            <w:tcW w:w="304" w:type="pct"/>
            <w:tcBorders>
              <w:top w:val="nil"/>
              <w:left w:val="nil"/>
              <w:bottom w:val="single" w:sz="4" w:space="0" w:color="auto"/>
              <w:right w:val="single" w:sz="4" w:space="0" w:color="auto"/>
            </w:tcBorders>
            <w:shd w:val="clear" w:color="auto" w:fill="auto"/>
            <w:vAlign w:val="center"/>
            <w:hideMark/>
          </w:tcPr>
          <w:p w14:paraId="456BBD2E"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51455711" w14:textId="6A049012" w:rsidR="00215C71" w:rsidRPr="00E82C5A" w:rsidRDefault="00215C71" w:rsidP="00215C71">
            <w:pPr>
              <w:jc w:val="right"/>
              <w:rPr>
                <w:sz w:val="14"/>
                <w:szCs w:val="14"/>
              </w:rPr>
            </w:pPr>
            <w:r w:rsidRPr="00E82C5A">
              <w:rPr>
                <w:sz w:val="14"/>
                <w:szCs w:val="14"/>
              </w:rPr>
              <w:t>1501</w:t>
            </w:r>
          </w:p>
        </w:tc>
        <w:tc>
          <w:tcPr>
            <w:tcW w:w="246" w:type="pct"/>
            <w:tcBorders>
              <w:top w:val="nil"/>
              <w:left w:val="nil"/>
              <w:bottom w:val="single" w:sz="4" w:space="0" w:color="auto"/>
              <w:right w:val="single" w:sz="4" w:space="0" w:color="auto"/>
            </w:tcBorders>
            <w:shd w:val="clear" w:color="auto" w:fill="auto"/>
            <w:vAlign w:val="center"/>
            <w:hideMark/>
          </w:tcPr>
          <w:p w14:paraId="6C29FA58" w14:textId="77777777" w:rsidR="00215C71" w:rsidRPr="00E82C5A" w:rsidRDefault="00215C71" w:rsidP="00215C71">
            <w:pPr>
              <w:jc w:val="right"/>
              <w:rPr>
                <w:sz w:val="14"/>
                <w:szCs w:val="14"/>
              </w:rPr>
            </w:pPr>
            <w:r w:rsidRPr="00E82C5A">
              <w:rPr>
                <w:sz w:val="14"/>
                <w:szCs w:val="14"/>
              </w:rPr>
              <w:t>893</w:t>
            </w:r>
          </w:p>
        </w:tc>
        <w:tc>
          <w:tcPr>
            <w:tcW w:w="304" w:type="pct"/>
            <w:tcBorders>
              <w:top w:val="nil"/>
              <w:left w:val="nil"/>
              <w:bottom w:val="single" w:sz="4" w:space="0" w:color="auto"/>
              <w:right w:val="single" w:sz="4" w:space="0" w:color="auto"/>
            </w:tcBorders>
            <w:shd w:val="clear" w:color="auto" w:fill="auto"/>
            <w:vAlign w:val="center"/>
            <w:hideMark/>
          </w:tcPr>
          <w:p w14:paraId="2175F3A3"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45107CD2" w14:textId="500CD6A6"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24915E81" w14:textId="77777777" w:rsidR="00215C71" w:rsidRPr="00E82C5A" w:rsidRDefault="00215C71" w:rsidP="00215C71">
            <w:pPr>
              <w:jc w:val="right"/>
              <w:rPr>
                <w:sz w:val="14"/>
                <w:szCs w:val="14"/>
              </w:rPr>
            </w:pPr>
            <w:r w:rsidRPr="00E82C5A">
              <w:rPr>
                <w:sz w:val="14"/>
                <w:szCs w:val="14"/>
              </w:rPr>
              <w:t>100</w:t>
            </w:r>
          </w:p>
        </w:tc>
        <w:tc>
          <w:tcPr>
            <w:tcW w:w="304" w:type="pct"/>
            <w:tcBorders>
              <w:top w:val="nil"/>
              <w:left w:val="nil"/>
              <w:bottom w:val="single" w:sz="4" w:space="0" w:color="auto"/>
              <w:right w:val="single" w:sz="4" w:space="0" w:color="auto"/>
            </w:tcBorders>
            <w:shd w:val="clear" w:color="auto" w:fill="auto"/>
            <w:vAlign w:val="center"/>
            <w:hideMark/>
          </w:tcPr>
          <w:p w14:paraId="77E34903"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6574E33C" w14:textId="6DE90C9E" w:rsidR="00215C71" w:rsidRPr="00E82C5A" w:rsidRDefault="00215C71" w:rsidP="00215C71">
            <w:pPr>
              <w:jc w:val="right"/>
              <w:rPr>
                <w:sz w:val="14"/>
                <w:szCs w:val="14"/>
              </w:rPr>
            </w:pPr>
            <w:r w:rsidRPr="00E82C5A">
              <w:rPr>
                <w:sz w:val="14"/>
                <w:szCs w:val="14"/>
              </w:rPr>
              <w:t>5500</w:t>
            </w:r>
          </w:p>
        </w:tc>
        <w:tc>
          <w:tcPr>
            <w:tcW w:w="246" w:type="pct"/>
            <w:tcBorders>
              <w:top w:val="nil"/>
              <w:left w:val="nil"/>
              <w:bottom w:val="single" w:sz="4" w:space="0" w:color="auto"/>
              <w:right w:val="single" w:sz="4" w:space="0" w:color="auto"/>
            </w:tcBorders>
            <w:shd w:val="clear" w:color="auto" w:fill="auto"/>
            <w:vAlign w:val="center"/>
            <w:hideMark/>
          </w:tcPr>
          <w:p w14:paraId="503E6B68" w14:textId="77777777" w:rsidR="00215C71" w:rsidRPr="00E82C5A" w:rsidRDefault="00215C71" w:rsidP="00215C71">
            <w:pPr>
              <w:jc w:val="right"/>
              <w:rPr>
                <w:sz w:val="14"/>
                <w:szCs w:val="14"/>
              </w:rPr>
            </w:pPr>
            <w:r w:rsidRPr="00E82C5A">
              <w:rPr>
                <w:sz w:val="14"/>
                <w:szCs w:val="14"/>
              </w:rPr>
              <w:t>2 492</w:t>
            </w:r>
          </w:p>
        </w:tc>
        <w:tc>
          <w:tcPr>
            <w:tcW w:w="304" w:type="pct"/>
            <w:tcBorders>
              <w:top w:val="nil"/>
              <w:left w:val="nil"/>
              <w:bottom w:val="single" w:sz="4" w:space="0" w:color="auto"/>
              <w:right w:val="single" w:sz="4" w:space="0" w:color="auto"/>
            </w:tcBorders>
            <w:shd w:val="clear" w:color="auto" w:fill="auto"/>
            <w:vAlign w:val="center"/>
            <w:hideMark/>
          </w:tcPr>
          <w:p w14:paraId="05AB633B"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1B0A77DF" w14:textId="64CF8629" w:rsidR="00215C71" w:rsidRPr="00E82C5A" w:rsidRDefault="00215C71" w:rsidP="00215C71">
            <w:pPr>
              <w:jc w:val="right"/>
              <w:rPr>
                <w:sz w:val="14"/>
                <w:szCs w:val="14"/>
              </w:rPr>
            </w:pPr>
            <w:r w:rsidRPr="00E82C5A">
              <w:rPr>
                <w:sz w:val="14"/>
                <w:szCs w:val="14"/>
              </w:rPr>
              <w:t>12</w:t>
            </w:r>
          </w:p>
        </w:tc>
        <w:tc>
          <w:tcPr>
            <w:tcW w:w="246" w:type="pct"/>
            <w:tcBorders>
              <w:top w:val="nil"/>
              <w:left w:val="nil"/>
              <w:bottom w:val="single" w:sz="4" w:space="0" w:color="auto"/>
              <w:right w:val="single" w:sz="4" w:space="0" w:color="auto"/>
            </w:tcBorders>
            <w:shd w:val="clear" w:color="auto" w:fill="auto"/>
            <w:vAlign w:val="center"/>
            <w:hideMark/>
          </w:tcPr>
          <w:p w14:paraId="7BA56AA5" w14:textId="77777777" w:rsidR="00215C71" w:rsidRPr="00E82C5A" w:rsidRDefault="00215C71" w:rsidP="00215C71">
            <w:pPr>
              <w:jc w:val="right"/>
              <w:rPr>
                <w:sz w:val="14"/>
                <w:szCs w:val="14"/>
              </w:rPr>
            </w:pPr>
            <w:r w:rsidRPr="00E82C5A">
              <w:rPr>
                <w:sz w:val="14"/>
                <w:szCs w:val="14"/>
              </w:rPr>
              <w:t>17</w:t>
            </w:r>
          </w:p>
        </w:tc>
        <w:tc>
          <w:tcPr>
            <w:tcW w:w="104" w:type="pct"/>
            <w:vAlign w:val="center"/>
            <w:hideMark/>
          </w:tcPr>
          <w:p w14:paraId="13F92478" w14:textId="77777777" w:rsidR="00215C71" w:rsidRDefault="00215C71" w:rsidP="00215C71">
            <w:pPr>
              <w:rPr>
                <w:sz w:val="20"/>
                <w:szCs w:val="20"/>
              </w:rPr>
            </w:pPr>
          </w:p>
        </w:tc>
      </w:tr>
      <w:tr w:rsidR="00215C71" w14:paraId="0E4388D2"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7F9F4158" w14:textId="77777777" w:rsidR="00215C71" w:rsidRDefault="00215C71" w:rsidP="00215C71">
            <w:pPr>
              <w:rPr>
                <w:color w:val="000000"/>
                <w:sz w:val="14"/>
                <w:szCs w:val="14"/>
              </w:rPr>
            </w:pPr>
            <w:r>
              <w:rPr>
                <w:color w:val="000000"/>
                <w:sz w:val="14"/>
                <w:szCs w:val="14"/>
              </w:rPr>
              <w:t>Ловеч</w:t>
            </w:r>
          </w:p>
        </w:tc>
        <w:tc>
          <w:tcPr>
            <w:tcW w:w="304" w:type="pct"/>
            <w:tcBorders>
              <w:top w:val="nil"/>
              <w:left w:val="nil"/>
              <w:bottom w:val="single" w:sz="4" w:space="0" w:color="auto"/>
              <w:right w:val="single" w:sz="4" w:space="0" w:color="auto"/>
            </w:tcBorders>
            <w:shd w:val="clear" w:color="auto" w:fill="auto"/>
            <w:vAlign w:val="center"/>
            <w:hideMark/>
          </w:tcPr>
          <w:p w14:paraId="1B9ABA24"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19E3C395" w14:textId="44D1CE41" w:rsidR="00215C71" w:rsidRPr="00E82C5A" w:rsidRDefault="00215C71" w:rsidP="00215C71">
            <w:pPr>
              <w:jc w:val="right"/>
              <w:rPr>
                <w:sz w:val="14"/>
                <w:szCs w:val="14"/>
              </w:rPr>
            </w:pPr>
            <w:r w:rsidRPr="00E82C5A">
              <w:rPr>
                <w:sz w:val="14"/>
                <w:szCs w:val="14"/>
              </w:rPr>
              <w:t>145</w:t>
            </w:r>
          </w:p>
        </w:tc>
        <w:tc>
          <w:tcPr>
            <w:tcW w:w="246" w:type="pct"/>
            <w:tcBorders>
              <w:top w:val="nil"/>
              <w:left w:val="nil"/>
              <w:bottom w:val="single" w:sz="4" w:space="0" w:color="auto"/>
              <w:right w:val="single" w:sz="4" w:space="0" w:color="auto"/>
            </w:tcBorders>
            <w:shd w:val="clear" w:color="auto" w:fill="auto"/>
            <w:vAlign w:val="center"/>
            <w:hideMark/>
          </w:tcPr>
          <w:p w14:paraId="51D2F010" w14:textId="77777777" w:rsidR="00215C71" w:rsidRPr="00E82C5A" w:rsidRDefault="00215C71" w:rsidP="00215C71">
            <w:pPr>
              <w:jc w:val="right"/>
              <w:rPr>
                <w:sz w:val="14"/>
                <w:szCs w:val="14"/>
              </w:rPr>
            </w:pPr>
            <w:r w:rsidRPr="00E82C5A">
              <w:rPr>
                <w:sz w:val="14"/>
                <w:szCs w:val="14"/>
              </w:rPr>
              <w:t>144</w:t>
            </w:r>
          </w:p>
        </w:tc>
        <w:tc>
          <w:tcPr>
            <w:tcW w:w="304" w:type="pct"/>
            <w:tcBorders>
              <w:top w:val="nil"/>
              <w:left w:val="nil"/>
              <w:bottom w:val="single" w:sz="4" w:space="0" w:color="auto"/>
              <w:right w:val="single" w:sz="4" w:space="0" w:color="auto"/>
            </w:tcBorders>
            <w:shd w:val="clear" w:color="auto" w:fill="auto"/>
            <w:vAlign w:val="center"/>
            <w:hideMark/>
          </w:tcPr>
          <w:p w14:paraId="245073D9"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3D792419" w14:textId="4C06748C" w:rsidR="00215C71" w:rsidRPr="00E82C5A" w:rsidRDefault="00215C71" w:rsidP="00215C71">
            <w:pPr>
              <w:jc w:val="right"/>
              <w:rPr>
                <w:sz w:val="14"/>
                <w:szCs w:val="14"/>
              </w:rPr>
            </w:pPr>
            <w:r w:rsidRPr="00E82C5A">
              <w:rPr>
                <w:sz w:val="14"/>
                <w:szCs w:val="14"/>
              </w:rPr>
              <w:t>870</w:t>
            </w:r>
          </w:p>
        </w:tc>
        <w:tc>
          <w:tcPr>
            <w:tcW w:w="246" w:type="pct"/>
            <w:tcBorders>
              <w:top w:val="nil"/>
              <w:left w:val="nil"/>
              <w:bottom w:val="single" w:sz="4" w:space="0" w:color="auto"/>
              <w:right w:val="single" w:sz="4" w:space="0" w:color="auto"/>
            </w:tcBorders>
            <w:shd w:val="clear" w:color="auto" w:fill="auto"/>
            <w:vAlign w:val="center"/>
            <w:hideMark/>
          </w:tcPr>
          <w:p w14:paraId="6B6AABDF" w14:textId="77777777" w:rsidR="00215C71" w:rsidRPr="00E82C5A" w:rsidRDefault="00215C71" w:rsidP="00215C71">
            <w:pPr>
              <w:jc w:val="right"/>
              <w:rPr>
                <w:sz w:val="14"/>
                <w:szCs w:val="14"/>
              </w:rPr>
            </w:pPr>
            <w:r w:rsidRPr="00E82C5A">
              <w:rPr>
                <w:sz w:val="14"/>
                <w:szCs w:val="14"/>
              </w:rPr>
              <w:t>771</w:t>
            </w:r>
          </w:p>
        </w:tc>
        <w:tc>
          <w:tcPr>
            <w:tcW w:w="304" w:type="pct"/>
            <w:tcBorders>
              <w:top w:val="nil"/>
              <w:left w:val="nil"/>
              <w:bottom w:val="single" w:sz="4" w:space="0" w:color="auto"/>
              <w:right w:val="single" w:sz="4" w:space="0" w:color="auto"/>
            </w:tcBorders>
            <w:shd w:val="clear" w:color="auto" w:fill="auto"/>
            <w:vAlign w:val="center"/>
            <w:hideMark/>
          </w:tcPr>
          <w:p w14:paraId="76506D37"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067AC3B5" w14:textId="1294112A" w:rsidR="00215C71" w:rsidRPr="00E82C5A" w:rsidRDefault="00215C71" w:rsidP="00215C71">
            <w:pPr>
              <w:jc w:val="right"/>
              <w:rPr>
                <w:sz w:val="14"/>
                <w:szCs w:val="14"/>
              </w:rPr>
            </w:pPr>
            <w:r w:rsidRPr="00E82C5A">
              <w:rPr>
                <w:sz w:val="14"/>
                <w:szCs w:val="14"/>
              </w:rPr>
              <w:t>0</w:t>
            </w:r>
          </w:p>
        </w:tc>
        <w:tc>
          <w:tcPr>
            <w:tcW w:w="246" w:type="pct"/>
            <w:tcBorders>
              <w:top w:val="nil"/>
              <w:left w:val="nil"/>
              <w:bottom w:val="single" w:sz="4" w:space="0" w:color="auto"/>
              <w:right w:val="single" w:sz="4" w:space="0" w:color="auto"/>
            </w:tcBorders>
            <w:shd w:val="clear" w:color="auto" w:fill="auto"/>
            <w:vAlign w:val="center"/>
            <w:hideMark/>
          </w:tcPr>
          <w:p w14:paraId="2EB29972" w14:textId="77777777" w:rsidR="00215C71" w:rsidRPr="00E82C5A" w:rsidRDefault="00215C71" w:rsidP="00215C71">
            <w:pPr>
              <w:jc w:val="right"/>
              <w:rPr>
                <w:sz w:val="14"/>
                <w:szCs w:val="14"/>
              </w:rPr>
            </w:pPr>
            <w:r w:rsidRPr="00E82C5A">
              <w:rPr>
                <w:sz w:val="14"/>
                <w:szCs w:val="14"/>
              </w:rPr>
              <w:t>0</w:t>
            </w:r>
          </w:p>
        </w:tc>
        <w:tc>
          <w:tcPr>
            <w:tcW w:w="304" w:type="pct"/>
            <w:tcBorders>
              <w:top w:val="nil"/>
              <w:left w:val="nil"/>
              <w:bottom w:val="single" w:sz="4" w:space="0" w:color="auto"/>
              <w:right w:val="single" w:sz="4" w:space="0" w:color="auto"/>
            </w:tcBorders>
            <w:shd w:val="clear" w:color="auto" w:fill="auto"/>
            <w:vAlign w:val="center"/>
            <w:hideMark/>
          </w:tcPr>
          <w:p w14:paraId="14B58814"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13321CB1" w14:textId="36519240" w:rsidR="00215C71" w:rsidRPr="00E82C5A" w:rsidRDefault="00215C71" w:rsidP="00215C71">
            <w:pPr>
              <w:jc w:val="right"/>
              <w:rPr>
                <w:sz w:val="14"/>
                <w:szCs w:val="14"/>
              </w:rPr>
            </w:pPr>
            <w:r w:rsidRPr="00E82C5A">
              <w:rPr>
                <w:sz w:val="14"/>
                <w:szCs w:val="14"/>
              </w:rPr>
              <w:t>4700</w:t>
            </w:r>
          </w:p>
        </w:tc>
        <w:tc>
          <w:tcPr>
            <w:tcW w:w="246" w:type="pct"/>
            <w:tcBorders>
              <w:top w:val="nil"/>
              <w:left w:val="nil"/>
              <w:bottom w:val="single" w:sz="4" w:space="0" w:color="auto"/>
              <w:right w:val="single" w:sz="4" w:space="0" w:color="auto"/>
            </w:tcBorders>
            <w:shd w:val="clear" w:color="auto" w:fill="auto"/>
            <w:vAlign w:val="center"/>
            <w:hideMark/>
          </w:tcPr>
          <w:p w14:paraId="04837956" w14:textId="77777777" w:rsidR="00215C71" w:rsidRPr="00E82C5A" w:rsidRDefault="00215C71" w:rsidP="00215C71">
            <w:pPr>
              <w:jc w:val="right"/>
              <w:rPr>
                <w:sz w:val="14"/>
                <w:szCs w:val="14"/>
              </w:rPr>
            </w:pPr>
            <w:r w:rsidRPr="00E82C5A">
              <w:rPr>
                <w:sz w:val="14"/>
                <w:szCs w:val="14"/>
              </w:rPr>
              <w:t>5 216</w:t>
            </w:r>
          </w:p>
        </w:tc>
        <w:tc>
          <w:tcPr>
            <w:tcW w:w="304" w:type="pct"/>
            <w:tcBorders>
              <w:top w:val="nil"/>
              <w:left w:val="nil"/>
              <w:bottom w:val="single" w:sz="4" w:space="0" w:color="auto"/>
              <w:right w:val="single" w:sz="4" w:space="0" w:color="auto"/>
            </w:tcBorders>
            <w:shd w:val="clear" w:color="auto" w:fill="auto"/>
            <w:vAlign w:val="center"/>
            <w:hideMark/>
          </w:tcPr>
          <w:p w14:paraId="42D29336"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23665696" w14:textId="1D25317E" w:rsidR="00215C71" w:rsidRPr="00E82C5A" w:rsidRDefault="00215C71" w:rsidP="00215C71">
            <w:pPr>
              <w:jc w:val="right"/>
              <w:rPr>
                <w:sz w:val="14"/>
                <w:szCs w:val="14"/>
              </w:rPr>
            </w:pPr>
            <w:r w:rsidRPr="00E82C5A">
              <w:rPr>
                <w:sz w:val="14"/>
                <w:szCs w:val="14"/>
              </w:rPr>
              <w:t>22</w:t>
            </w:r>
          </w:p>
        </w:tc>
        <w:tc>
          <w:tcPr>
            <w:tcW w:w="246" w:type="pct"/>
            <w:tcBorders>
              <w:top w:val="nil"/>
              <w:left w:val="nil"/>
              <w:bottom w:val="single" w:sz="4" w:space="0" w:color="auto"/>
              <w:right w:val="single" w:sz="4" w:space="0" w:color="auto"/>
            </w:tcBorders>
            <w:shd w:val="clear" w:color="auto" w:fill="auto"/>
            <w:vAlign w:val="center"/>
            <w:hideMark/>
          </w:tcPr>
          <w:p w14:paraId="28147569" w14:textId="77777777" w:rsidR="00215C71" w:rsidRPr="00E82C5A" w:rsidRDefault="00215C71" w:rsidP="00215C71">
            <w:pPr>
              <w:jc w:val="right"/>
              <w:rPr>
                <w:sz w:val="14"/>
                <w:szCs w:val="14"/>
              </w:rPr>
            </w:pPr>
            <w:r w:rsidRPr="00E82C5A">
              <w:rPr>
                <w:sz w:val="14"/>
                <w:szCs w:val="14"/>
              </w:rPr>
              <w:t>22</w:t>
            </w:r>
          </w:p>
        </w:tc>
        <w:tc>
          <w:tcPr>
            <w:tcW w:w="104" w:type="pct"/>
            <w:vAlign w:val="center"/>
            <w:hideMark/>
          </w:tcPr>
          <w:p w14:paraId="33E90A79" w14:textId="77777777" w:rsidR="00215C71" w:rsidRDefault="00215C71" w:rsidP="00215C71">
            <w:pPr>
              <w:rPr>
                <w:sz w:val="20"/>
                <w:szCs w:val="20"/>
              </w:rPr>
            </w:pPr>
          </w:p>
        </w:tc>
      </w:tr>
      <w:tr w:rsidR="00215C71" w14:paraId="33ACA604"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4FE490FE" w14:textId="77777777" w:rsidR="00215C71" w:rsidRDefault="00215C71" w:rsidP="00215C71">
            <w:pPr>
              <w:rPr>
                <w:color w:val="000000"/>
                <w:sz w:val="14"/>
                <w:szCs w:val="14"/>
              </w:rPr>
            </w:pPr>
            <w:r>
              <w:rPr>
                <w:color w:val="000000"/>
                <w:sz w:val="14"/>
                <w:szCs w:val="14"/>
              </w:rPr>
              <w:t>Монтана</w:t>
            </w:r>
          </w:p>
        </w:tc>
        <w:tc>
          <w:tcPr>
            <w:tcW w:w="304" w:type="pct"/>
            <w:tcBorders>
              <w:top w:val="nil"/>
              <w:left w:val="nil"/>
              <w:bottom w:val="single" w:sz="4" w:space="0" w:color="auto"/>
              <w:right w:val="single" w:sz="4" w:space="0" w:color="auto"/>
            </w:tcBorders>
            <w:shd w:val="clear" w:color="auto" w:fill="auto"/>
            <w:vAlign w:val="center"/>
            <w:hideMark/>
          </w:tcPr>
          <w:p w14:paraId="0E9B3CAA"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7472F7CF" w14:textId="6EC6F334" w:rsidR="00215C71" w:rsidRPr="00E82C5A" w:rsidRDefault="00215C71" w:rsidP="00215C71">
            <w:pPr>
              <w:jc w:val="right"/>
              <w:rPr>
                <w:sz w:val="14"/>
                <w:szCs w:val="14"/>
              </w:rPr>
            </w:pPr>
            <w:r w:rsidRPr="00E82C5A">
              <w:rPr>
                <w:sz w:val="14"/>
                <w:szCs w:val="14"/>
              </w:rPr>
              <w:t>115</w:t>
            </w:r>
          </w:p>
        </w:tc>
        <w:tc>
          <w:tcPr>
            <w:tcW w:w="246" w:type="pct"/>
            <w:tcBorders>
              <w:top w:val="nil"/>
              <w:left w:val="nil"/>
              <w:bottom w:val="single" w:sz="4" w:space="0" w:color="auto"/>
              <w:right w:val="single" w:sz="4" w:space="0" w:color="auto"/>
            </w:tcBorders>
            <w:shd w:val="clear" w:color="auto" w:fill="auto"/>
            <w:vAlign w:val="center"/>
            <w:hideMark/>
          </w:tcPr>
          <w:p w14:paraId="7999A6EC" w14:textId="77777777" w:rsidR="00215C71" w:rsidRPr="00E82C5A" w:rsidRDefault="00215C71" w:rsidP="00215C71">
            <w:pPr>
              <w:jc w:val="right"/>
              <w:rPr>
                <w:sz w:val="14"/>
                <w:szCs w:val="14"/>
              </w:rPr>
            </w:pPr>
            <w:r w:rsidRPr="00E82C5A">
              <w:rPr>
                <w:sz w:val="14"/>
                <w:szCs w:val="14"/>
              </w:rPr>
              <w:t>119</w:t>
            </w:r>
          </w:p>
        </w:tc>
        <w:tc>
          <w:tcPr>
            <w:tcW w:w="304" w:type="pct"/>
            <w:tcBorders>
              <w:top w:val="nil"/>
              <w:left w:val="nil"/>
              <w:bottom w:val="single" w:sz="4" w:space="0" w:color="auto"/>
              <w:right w:val="single" w:sz="4" w:space="0" w:color="auto"/>
            </w:tcBorders>
            <w:shd w:val="clear" w:color="auto" w:fill="auto"/>
            <w:vAlign w:val="center"/>
            <w:hideMark/>
          </w:tcPr>
          <w:p w14:paraId="16A5AD23"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6CEFE5DD" w14:textId="7B17CE49" w:rsidR="00215C71" w:rsidRPr="00E82C5A" w:rsidRDefault="00215C71" w:rsidP="00215C71">
            <w:pPr>
              <w:jc w:val="right"/>
              <w:rPr>
                <w:sz w:val="14"/>
                <w:szCs w:val="14"/>
              </w:rPr>
            </w:pPr>
            <w:r w:rsidRPr="00E82C5A">
              <w:rPr>
                <w:sz w:val="14"/>
                <w:szCs w:val="14"/>
              </w:rPr>
              <w:t>1501</w:t>
            </w:r>
          </w:p>
        </w:tc>
        <w:tc>
          <w:tcPr>
            <w:tcW w:w="246" w:type="pct"/>
            <w:tcBorders>
              <w:top w:val="nil"/>
              <w:left w:val="nil"/>
              <w:bottom w:val="single" w:sz="4" w:space="0" w:color="auto"/>
              <w:right w:val="single" w:sz="4" w:space="0" w:color="auto"/>
            </w:tcBorders>
            <w:shd w:val="clear" w:color="auto" w:fill="auto"/>
            <w:vAlign w:val="center"/>
            <w:hideMark/>
          </w:tcPr>
          <w:p w14:paraId="4A523A6F" w14:textId="77777777" w:rsidR="00215C71" w:rsidRPr="00E82C5A" w:rsidRDefault="00215C71" w:rsidP="00215C71">
            <w:pPr>
              <w:jc w:val="right"/>
              <w:rPr>
                <w:sz w:val="14"/>
                <w:szCs w:val="14"/>
              </w:rPr>
            </w:pPr>
            <w:r w:rsidRPr="00E82C5A">
              <w:rPr>
                <w:sz w:val="14"/>
                <w:szCs w:val="14"/>
              </w:rPr>
              <w:t>781</w:t>
            </w:r>
          </w:p>
        </w:tc>
        <w:tc>
          <w:tcPr>
            <w:tcW w:w="304" w:type="pct"/>
            <w:tcBorders>
              <w:top w:val="nil"/>
              <w:left w:val="nil"/>
              <w:bottom w:val="single" w:sz="4" w:space="0" w:color="auto"/>
              <w:right w:val="single" w:sz="4" w:space="0" w:color="auto"/>
            </w:tcBorders>
            <w:shd w:val="clear" w:color="auto" w:fill="auto"/>
            <w:vAlign w:val="center"/>
            <w:hideMark/>
          </w:tcPr>
          <w:p w14:paraId="4F988492"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2922C37C" w14:textId="594994B1"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35B23BD9" w14:textId="77777777" w:rsidR="00215C71" w:rsidRPr="00E82C5A" w:rsidRDefault="00215C71" w:rsidP="00215C71">
            <w:pPr>
              <w:jc w:val="right"/>
              <w:rPr>
                <w:sz w:val="14"/>
                <w:szCs w:val="14"/>
              </w:rPr>
            </w:pPr>
            <w:r w:rsidRPr="00E82C5A">
              <w:rPr>
                <w:sz w:val="14"/>
                <w:szCs w:val="14"/>
              </w:rPr>
              <w:t>100</w:t>
            </w:r>
          </w:p>
        </w:tc>
        <w:tc>
          <w:tcPr>
            <w:tcW w:w="304" w:type="pct"/>
            <w:tcBorders>
              <w:top w:val="nil"/>
              <w:left w:val="nil"/>
              <w:bottom w:val="single" w:sz="4" w:space="0" w:color="auto"/>
              <w:right w:val="single" w:sz="4" w:space="0" w:color="auto"/>
            </w:tcBorders>
            <w:shd w:val="clear" w:color="auto" w:fill="auto"/>
            <w:vAlign w:val="center"/>
            <w:hideMark/>
          </w:tcPr>
          <w:p w14:paraId="11AEB878"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76E795C1" w14:textId="0FF33FA6" w:rsidR="00215C71" w:rsidRPr="00E82C5A" w:rsidRDefault="00215C71" w:rsidP="00215C71">
            <w:pPr>
              <w:jc w:val="right"/>
              <w:rPr>
                <w:sz w:val="14"/>
                <w:szCs w:val="14"/>
              </w:rPr>
            </w:pPr>
            <w:r w:rsidRPr="00E82C5A">
              <w:rPr>
                <w:sz w:val="14"/>
                <w:szCs w:val="14"/>
              </w:rPr>
              <w:t>5000</w:t>
            </w:r>
          </w:p>
        </w:tc>
        <w:tc>
          <w:tcPr>
            <w:tcW w:w="246" w:type="pct"/>
            <w:tcBorders>
              <w:top w:val="nil"/>
              <w:left w:val="nil"/>
              <w:bottom w:val="single" w:sz="4" w:space="0" w:color="auto"/>
              <w:right w:val="single" w:sz="4" w:space="0" w:color="auto"/>
            </w:tcBorders>
            <w:shd w:val="clear" w:color="auto" w:fill="auto"/>
            <w:vAlign w:val="center"/>
            <w:hideMark/>
          </w:tcPr>
          <w:p w14:paraId="2D68F5DD" w14:textId="77777777" w:rsidR="00215C71" w:rsidRPr="00E82C5A" w:rsidRDefault="00215C71" w:rsidP="00215C71">
            <w:pPr>
              <w:jc w:val="right"/>
              <w:rPr>
                <w:sz w:val="14"/>
                <w:szCs w:val="14"/>
              </w:rPr>
            </w:pPr>
            <w:r w:rsidRPr="00E82C5A">
              <w:rPr>
                <w:sz w:val="14"/>
                <w:szCs w:val="14"/>
              </w:rPr>
              <w:t>3 529</w:t>
            </w:r>
          </w:p>
        </w:tc>
        <w:tc>
          <w:tcPr>
            <w:tcW w:w="304" w:type="pct"/>
            <w:tcBorders>
              <w:top w:val="nil"/>
              <w:left w:val="nil"/>
              <w:bottom w:val="single" w:sz="4" w:space="0" w:color="auto"/>
              <w:right w:val="single" w:sz="4" w:space="0" w:color="auto"/>
            </w:tcBorders>
            <w:shd w:val="clear" w:color="auto" w:fill="auto"/>
            <w:vAlign w:val="center"/>
            <w:hideMark/>
          </w:tcPr>
          <w:p w14:paraId="2EACF6BA"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3C821670" w14:textId="0E278ABE" w:rsidR="00215C71" w:rsidRPr="00E82C5A" w:rsidRDefault="00215C71" w:rsidP="00215C71">
            <w:pPr>
              <w:jc w:val="right"/>
              <w:rPr>
                <w:sz w:val="14"/>
                <w:szCs w:val="14"/>
              </w:rPr>
            </w:pPr>
            <w:r w:rsidRPr="00E82C5A">
              <w:rPr>
                <w:sz w:val="14"/>
                <w:szCs w:val="14"/>
              </w:rPr>
              <w:t>3</w:t>
            </w:r>
          </w:p>
        </w:tc>
        <w:tc>
          <w:tcPr>
            <w:tcW w:w="246" w:type="pct"/>
            <w:tcBorders>
              <w:top w:val="nil"/>
              <w:left w:val="nil"/>
              <w:bottom w:val="single" w:sz="4" w:space="0" w:color="auto"/>
              <w:right w:val="single" w:sz="4" w:space="0" w:color="auto"/>
            </w:tcBorders>
            <w:shd w:val="clear" w:color="auto" w:fill="auto"/>
            <w:vAlign w:val="center"/>
            <w:hideMark/>
          </w:tcPr>
          <w:p w14:paraId="65A38A7F" w14:textId="77777777" w:rsidR="00215C71" w:rsidRPr="00E82C5A" w:rsidRDefault="00215C71" w:rsidP="00215C71">
            <w:pPr>
              <w:jc w:val="right"/>
              <w:rPr>
                <w:sz w:val="14"/>
                <w:szCs w:val="14"/>
              </w:rPr>
            </w:pPr>
            <w:r w:rsidRPr="00E82C5A">
              <w:rPr>
                <w:sz w:val="14"/>
                <w:szCs w:val="14"/>
              </w:rPr>
              <w:t>0</w:t>
            </w:r>
          </w:p>
        </w:tc>
        <w:tc>
          <w:tcPr>
            <w:tcW w:w="104" w:type="pct"/>
            <w:vAlign w:val="center"/>
            <w:hideMark/>
          </w:tcPr>
          <w:p w14:paraId="4E0512BC" w14:textId="77777777" w:rsidR="00215C71" w:rsidRDefault="00215C71" w:rsidP="00215C71">
            <w:pPr>
              <w:rPr>
                <w:sz w:val="20"/>
                <w:szCs w:val="20"/>
              </w:rPr>
            </w:pPr>
          </w:p>
        </w:tc>
      </w:tr>
      <w:tr w:rsidR="00215C71" w14:paraId="2643883F"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0169BAA1" w14:textId="77777777" w:rsidR="00215C71" w:rsidRDefault="00215C71" w:rsidP="00215C71">
            <w:pPr>
              <w:rPr>
                <w:color w:val="000000"/>
                <w:sz w:val="14"/>
                <w:szCs w:val="14"/>
              </w:rPr>
            </w:pPr>
            <w:r>
              <w:rPr>
                <w:color w:val="000000"/>
                <w:sz w:val="14"/>
                <w:szCs w:val="14"/>
              </w:rPr>
              <w:t>Пазарджик</w:t>
            </w:r>
          </w:p>
        </w:tc>
        <w:tc>
          <w:tcPr>
            <w:tcW w:w="304" w:type="pct"/>
            <w:tcBorders>
              <w:top w:val="nil"/>
              <w:left w:val="nil"/>
              <w:bottom w:val="single" w:sz="4" w:space="0" w:color="auto"/>
              <w:right w:val="single" w:sz="4" w:space="0" w:color="auto"/>
            </w:tcBorders>
            <w:shd w:val="clear" w:color="auto" w:fill="auto"/>
            <w:vAlign w:val="center"/>
            <w:hideMark/>
          </w:tcPr>
          <w:p w14:paraId="5029576D"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5D0BDF7E" w14:textId="2EBE0717" w:rsidR="00215C71" w:rsidRPr="00E82C5A" w:rsidRDefault="00215C71" w:rsidP="00215C71">
            <w:pPr>
              <w:jc w:val="right"/>
              <w:rPr>
                <w:sz w:val="14"/>
                <w:szCs w:val="14"/>
              </w:rPr>
            </w:pPr>
            <w:r w:rsidRPr="00E82C5A">
              <w:rPr>
                <w:sz w:val="14"/>
                <w:szCs w:val="14"/>
              </w:rPr>
              <w:t>130</w:t>
            </w:r>
          </w:p>
        </w:tc>
        <w:tc>
          <w:tcPr>
            <w:tcW w:w="246" w:type="pct"/>
            <w:tcBorders>
              <w:top w:val="nil"/>
              <w:left w:val="nil"/>
              <w:bottom w:val="single" w:sz="4" w:space="0" w:color="auto"/>
              <w:right w:val="single" w:sz="4" w:space="0" w:color="auto"/>
            </w:tcBorders>
            <w:shd w:val="clear" w:color="auto" w:fill="auto"/>
            <w:vAlign w:val="center"/>
            <w:hideMark/>
          </w:tcPr>
          <w:p w14:paraId="2B89C37C" w14:textId="77777777" w:rsidR="00215C71" w:rsidRPr="00E82C5A" w:rsidRDefault="00215C71" w:rsidP="00215C71">
            <w:pPr>
              <w:jc w:val="right"/>
              <w:rPr>
                <w:sz w:val="14"/>
                <w:szCs w:val="14"/>
              </w:rPr>
            </w:pPr>
            <w:r w:rsidRPr="00E82C5A">
              <w:rPr>
                <w:sz w:val="14"/>
                <w:szCs w:val="14"/>
              </w:rPr>
              <w:t>133</w:t>
            </w:r>
          </w:p>
        </w:tc>
        <w:tc>
          <w:tcPr>
            <w:tcW w:w="304" w:type="pct"/>
            <w:tcBorders>
              <w:top w:val="nil"/>
              <w:left w:val="nil"/>
              <w:bottom w:val="single" w:sz="4" w:space="0" w:color="auto"/>
              <w:right w:val="single" w:sz="4" w:space="0" w:color="auto"/>
            </w:tcBorders>
            <w:shd w:val="clear" w:color="auto" w:fill="auto"/>
            <w:vAlign w:val="center"/>
            <w:hideMark/>
          </w:tcPr>
          <w:p w14:paraId="5F1D364D"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7EB90208" w14:textId="68F15398" w:rsidR="00215C71" w:rsidRPr="00E82C5A" w:rsidRDefault="00215C71" w:rsidP="00215C71">
            <w:pPr>
              <w:jc w:val="right"/>
              <w:rPr>
                <w:sz w:val="14"/>
                <w:szCs w:val="14"/>
              </w:rPr>
            </w:pPr>
            <w:r w:rsidRPr="00E82C5A">
              <w:rPr>
                <w:sz w:val="14"/>
                <w:szCs w:val="14"/>
              </w:rPr>
              <w:t>2505</w:t>
            </w:r>
          </w:p>
        </w:tc>
        <w:tc>
          <w:tcPr>
            <w:tcW w:w="246" w:type="pct"/>
            <w:tcBorders>
              <w:top w:val="nil"/>
              <w:left w:val="nil"/>
              <w:bottom w:val="single" w:sz="4" w:space="0" w:color="auto"/>
              <w:right w:val="single" w:sz="4" w:space="0" w:color="auto"/>
            </w:tcBorders>
            <w:shd w:val="clear" w:color="auto" w:fill="auto"/>
            <w:vAlign w:val="center"/>
            <w:hideMark/>
          </w:tcPr>
          <w:p w14:paraId="1A8FF9D9" w14:textId="77777777" w:rsidR="00215C71" w:rsidRPr="00E82C5A" w:rsidRDefault="00215C71" w:rsidP="00215C71">
            <w:pPr>
              <w:jc w:val="right"/>
              <w:rPr>
                <w:sz w:val="14"/>
                <w:szCs w:val="14"/>
              </w:rPr>
            </w:pPr>
            <w:r w:rsidRPr="00E82C5A">
              <w:rPr>
                <w:sz w:val="14"/>
                <w:szCs w:val="14"/>
              </w:rPr>
              <w:t>1 122</w:t>
            </w:r>
          </w:p>
        </w:tc>
        <w:tc>
          <w:tcPr>
            <w:tcW w:w="304" w:type="pct"/>
            <w:tcBorders>
              <w:top w:val="nil"/>
              <w:left w:val="nil"/>
              <w:bottom w:val="single" w:sz="4" w:space="0" w:color="auto"/>
              <w:right w:val="single" w:sz="4" w:space="0" w:color="auto"/>
            </w:tcBorders>
            <w:shd w:val="clear" w:color="auto" w:fill="auto"/>
            <w:vAlign w:val="center"/>
            <w:hideMark/>
          </w:tcPr>
          <w:p w14:paraId="2070C6EF"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218C9525" w14:textId="2A500340"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29426982" w14:textId="77777777" w:rsidR="00215C71" w:rsidRPr="00E82C5A" w:rsidRDefault="00215C71" w:rsidP="00215C71">
            <w:pPr>
              <w:jc w:val="right"/>
              <w:rPr>
                <w:sz w:val="14"/>
                <w:szCs w:val="14"/>
              </w:rPr>
            </w:pPr>
            <w:r w:rsidRPr="00E82C5A">
              <w:rPr>
                <w:sz w:val="14"/>
                <w:szCs w:val="14"/>
              </w:rPr>
              <w:t>100</w:t>
            </w:r>
          </w:p>
        </w:tc>
        <w:tc>
          <w:tcPr>
            <w:tcW w:w="304" w:type="pct"/>
            <w:tcBorders>
              <w:top w:val="nil"/>
              <w:left w:val="nil"/>
              <w:bottom w:val="single" w:sz="4" w:space="0" w:color="auto"/>
              <w:right w:val="single" w:sz="4" w:space="0" w:color="auto"/>
            </w:tcBorders>
            <w:shd w:val="clear" w:color="auto" w:fill="auto"/>
            <w:vAlign w:val="center"/>
            <w:hideMark/>
          </w:tcPr>
          <w:p w14:paraId="73D67B7D"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064C4D65" w14:textId="286D64F8" w:rsidR="00215C71" w:rsidRPr="00E82C5A" w:rsidRDefault="00215C71" w:rsidP="00215C71">
            <w:pPr>
              <w:jc w:val="right"/>
              <w:rPr>
                <w:sz w:val="14"/>
                <w:szCs w:val="14"/>
              </w:rPr>
            </w:pPr>
            <w:r w:rsidRPr="00E82C5A">
              <w:rPr>
                <w:sz w:val="14"/>
                <w:szCs w:val="14"/>
              </w:rPr>
              <w:t>4000</w:t>
            </w:r>
          </w:p>
        </w:tc>
        <w:tc>
          <w:tcPr>
            <w:tcW w:w="246" w:type="pct"/>
            <w:tcBorders>
              <w:top w:val="nil"/>
              <w:left w:val="nil"/>
              <w:bottom w:val="single" w:sz="4" w:space="0" w:color="auto"/>
              <w:right w:val="single" w:sz="4" w:space="0" w:color="auto"/>
            </w:tcBorders>
            <w:shd w:val="clear" w:color="auto" w:fill="auto"/>
            <w:vAlign w:val="center"/>
            <w:hideMark/>
          </w:tcPr>
          <w:p w14:paraId="3841CD38" w14:textId="77777777" w:rsidR="00215C71" w:rsidRPr="00E82C5A" w:rsidRDefault="00215C71" w:rsidP="00215C71">
            <w:pPr>
              <w:jc w:val="right"/>
              <w:rPr>
                <w:sz w:val="14"/>
                <w:szCs w:val="14"/>
              </w:rPr>
            </w:pPr>
            <w:r w:rsidRPr="00E82C5A">
              <w:rPr>
                <w:sz w:val="14"/>
                <w:szCs w:val="14"/>
              </w:rPr>
              <w:t>1 669</w:t>
            </w:r>
          </w:p>
        </w:tc>
        <w:tc>
          <w:tcPr>
            <w:tcW w:w="304" w:type="pct"/>
            <w:tcBorders>
              <w:top w:val="nil"/>
              <w:left w:val="nil"/>
              <w:bottom w:val="single" w:sz="4" w:space="0" w:color="auto"/>
              <w:right w:val="single" w:sz="4" w:space="0" w:color="auto"/>
            </w:tcBorders>
            <w:shd w:val="clear" w:color="auto" w:fill="auto"/>
            <w:vAlign w:val="center"/>
            <w:hideMark/>
          </w:tcPr>
          <w:p w14:paraId="4F6AB9A8"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4C61337A" w14:textId="58F7BCC4" w:rsidR="00215C71" w:rsidRPr="00E82C5A" w:rsidRDefault="00215C71" w:rsidP="00215C71">
            <w:pPr>
              <w:jc w:val="right"/>
              <w:rPr>
                <w:sz w:val="14"/>
                <w:szCs w:val="14"/>
              </w:rPr>
            </w:pPr>
            <w:r w:rsidRPr="00E82C5A">
              <w:rPr>
                <w:sz w:val="14"/>
                <w:szCs w:val="14"/>
              </w:rPr>
              <w:t>38</w:t>
            </w:r>
          </w:p>
        </w:tc>
        <w:tc>
          <w:tcPr>
            <w:tcW w:w="246" w:type="pct"/>
            <w:tcBorders>
              <w:top w:val="nil"/>
              <w:left w:val="nil"/>
              <w:bottom w:val="single" w:sz="4" w:space="0" w:color="auto"/>
              <w:right w:val="single" w:sz="4" w:space="0" w:color="auto"/>
            </w:tcBorders>
            <w:shd w:val="clear" w:color="auto" w:fill="auto"/>
            <w:vAlign w:val="center"/>
            <w:hideMark/>
          </w:tcPr>
          <w:p w14:paraId="4800BA2B" w14:textId="77777777" w:rsidR="00215C71" w:rsidRPr="00E82C5A" w:rsidRDefault="00215C71" w:rsidP="00215C71">
            <w:pPr>
              <w:jc w:val="right"/>
              <w:rPr>
                <w:sz w:val="14"/>
                <w:szCs w:val="14"/>
              </w:rPr>
            </w:pPr>
            <w:r w:rsidRPr="00E82C5A">
              <w:rPr>
                <w:sz w:val="14"/>
                <w:szCs w:val="14"/>
              </w:rPr>
              <w:t>4</w:t>
            </w:r>
          </w:p>
        </w:tc>
        <w:tc>
          <w:tcPr>
            <w:tcW w:w="104" w:type="pct"/>
            <w:vAlign w:val="center"/>
            <w:hideMark/>
          </w:tcPr>
          <w:p w14:paraId="5EF2DE35" w14:textId="77777777" w:rsidR="00215C71" w:rsidRDefault="00215C71" w:rsidP="00215C71">
            <w:pPr>
              <w:rPr>
                <w:sz w:val="20"/>
                <w:szCs w:val="20"/>
              </w:rPr>
            </w:pPr>
          </w:p>
        </w:tc>
      </w:tr>
      <w:tr w:rsidR="00215C71" w14:paraId="7477F190"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07CEAF6F" w14:textId="77777777" w:rsidR="00215C71" w:rsidRDefault="00215C71" w:rsidP="00215C71">
            <w:pPr>
              <w:rPr>
                <w:color w:val="000000"/>
                <w:sz w:val="14"/>
                <w:szCs w:val="14"/>
              </w:rPr>
            </w:pPr>
            <w:r>
              <w:rPr>
                <w:color w:val="000000"/>
                <w:sz w:val="14"/>
                <w:szCs w:val="14"/>
              </w:rPr>
              <w:t>Перник</w:t>
            </w:r>
          </w:p>
        </w:tc>
        <w:tc>
          <w:tcPr>
            <w:tcW w:w="304" w:type="pct"/>
            <w:tcBorders>
              <w:top w:val="nil"/>
              <w:left w:val="nil"/>
              <w:bottom w:val="single" w:sz="4" w:space="0" w:color="auto"/>
              <w:right w:val="single" w:sz="4" w:space="0" w:color="auto"/>
            </w:tcBorders>
            <w:shd w:val="clear" w:color="auto" w:fill="auto"/>
            <w:vAlign w:val="center"/>
            <w:hideMark/>
          </w:tcPr>
          <w:p w14:paraId="1F2CE0EF"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17BDFFBA" w14:textId="1092A2C4" w:rsidR="00215C71" w:rsidRPr="00E82C5A" w:rsidRDefault="00215C71" w:rsidP="00215C71">
            <w:pPr>
              <w:jc w:val="right"/>
              <w:rPr>
                <w:sz w:val="14"/>
                <w:szCs w:val="14"/>
              </w:rPr>
            </w:pPr>
            <w:r w:rsidRPr="00E82C5A">
              <w:rPr>
                <w:sz w:val="14"/>
                <w:szCs w:val="14"/>
              </w:rPr>
              <w:t>85</w:t>
            </w:r>
          </w:p>
        </w:tc>
        <w:tc>
          <w:tcPr>
            <w:tcW w:w="246" w:type="pct"/>
            <w:tcBorders>
              <w:top w:val="nil"/>
              <w:left w:val="nil"/>
              <w:bottom w:val="single" w:sz="4" w:space="0" w:color="auto"/>
              <w:right w:val="single" w:sz="4" w:space="0" w:color="auto"/>
            </w:tcBorders>
            <w:shd w:val="clear" w:color="auto" w:fill="auto"/>
            <w:vAlign w:val="center"/>
            <w:hideMark/>
          </w:tcPr>
          <w:p w14:paraId="6F08404F" w14:textId="77777777" w:rsidR="00215C71" w:rsidRPr="00E82C5A" w:rsidRDefault="00215C71" w:rsidP="00215C71">
            <w:pPr>
              <w:jc w:val="right"/>
              <w:rPr>
                <w:sz w:val="14"/>
                <w:szCs w:val="14"/>
              </w:rPr>
            </w:pPr>
            <w:r w:rsidRPr="00E82C5A">
              <w:rPr>
                <w:sz w:val="14"/>
                <w:szCs w:val="14"/>
              </w:rPr>
              <w:t>112</w:t>
            </w:r>
          </w:p>
        </w:tc>
        <w:tc>
          <w:tcPr>
            <w:tcW w:w="304" w:type="pct"/>
            <w:tcBorders>
              <w:top w:val="nil"/>
              <w:left w:val="nil"/>
              <w:bottom w:val="single" w:sz="4" w:space="0" w:color="auto"/>
              <w:right w:val="single" w:sz="4" w:space="0" w:color="auto"/>
            </w:tcBorders>
            <w:shd w:val="clear" w:color="auto" w:fill="auto"/>
            <w:vAlign w:val="center"/>
            <w:hideMark/>
          </w:tcPr>
          <w:p w14:paraId="2A980A51"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25D08365" w14:textId="3F5F8556" w:rsidR="00215C71" w:rsidRPr="00E82C5A" w:rsidRDefault="00215C71" w:rsidP="00215C71">
            <w:pPr>
              <w:jc w:val="right"/>
              <w:rPr>
                <w:sz w:val="14"/>
                <w:szCs w:val="14"/>
              </w:rPr>
            </w:pPr>
            <w:r w:rsidRPr="00E82C5A">
              <w:rPr>
                <w:sz w:val="14"/>
                <w:szCs w:val="14"/>
              </w:rPr>
              <w:t>1200</w:t>
            </w:r>
          </w:p>
        </w:tc>
        <w:tc>
          <w:tcPr>
            <w:tcW w:w="246" w:type="pct"/>
            <w:tcBorders>
              <w:top w:val="nil"/>
              <w:left w:val="nil"/>
              <w:bottom w:val="single" w:sz="4" w:space="0" w:color="auto"/>
              <w:right w:val="single" w:sz="4" w:space="0" w:color="auto"/>
            </w:tcBorders>
            <w:shd w:val="clear" w:color="auto" w:fill="auto"/>
            <w:vAlign w:val="center"/>
            <w:hideMark/>
          </w:tcPr>
          <w:p w14:paraId="4B4D757C" w14:textId="77777777" w:rsidR="00215C71" w:rsidRPr="00E82C5A" w:rsidRDefault="00215C71" w:rsidP="00215C71">
            <w:pPr>
              <w:jc w:val="right"/>
              <w:rPr>
                <w:sz w:val="14"/>
                <w:szCs w:val="14"/>
              </w:rPr>
            </w:pPr>
            <w:r w:rsidRPr="00E82C5A">
              <w:rPr>
                <w:sz w:val="14"/>
                <w:szCs w:val="14"/>
              </w:rPr>
              <w:t>638</w:t>
            </w:r>
          </w:p>
        </w:tc>
        <w:tc>
          <w:tcPr>
            <w:tcW w:w="304" w:type="pct"/>
            <w:tcBorders>
              <w:top w:val="nil"/>
              <w:left w:val="nil"/>
              <w:bottom w:val="single" w:sz="4" w:space="0" w:color="auto"/>
              <w:right w:val="single" w:sz="4" w:space="0" w:color="auto"/>
            </w:tcBorders>
            <w:shd w:val="clear" w:color="auto" w:fill="auto"/>
            <w:vAlign w:val="center"/>
            <w:hideMark/>
          </w:tcPr>
          <w:p w14:paraId="75A0EDEF"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39D4EC80" w14:textId="4DA23C10"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3881BBF3" w14:textId="77777777" w:rsidR="00215C71" w:rsidRPr="00E82C5A" w:rsidRDefault="00215C71" w:rsidP="00215C71">
            <w:pPr>
              <w:jc w:val="right"/>
              <w:rPr>
                <w:sz w:val="14"/>
                <w:szCs w:val="14"/>
              </w:rPr>
            </w:pPr>
            <w:r w:rsidRPr="00E82C5A">
              <w:rPr>
                <w:sz w:val="14"/>
                <w:szCs w:val="14"/>
              </w:rPr>
              <w:t>100</w:t>
            </w:r>
          </w:p>
        </w:tc>
        <w:tc>
          <w:tcPr>
            <w:tcW w:w="304" w:type="pct"/>
            <w:tcBorders>
              <w:top w:val="nil"/>
              <w:left w:val="nil"/>
              <w:bottom w:val="single" w:sz="4" w:space="0" w:color="auto"/>
              <w:right w:val="single" w:sz="4" w:space="0" w:color="auto"/>
            </w:tcBorders>
            <w:shd w:val="clear" w:color="auto" w:fill="auto"/>
            <w:vAlign w:val="center"/>
            <w:hideMark/>
          </w:tcPr>
          <w:p w14:paraId="64141DC3"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72C69C6D" w14:textId="00E509C9" w:rsidR="00215C71" w:rsidRPr="00E82C5A" w:rsidRDefault="00215C71" w:rsidP="00215C71">
            <w:pPr>
              <w:jc w:val="right"/>
              <w:rPr>
                <w:sz w:val="14"/>
                <w:szCs w:val="14"/>
              </w:rPr>
            </w:pPr>
            <w:r w:rsidRPr="00E82C5A">
              <w:rPr>
                <w:sz w:val="14"/>
                <w:szCs w:val="14"/>
              </w:rPr>
              <w:t>5000</w:t>
            </w:r>
          </w:p>
        </w:tc>
        <w:tc>
          <w:tcPr>
            <w:tcW w:w="246" w:type="pct"/>
            <w:tcBorders>
              <w:top w:val="nil"/>
              <w:left w:val="nil"/>
              <w:bottom w:val="single" w:sz="4" w:space="0" w:color="auto"/>
              <w:right w:val="single" w:sz="4" w:space="0" w:color="auto"/>
            </w:tcBorders>
            <w:shd w:val="clear" w:color="auto" w:fill="auto"/>
            <w:vAlign w:val="center"/>
            <w:hideMark/>
          </w:tcPr>
          <w:p w14:paraId="486BF297" w14:textId="77777777" w:rsidR="00215C71" w:rsidRPr="00E82C5A" w:rsidRDefault="00215C71" w:rsidP="00215C71">
            <w:pPr>
              <w:jc w:val="right"/>
              <w:rPr>
                <w:sz w:val="14"/>
                <w:szCs w:val="14"/>
              </w:rPr>
            </w:pPr>
            <w:r w:rsidRPr="00E82C5A">
              <w:rPr>
                <w:sz w:val="14"/>
                <w:szCs w:val="14"/>
              </w:rPr>
              <w:t>3 867</w:t>
            </w:r>
          </w:p>
        </w:tc>
        <w:tc>
          <w:tcPr>
            <w:tcW w:w="304" w:type="pct"/>
            <w:tcBorders>
              <w:top w:val="nil"/>
              <w:left w:val="nil"/>
              <w:bottom w:val="single" w:sz="4" w:space="0" w:color="auto"/>
              <w:right w:val="single" w:sz="4" w:space="0" w:color="auto"/>
            </w:tcBorders>
            <w:shd w:val="clear" w:color="auto" w:fill="auto"/>
            <w:vAlign w:val="center"/>
            <w:hideMark/>
          </w:tcPr>
          <w:p w14:paraId="70466165"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57135806" w14:textId="44D8C9C2" w:rsidR="00215C71" w:rsidRPr="00E82C5A" w:rsidRDefault="00215C71" w:rsidP="00215C71">
            <w:pPr>
              <w:jc w:val="right"/>
              <w:rPr>
                <w:sz w:val="14"/>
                <w:szCs w:val="14"/>
              </w:rPr>
            </w:pPr>
            <w:r w:rsidRPr="00E82C5A">
              <w:rPr>
                <w:sz w:val="14"/>
                <w:szCs w:val="14"/>
              </w:rPr>
              <w:t>37</w:t>
            </w:r>
          </w:p>
        </w:tc>
        <w:tc>
          <w:tcPr>
            <w:tcW w:w="246" w:type="pct"/>
            <w:tcBorders>
              <w:top w:val="nil"/>
              <w:left w:val="nil"/>
              <w:bottom w:val="single" w:sz="4" w:space="0" w:color="auto"/>
              <w:right w:val="single" w:sz="4" w:space="0" w:color="auto"/>
            </w:tcBorders>
            <w:shd w:val="clear" w:color="auto" w:fill="auto"/>
            <w:vAlign w:val="center"/>
            <w:hideMark/>
          </w:tcPr>
          <w:p w14:paraId="1C24D398" w14:textId="77777777" w:rsidR="00215C71" w:rsidRPr="00E82C5A" w:rsidRDefault="00215C71" w:rsidP="00215C71">
            <w:pPr>
              <w:jc w:val="right"/>
              <w:rPr>
                <w:sz w:val="14"/>
                <w:szCs w:val="14"/>
              </w:rPr>
            </w:pPr>
            <w:r w:rsidRPr="00E82C5A">
              <w:rPr>
                <w:sz w:val="14"/>
                <w:szCs w:val="14"/>
              </w:rPr>
              <w:t>18</w:t>
            </w:r>
          </w:p>
        </w:tc>
        <w:tc>
          <w:tcPr>
            <w:tcW w:w="104" w:type="pct"/>
            <w:vAlign w:val="center"/>
            <w:hideMark/>
          </w:tcPr>
          <w:p w14:paraId="4BD639E5" w14:textId="77777777" w:rsidR="00215C71" w:rsidRDefault="00215C71" w:rsidP="00215C71">
            <w:pPr>
              <w:rPr>
                <w:sz w:val="20"/>
                <w:szCs w:val="20"/>
              </w:rPr>
            </w:pPr>
          </w:p>
        </w:tc>
      </w:tr>
      <w:tr w:rsidR="00215C71" w14:paraId="25C9AD0B"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387B0651" w14:textId="77777777" w:rsidR="00215C71" w:rsidRDefault="00215C71" w:rsidP="00215C71">
            <w:pPr>
              <w:rPr>
                <w:color w:val="000000"/>
                <w:sz w:val="14"/>
                <w:szCs w:val="14"/>
              </w:rPr>
            </w:pPr>
            <w:r>
              <w:rPr>
                <w:color w:val="000000"/>
                <w:sz w:val="14"/>
                <w:szCs w:val="14"/>
              </w:rPr>
              <w:t>Плевен</w:t>
            </w:r>
          </w:p>
        </w:tc>
        <w:tc>
          <w:tcPr>
            <w:tcW w:w="304" w:type="pct"/>
            <w:tcBorders>
              <w:top w:val="nil"/>
              <w:left w:val="nil"/>
              <w:bottom w:val="single" w:sz="4" w:space="0" w:color="auto"/>
              <w:right w:val="single" w:sz="4" w:space="0" w:color="auto"/>
            </w:tcBorders>
            <w:shd w:val="clear" w:color="auto" w:fill="auto"/>
            <w:vAlign w:val="center"/>
            <w:hideMark/>
          </w:tcPr>
          <w:p w14:paraId="62AE2592"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4DE42B34" w14:textId="5A0A8A10" w:rsidR="00215C71" w:rsidRPr="00E82C5A" w:rsidRDefault="00215C71" w:rsidP="00215C71">
            <w:pPr>
              <w:jc w:val="right"/>
              <w:rPr>
                <w:sz w:val="14"/>
                <w:szCs w:val="14"/>
              </w:rPr>
            </w:pPr>
            <w:r w:rsidRPr="00E82C5A">
              <w:rPr>
                <w:sz w:val="14"/>
                <w:szCs w:val="14"/>
              </w:rPr>
              <w:t>175</w:t>
            </w:r>
          </w:p>
        </w:tc>
        <w:tc>
          <w:tcPr>
            <w:tcW w:w="246" w:type="pct"/>
            <w:tcBorders>
              <w:top w:val="nil"/>
              <w:left w:val="nil"/>
              <w:bottom w:val="single" w:sz="4" w:space="0" w:color="auto"/>
              <w:right w:val="single" w:sz="4" w:space="0" w:color="auto"/>
            </w:tcBorders>
            <w:shd w:val="clear" w:color="auto" w:fill="auto"/>
            <w:vAlign w:val="center"/>
            <w:hideMark/>
          </w:tcPr>
          <w:p w14:paraId="455A4993" w14:textId="77777777" w:rsidR="00215C71" w:rsidRPr="00E82C5A" w:rsidRDefault="00215C71" w:rsidP="00215C71">
            <w:pPr>
              <w:jc w:val="right"/>
              <w:rPr>
                <w:sz w:val="14"/>
                <w:szCs w:val="14"/>
              </w:rPr>
            </w:pPr>
            <w:r w:rsidRPr="00E82C5A">
              <w:rPr>
                <w:sz w:val="14"/>
                <w:szCs w:val="14"/>
              </w:rPr>
              <w:t>174</w:t>
            </w:r>
          </w:p>
        </w:tc>
        <w:tc>
          <w:tcPr>
            <w:tcW w:w="304" w:type="pct"/>
            <w:tcBorders>
              <w:top w:val="nil"/>
              <w:left w:val="nil"/>
              <w:bottom w:val="single" w:sz="4" w:space="0" w:color="auto"/>
              <w:right w:val="single" w:sz="4" w:space="0" w:color="auto"/>
            </w:tcBorders>
            <w:shd w:val="clear" w:color="auto" w:fill="auto"/>
            <w:vAlign w:val="center"/>
            <w:hideMark/>
          </w:tcPr>
          <w:p w14:paraId="33C56485"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36AE0D2C" w14:textId="4515CAEB" w:rsidR="00215C71" w:rsidRPr="00E82C5A" w:rsidRDefault="00215C71" w:rsidP="00215C71">
            <w:pPr>
              <w:jc w:val="right"/>
              <w:rPr>
                <w:sz w:val="14"/>
                <w:szCs w:val="14"/>
              </w:rPr>
            </w:pPr>
            <w:r w:rsidRPr="00E82C5A">
              <w:rPr>
                <w:sz w:val="14"/>
                <w:szCs w:val="14"/>
              </w:rPr>
              <w:t>2206</w:t>
            </w:r>
          </w:p>
        </w:tc>
        <w:tc>
          <w:tcPr>
            <w:tcW w:w="246" w:type="pct"/>
            <w:tcBorders>
              <w:top w:val="nil"/>
              <w:left w:val="nil"/>
              <w:bottom w:val="single" w:sz="4" w:space="0" w:color="auto"/>
              <w:right w:val="single" w:sz="4" w:space="0" w:color="auto"/>
            </w:tcBorders>
            <w:shd w:val="clear" w:color="auto" w:fill="auto"/>
            <w:vAlign w:val="center"/>
            <w:hideMark/>
          </w:tcPr>
          <w:p w14:paraId="4E3C1611" w14:textId="77777777" w:rsidR="00215C71" w:rsidRPr="00E82C5A" w:rsidRDefault="00215C71" w:rsidP="00215C71">
            <w:pPr>
              <w:jc w:val="right"/>
              <w:rPr>
                <w:sz w:val="14"/>
                <w:szCs w:val="14"/>
              </w:rPr>
            </w:pPr>
            <w:r w:rsidRPr="00E82C5A">
              <w:rPr>
                <w:sz w:val="14"/>
                <w:szCs w:val="14"/>
              </w:rPr>
              <w:t>1 216</w:t>
            </w:r>
          </w:p>
        </w:tc>
        <w:tc>
          <w:tcPr>
            <w:tcW w:w="304" w:type="pct"/>
            <w:tcBorders>
              <w:top w:val="nil"/>
              <w:left w:val="nil"/>
              <w:bottom w:val="single" w:sz="4" w:space="0" w:color="auto"/>
              <w:right w:val="single" w:sz="4" w:space="0" w:color="auto"/>
            </w:tcBorders>
            <w:shd w:val="clear" w:color="auto" w:fill="auto"/>
            <w:vAlign w:val="center"/>
            <w:hideMark/>
          </w:tcPr>
          <w:p w14:paraId="72277625"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6EEC5FD3" w14:textId="337D02E8"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7D25218D" w14:textId="77777777" w:rsidR="00215C71" w:rsidRPr="00E82C5A" w:rsidRDefault="00215C71" w:rsidP="00215C71">
            <w:pPr>
              <w:jc w:val="right"/>
              <w:rPr>
                <w:sz w:val="14"/>
                <w:szCs w:val="14"/>
              </w:rPr>
            </w:pPr>
            <w:r w:rsidRPr="00E82C5A">
              <w:rPr>
                <w:sz w:val="14"/>
                <w:szCs w:val="14"/>
              </w:rPr>
              <w:t>0</w:t>
            </w:r>
          </w:p>
        </w:tc>
        <w:tc>
          <w:tcPr>
            <w:tcW w:w="304" w:type="pct"/>
            <w:tcBorders>
              <w:top w:val="nil"/>
              <w:left w:val="nil"/>
              <w:bottom w:val="single" w:sz="4" w:space="0" w:color="auto"/>
              <w:right w:val="single" w:sz="4" w:space="0" w:color="auto"/>
            </w:tcBorders>
            <w:shd w:val="clear" w:color="auto" w:fill="auto"/>
            <w:vAlign w:val="center"/>
            <w:hideMark/>
          </w:tcPr>
          <w:p w14:paraId="148520D3"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52490935" w14:textId="57619429" w:rsidR="00215C71" w:rsidRPr="00E82C5A" w:rsidRDefault="00215C71" w:rsidP="00215C71">
            <w:pPr>
              <w:jc w:val="right"/>
              <w:rPr>
                <w:sz w:val="14"/>
                <w:szCs w:val="14"/>
              </w:rPr>
            </w:pPr>
            <w:r w:rsidRPr="00E82C5A">
              <w:rPr>
                <w:sz w:val="14"/>
                <w:szCs w:val="14"/>
              </w:rPr>
              <w:t>11000</w:t>
            </w:r>
          </w:p>
        </w:tc>
        <w:tc>
          <w:tcPr>
            <w:tcW w:w="246" w:type="pct"/>
            <w:tcBorders>
              <w:top w:val="nil"/>
              <w:left w:val="nil"/>
              <w:bottom w:val="single" w:sz="4" w:space="0" w:color="auto"/>
              <w:right w:val="single" w:sz="4" w:space="0" w:color="auto"/>
            </w:tcBorders>
            <w:shd w:val="clear" w:color="auto" w:fill="auto"/>
            <w:vAlign w:val="center"/>
            <w:hideMark/>
          </w:tcPr>
          <w:p w14:paraId="56F305D4" w14:textId="77777777" w:rsidR="00215C71" w:rsidRPr="00E82C5A" w:rsidRDefault="00215C71" w:rsidP="00215C71">
            <w:pPr>
              <w:jc w:val="right"/>
              <w:rPr>
                <w:sz w:val="14"/>
                <w:szCs w:val="14"/>
              </w:rPr>
            </w:pPr>
            <w:r w:rsidRPr="00E82C5A">
              <w:rPr>
                <w:sz w:val="14"/>
                <w:szCs w:val="14"/>
              </w:rPr>
              <w:t>5 469</w:t>
            </w:r>
          </w:p>
        </w:tc>
        <w:tc>
          <w:tcPr>
            <w:tcW w:w="304" w:type="pct"/>
            <w:tcBorders>
              <w:top w:val="nil"/>
              <w:left w:val="nil"/>
              <w:bottom w:val="single" w:sz="4" w:space="0" w:color="auto"/>
              <w:right w:val="single" w:sz="4" w:space="0" w:color="auto"/>
            </w:tcBorders>
            <w:shd w:val="clear" w:color="auto" w:fill="auto"/>
            <w:vAlign w:val="center"/>
            <w:hideMark/>
          </w:tcPr>
          <w:p w14:paraId="44336C1C"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03C73CB3" w14:textId="45C54D47" w:rsidR="00215C71" w:rsidRPr="00E82C5A" w:rsidRDefault="00215C71" w:rsidP="00215C71">
            <w:pPr>
              <w:jc w:val="right"/>
              <w:rPr>
                <w:sz w:val="14"/>
                <w:szCs w:val="14"/>
              </w:rPr>
            </w:pPr>
            <w:r w:rsidRPr="00E82C5A">
              <w:rPr>
                <w:sz w:val="14"/>
                <w:szCs w:val="14"/>
              </w:rPr>
              <w:t>16</w:t>
            </w:r>
          </w:p>
        </w:tc>
        <w:tc>
          <w:tcPr>
            <w:tcW w:w="246" w:type="pct"/>
            <w:tcBorders>
              <w:top w:val="nil"/>
              <w:left w:val="nil"/>
              <w:bottom w:val="single" w:sz="4" w:space="0" w:color="auto"/>
              <w:right w:val="single" w:sz="4" w:space="0" w:color="auto"/>
            </w:tcBorders>
            <w:shd w:val="clear" w:color="auto" w:fill="auto"/>
            <w:vAlign w:val="center"/>
            <w:hideMark/>
          </w:tcPr>
          <w:p w14:paraId="0D70604B" w14:textId="77777777" w:rsidR="00215C71" w:rsidRPr="00E82C5A" w:rsidRDefault="00215C71" w:rsidP="00215C71">
            <w:pPr>
              <w:jc w:val="right"/>
              <w:rPr>
                <w:sz w:val="14"/>
                <w:szCs w:val="14"/>
              </w:rPr>
            </w:pPr>
            <w:r w:rsidRPr="00E82C5A">
              <w:rPr>
                <w:sz w:val="14"/>
                <w:szCs w:val="14"/>
              </w:rPr>
              <w:t>0</w:t>
            </w:r>
          </w:p>
        </w:tc>
        <w:tc>
          <w:tcPr>
            <w:tcW w:w="104" w:type="pct"/>
            <w:vAlign w:val="center"/>
            <w:hideMark/>
          </w:tcPr>
          <w:p w14:paraId="2B2AD8BE" w14:textId="77777777" w:rsidR="00215C71" w:rsidRDefault="00215C71" w:rsidP="00215C71">
            <w:pPr>
              <w:rPr>
                <w:sz w:val="20"/>
                <w:szCs w:val="20"/>
              </w:rPr>
            </w:pPr>
          </w:p>
        </w:tc>
      </w:tr>
      <w:tr w:rsidR="00215C71" w14:paraId="205AFEBA"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4500456E" w14:textId="77777777" w:rsidR="00215C71" w:rsidRDefault="00215C71" w:rsidP="00215C71">
            <w:pPr>
              <w:rPr>
                <w:color w:val="000000"/>
                <w:sz w:val="14"/>
                <w:szCs w:val="14"/>
              </w:rPr>
            </w:pPr>
            <w:r>
              <w:rPr>
                <w:color w:val="000000"/>
                <w:sz w:val="14"/>
                <w:szCs w:val="14"/>
              </w:rPr>
              <w:t>Пловдив</w:t>
            </w:r>
          </w:p>
        </w:tc>
        <w:tc>
          <w:tcPr>
            <w:tcW w:w="304" w:type="pct"/>
            <w:tcBorders>
              <w:top w:val="nil"/>
              <w:left w:val="nil"/>
              <w:bottom w:val="single" w:sz="4" w:space="0" w:color="auto"/>
              <w:right w:val="single" w:sz="4" w:space="0" w:color="auto"/>
            </w:tcBorders>
            <w:shd w:val="clear" w:color="auto" w:fill="auto"/>
            <w:vAlign w:val="center"/>
            <w:hideMark/>
          </w:tcPr>
          <w:p w14:paraId="36745CE9"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291D2938" w14:textId="26BB8C9B" w:rsidR="00215C71" w:rsidRPr="00E82C5A" w:rsidRDefault="00215C71" w:rsidP="00215C71">
            <w:pPr>
              <w:jc w:val="right"/>
              <w:rPr>
                <w:sz w:val="14"/>
                <w:szCs w:val="14"/>
              </w:rPr>
            </w:pPr>
            <w:r w:rsidRPr="00E82C5A">
              <w:rPr>
                <w:sz w:val="14"/>
                <w:szCs w:val="14"/>
              </w:rPr>
              <w:t>60</w:t>
            </w:r>
          </w:p>
        </w:tc>
        <w:tc>
          <w:tcPr>
            <w:tcW w:w="246" w:type="pct"/>
            <w:tcBorders>
              <w:top w:val="nil"/>
              <w:left w:val="nil"/>
              <w:bottom w:val="single" w:sz="4" w:space="0" w:color="auto"/>
              <w:right w:val="single" w:sz="4" w:space="0" w:color="auto"/>
            </w:tcBorders>
            <w:shd w:val="clear" w:color="auto" w:fill="auto"/>
            <w:vAlign w:val="center"/>
            <w:hideMark/>
          </w:tcPr>
          <w:p w14:paraId="5EC30343" w14:textId="77777777" w:rsidR="00215C71" w:rsidRPr="00E82C5A" w:rsidRDefault="00215C71" w:rsidP="00215C71">
            <w:pPr>
              <w:jc w:val="right"/>
              <w:rPr>
                <w:sz w:val="14"/>
                <w:szCs w:val="14"/>
              </w:rPr>
            </w:pPr>
            <w:r w:rsidRPr="00E82C5A">
              <w:rPr>
                <w:sz w:val="14"/>
                <w:szCs w:val="14"/>
              </w:rPr>
              <w:t>153</w:t>
            </w:r>
          </w:p>
        </w:tc>
        <w:tc>
          <w:tcPr>
            <w:tcW w:w="304" w:type="pct"/>
            <w:tcBorders>
              <w:top w:val="nil"/>
              <w:left w:val="nil"/>
              <w:bottom w:val="single" w:sz="4" w:space="0" w:color="auto"/>
              <w:right w:val="single" w:sz="4" w:space="0" w:color="auto"/>
            </w:tcBorders>
            <w:shd w:val="clear" w:color="auto" w:fill="auto"/>
            <w:vAlign w:val="center"/>
            <w:hideMark/>
          </w:tcPr>
          <w:p w14:paraId="7A610AD6"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77E9AA5A" w14:textId="25F02B94" w:rsidR="00215C71" w:rsidRPr="00E82C5A" w:rsidRDefault="00215C71" w:rsidP="00215C71">
            <w:pPr>
              <w:jc w:val="right"/>
              <w:rPr>
                <w:sz w:val="14"/>
                <w:szCs w:val="14"/>
              </w:rPr>
            </w:pPr>
            <w:r w:rsidRPr="00E82C5A">
              <w:rPr>
                <w:sz w:val="14"/>
                <w:szCs w:val="14"/>
              </w:rPr>
              <w:t>4300</w:t>
            </w:r>
          </w:p>
        </w:tc>
        <w:tc>
          <w:tcPr>
            <w:tcW w:w="246" w:type="pct"/>
            <w:tcBorders>
              <w:top w:val="nil"/>
              <w:left w:val="nil"/>
              <w:bottom w:val="single" w:sz="4" w:space="0" w:color="auto"/>
              <w:right w:val="single" w:sz="4" w:space="0" w:color="auto"/>
            </w:tcBorders>
            <w:shd w:val="clear" w:color="auto" w:fill="auto"/>
            <w:vAlign w:val="center"/>
            <w:hideMark/>
          </w:tcPr>
          <w:p w14:paraId="5A392D37" w14:textId="77777777" w:rsidR="00215C71" w:rsidRPr="00E82C5A" w:rsidRDefault="00215C71" w:rsidP="00215C71">
            <w:pPr>
              <w:jc w:val="right"/>
              <w:rPr>
                <w:sz w:val="14"/>
                <w:szCs w:val="14"/>
              </w:rPr>
            </w:pPr>
            <w:r w:rsidRPr="00E82C5A">
              <w:rPr>
                <w:sz w:val="14"/>
                <w:szCs w:val="14"/>
              </w:rPr>
              <w:t>1 984</w:t>
            </w:r>
          </w:p>
        </w:tc>
        <w:tc>
          <w:tcPr>
            <w:tcW w:w="304" w:type="pct"/>
            <w:tcBorders>
              <w:top w:val="nil"/>
              <w:left w:val="nil"/>
              <w:bottom w:val="single" w:sz="4" w:space="0" w:color="auto"/>
              <w:right w:val="single" w:sz="4" w:space="0" w:color="auto"/>
            </w:tcBorders>
            <w:shd w:val="clear" w:color="auto" w:fill="auto"/>
            <w:vAlign w:val="center"/>
            <w:hideMark/>
          </w:tcPr>
          <w:p w14:paraId="5E886DD2"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32E9FF23" w14:textId="42896DE6"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55EDA021" w14:textId="77777777" w:rsidR="00215C71" w:rsidRPr="00E82C5A" w:rsidRDefault="00215C71" w:rsidP="00215C71">
            <w:pPr>
              <w:jc w:val="right"/>
              <w:rPr>
                <w:sz w:val="14"/>
                <w:szCs w:val="14"/>
              </w:rPr>
            </w:pPr>
            <w:r w:rsidRPr="00E82C5A">
              <w:rPr>
                <w:sz w:val="14"/>
                <w:szCs w:val="14"/>
              </w:rPr>
              <w:t>0</w:t>
            </w:r>
          </w:p>
        </w:tc>
        <w:tc>
          <w:tcPr>
            <w:tcW w:w="304" w:type="pct"/>
            <w:tcBorders>
              <w:top w:val="nil"/>
              <w:left w:val="nil"/>
              <w:bottom w:val="single" w:sz="4" w:space="0" w:color="auto"/>
              <w:right w:val="single" w:sz="4" w:space="0" w:color="auto"/>
            </w:tcBorders>
            <w:shd w:val="clear" w:color="auto" w:fill="auto"/>
            <w:vAlign w:val="center"/>
            <w:hideMark/>
          </w:tcPr>
          <w:p w14:paraId="1824F798"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5D3B4162" w14:textId="58FA060C" w:rsidR="00215C71" w:rsidRPr="00E82C5A" w:rsidRDefault="00215C71" w:rsidP="00215C71">
            <w:pPr>
              <w:jc w:val="right"/>
              <w:rPr>
                <w:sz w:val="14"/>
                <w:szCs w:val="14"/>
              </w:rPr>
            </w:pPr>
            <w:r w:rsidRPr="00E82C5A">
              <w:rPr>
                <w:sz w:val="14"/>
                <w:szCs w:val="14"/>
              </w:rPr>
              <w:t>8000</w:t>
            </w:r>
          </w:p>
        </w:tc>
        <w:tc>
          <w:tcPr>
            <w:tcW w:w="246" w:type="pct"/>
            <w:tcBorders>
              <w:top w:val="nil"/>
              <w:left w:val="nil"/>
              <w:bottom w:val="single" w:sz="4" w:space="0" w:color="auto"/>
              <w:right w:val="single" w:sz="4" w:space="0" w:color="auto"/>
            </w:tcBorders>
            <w:shd w:val="clear" w:color="auto" w:fill="auto"/>
            <w:vAlign w:val="center"/>
            <w:hideMark/>
          </w:tcPr>
          <w:p w14:paraId="45482B29" w14:textId="77777777" w:rsidR="00215C71" w:rsidRPr="00E82C5A" w:rsidRDefault="00215C71" w:rsidP="00215C71">
            <w:pPr>
              <w:jc w:val="right"/>
              <w:rPr>
                <w:sz w:val="14"/>
                <w:szCs w:val="14"/>
              </w:rPr>
            </w:pPr>
            <w:r w:rsidRPr="00E82C5A">
              <w:rPr>
                <w:sz w:val="14"/>
                <w:szCs w:val="14"/>
              </w:rPr>
              <w:t>4 581</w:t>
            </w:r>
          </w:p>
        </w:tc>
        <w:tc>
          <w:tcPr>
            <w:tcW w:w="304" w:type="pct"/>
            <w:tcBorders>
              <w:top w:val="nil"/>
              <w:left w:val="nil"/>
              <w:bottom w:val="single" w:sz="4" w:space="0" w:color="auto"/>
              <w:right w:val="single" w:sz="4" w:space="0" w:color="auto"/>
            </w:tcBorders>
            <w:shd w:val="clear" w:color="auto" w:fill="auto"/>
            <w:vAlign w:val="center"/>
            <w:hideMark/>
          </w:tcPr>
          <w:p w14:paraId="7CACA692"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067F37B6" w14:textId="523AAAD4" w:rsidR="00215C71" w:rsidRPr="00E82C5A" w:rsidRDefault="00215C71" w:rsidP="00215C71">
            <w:pPr>
              <w:jc w:val="right"/>
              <w:rPr>
                <w:sz w:val="14"/>
                <w:szCs w:val="14"/>
              </w:rPr>
            </w:pPr>
            <w:r w:rsidRPr="00E82C5A">
              <w:rPr>
                <w:sz w:val="14"/>
                <w:szCs w:val="14"/>
              </w:rPr>
              <w:t>19</w:t>
            </w:r>
          </w:p>
        </w:tc>
        <w:tc>
          <w:tcPr>
            <w:tcW w:w="246" w:type="pct"/>
            <w:tcBorders>
              <w:top w:val="nil"/>
              <w:left w:val="nil"/>
              <w:bottom w:val="single" w:sz="4" w:space="0" w:color="auto"/>
              <w:right w:val="single" w:sz="4" w:space="0" w:color="auto"/>
            </w:tcBorders>
            <w:shd w:val="clear" w:color="auto" w:fill="auto"/>
            <w:vAlign w:val="center"/>
            <w:hideMark/>
          </w:tcPr>
          <w:p w14:paraId="59890095" w14:textId="77777777" w:rsidR="00215C71" w:rsidRPr="00E82C5A" w:rsidRDefault="00215C71" w:rsidP="00215C71">
            <w:pPr>
              <w:jc w:val="right"/>
              <w:rPr>
                <w:sz w:val="14"/>
                <w:szCs w:val="14"/>
              </w:rPr>
            </w:pPr>
            <w:r w:rsidRPr="00E82C5A">
              <w:rPr>
                <w:sz w:val="14"/>
                <w:szCs w:val="14"/>
              </w:rPr>
              <w:t>4</w:t>
            </w:r>
          </w:p>
        </w:tc>
        <w:tc>
          <w:tcPr>
            <w:tcW w:w="104" w:type="pct"/>
            <w:vAlign w:val="center"/>
            <w:hideMark/>
          </w:tcPr>
          <w:p w14:paraId="77E82832" w14:textId="77777777" w:rsidR="00215C71" w:rsidRDefault="00215C71" w:rsidP="00215C71">
            <w:pPr>
              <w:rPr>
                <w:sz w:val="20"/>
                <w:szCs w:val="20"/>
              </w:rPr>
            </w:pPr>
          </w:p>
        </w:tc>
      </w:tr>
      <w:tr w:rsidR="00215C71" w14:paraId="737C5F68"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5DEAE316" w14:textId="77777777" w:rsidR="00215C71" w:rsidRDefault="00215C71" w:rsidP="00215C71">
            <w:pPr>
              <w:rPr>
                <w:color w:val="000000"/>
                <w:sz w:val="14"/>
                <w:szCs w:val="14"/>
              </w:rPr>
            </w:pPr>
            <w:r>
              <w:rPr>
                <w:color w:val="000000"/>
                <w:sz w:val="14"/>
                <w:szCs w:val="14"/>
              </w:rPr>
              <w:t>Разград</w:t>
            </w:r>
          </w:p>
        </w:tc>
        <w:tc>
          <w:tcPr>
            <w:tcW w:w="304" w:type="pct"/>
            <w:tcBorders>
              <w:top w:val="nil"/>
              <w:left w:val="nil"/>
              <w:bottom w:val="single" w:sz="4" w:space="0" w:color="auto"/>
              <w:right w:val="single" w:sz="4" w:space="0" w:color="auto"/>
            </w:tcBorders>
            <w:shd w:val="clear" w:color="auto" w:fill="auto"/>
            <w:vAlign w:val="center"/>
            <w:hideMark/>
          </w:tcPr>
          <w:p w14:paraId="1716A1B4"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5A4640A5" w14:textId="20E04BBC" w:rsidR="00215C71" w:rsidRPr="00E82C5A" w:rsidRDefault="00215C71" w:rsidP="00215C71">
            <w:pPr>
              <w:jc w:val="right"/>
              <w:rPr>
                <w:sz w:val="14"/>
                <w:szCs w:val="14"/>
              </w:rPr>
            </w:pPr>
            <w:r w:rsidRPr="00E82C5A">
              <w:rPr>
                <w:sz w:val="14"/>
                <w:szCs w:val="14"/>
              </w:rPr>
              <w:t>40</w:t>
            </w:r>
          </w:p>
        </w:tc>
        <w:tc>
          <w:tcPr>
            <w:tcW w:w="246" w:type="pct"/>
            <w:tcBorders>
              <w:top w:val="nil"/>
              <w:left w:val="nil"/>
              <w:bottom w:val="single" w:sz="4" w:space="0" w:color="auto"/>
              <w:right w:val="single" w:sz="4" w:space="0" w:color="auto"/>
            </w:tcBorders>
            <w:shd w:val="clear" w:color="auto" w:fill="auto"/>
            <w:vAlign w:val="center"/>
            <w:hideMark/>
          </w:tcPr>
          <w:p w14:paraId="542AD401" w14:textId="77777777" w:rsidR="00215C71" w:rsidRPr="00E82C5A" w:rsidRDefault="00215C71" w:rsidP="00215C71">
            <w:pPr>
              <w:jc w:val="right"/>
              <w:rPr>
                <w:sz w:val="14"/>
                <w:szCs w:val="14"/>
              </w:rPr>
            </w:pPr>
            <w:r w:rsidRPr="00E82C5A">
              <w:rPr>
                <w:sz w:val="14"/>
                <w:szCs w:val="14"/>
              </w:rPr>
              <w:t>49</w:t>
            </w:r>
          </w:p>
        </w:tc>
        <w:tc>
          <w:tcPr>
            <w:tcW w:w="304" w:type="pct"/>
            <w:tcBorders>
              <w:top w:val="nil"/>
              <w:left w:val="nil"/>
              <w:bottom w:val="single" w:sz="4" w:space="0" w:color="auto"/>
              <w:right w:val="single" w:sz="4" w:space="0" w:color="auto"/>
            </w:tcBorders>
            <w:shd w:val="clear" w:color="auto" w:fill="auto"/>
            <w:vAlign w:val="center"/>
            <w:hideMark/>
          </w:tcPr>
          <w:p w14:paraId="0A1410F2"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3EDABA94" w14:textId="563E70BE" w:rsidR="00215C71" w:rsidRPr="00E82C5A" w:rsidRDefault="00215C71" w:rsidP="00215C71">
            <w:pPr>
              <w:jc w:val="right"/>
              <w:rPr>
                <w:sz w:val="14"/>
                <w:szCs w:val="14"/>
              </w:rPr>
            </w:pPr>
            <w:r w:rsidRPr="00E82C5A">
              <w:rPr>
                <w:sz w:val="14"/>
                <w:szCs w:val="14"/>
              </w:rPr>
              <w:t>1001</w:t>
            </w:r>
          </w:p>
        </w:tc>
        <w:tc>
          <w:tcPr>
            <w:tcW w:w="246" w:type="pct"/>
            <w:tcBorders>
              <w:top w:val="nil"/>
              <w:left w:val="nil"/>
              <w:bottom w:val="single" w:sz="4" w:space="0" w:color="auto"/>
              <w:right w:val="single" w:sz="4" w:space="0" w:color="auto"/>
            </w:tcBorders>
            <w:shd w:val="clear" w:color="auto" w:fill="auto"/>
            <w:vAlign w:val="center"/>
            <w:hideMark/>
          </w:tcPr>
          <w:p w14:paraId="68348F1D" w14:textId="77777777" w:rsidR="00215C71" w:rsidRPr="00E82C5A" w:rsidRDefault="00215C71" w:rsidP="00215C71">
            <w:pPr>
              <w:jc w:val="right"/>
              <w:rPr>
                <w:sz w:val="14"/>
                <w:szCs w:val="14"/>
              </w:rPr>
            </w:pPr>
            <w:r w:rsidRPr="00E82C5A">
              <w:rPr>
                <w:sz w:val="14"/>
                <w:szCs w:val="14"/>
              </w:rPr>
              <w:t>543</w:t>
            </w:r>
          </w:p>
        </w:tc>
        <w:tc>
          <w:tcPr>
            <w:tcW w:w="304" w:type="pct"/>
            <w:tcBorders>
              <w:top w:val="nil"/>
              <w:left w:val="nil"/>
              <w:bottom w:val="single" w:sz="4" w:space="0" w:color="auto"/>
              <w:right w:val="single" w:sz="4" w:space="0" w:color="auto"/>
            </w:tcBorders>
            <w:shd w:val="clear" w:color="auto" w:fill="auto"/>
            <w:vAlign w:val="center"/>
            <w:hideMark/>
          </w:tcPr>
          <w:p w14:paraId="43633316"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4FABADE1" w14:textId="086FADD5"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083A773E" w14:textId="77777777" w:rsidR="00215C71" w:rsidRPr="00E82C5A" w:rsidRDefault="00215C71" w:rsidP="00215C71">
            <w:pPr>
              <w:jc w:val="right"/>
              <w:rPr>
                <w:sz w:val="14"/>
                <w:szCs w:val="14"/>
              </w:rPr>
            </w:pPr>
            <w:r w:rsidRPr="00E82C5A">
              <w:rPr>
                <w:sz w:val="14"/>
                <w:szCs w:val="14"/>
              </w:rPr>
              <w:t>100</w:t>
            </w:r>
          </w:p>
        </w:tc>
        <w:tc>
          <w:tcPr>
            <w:tcW w:w="304" w:type="pct"/>
            <w:tcBorders>
              <w:top w:val="nil"/>
              <w:left w:val="nil"/>
              <w:bottom w:val="single" w:sz="4" w:space="0" w:color="auto"/>
              <w:right w:val="single" w:sz="4" w:space="0" w:color="auto"/>
            </w:tcBorders>
            <w:shd w:val="clear" w:color="auto" w:fill="auto"/>
            <w:vAlign w:val="center"/>
            <w:hideMark/>
          </w:tcPr>
          <w:p w14:paraId="45FD4B95"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2149669A" w14:textId="0BC9D78B" w:rsidR="00215C71" w:rsidRPr="00E82C5A" w:rsidRDefault="00215C71" w:rsidP="00215C71">
            <w:pPr>
              <w:jc w:val="right"/>
              <w:rPr>
                <w:sz w:val="14"/>
                <w:szCs w:val="14"/>
              </w:rPr>
            </w:pPr>
            <w:r w:rsidRPr="00E82C5A">
              <w:rPr>
                <w:sz w:val="14"/>
                <w:szCs w:val="14"/>
              </w:rPr>
              <w:t>3000</w:t>
            </w:r>
          </w:p>
        </w:tc>
        <w:tc>
          <w:tcPr>
            <w:tcW w:w="246" w:type="pct"/>
            <w:tcBorders>
              <w:top w:val="nil"/>
              <w:left w:val="nil"/>
              <w:bottom w:val="single" w:sz="4" w:space="0" w:color="auto"/>
              <w:right w:val="single" w:sz="4" w:space="0" w:color="auto"/>
            </w:tcBorders>
            <w:shd w:val="clear" w:color="auto" w:fill="auto"/>
            <w:vAlign w:val="center"/>
            <w:hideMark/>
          </w:tcPr>
          <w:p w14:paraId="17F1E2C3" w14:textId="77777777" w:rsidR="00215C71" w:rsidRPr="00E82C5A" w:rsidRDefault="00215C71" w:rsidP="00215C71">
            <w:pPr>
              <w:jc w:val="right"/>
              <w:rPr>
                <w:sz w:val="14"/>
                <w:szCs w:val="14"/>
              </w:rPr>
            </w:pPr>
            <w:r w:rsidRPr="00E82C5A">
              <w:rPr>
                <w:sz w:val="14"/>
                <w:szCs w:val="14"/>
              </w:rPr>
              <w:t>1 528</w:t>
            </w:r>
          </w:p>
        </w:tc>
        <w:tc>
          <w:tcPr>
            <w:tcW w:w="304" w:type="pct"/>
            <w:tcBorders>
              <w:top w:val="nil"/>
              <w:left w:val="nil"/>
              <w:bottom w:val="single" w:sz="4" w:space="0" w:color="auto"/>
              <w:right w:val="single" w:sz="4" w:space="0" w:color="auto"/>
            </w:tcBorders>
            <w:shd w:val="clear" w:color="auto" w:fill="auto"/>
            <w:vAlign w:val="center"/>
            <w:hideMark/>
          </w:tcPr>
          <w:p w14:paraId="35950AE3"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31CF7B36" w14:textId="4E90ECEE" w:rsidR="00215C71" w:rsidRPr="00E82C5A" w:rsidRDefault="00215C71" w:rsidP="00215C71">
            <w:pPr>
              <w:jc w:val="right"/>
              <w:rPr>
                <w:sz w:val="14"/>
                <w:szCs w:val="14"/>
              </w:rPr>
            </w:pPr>
            <w:r w:rsidRPr="00E82C5A">
              <w:rPr>
                <w:sz w:val="14"/>
                <w:szCs w:val="14"/>
              </w:rPr>
              <w:t>7</w:t>
            </w:r>
          </w:p>
        </w:tc>
        <w:tc>
          <w:tcPr>
            <w:tcW w:w="246" w:type="pct"/>
            <w:tcBorders>
              <w:top w:val="nil"/>
              <w:left w:val="nil"/>
              <w:bottom w:val="single" w:sz="4" w:space="0" w:color="auto"/>
              <w:right w:val="single" w:sz="4" w:space="0" w:color="auto"/>
            </w:tcBorders>
            <w:shd w:val="clear" w:color="auto" w:fill="auto"/>
            <w:vAlign w:val="center"/>
            <w:hideMark/>
          </w:tcPr>
          <w:p w14:paraId="7FB68ACC" w14:textId="77777777" w:rsidR="00215C71" w:rsidRPr="00E82C5A" w:rsidRDefault="00215C71" w:rsidP="00215C71">
            <w:pPr>
              <w:jc w:val="right"/>
              <w:rPr>
                <w:sz w:val="14"/>
                <w:szCs w:val="14"/>
              </w:rPr>
            </w:pPr>
            <w:r w:rsidRPr="00E82C5A">
              <w:rPr>
                <w:sz w:val="14"/>
                <w:szCs w:val="14"/>
              </w:rPr>
              <w:t>8</w:t>
            </w:r>
          </w:p>
        </w:tc>
        <w:tc>
          <w:tcPr>
            <w:tcW w:w="104" w:type="pct"/>
            <w:vAlign w:val="center"/>
            <w:hideMark/>
          </w:tcPr>
          <w:p w14:paraId="18F7BF8E" w14:textId="77777777" w:rsidR="00215C71" w:rsidRDefault="00215C71" w:rsidP="00215C71">
            <w:pPr>
              <w:rPr>
                <w:sz w:val="20"/>
                <w:szCs w:val="20"/>
              </w:rPr>
            </w:pPr>
          </w:p>
        </w:tc>
      </w:tr>
      <w:tr w:rsidR="00215C71" w14:paraId="309F0DD6"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05651B29" w14:textId="77777777" w:rsidR="00215C71" w:rsidRDefault="00215C71" w:rsidP="00215C71">
            <w:pPr>
              <w:rPr>
                <w:color w:val="000000"/>
                <w:sz w:val="14"/>
                <w:szCs w:val="14"/>
              </w:rPr>
            </w:pPr>
            <w:r>
              <w:rPr>
                <w:color w:val="000000"/>
                <w:sz w:val="14"/>
                <w:szCs w:val="14"/>
              </w:rPr>
              <w:t>Русе</w:t>
            </w:r>
          </w:p>
        </w:tc>
        <w:tc>
          <w:tcPr>
            <w:tcW w:w="304" w:type="pct"/>
            <w:tcBorders>
              <w:top w:val="nil"/>
              <w:left w:val="nil"/>
              <w:bottom w:val="single" w:sz="4" w:space="0" w:color="auto"/>
              <w:right w:val="single" w:sz="4" w:space="0" w:color="auto"/>
            </w:tcBorders>
            <w:shd w:val="clear" w:color="auto" w:fill="auto"/>
            <w:vAlign w:val="center"/>
            <w:hideMark/>
          </w:tcPr>
          <w:p w14:paraId="12CFA979"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43A53590" w14:textId="6AB65423" w:rsidR="00215C71" w:rsidRPr="00E82C5A" w:rsidRDefault="00215C71" w:rsidP="00215C71">
            <w:pPr>
              <w:jc w:val="right"/>
              <w:rPr>
                <w:sz w:val="14"/>
                <w:szCs w:val="14"/>
              </w:rPr>
            </w:pPr>
            <w:r w:rsidRPr="00E82C5A">
              <w:rPr>
                <w:sz w:val="14"/>
                <w:szCs w:val="14"/>
              </w:rPr>
              <w:t>170</w:t>
            </w:r>
          </w:p>
        </w:tc>
        <w:tc>
          <w:tcPr>
            <w:tcW w:w="246" w:type="pct"/>
            <w:tcBorders>
              <w:top w:val="nil"/>
              <w:left w:val="nil"/>
              <w:bottom w:val="single" w:sz="4" w:space="0" w:color="auto"/>
              <w:right w:val="single" w:sz="4" w:space="0" w:color="auto"/>
            </w:tcBorders>
            <w:shd w:val="clear" w:color="auto" w:fill="auto"/>
            <w:vAlign w:val="center"/>
            <w:hideMark/>
          </w:tcPr>
          <w:p w14:paraId="3404AE67" w14:textId="77777777" w:rsidR="00215C71" w:rsidRPr="00E82C5A" w:rsidRDefault="00215C71" w:rsidP="00215C71">
            <w:pPr>
              <w:jc w:val="right"/>
              <w:rPr>
                <w:sz w:val="14"/>
                <w:szCs w:val="14"/>
              </w:rPr>
            </w:pPr>
            <w:r w:rsidRPr="00E82C5A">
              <w:rPr>
                <w:sz w:val="14"/>
                <w:szCs w:val="14"/>
              </w:rPr>
              <w:t>147</w:t>
            </w:r>
          </w:p>
        </w:tc>
        <w:tc>
          <w:tcPr>
            <w:tcW w:w="304" w:type="pct"/>
            <w:tcBorders>
              <w:top w:val="nil"/>
              <w:left w:val="nil"/>
              <w:bottom w:val="single" w:sz="4" w:space="0" w:color="auto"/>
              <w:right w:val="single" w:sz="4" w:space="0" w:color="auto"/>
            </w:tcBorders>
            <w:shd w:val="clear" w:color="auto" w:fill="auto"/>
            <w:vAlign w:val="center"/>
            <w:hideMark/>
          </w:tcPr>
          <w:p w14:paraId="32A37E22"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452ABA97" w14:textId="7A7770F0" w:rsidR="00215C71" w:rsidRPr="00E82C5A" w:rsidRDefault="00215C71" w:rsidP="00215C71">
            <w:pPr>
              <w:jc w:val="right"/>
              <w:rPr>
                <w:sz w:val="14"/>
                <w:szCs w:val="14"/>
              </w:rPr>
            </w:pPr>
            <w:r w:rsidRPr="00E82C5A">
              <w:rPr>
                <w:sz w:val="14"/>
                <w:szCs w:val="14"/>
              </w:rPr>
              <w:t>1100</w:t>
            </w:r>
          </w:p>
        </w:tc>
        <w:tc>
          <w:tcPr>
            <w:tcW w:w="246" w:type="pct"/>
            <w:tcBorders>
              <w:top w:val="nil"/>
              <w:left w:val="nil"/>
              <w:bottom w:val="single" w:sz="4" w:space="0" w:color="auto"/>
              <w:right w:val="single" w:sz="4" w:space="0" w:color="auto"/>
            </w:tcBorders>
            <w:shd w:val="clear" w:color="auto" w:fill="auto"/>
            <w:vAlign w:val="center"/>
            <w:hideMark/>
          </w:tcPr>
          <w:p w14:paraId="1344FD56" w14:textId="77777777" w:rsidR="00215C71" w:rsidRPr="00E82C5A" w:rsidRDefault="00215C71" w:rsidP="00215C71">
            <w:pPr>
              <w:jc w:val="right"/>
              <w:rPr>
                <w:sz w:val="14"/>
                <w:szCs w:val="14"/>
              </w:rPr>
            </w:pPr>
            <w:r w:rsidRPr="00E82C5A">
              <w:rPr>
                <w:sz w:val="14"/>
                <w:szCs w:val="14"/>
              </w:rPr>
              <w:t>654</w:t>
            </w:r>
          </w:p>
        </w:tc>
        <w:tc>
          <w:tcPr>
            <w:tcW w:w="304" w:type="pct"/>
            <w:tcBorders>
              <w:top w:val="nil"/>
              <w:left w:val="nil"/>
              <w:bottom w:val="single" w:sz="4" w:space="0" w:color="auto"/>
              <w:right w:val="single" w:sz="4" w:space="0" w:color="auto"/>
            </w:tcBorders>
            <w:shd w:val="clear" w:color="auto" w:fill="auto"/>
            <w:vAlign w:val="center"/>
            <w:hideMark/>
          </w:tcPr>
          <w:p w14:paraId="58B794D9"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15D6230C" w14:textId="3EA964F5"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530B5182" w14:textId="77777777" w:rsidR="00215C71" w:rsidRPr="00E82C5A" w:rsidRDefault="00215C71" w:rsidP="00215C71">
            <w:pPr>
              <w:jc w:val="right"/>
              <w:rPr>
                <w:sz w:val="14"/>
                <w:szCs w:val="14"/>
              </w:rPr>
            </w:pPr>
            <w:r w:rsidRPr="00E82C5A">
              <w:rPr>
                <w:sz w:val="14"/>
                <w:szCs w:val="14"/>
              </w:rPr>
              <w:t>100</w:t>
            </w:r>
          </w:p>
        </w:tc>
        <w:tc>
          <w:tcPr>
            <w:tcW w:w="304" w:type="pct"/>
            <w:tcBorders>
              <w:top w:val="nil"/>
              <w:left w:val="nil"/>
              <w:bottom w:val="single" w:sz="4" w:space="0" w:color="auto"/>
              <w:right w:val="single" w:sz="4" w:space="0" w:color="auto"/>
            </w:tcBorders>
            <w:shd w:val="clear" w:color="auto" w:fill="auto"/>
            <w:vAlign w:val="center"/>
            <w:hideMark/>
          </w:tcPr>
          <w:p w14:paraId="7442D35F"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42B3D9F9" w14:textId="1FC42EF1" w:rsidR="00215C71" w:rsidRPr="00E82C5A" w:rsidRDefault="00215C71" w:rsidP="00215C71">
            <w:pPr>
              <w:jc w:val="right"/>
              <w:rPr>
                <w:sz w:val="14"/>
                <w:szCs w:val="14"/>
              </w:rPr>
            </w:pPr>
            <w:r w:rsidRPr="00E82C5A">
              <w:rPr>
                <w:sz w:val="14"/>
                <w:szCs w:val="14"/>
              </w:rPr>
              <w:t>5000</w:t>
            </w:r>
          </w:p>
        </w:tc>
        <w:tc>
          <w:tcPr>
            <w:tcW w:w="246" w:type="pct"/>
            <w:tcBorders>
              <w:top w:val="nil"/>
              <w:left w:val="nil"/>
              <w:bottom w:val="single" w:sz="4" w:space="0" w:color="auto"/>
              <w:right w:val="single" w:sz="4" w:space="0" w:color="auto"/>
            </w:tcBorders>
            <w:shd w:val="clear" w:color="auto" w:fill="auto"/>
            <w:vAlign w:val="center"/>
            <w:hideMark/>
          </w:tcPr>
          <w:p w14:paraId="08BE060B" w14:textId="77777777" w:rsidR="00215C71" w:rsidRPr="00E82C5A" w:rsidRDefault="00215C71" w:rsidP="00215C71">
            <w:pPr>
              <w:jc w:val="right"/>
              <w:rPr>
                <w:sz w:val="14"/>
                <w:szCs w:val="14"/>
              </w:rPr>
            </w:pPr>
            <w:r w:rsidRPr="00E82C5A">
              <w:rPr>
                <w:sz w:val="14"/>
                <w:szCs w:val="14"/>
              </w:rPr>
              <w:t>2 684</w:t>
            </w:r>
          </w:p>
        </w:tc>
        <w:tc>
          <w:tcPr>
            <w:tcW w:w="304" w:type="pct"/>
            <w:tcBorders>
              <w:top w:val="nil"/>
              <w:left w:val="nil"/>
              <w:bottom w:val="single" w:sz="4" w:space="0" w:color="auto"/>
              <w:right w:val="single" w:sz="4" w:space="0" w:color="auto"/>
            </w:tcBorders>
            <w:shd w:val="clear" w:color="auto" w:fill="auto"/>
            <w:vAlign w:val="center"/>
            <w:hideMark/>
          </w:tcPr>
          <w:p w14:paraId="7CFA8CA3"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32F255B5" w14:textId="7197B8AB" w:rsidR="00215C71" w:rsidRPr="00E82C5A" w:rsidRDefault="00215C71" w:rsidP="00215C71">
            <w:pPr>
              <w:jc w:val="right"/>
              <w:rPr>
                <w:sz w:val="14"/>
                <w:szCs w:val="14"/>
              </w:rPr>
            </w:pPr>
            <w:r w:rsidRPr="00E82C5A">
              <w:rPr>
                <w:sz w:val="14"/>
                <w:szCs w:val="14"/>
              </w:rPr>
              <w:t>3</w:t>
            </w:r>
          </w:p>
        </w:tc>
        <w:tc>
          <w:tcPr>
            <w:tcW w:w="246" w:type="pct"/>
            <w:tcBorders>
              <w:top w:val="nil"/>
              <w:left w:val="nil"/>
              <w:bottom w:val="single" w:sz="4" w:space="0" w:color="auto"/>
              <w:right w:val="single" w:sz="4" w:space="0" w:color="auto"/>
            </w:tcBorders>
            <w:shd w:val="clear" w:color="auto" w:fill="auto"/>
            <w:vAlign w:val="center"/>
            <w:hideMark/>
          </w:tcPr>
          <w:p w14:paraId="15CECA69" w14:textId="77777777" w:rsidR="00215C71" w:rsidRPr="00E82C5A" w:rsidRDefault="00215C71" w:rsidP="00215C71">
            <w:pPr>
              <w:jc w:val="right"/>
              <w:rPr>
                <w:sz w:val="14"/>
                <w:szCs w:val="14"/>
              </w:rPr>
            </w:pPr>
            <w:r w:rsidRPr="00E82C5A">
              <w:rPr>
                <w:sz w:val="14"/>
                <w:szCs w:val="14"/>
              </w:rPr>
              <w:t>0</w:t>
            </w:r>
          </w:p>
        </w:tc>
        <w:tc>
          <w:tcPr>
            <w:tcW w:w="104" w:type="pct"/>
            <w:vAlign w:val="center"/>
            <w:hideMark/>
          </w:tcPr>
          <w:p w14:paraId="3937E6D3" w14:textId="77777777" w:rsidR="00215C71" w:rsidRDefault="00215C71" w:rsidP="00215C71">
            <w:pPr>
              <w:rPr>
                <w:sz w:val="20"/>
                <w:szCs w:val="20"/>
              </w:rPr>
            </w:pPr>
          </w:p>
        </w:tc>
      </w:tr>
      <w:tr w:rsidR="00215C71" w14:paraId="75692336"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60E294C5" w14:textId="77777777" w:rsidR="00215C71" w:rsidRDefault="00215C71" w:rsidP="00215C71">
            <w:pPr>
              <w:rPr>
                <w:color w:val="000000"/>
                <w:sz w:val="14"/>
                <w:szCs w:val="14"/>
              </w:rPr>
            </w:pPr>
            <w:r>
              <w:rPr>
                <w:color w:val="000000"/>
                <w:sz w:val="14"/>
                <w:szCs w:val="14"/>
              </w:rPr>
              <w:t>Силистра</w:t>
            </w:r>
          </w:p>
        </w:tc>
        <w:tc>
          <w:tcPr>
            <w:tcW w:w="304" w:type="pct"/>
            <w:tcBorders>
              <w:top w:val="nil"/>
              <w:left w:val="nil"/>
              <w:bottom w:val="single" w:sz="4" w:space="0" w:color="auto"/>
              <w:right w:val="single" w:sz="4" w:space="0" w:color="auto"/>
            </w:tcBorders>
            <w:shd w:val="clear" w:color="auto" w:fill="auto"/>
            <w:vAlign w:val="center"/>
            <w:hideMark/>
          </w:tcPr>
          <w:p w14:paraId="6F723516"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0B6B7FF0" w14:textId="34AF7FE2" w:rsidR="00215C71" w:rsidRPr="00E82C5A" w:rsidRDefault="00215C71" w:rsidP="00215C71">
            <w:pPr>
              <w:jc w:val="right"/>
              <w:rPr>
                <w:sz w:val="14"/>
                <w:szCs w:val="14"/>
              </w:rPr>
            </w:pPr>
            <w:r w:rsidRPr="00E82C5A">
              <w:rPr>
                <w:sz w:val="14"/>
                <w:szCs w:val="14"/>
              </w:rPr>
              <w:t>44</w:t>
            </w:r>
          </w:p>
        </w:tc>
        <w:tc>
          <w:tcPr>
            <w:tcW w:w="246" w:type="pct"/>
            <w:tcBorders>
              <w:top w:val="nil"/>
              <w:left w:val="nil"/>
              <w:bottom w:val="single" w:sz="4" w:space="0" w:color="auto"/>
              <w:right w:val="single" w:sz="4" w:space="0" w:color="auto"/>
            </w:tcBorders>
            <w:shd w:val="clear" w:color="auto" w:fill="auto"/>
            <w:vAlign w:val="center"/>
            <w:hideMark/>
          </w:tcPr>
          <w:p w14:paraId="3617BFE1" w14:textId="77777777" w:rsidR="00215C71" w:rsidRPr="00E82C5A" w:rsidRDefault="00215C71" w:rsidP="00215C71">
            <w:pPr>
              <w:jc w:val="right"/>
              <w:rPr>
                <w:sz w:val="14"/>
                <w:szCs w:val="14"/>
              </w:rPr>
            </w:pPr>
            <w:r w:rsidRPr="00E82C5A">
              <w:rPr>
                <w:sz w:val="14"/>
                <w:szCs w:val="14"/>
              </w:rPr>
              <w:t>46</w:t>
            </w:r>
          </w:p>
        </w:tc>
        <w:tc>
          <w:tcPr>
            <w:tcW w:w="304" w:type="pct"/>
            <w:tcBorders>
              <w:top w:val="nil"/>
              <w:left w:val="nil"/>
              <w:bottom w:val="single" w:sz="4" w:space="0" w:color="auto"/>
              <w:right w:val="single" w:sz="4" w:space="0" w:color="auto"/>
            </w:tcBorders>
            <w:shd w:val="clear" w:color="auto" w:fill="auto"/>
            <w:vAlign w:val="center"/>
            <w:hideMark/>
          </w:tcPr>
          <w:p w14:paraId="4828DC3A"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62956D77" w14:textId="24D0070B" w:rsidR="00215C71" w:rsidRPr="00E82C5A" w:rsidRDefault="00215C71" w:rsidP="00215C71">
            <w:pPr>
              <w:jc w:val="right"/>
              <w:rPr>
                <w:sz w:val="14"/>
                <w:szCs w:val="14"/>
              </w:rPr>
            </w:pPr>
            <w:r w:rsidRPr="00E82C5A">
              <w:rPr>
                <w:sz w:val="14"/>
                <w:szCs w:val="14"/>
              </w:rPr>
              <w:t>1002</w:t>
            </w:r>
          </w:p>
        </w:tc>
        <w:tc>
          <w:tcPr>
            <w:tcW w:w="246" w:type="pct"/>
            <w:tcBorders>
              <w:top w:val="nil"/>
              <w:left w:val="nil"/>
              <w:bottom w:val="single" w:sz="4" w:space="0" w:color="auto"/>
              <w:right w:val="single" w:sz="4" w:space="0" w:color="auto"/>
            </w:tcBorders>
            <w:shd w:val="clear" w:color="auto" w:fill="auto"/>
            <w:vAlign w:val="center"/>
            <w:hideMark/>
          </w:tcPr>
          <w:p w14:paraId="19956A9D" w14:textId="77777777" w:rsidR="00215C71" w:rsidRPr="00E82C5A" w:rsidRDefault="00215C71" w:rsidP="00215C71">
            <w:pPr>
              <w:jc w:val="right"/>
              <w:rPr>
                <w:sz w:val="14"/>
                <w:szCs w:val="14"/>
              </w:rPr>
            </w:pPr>
            <w:r w:rsidRPr="00E82C5A">
              <w:rPr>
                <w:sz w:val="14"/>
                <w:szCs w:val="14"/>
              </w:rPr>
              <w:t>556</w:t>
            </w:r>
          </w:p>
        </w:tc>
        <w:tc>
          <w:tcPr>
            <w:tcW w:w="304" w:type="pct"/>
            <w:tcBorders>
              <w:top w:val="nil"/>
              <w:left w:val="nil"/>
              <w:bottom w:val="single" w:sz="4" w:space="0" w:color="auto"/>
              <w:right w:val="single" w:sz="4" w:space="0" w:color="auto"/>
            </w:tcBorders>
            <w:shd w:val="clear" w:color="auto" w:fill="auto"/>
            <w:vAlign w:val="center"/>
            <w:hideMark/>
          </w:tcPr>
          <w:p w14:paraId="1427D098"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567A1C9A" w14:textId="32EF6056" w:rsidR="00215C71" w:rsidRPr="00E82C5A" w:rsidRDefault="00215C71" w:rsidP="00215C71">
            <w:pPr>
              <w:jc w:val="right"/>
              <w:rPr>
                <w:sz w:val="14"/>
                <w:szCs w:val="14"/>
              </w:rPr>
            </w:pPr>
            <w:r w:rsidRPr="00E82C5A">
              <w:rPr>
                <w:sz w:val="14"/>
                <w:szCs w:val="14"/>
              </w:rPr>
              <w:t>90</w:t>
            </w:r>
          </w:p>
        </w:tc>
        <w:tc>
          <w:tcPr>
            <w:tcW w:w="246" w:type="pct"/>
            <w:tcBorders>
              <w:top w:val="nil"/>
              <w:left w:val="nil"/>
              <w:bottom w:val="single" w:sz="4" w:space="0" w:color="auto"/>
              <w:right w:val="single" w:sz="4" w:space="0" w:color="auto"/>
            </w:tcBorders>
            <w:shd w:val="clear" w:color="auto" w:fill="auto"/>
            <w:vAlign w:val="center"/>
            <w:hideMark/>
          </w:tcPr>
          <w:p w14:paraId="25A8216E" w14:textId="77777777" w:rsidR="00215C71" w:rsidRPr="00E82C5A" w:rsidRDefault="00215C71" w:rsidP="00215C71">
            <w:pPr>
              <w:jc w:val="right"/>
              <w:rPr>
                <w:sz w:val="14"/>
                <w:szCs w:val="14"/>
              </w:rPr>
            </w:pPr>
            <w:r w:rsidRPr="00E82C5A">
              <w:rPr>
                <w:sz w:val="14"/>
                <w:szCs w:val="14"/>
              </w:rPr>
              <w:t>100</w:t>
            </w:r>
          </w:p>
        </w:tc>
        <w:tc>
          <w:tcPr>
            <w:tcW w:w="304" w:type="pct"/>
            <w:tcBorders>
              <w:top w:val="nil"/>
              <w:left w:val="nil"/>
              <w:bottom w:val="single" w:sz="4" w:space="0" w:color="auto"/>
              <w:right w:val="single" w:sz="4" w:space="0" w:color="auto"/>
            </w:tcBorders>
            <w:shd w:val="clear" w:color="auto" w:fill="auto"/>
            <w:vAlign w:val="center"/>
            <w:hideMark/>
          </w:tcPr>
          <w:p w14:paraId="3E173880"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1BDF618A" w14:textId="53FBE725" w:rsidR="00215C71" w:rsidRPr="00E82C5A" w:rsidRDefault="00215C71" w:rsidP="00215C71">
            <w:pPr>
              <w:jc w:val="right"/>
              <w:rPr>
                <w:sz w:val="14"/>
                <w:szCs w:val="14"/>
              </w:rPr>
            </w:pPr>
            <w:r w:rsidRPr="00E82C5A">
              <w:rPr>
                <w:sz w:val="14"/>
                <w:szCs w:val="14"/>
              </w:rPr>
              <w:t>2400</w:t>
            </w:r>
          </w:p>
        </w:tc>
        <w:tc>
          <w:tcPr>
            <w:tcW w:w="246" w:type="pct"/>
            <w:tcBorders>
              <w:top w:val="nil"/>
              <w:left w:val="nil"/>
              <w:bottom w:val="single" w:sz="4" w:space="0" w:color="auto"/>
              <w:right w:val="single" w:sz="4" w:space="0" w:color="auto"/>
            </w:tcBorders>
            <w:shd w:val="clear" w:color="auto" w:fill="auto"/>
            <w:vAlign w:val="center"/>
            <w:hideMark/>
          </w:tcPr>
          <w:p w14:paraId="63ADB935" w14:textId="77777777" w:rsidR="00215C71" w:rsidRPr="00E82C5A" w:rsidRDefault="00215C71" w:rsidP="00215C71">
            <w:pPr>
              <w:jc w:val="right"/>
              <w:rPr>
                <w:sz w:val="14"/>
                <w:szCs w:val="14"/>
              </w:rPr>
            </w:pPr>
            <w:r w:rsidRPr="00E82C5A">
              <w:rPr>
                <w:sz w:val="14"/>
                <w:szCs w:val="14"/>
              </w:rPr>
              <w:t>1 392</w:t>
            </w:r>
          </w:p>
        </w:tc>
        <w:tc>
          <w:tcPr>
            <w:tcW w:w="304" w:type="pct"/>
            <w:tcBorders>
              <w:top w:val="nil"/>
              <w:left w:val="nil"/>
              <w:bottom w:val="single" w:sz="4" w:space="0" w:color="auto"/>
              <w:right w:val="single" w:sz="4" w:space="0" w:color="auto"/>
            </w:tcBorders>
            <w:shd w:val="clear" w:color="auto" w:fill="auto"/>
            <w:vAlign w:val="center"/>
            <w:hideMark/>
          </w:tcPr>
          <w:p w14:paraId="1AA70A70"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1548188C" w14:textId="2C12D9C5" w:rsidR="00215C71" w:rsidRPr="00E82C5A" w:rsidRDefault="00215C71" w:rsidP="00215C71">
            <w:pPr>
              <w:jc w:val="right"/>
              <w:rPr>
                <w:sz w:val="14"/>
                <w:szCs w:val="14"/>
              </w:rPr>
            </w:pPr>
            <w:r w:rsidRPr="00E82C5A">
              <w:rPr>
                <w:sz w:val="14"/>
                <w:szCs w:val="14"/>
              </w:rPr>
              <w:t>1</w:t>
            </w:r>
          </w:p>
        </w:tc>
        <w:tc>
          <w:tcPr>
            <w:tcW w:w="246" w:type="pct"/>
            <w:tcBorders>
              <w:top w:val="nil"/>
              <w:left w:val="nil"/>
              <w:bottom w:val="single" w:sz="4" w:space="0" w:color="auto"/>
              <w:right w:val="single" w:sz="4" w:space="0" w:color="auto"/>
            </w:tcBorders>
            <w:shd w:val="clear" w:color="auto" w:fill="auto"/>
            <w:vAlign w:val="center"/>
            <w:hideMark/>
          </w:tcPr>
          <w:p w14:paraId="09E26CA2" w14:textId="77777777" w:rsidR="00215C71" w:rsidRPr="00E82C5A" w:rsidRDefault="00215C71" w:rsidP="00215C71">
            <w:pPr>
              <w:jc w:val="right"/>
              <w:rPr>
                <w:sz w:val="14"/>
                <w:szCs w:val="14"/>
              </w:rPr>
            </w:pPr>
            <w:r w:rsidRPr="00E82C5A">
              <w:rPr>
                <w:sz w:val="14"/>
                <w:szCs w:val="14"/>
              </w:rPr>
              <w:t>0</w:t>
            </w:r>
          </w:p>
        </w:tc>
        <w:tc>
          <w:tcPr>
            <w:tcW w:w="104" w:type="pct"/>
            <w:vAlign w:val="center"/>
            <w:hideMark/>
          </w:tcPr>
          <w:p w14:paraId="4E6E380D" w14:textId="77777777" w:rsidR="00215C71" w:rsidRDefault="00215C71" w:rsidP="00215C71">
            <w:pPr>
              <w:rPr>
                <w:sz w:val="20"/>
                <w:szCs w:val="20"/>
              </w:rPr>
            </w:pPr>
          </w:p>
        </w:tc>
      </w:tr>
      <w:tr w:rsidR="00215C71" w14:paraId="1DDB3D8D"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5D78BC50" w14:textId="77777777" w:rsidR="00215C71" w:rsidRDefault="00215C71" w:rsidP="00215C71">
            <w:pPr>
              <w:rPr>
                <w:color w:val="000000"/>
                <w:sz w:val="14"/>
                <w:szCs w:val="14"/>
              </w:rPr>
            </w:pPr>
            <w:r>
              <w:rPr>
                <w:color w:val="000000"/>
                <w:sz w:val="14"/>
                <w:szCs w:val="14"/>
              </w:rPr>
              <w:t>Сливен</w:t>
            </w:r>
          </w:p>
        </w:tc>
        <w:tc>
          <w:tcPr>
            <w:tcW w:w="304" w:type="pct"/>
            <w:tcBorders>
              <w:top w:val="nil"/>
              <w:left w:val="nil"/>
              <w:bottom w:val="single" w:sz="4" w:space="0" w:color="auto"/>
              <w:right w:val="single" w:sz="4" w:space="0" w:color="auto"/>
            </w:tcBorders>
            <w:shd w:val="clear" w:color="auto" w:fill="auto"/>
            <w:vAlign w:val="center"/>
            <w:hideMark/>
          </w:tcPr>
          <w:p w14:paraId="7BDD1FE7"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6D1DCEC3" w14:textId="1990A4D9" w:rsidR="00215C71" w:rsidRPr="00E82C5A" w:rsidRDefault="00215C71" w:rsidP="00215C71">
            <w:pPr>
              <w:jc w:val="right"/>
              <w:rPr>
                <w:sz w:val="14"/>
                <w:szCs w:val="14"/>
              </w:rPr>
            </w:pPr>
            <w:r w:rsidRPr="00E82C5A">
              <w:rPr>
                <w:sz w:val="14"/>
                <w:szCs w:val="14"/>
              </w:rPr>
              <w:t>300</w:t>
            </w:r>
          </w:p>
        </w:tc>
        <w:tc>
          <w:tcPr>
            <w:tcW w:w="246" w:type="pct"/>
            <w:tcBorders>
              <w:top w:val="nil"/>
              <w:left w:val="nil"/>
              <w:bottom w:val="single" w:sz="4" w:space="0" w:color="auto"/>
              <w:right w:val="single" w:sz="4" w:space="0" w:color="auto"/>
            </w:tcBorders>
            <w:shd w:val="clear" w:color="auto" w:fill="auto"/>
            <w:vAlign w:val="center"/>
            <w:hideMark/>
          </w:tcPr>
          <w:p w14:paraId="2B91F3C5" w14:textId="77777777" w:rsidR="00215C71" w:rsidRPr="00E82C5A" w:rsidRDefault="00215C71" w:rsidP="00215C71">
            <w:pPr>
              <w:jc w:val="right"/>
              <w:rPr>
                <w:sz w:val="14"/>
                <w:szCs w:val="14"/>
              </w:rPr>
            </w:pPr>
            <w:r w:rsidRPr="00E82C5A">
              <w:rPr>
                <w:sz w:val="14"/>
                <w:szCs w:val="14"/>
              </w:rPr>
              <w:t>239</w:t>
            </w:r>
          </w:p>
        </w:tc>
        <w:tc>
          <w:tcPr>
            <w:tcW w:w="304" w:type="pct"/>
            <w:tcBorders>
              <w:top w:val="nil"/>
              <w:left w:val="nil"/>
              <w:bottom w:val="single" w:sz="4" w:space="0" w:color="auto"/>
              <w:right w:val="single" w:sz="4" w:space="0" w:color="auto"/>
            </w:tcBorders>
            <w:shd w:val="clear" w:color="auto" w:fill="auto"/>
            <w:vAlign w:val="center"/>
            <w:hideMark/>
          </w:tcPr>
          <w:p w14:paraId="194199D2"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04B6CB2F" w14:textId="4A7B348B" w:rsidR="00215C71" w:rsidRPr="00E82C5A" w:rsidRDefault="00215C71" w:rsidP="00215C71">
            <w:pPr>
              <w:jc w:val="right"/>
              <w:rPr>
                <w:sz w:val="14"/>
                <w:szCs w:val="14"/>
              </w:rPr>
            </w:pPr>
            <w:r w:rsidRPr="00E82C5A">
              <w:rPr>
                <w:sz w:val="14"/>
                <w:szCs w:val="14"/>
              </w:rPr>
              <w:t>1010</w:t>
            </w:r>
          </w:p>
        </w:tc>
        <w:tc>
          <w:tcPr>
            <w:tcW w:w="246" w:type="pct"/>
            <w:tcBorders>
              <w:top w:val="nil"/>
              <w:left w:val="nil"/>
              <w:bottom w:val="single" w:sz="4" w:space="0" w:color="auto"/>
              <w:right w:val="single" w:sz="4" w:space="0" w:color="auto"/>
            </w:tcBorders>
            <w:shd w:val="clear" w:color="auto" w:fill="auto"/>
            <w:vAlign w:val="center"/>
            <w:hideMark/>
          </w:tcPr>
          <w:p w14:paraId="739D7EE5" w14:textId="77777777" w:rsidR="00215C71" w:rsidRPr="00E82C5A" w:rsidRDefault="00215C71" w:rsidP="00215C71">
            <w:pPr>
              <w:jc w:val="right"/>
              <w:rPr>
                <w:sz w:val="14"/>
                <w:szCs w:val="14"/>
              </w:rPr>
            </w:pPr>
            <w:r w:rsidRPr="00E82C5A">
              <w:rPr>
                <w:sz w:val="14"/>
                <w:szCs w:val="14"/>
              </w:rPr>
              <w:t>559</w:t>
            </w:r>
          </w:p>
        </w:tc>
        <w:tc>
          <w:tcPr>
            <w:tcW w:w="304" w:type="pct"/>
            <w:tcBorders>
              <w:top w:val="nil"/>
              <w:left w:val="nil"/>
              <w:bottom w:val="single" w:sz="4" w:space="0" w:color="auto"/>
              <w:right w:val="single" w:sz="4" w:space="0" w:color="auto"/>
            </w:tcBorders>
            <w:shd w:val="clear" w:color="auto" w:fill="auto"/>
            <w:vAlign w:val="center"/>
            <w:hideMark/>
          </w:tcPr>
          <w:p w14:paraId="7C1A1990"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1053AB9E" w14:textId="19E0279E"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74EB7B13" w14:textId="77777777" w:rsidR="00215C71" w:rsidRPr="00E82C5A" w:rsidRDefault="00215C71" w:rsidP="00215C71">
            <w:pPr>
              <w:jc w:val="right"/>
              <w:rPr>
                <w:sz w:val="14"/>
                <w:szCs w:val="14"/>
              </w:rPr>
            </w:pPr>
            <w:r w:rsidRPr="00E82C5A">
              <w:rPr>
                <w:sz w:val="14"/>
                <w:szCs w:val="14"/>
              </w:rPr>
              <w:t>100</w:t>
            </w:r>
          </w:p>
        </w:tc>
        <w:tc>
          <w:tcPr>
            <w:tcW w:w="304" w:type="pct"/>
            <w:tcBorders>
              <w:top w:val="nil"/>
              <w:left w:val="nil"/>
              <w:bottom w:val="single" w:sz="4" w:space="0" w:color="auto"/>
              <w:right w:val="single" w:sz="4" w:space="0" w:color="auto"/>
            </w:tcBorders>
            <w:shd w:val="clear" w:color="auto" w:fill="auto"/>
            <w:vAlign w:val="center"/>
            <w:hideMark/>
          </w:tcPr>
          <w:p w14:paraId="08DD8E54"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36A9DAE6" w14:textId="70A459FA" w:rsidR="00215C71" w:rsidRPr="00E82C5A" w:rsidRDefault="00215C71" w:rsidP="00215C71">
            <w:pPr>
              <w:jc w:val="right"/>
              <w:rPr>
                <w:sz w:val="14"/>
                <w:szCs w:val="14"/>
              </w:rPr>
            </w:pPr>
            <w:r w:rsidRPr="00E82C5A">
              <w:rPr>
                <w:sz w:val="14"/>
                <w:szCs w:val="14"/>
              </w:rPr>
              <w:t>6000</w:t>
            </w:r>
          </w:p>
        </w:tc>
        <w:tc>
          <w:tcPr>
            <w:tcW w:w="246" w:type="pct"/>
            <w:tcBorders>
              <w:top w:val="nil"/>
              <w:left w:val="nil"/>
              <w:bottom w:val="single" w:sz="4" w:space="0" w:color="auto"/>
              <w:right w:val="single" w:sz="4" w:space="0" w:color="auto"/>
            </w:tcBorders>
            <w:shd w:val="clear" w:color="auto" w:fill="auto"/>
            <w:vAlign w:val="center"/>
            <w:hideMark/>
          </w:tcPr>
          <w:p w14:paraId="2D3F6DBE" w14:textId="77777777" w:rsidR="00215C71" w:rsidRPr="00E82C5A" w:rsidRDefault="00215C71" w:rsidP="00215C71">
            <w:pPr>
              <w:jc w:val="right"/>
              <w:rPr>
                <w:sz w:val="14"/>
                <w:szCs w:val="14"/>
              </w:rPr>
            </w:pPr>
            <w:r w:rsidRPr="00E82C5A">
              <w:rPr>
                <w:sz w:val="14"/>
                <w:szCs w:val="14"/>
              </w:rPr>
              <w:t>2 557</w:t>
            </w:r>
          </w:p>
        </w:tc>
        <w:tc>
          <w:tcPr>
            <w:tcW w:w="304" w:type="pct"/>
            <w:tcBorders>
              <w:top w:val="nil"/>
              <w:left w:val="nil"/>
              <w:bottom w:val="single" w:sz="4" w:space="0" w:color="auto"/>
              <w:right w:val="single" w:sz="4" w:space="0" w:color="auto"/>
            </w:tcBorders>
            <w:shd w:val="clear" w:color="auto" w:fill="auto"/>
            <w:vAlign w:val="center"/>
            <w:hideMark/>
          </w:tcPr>
          <w:p w14:paraId="7561D0BC"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4491BDC6" w14:textId="2CDC0B24" w:rsidR="00215C71" w:rsidRPr="00E82C5A" w:rsidRDefault="00215C71" w:rsidP="00215C71">
            <w:pPr>
              <w:jc w:val="right"/>
              <w:rPr>
                <w:sz w:val="14"/>
                <w:szCs w:val="14"/>
              </w:rPr>
            </w:pPr>
            <w:r w:rsidRPr="00E82C5A">
              <w:rPr>
                <w:sz w:val="14"/>
                <w:szCs w:val="14"/>
              </w:rPr>
              <w:t>9</w:t>
            </w:r>
          </w:p>
        </w:tc>
        <w:tc>
          <w:tcPr>
            <w:tcW w:w="246" w:type="pct"/>
            <w:tcBorders>
              <w:top w:val="nil"/>
              <w:left w:val="nil"/>
              <w:bottom w:val="single" w:sz="4" w:space="0" w:color="auto"/>
              <w:right w:val="single" w:sz="4" w:space="0" w:color="auto"/>
            </w:tcBorders>
            <w:shd w:val="clear" w:color="auto" w:fill="auto"/>
            <w:vAlign w:val="center"/>
            <w:hideMark/>
          </w:tcPr>
          <w:p w14:paraId="262A29FA" w14:textId="77777777" w:rsidR="00215C71" w:rsidRPr="00E82C5A" w:rsidRDefault="00215C71" w:rsidP="00215C71">
            <w:pPr>
              <w:jc w:val="right"/>
              <w:rPr>
                <w:sz w:val="14"/>
                <w:szCs w:val="14"/>
              </w:rPr>
            </w:pPr>
            <w:r w:rsidRPr="00E82C5A">
              <w:rPr>
                <w:sz w:val="14"/>
                <w:szCs w:val="14"/>
              </w:rPr>
              <w:t>0</w:t>
            </w:r>
          </w:p>
        </w:tc>
        <w:tc>
          <w:tcPr>
            <w:tcW w:w="104" w:type="pct"/>
            <w:vAlign w:val="center"/>
            <w:hideMark/>
          </w:tcPr>
          <w:p w14:paraId="3A991584" w14:textId="77777777" w:rsidR="00215C71" w:rsidRDefault="00215C71" w:rsidP="00215C71">
            <w:pPr>
              <w:rPr>
                <w:sz w:val="20"/>
                <w:szCs w:val="20"/>
              </w:rPr>
            </w:pPr>
          </w:p>
        </w:tc>
      </w:tr>
      <w:tr w:rsidR="00215C71" w14:paraId="37F2C304"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7ED50078" w14:textId="77777777" w:rsidR="00215C71" w:rsidRDefault="00215C71" w:rsidP="00215C71">
            <w:pPr>
              <w:rPr>
                <w:color w:val="000000"/>
                <w:sz w:val="14"/>
                <w:szCs w:val="14"/>
              </w:rPr>
            </w:pPr>
            <w:r>
              <w:rPr>
                <w:color w:val="000000"/>
                <w:sz w:val="14"/>
                <w:szCs w:val="14"/>
              </w:rPr>
              <w:t>Смолян</w:t>
            </w:r>
          </w:p>
        </w:tc>
        <w:tc>
          <w:tcPr>
            <w:tcW w:w="304" w:type="pct"/>
            <w:tcBorders>
              <w:top w:val="nil"/>
              <w:left w:val="nil"/>
              <w:bottom w:val="single" w:sz="4" w:space="0" w:color="auto"/>
              <w:right w:val="single" w:sz="4" w:space="0" w:color="auto"/>
            </w:tcBorders>
            <w:shd w:val="clear" w:color="auto" w:fill="auto"/>
            <w:vAlign w:val="center"/>
            <w:hideMark/>
          </w:tcPr>
          <w:p w14:paraId="4C7FE8EA"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62173372" w14:textId="687504A1" w:rsidR="00215C71" w:rsidRPr="00E82C5A" w:rsidRDefault="00215C71" w:rsidP="00215C71">
            <w:pPr>
              <w:jc w:val="right"/>
              <w:rPr>
                <w:sz w:val="14"/>
                <w:szCs w:val="14"/>
              </w:rPr>
            </w:pPr>
            <w:r w:rsidRPr="00E82C5A">
              <w:rPr>
                <w:sz w:val="14"/>
                <w:szCs w:val="14"/>
              </w:rPr>
              <w:t>47</w:t>
            </w:r>
          </w:p>
        </w:tc>
        <w:tc>
          <w:tcPr>
            <w:tcW w:w="246" w:type="pct"/>
            <w:tcBorders>
              <w:top w:val="nil"/>
              <w:left w:val="nil"/>
              <w:bottom w:val="single" w:sz="4" w:space="0" w:color="auto"/>
              <w:right w:val="single" w:sz="4" w:space="0" w:color="auto"/>
            </w:tcBorders>
            <w:shd w:val="clear" w:color="auto" w:fill="auto"/>
            <w:vAlign w:val="center"/>
            <w:hideMark/>
          </w:tcPr>
          <w:p w14:paraId="2F1D7F78" w14:textId="77777777" w:rsidR="00215C71" w:rsidRPr="00E82C5A" w:rsidRDefault="00215C71" w:rsidP="00215C71">
            <w:pPr>
              <w:jc w:val="right"/>
              <w:rPr>
                <w:sz w:val="14"/>
                <w:szCs w:val="14"/>
              </w:rPr>
            </w:pPr>
            <w:r w:rsidRPr="00E82C5A">
              <w:rPr>
                <w:sz w:val="14"/>
                <w:szCs w:val="14"/>
              </w:rPr>
              <w:t>47</w:t>
            </w:r>
          </w:p>
        </w:tc>
        <w:tc>
          <w:tcPr>
            <w:tcW w:w="304" w:type="pct"/>
            <w:tcBorders>
              <w:top w:val="nil"/>
              <w:left w:val="nil"/>
              <w:bottom w:val="single" w:sz="4" w:space="0" w:color="auto"/>
              <w:right w:val="single" w:sz="4" w:space="0" w:color="auto"/>
            </w:tcBorders>
            <w:shd w:val="clear" w:color="auto" w:fill="auto"/>
            <w:vAlign w:val="center"/>
            <w:hideMark/>
          </w:tcPr>
          <w:p w14:paraId="19AFFD61"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0F984377" w14:textId="357CFA0F" w:rsidR="00215C71" w:rsidRPr="00E82C5A" w:rsidRDefault="00215C71" w:rsidP="00215C71">
            <w:pPr>
              <w:jc w:val="right"/>
              <w:rPr>
                <w:sz w:val="14"/>
                <w:szCs w:val="14"/>
              </w:rPr>
            </w:pPr>
            <w:r w:rsidRPr="00E82C5A">
              <w:rPr>
                <w:sz w:val="14"/>
                <w:szCs w:val="14"/>
              </w:rPr>
              <w:t>2001</w:t>
            </w:r>
          </w:p>
        </w:tc>
        <w:tc>
          <w:tcPr>
            <w:tcW w:w="246" w:type="pct"/>
            <w:tcBorders>
              <w:top w:val="nil"/>
              <w:left w:val="nil"/>
              <w:bottom w:val="single" w:sz="4" w:space="0" w:color="auto"/>
              <w:right w:val="single" w:sz="4" w:space="0" w:color="auto"/>
            </w:tcBorders>
            <w:shd w:val="clear" w:color="auto" w:fill="auto"/>
            <w:vAlign w:val="center"/>
            <w:hideMark/>
          </w:tcPr>
          <w:p w14:paraId="5F60DBCF" w14:textId="77777777" w:rsidR="00215C71" w:rsidRPr="00E82C5A" w:rsidRDefault="00215C71" w:rsidP="00215C71">
            <w:pPr>
              <w:jc w:val="right"/>
              <w:rPr>
                <w:sz w:val="14"/>
                <w:szCs w:val="14"/>
              </w:rPr>
            </w:pPr>
            <w:r w:rsidRPr="00E82C5A">
              <w:rPr>
                <w:sz w:val="14"/>
                <w:szCs w:val="14"/>
              </w:rPr>
              <w:t>975</w:t>
            </w:r>
          </w:p>
        </w:tc>
        <w:tc>
          <w:tcPr>
            <w:tcW w:w="304" w:type="pct"/>
            <w:tcBorders>
              <w:top w:val="nil"/>
              <w:left w:val="nil"/>
              <w:bottom w:val="single" w:sz="4" w:space="0" w:color="auto"/>
              <w:right w:val="single" w:sz="4" w:space="0" w:color="auto"/>
            </w:tcBorders>
            <w:shd w:val="clear" w:color="auto" w:fill="auto"/>
            <w:vAlign w:val="center"/>
            <w:hideMark/>
          </w:tcPr>
          <w:p w14:paraId="21DD7B27"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48CA50AC" w14:textId="4823775E"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1485B798" w14:textId="77777777" w:rsidR="00215C71" w:rsidRPr="00E82C5A" w:rsidRDefault="00215C71" w:rsidP="00215C71">
            <w:pPr>
              <w:jc w:val="right"/>
              <w:rPr>
                <w:sz w:val="14"/>
                <w:szCs w:val="14"/>
              </w:rPr>
            </w:pPr>
            <w:r w:rsidRPr="00E82C5A">
              <w:rPr>
                <w:sz w:val="14"/>
                <w:szCs w:val="14"/>
              </w:rPr>
              <w:t>0</w:t>
            </w:r>
          </w:p>
        </w:tc>
        <w:tc>
          <w:tcPr>
            <w:tcW w:w="304" w:type="pct"/>
            <w:tcBorders>
              <w:top w:val="nil"/>
              <w:left w:val="nil"/>
              <w:bottom w:val="single" w:sz="4" w:space="0" w:color="auto"/>
              <w:right w:val="single" w:sz="4" w:space="0" w:color="auto"/>
            </w:tcBorders>
            <w:shd w:val="clear" w:color="auto" w:fill="auto"/>
            <w:vAlign w:val="center"/>
            <w:hideMark/>
          </w:tcPr>
          <w:p w14:paraId="68E10547"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1B946470" w14:textId="28BD5FFE" w:rsidR="00215C71" w:rsidRPr="00E82C5A" w:rsidRDefault="00215C71" w:rsidP="00215C71">
            <w:pPr>
              <w:jc w:val="right"/>
              <w:rPr>
                <w:sz w:val="14"/>
                <w:szCs w:val="14"/>
              </w:rPr>
            </w:pPr>
            <w:r w:rsidRPr="00E82C5A">
              <w:rPr>
                <w:sz w:val="14"/>
                <w:szCs w:val="14"/>
              </w:rPr>
              <w:t>5370</w:t>
            </w:r>
          </w:p>
        </w:tc>
        <w:tc>
          <w:tcPr>
            <w:tcW w:w="246" w:type="pct"/>
            <w:tcBorders>
              <w:top w:val="nil"/>
              <w:left w:val="nil"/>
              <w:bottom w:val="single" w:sz="4" w:space="0" w:color="auto"/>
              <w:right w:val="single" w:sz="4" w:space="0" w:color="auto"/>
            </w:tcBorders>
            <w:shd w:val="clear" w:color="auto" w:fill="auto"/>
            <w:vAlign w:val="center"/>
            <w:hideMark/>
          </w:tcPr>
          <w:p w14:paraId="26DDE8E4" w14:textId="77777777" w:rsidR="00215C71" w:rsidRPr="00E82C5A" w:rsidRDefault="00215C71" w:rsidP="00215C71">
            <w:pPr>
              <w:jc w:val="right"/>
              <w:rPr>
                <w:sz w:val="14"/>
                <w:szCs w:val="14"/>
              </w:rPr>
            </w:pPr>
            <w:r w:rsidRPr="00E82C5A">
              <w:rPr>
                <w:sz w:val="14"/>
                <w:szCs w:val="14"/>
              </w:rPr>
              <w:t>2 921</w:t>
            </w:r>
          </w:p>
        </w:tc>
        <w:tc>
          <w:tcPr>
            <w:tcW w:w="304" w:type="pct"/>
            <w:tcBorders>
              <w:top w:val="nil"/>
              <w:left w:val="nil"/>
              <w:bottom w:val="single" w:sz="4" w:space="0" w:color="auto"/>
              <w:right w:val="single" w:sz="4" w:space="0" w:color="auto"/>
            </w:tcBorders>
            <w:shd w:val="clear" w:color="auto" w:fill="auto"/>
            <w:vAlign w:val="center"/>
            <w:hideMark/>
          </w:tcPr>
          <w:p w14:paraId="2A3C4241"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64C67FC4" w14:textId="03EBBFF5" w:rsidR="00215C71" w:rsidRPr="00E82C5A" w:rsidRDefault="00215C71" w:rsidP="00215C71">
            <w:pPr>
              <w:jc w:val="right"/>
              <w:rPr>
                <w:sz w:val="14"/>
                <w:szCs w:val="14"/>
              </w:rPr>
            </w:pPr>
            <w:r w:rsidRPr="00E82C5A">
              <w:rPr>
                <w:sz w:val="14"/>
                <w:szCs w:val="14"/>
              </w:rPr>
              <w:t>25</w:t>
            </w:r>
          </w:p>
        </w:tc>
        <w:tc>
          <w:tcPr>
            <w:tcW w:w="246" w:type="pct"/>
            <w:tcBorders>
              <w:top w:val="nil"/>
              <w:left w:val="nil"/>
              <w:bottom w:val="single" w:sz="4" w:space="0" w:color="auto"/>
              <w:right w:val="single" w:sz="4" w:space="0" w:color="auto"/>
            </w:tcBorders>
            <w:shd w:val="clear" w:color="auto" w:fill="auto"/>
            <w:vAlign w:val="center"/>
            <w:hideMark/>
          </w:tcPr>
          <w:p w14:paraId="2E207F56" w14:textId="77777777" w:rsidR="00215C71" w:rsidRPr="00E82C5A" w:rsidRDefault="00215C71" w:rsidP="00215C71">
            <w:pPr>
              <w:jc w:val="right"/>
              <w:rPr>
                <w:sz w:val="14"/>
                <w:szCs w:val="14"/>
              </w:rPr>
            </w:pPr>
            <w:r w:rsidRPr="00E82C5A">
              <w:rPr>
                <w:sz w:val="14"/>
                <w:szCs w:val="14"/>
              </w:rPr>
              <w:t>0</w:t>
            </w:r>
          </w:p>
        </w:tc>
        <w:tc>
          <w:tcPr>
            <w:tcW w:w="104" w:type="pct"/>
            <w:vAlign w:val="center"/>
            <w:hideMark/>
          </w:tcPr>
          <w:p w14:paraId="2FC1C6C2" w14:textId="77777777" w:rsidR="00215C71" w:rsidRDefault="00215C71" w:rsidP="00215C71">
            <w:pPr>
              <w:rPr>
                <w:sz w:val="20"/>
                <w:szCs w:val="20"/>
              </w:rPr>
            </w:pPr>
          </w:p>
        </w:tc>
      </w:tr>
      <w:tr w:rsidR="00215C71" w14:paraId="4D210BA5"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77302F51" w14:textId="77777777" w:rsidR="00215C71" w:rsidRDefault="00215C71" w:rsidP="00215C71">
            <w:pPr>
              <w:rPr>
                <w:color w:val="000000"/>
                <w:sz w:val="14"/>
                <w:szCs w:val="14"/>
              </w:rPr>
            </w:pPr>
            <w:r>
              <w:rPr>
                <w:color w:val="000000"/>
                <w:sz w:val="14"/>
                <w:szCs w:val="14"/>
              </w:rPr>
              <w:t>София-град</w:t>
            </w:r>
          </w:p>
        </w:tc>
        <w:tc>
          <w:tcPr>
            <w:tcW w:w="304" w:type="pct"/>
            <w:tcBorders>
              <w:top w:val="nil"/>
              <w:left w:val="nil"/>
              <w:bottom w:val="single" w:sz="4" w:space="0" w:color="auto"/>
              <w:right w:val="single" w:sz="4" w:space="0" w:color="auto"/>
            </w:tcBorders>
            <w:shd w:val="clear" w:color="auto" w:fill="auto"/>
            <w:vAlign w:val="center"/>
            <w:hideMark/>
          </w:tcPr>
          <w:p w14:paraId="0E941F7B"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63885845" w14:textId="59A350BD" w:rsidR="00215C71" w:rsidRPr="00E82C5A" w:rsidRDefault="00215C71" w:rsidP="00215C71">
            <w:pPr>
              <w:jc w:val="right"/>
              <w:rPr>
                <w:sz w:val="14"/>
                <w:szCs w:val="14"/>
              </w:rPr>
            </w:pPr>
            <w:r w:rsidRPr="00E82C5A">
              <w:rPr>
                <w:sz w:val="14"/>
                <w:szCs w:val="14"/>
              </w:rPr>
              <w:t>759</w:t>
            </w:r>
          </w:p>
        </w:tc>
        <w:tc>
          <w:tcPr>
            <w:tcW w:w="246" w:type="pct"/>
            <w:tcBorders>
              <w:top w:val="nil"/>
              <w:left w:val="nil"/>
              <w:bottom w:val="single" w:sz="4" w:space="0" w:color="auto"/>
              <w:right w:val="single" w:sz="4" w:space="0" w:color="auto"/>
            </w:tcBorders>
            <w:shd w:val="clear" w:color="auto" w:fill="auto"/>
            <w:vAlign w:val="center"/>
            <w:hideMark/>
          </w:tcPr>
          <w:p w14:paraId="00AF3DD1" w14:textId="77777777" w:rsidR="00215C71" w:rsidRPr="00E82C5A" w:rsidRDefault="00215C71" w:rsidP="00215C71">
            <w:pPr>
              <w:jc w:val="right"/>
              <w:rPr>
                <w:sz w:val="14"/>
                <w:szCs w:val="14"/>
              </w:rPr>
            </w:pPr>
            <w:r w:rsidRPr="00E82C5A">
              <w:rPr>
                <w:sz w:val="14"/>
                <w:szCs w:val="14"/>
              </w:rPr>
              <w:t>759</w:t>
            </w:r>
          </w:p>
        </w:tc>
        <w:tc>
          <w:tcPr>
            <w:tcW w:w="304" w:type="pct"/>
            <w:tcBorders>
              <w:top w:val="nil"/>
              <w:left w:val="nil"/>
              <w:bottom w:val="single" w:sz="4" w:space="0" w:color="auto"/>
              <w:right w:val="single" w:sz="4" w:space="0" w:color="auto"/>
            </w:tcBorders>
            <w:shd w:val="clear" w:color="auto" w:fill="auto"/>
            <w:vAlign w:val="center"/>
            <w:hideMark/>
          </w:tcPr>
          <w:p w14:paraId="5DE319DF"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6C645A86" w14:textId="736470F0" w:rsidR="00215C71" w:rsidRPr="00E82C5A" w:rsidRDefault="00215C71" w:rsidP="00215C71">
            <w:pPr>
              <w:jc w:val="right"/>
              <w:rPr>
                <w:sz w:val="14"/>
                <w:szCs w:val="14"/>
              </w:rPr>
            </w:pPr>
            <w:r w:rsidRPr="00E82C5A">
              <w:rPr>
                <w:sz w:val="14"/>
                <w:szCs w:val="14"/>
              </w:rPr>
              <w:t>805</w:t>
            </w:r>
          </w:p>
        </w:tc>
        <w:tc>
          <w:tcPr>
            <w:tcW w:w="246" w:type="pct"/>
            <w:tcBorders>
              <w:top w:val="nil"/>
              <w:left w:val="nil"/>
              <w:bottom w:val="single" w:sz="4" w:space="0" w:color="auto"/>
              <w:right w:val="single" w:sz="4" w:space="0" w:color="auto"/>
            </w:tcBorders>
            <w:shd w:val="clear" w:color="auto" w:fill="auto"/>
            <w:vAlign w:val="center"/>
            <w:hideMark/>
          </w:tcPr>
          <w:p w14:paraId="60F1BC2A" w14:textId="77777777" w:rsidR="00215C71" w:rsidRPr="00E82C5A" w:rsidRDefault="00215C71" w:rsidP="00215C71">
            <w:pPr>
              <w:jc w:val="right"/>
              <w:rPr>
                <w:sz w:val="14"/>
                <w:szCs w:val="14"/>
              </w:rPr>
            </w:pPr>
            <w:r w:rsidRPr="00E82C5A">
              <w:rPr>
                <w:sz w:val="14"/>
                <w:szCs w:val="14"/>
              </w:rPr>
              <w:t>520</w:t>
            </w:r>
          </w:p>
        </w:tc>
        <w:tc>
          <w:tcPr>
            <w:tcW w:w="304" w:type="pct"/>
            <w:tcBorders>
              <w:top w:val="nil"/>
              <w:left w:val="nil"/>
              <w:bottom w:val="single" w:sz="4" w:space="0" w:color="auto"/>
              <w:right w:val="single" w:sz="4" w:space="0" w:color="auto"/>
            </w:tcBorders>
            <w:shd w:val="clear" w:color="auto" w:fill="auto"/>
            <w:vAlign w:val="center"/>
            <w:hideMark/>
          </w:tcPr>
          <w:p w14:paraId="34CC9045"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26C767F5" w14:textId="124259E4"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4AEBE105" w14:textId="77777777" w:rsidR="00215C71" w:rsidRPr="00E82C5A" w:rsidRDefault="00215C71" w:rsidP="00215C71">
            <w:pPr>
              <w:jc w:val="right"/>
              <w:rPr>
                <w:sz w:val="14"/>
                <w:szCs w:val="14"/>
              </w:rPr>
            </w:pPr>
            <w:r w:rsidRPr="00E82C5A">
              <w:rPr>
                <w:sz w:val="14"/>
                <w:szCs w:val="14"/>
              </w:rPr>
              <w:t>0</w:t>
            </w:r>
          </w:p>
        </w:tc>
        <w:tc>
          <w:tcPr>
            <w:tcW w:w="304" w:type="pct"/>
            <w:tcBorders>
              <w:top w:val="nil"/>
              <w:left w:val="nil"/>
              <w:bottom w:val="single" w:sz="4" w:space="0" w:color="auto"/>
              <w:right w:val="single" w:sz="4" w:space="0" w:color="auto"/>
            </w:tcBorders>
            <w:shd w:val="clear" w:color="auto" w:fill="auto"/>
            <w:vAlign w:val="center"/>
            <w:hideMark/>
          </w:tcPr>
          <w:p w14:paraId="56244D70"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49BBAC9C" w14:textId="3692150E" w:rsidR="00215C71" w:rsidRPr="00E82C5A" w:rsidRDefault="00215C71" w:rsidP="00215C71">
            <w:pPr>
              <w:jc w:val="right"/>
              <w:rPr>
                <w:sz w:val="14"/>
                <w:szCs w:val="14"/>
              </w:rPr>
            </w:pPr>
            <w:r w:rsidRPr="00E82C5A">
              <w:rPr>
                <w:sz w:val="14"/>
                <w:szCs w:val="14"/>
              </w:rPr>
              <w:t>10500</w:t>
            </w:r>
          </w:p>
        </w:tc>
        <w:tc>
          <w:tcPr>
            <w:tcW w:w="246" w:type="pct"/>
            <w:tcBorders>
              <w:top w:val="nil"/>
              <w:left w:val="nil"/>
              <w:bottom w:val="single" w:sz="4" w:space="0" w:color="auto"/>
              <w:right w:val="single" w:sz="4" w:space="0" w:color="auto"/>
            </w:tcBorders>
            <w:shd w:val="clear" w:color="auto" w:fill="auto"/>
            <w:vAlign w:val="center"/>
            <w:hideMark/>
          </w:tcPr>
          <w:p w14:paraId="3FD9BE3B" w14:textId="77777777" w:rsidR="00215C71" w:rsidRPr="00E82C5A" w:rsidRDefault="00215C71" w:rsidP="00215C71">
            <w:pPr>
              <w:jc w:val="right"/>
              <w:rPr>
                <w:sz w:val="14"/>
                <w:szCs w:val="14"/>
              </w:rPr>
            </w:pPr>
            <w:r w:rsidRPr="00E82C5A">
              <w:rPr>
                <w:sz w:val="14"/>
                <w:szCs w:val="14"/>
              </w:rPr>
              <w:t>4 174</w:t>
            </w:r>
          </w:p>
        </w:tc>
        <w:tc>
          <w:tcPr>
            <w:tcW w:w="304" w:type="pct"/>
            <w:tcBorders>
              <w:top w:val="nil"/>
              <w:left w:val="nil"/>
              <w:bottom w:val="single" w:sz="4" w:space="0" w:color="auto"/>
              <w:right w:val="single" w:sz="4" w:space="0" w:color="auto"/>
            </w:tcBorders>
            <w:shd w:val="clear" w:color="auto" w:fill="auto"/>
            <w:vAlign w:val="center"/>
            <w:hideMark/>
          </w:tcPr>
          <w:p w14:paraId="1F63A3F2"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4C952B78" w14:textId="739FD135" w:rsidR="00215C71" w:rsidRPr="00E82C5A" w:rsidRDefault="00215C71" w:rsidP="00215C71">
            <w:pPr>
              <w:jc w:val="right"/>
              <w:rPr>
                <w:sz w:val="14"/>
                <w:szCs w:val="14"/>
              </w:rPr>
            </w:pPr>
            <w:r w:rsidRPr="00E82C5A">
              <w:rPr>
                <w:sz w:val="14"/>
                <w:szCs w:val="14"/>
              </w:rPr>
              <w:t>3</w:t>
            </w:r>
          </w:p>
        </w:tc>
        <w:tc>
          <w:tcPr>
            <w:tcW w:w="246" w:type="pct"/>
            <w:tcBorders>
              <w:top w:val="nil"/>
              <w:left w:val="nil"/>
              <w:bottom w:val="single" w:sz="4" w:space="0" w:color="auto"/>
              <w:right w:val="single" w:sz="4" w:space="0" w:color="auto"/>
            </w:tcBorders>
            <w:shd w:val="clear" w:color="auto" w:fill="auto"/>
            <w:vAlign w:val="center"/>
            <w:hideMark/>
          </w:tcPr>
          <w:p w14:paraId="11B1690C" w14:textId="77777777" w:rsidR="00215C71" w:rsidRPr="00E82C5A" w:rsidRDefault="00215C71" w:rsidP="00215C71">
            <w:pPr>
              <w:jc w:val="right"/>
              <w:rPr>
                <w:sz w:val="14"/>
                <w:szCs w:val="14"/>
              </w:rPr>
            </w:pPr>
            <w:r w:rsidRPr="00E82C5A">
              <w:rPr>
                <w:sz w:val="14"/>
                <w:szCs w:val="14"/>
              </w:rPr>
              <w:t>2</w:t>
            </w:r>
          </w:p>
        </w:tc>
        <w:tc>
          <w:tcPr>
            <w:tcW w:w="104" w:type="pct"/>
            <w:vAlign w:val="center"/>
            <w:hideMark/>
          </w:tcPr>
          <w:p w14:paraId="5E17ABA7" w14:textId="77777777" w:rsidR="00215C71" w:rsidRDefault="00215C71" w:rsidP="00215C71">
            <w:pPr>
              <w:rPr>
                <w:sz w:val="20"/>
                <w:szCs w:val="20"/>
              </w:rPr>
            </w:pPr>
          </w:p>
        </w:tc>
      </w:tr>
      <w:tr w:rsidR="00215C71" w14:paraId="666F7A57"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07C89AF4" w14:textId="77777777" w:rsidR="00215C71" w:rsidRDefault="00215C71" w:rsidP="00215C71">
            <w:pPr>
              <w:rPr>
                <w:color w:val="000000"/>
                <w:sz w:val="14"/>
                <w:szCs w:val="14"/>
              </w:rPr>
            </w:pPr>
            <w:r>
              <w:rPr>
                <w:color w:val="000000"/>
                <w:sz w:val="14"/>
                <w:szCs w:val="14"/>
              </w:rPr>
              <w:t>София-област</w:t>
            </w:r>
          </w:p>
        </w:tc>
        <w:tc>
          <w:tcPr>
            <w:tcW w:w="304" w:type="pct"/>
            <w:tcBorders>
              <w:top w:val="nil"/>
              <w:left w:val="nil"/>
              <w:bottom w:val="single" w:sz="4" w:space="0" w:color="auto"/>
              <w:right w:val="single" w:sz="4" w:space="0" w:color="auto"/>
            </w:tcBorders>
            <w:shd w:val="clear" w:color="auto" w:fill="auto"/>
            <w:vAlign w:val="center"/>
            <w:hideMark/>
          </w:tcPr>
          <w:p w14:paraId="35ED263C"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65E089FC" w14:textId="37DE5812" w:rsidR="00215C71" w:rsidRPr="00E82C5A" w:rsidRDefault="00215C71" w:rsidP="00215C71">
            <w:pPr>
              <w:jc w:val="right"/>
              <w:rPr>
                <w:sz w:val="14"/>
                <w:szCs w:val="14"/>
              </w:rPr>
            </w:pPr>
            <w:r w:rsidRPr="00E82C5A">
              <w:rPr>
                <w:sz w:val="14"/>
                <w:szCs w:val="14"/>
              </w:rPr>
              <w:t>40</w:t>
            </w:r>
          </w:p>
        </w:tc>
        <w:tc>
          <w:tcPr>
            <w:tcW w:w="246" w:type="pct"/>
            <w:tcBorders>
              <w:top w:val="nil"/>
              <w:left w:val="nil"/>
              <w:bottom w:val="single" w:sz="4" w:space="0" w:color="auto"/>
              <w:right w:val="single" w:sz="4" w:space="0" w:color="auto"/>
            </w:tcBorders>
            <w:shd w:val="clear" w:color="auto" w:fill="auto"/>
            <w:vAlign w:val="center"/>
            <w:hideMark/>
          </w:tcPr>
          <w:p w14:paraId="721A7F9B" w14:textId="77777777" w:rsidR="00215C71" w:rsidRPr="00E82C5A" w:rsidRDefault="00215C71" w:rsidP="00215C71">
            <w:pPr>
              <w:jc w:val="right"/>
              <w:rPr>
                <w:sz w:val="14"/>
                <w:szCs w:val="14"/>
              </w:rPr>
            </w:pPr>
            <w:r w:rsidRPr="00E82C5A">
              <w:rPr>
                <w:sz w:val="14"/>
                <w:szCs w:val="14"/>
              </w:rPr>
              <w:t>18</w:t>
            </w:r>
          </w:p>
        </w:tc>
        <w:tc>
          <w:tcPr>
            <w:tcW w:w="304" w:type="pct"/>
            <w:tcBorders>
              <w:top w:val="nil"/>
              <w:left w:val="nil"/>
              <w:bottom w:val="single" w:sz="4" w:space="0" w:color="auto"/>
              <w:right w:val="single" w:sz="4" w:space="0" w:color="auto"/>
            </w:tcBorders>
            <w:shd w:val="clear" w:color="auto" w:fill="auto"/>
            <w:vAlign w:val="center"/>
            <w:hideMark/>
          </w:tcPr>
          <w:p w14:paraId="7D9E4F32"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3D5134F7" w14:textId="0D72633D" w:rsidR="00215C71" w:rsidRPr="00E82C5A" w:rsidRDefault="00215C71" w:rsidP="00215C71">
            <w:pPr>
              <w:jc w:val="right"/>
              <w:rPr>
                <w:sz w:val="14"/>
                <w:szCs w:val="14"/>
              </w:rPr>
            </w:pPr>
            <w:r w:rsidRPr="00E82C5A">
              <w:rPr>
                <w:sz w:val="14"/>
                <w:szCs w:val="14"/>
              </w:rPr>
              <w:t>4525</w:t>
            </w:r>
          </w:p>
        </w:tc>
        <w:tc>
          <w:tcPr>
            <w:tcW w:w="246" w:type="pct"/>
            <w:tcBorders>
              <w:top w:val="nil"/>
              <w:left w:val="nil"/>
              <w:bottom w:val="single" w:sz="4" w:space="0" w:color="auto"/>
              <w:right w:val="single" w:sz="4" w:space="0" w:color="auto"/>
            </w:tcBorders>
            <w:shd w:val="clear" w:color="auto" w:fill="auto"/>
            <w:vAlign w:val="center"/>
            <w:hideMark/>
          </w:tcPr>
          <w:p w14:paraId="6F69AEAF" w14:textId="77777777" w:rsidR="00215C71" w:rsidRPr="00E82C5A" w:rsidRDefault="00215C71" w:rsidP="00215C71">
            <w:pPr>
              <w:jc w:val="right"/>
              <w:rPr>
                <w:sz w:val="14"/>
                <w:szCs w:val="14"/>
              </w:rPr>
            </w:pPr>
            <w:r w:rsidRPr="00E82C5A">
              <w:rPr>
                <w:sz w:val="14"/>
                <w:szCs w:val="14"/>
              </w:rPr>
              <w:t>2 323</w:t>
            </w:r>
          </w:p>
        </w:tc>
        <w:tc>
          <w:tcPr>
            <w:tcW w:w="304" w:type="pct"/>
            <w:tcBorders>
              <w:top w:val="nil"/>
              <w:left w:val="nil"/>
              <w:bottom w:val="single" w:sz="4" w:space="0" w:color="auto"/>
              <w:right w:val="single" w:sz="4" w:space="0" w:color="auto"/>
            </w:tcBorders>
            <w:shd w:val="clear" w:color="auto" w:fill="auto"/>
            <w:vAlign w:val="center"/>
            <w:hideMark/>
          </w:tcPr>
          <w:p w14:paraId="445F704D"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1C641636" w14:textId="2AD43282"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46B4E019" w14:textId="77777777" w:rsidR="00215C71" w:rsidRPr="00E82C5A" w:rsidRDefault="00215C71" w:rsidP="00215C71">
            <w:pPr>
              <w:jc w:val="right"/>
              <w:rPr>
                <w:sz w:val="14"/>
                <w:szCs w:val="14"/>
              </w:rPr>
            </w:pPr>
            <w:r w:rsidRPr="00E82C5A">
              <w:rPr>
                <w:sz w:val="14"/>
                <w:szCs w:val="14"/>
              </w:rPr>
              <w:t>100</w:t>
            </w:r>
          </w:p>
        </w:tc>
        <w:tc>
          <w:tcPr>
            <w:tcW w:w="304" w:type="pct"/>
            <w:tcBorders>
              <w:top w:val="nil"/>
              <w:left w:val="nil"/>
              <w:bottom w:val="single" w:sz="4" w:space="0" w:color="auto"/>
              <w:right w:val="single" w:sz="4" w:space="0" w:color="auto"/>
            </w:tcBorders>
            <w:shd w:val="clear" w:color="auto" w:fill="auto"/>
            <w:vAlign w:val="center"/>
            <w:hideMark/>
          </w:tcPr>
          <w:p w14:paraId="2405E7B1"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11962528" w14:textId="03A9C930" w:rsidR="00215C71" w:rsidRPr="00E82C5A" w:rsidRDefault="00215C71" w:rsidP="00215C71">
            <w:pPr>
              <w:jc w:val="right"/>
              <w:rPr>
                <w:sz w:val="14"/>
                <w:szCs w:val="14"/>
              </w:rPr>
            </w:pPr>
            <w:r w:rsidRPr="00E82C5A">
              <w:rPr>
                <w:sz w:val="14"/>
                <w:szCs w:val="14"/>
              </w:rPr>
              <w:t>7000</w:t>
            </w:r>
          </w:p>
        </w:tc>
        <w:tc>
          <w:tcPr>
            <w:tcW w:w="246" w:type="pct"/>
            <w:tcBorders>
              <w:top w:val="nil"/>
              <w:left w:val="nil"/>
              <w:bottom w:val="single" w:sz="4" w:space="0" w:color="auto"/>
              <w:right w:val="single" w:sz="4" w:space="0" w:color="auto"/>
            </w:tcBorders>
            <w:shd w:val="clear" w:color="auto" w:fill="auto"/>
            <w:vAlign w:val="center"/>
            <w:hideMark/>
          </w:tcPr>
          <w:p w14:paraId="481C1751" w14:textId="77777777" w:rsidR="00215C71" w:rsidRPr="00E82C5A" w:rsidRDefault="00215C71" w:rsidP="00215C71">
            <w:pPr>
              <w:jc w:val="right"/>
              <w:rPr>
                <w:sz w:val="14"/>
                <w:szCs w:val="14"/>
              </w:rPr>
            </w:pPr>
            <w:r w:rsidRPr="00E82C5A">
              <w:rPr>
                <w:sz w:val="14"/>
                <w:szCs w:val="14"/>
              </w:rPr>
              <w:t>5 642</w:t>
            </w:r>
          </w:p>
        </w:tc>
        <w:tc>
          <w:tcPr>
            <w:tcW w:w="304" w:type="pct"/>
            <w:tcBorders>
              <w:top w:val="nil"/>
              <w:left w:val="nil"/>
              <w:bottom w:val="single" w:sz="4" w:space="0" w:color="auto"/>
              <w:right w:val="single" w:sz="4" w:space="0" w:color="auto"/>
            </w:tcBorders>
            <w:shd w:val="clear" w:color="auto" w:fill="auto"/>
            <w:vAlign w:val="center"/>
            <w:hideMark/>
          </w:tcPr>
          <w:p w14:paraId="78B76992"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2F59FC81" w14:textId="3DCD13C7" w:rsidR="00215C71" w:rsidRPr="00E82C5A" w:rsidRDefault="00215C71" w:rsidP="00215C71">
            <w:pPr>
              <w:jc w:val="right"/>
              <w:rPr>
                <w:sz w:val="14"/>
                <w:szCs w:val="14"/>
              </w:rPr>
            </w:pPr>
            <w:r w:rsidRPr="00E82C5A">
              <w:rPr>
                <w:sz w:val="14"/>
                <w:szCs w:val="14"/>
              </w:rPr>
              <w:t>65</w:t>
            </w:r>
          </w:p>
        </w:tc>
        <w:tc>
          <w:tcPr>
            <w:tcW w:w="246" w:type="pct"/>
            <w:tcBorders>
              <w:top w:val="nil"/>
              <w:left w:val="nil"/>
              <w:bottom w:val="single" w:sz="4" w:space="0" w:color="auto"/>
              <w:right w:val="single" w:sz="4" w:space="0" w:color="auto"/>
            </w:tcBorders>
            <w:shd w:val="clear" w:color="auto" w:fill="auto"/>
            <w:vAlign w:val="center"/>
            <w:hideMark/>
          </w:tcPr>
          <w:p w14:paraId="2A389B16" w14:textId="77777777" w:rsidR="00215C71" w:rsidRPr="00E82C5A" w:rsidRDefault="00215C71" w:rsidP="00215C71">
            <w:pPr>
              <w:jc w:val="right"/>
              <w:rPr>
                <w:sz w:val="14"/>
                <w:szCs w:val="14"/>
              </w:rPr>
            </w:pPr>
            <w:r w:rsidRPr="00E82C5A">
              <w:rPr>
                <w:sz w:val="14"/>
                <w:szCs w:val="14"/>
              </w:rPr>
              <w:t>0</w:t>
            </w:r>
          </w:p>
        </w:tc>
        <w:tc>
          <w:tcPr>
            <w:tcW w:w="104" w:type="pct"/>
            <w:vAlign w:val="center"/>
            <w:hideMark/>
          </w:tcPr>
          <w:p w14:paraId="58A253A3" w14:textId="77777777" w:rsidR="00215C71" w:rsidRDefault="00215C71" w:rsidP="00215C71">
            <w:pPr>
              <w:rPr>
                <w:sz w:val="20"/>
                <w:szCs w:val="20"/>
              </w:rPr>
            </w:pPr>
          </w:p>
        </w:tc>
      </w:tr>
      <w:tr w:rsidR="00215C71" w14:paraId="0D395B91"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5DB54B8C" w14:textId="77777777" w:rsidR="00215C71" w:rsidRDefault="00215C71" w:rsidP="00215C71">
            <w:pPr>
              <w:rPr>
                <w:color w:val="000000"/>
                <w:sz w:val="14"/>
                <w:szCs w:val="14"/>
              </w:rPr>
            </w:pPr>
            <w:r>
              <w:rPr>
                <w:color w:val="000000"/>
                <w:sz w:val="14"/>
                <w:szCs w:val="14"/>
              </w:rPr>
              <w:t>Стара Загора</w:t>
            </w:r>
          </w:p>
        </w:tc>
        <w:tc>
          <w:tcPr>
            <w:tcW w:w="304" w:type="pct"/>
            <w:tcBorders>
              <w:top w:val="nil"/>
              <w:left w:val="nil"/>
              <w:bottom w:val="single" w:sz="4" w:space="0" w:color="auto"/>
              <w:right w:val="single" w:sz="4" w:space="0" w:color="auto"/>
            </w:tcBorders>
            <w:shd w:val="clear" w:color="auto" w:fill="auto"/>
            <w:vAlign w:val="center"/>
            <w:hideMark/>
          </w:tcPr>
          <w:p w14:paraId="0F2021F0"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5EC2B320" w14:textId="6A569772" w:rsidR="00215C71" w:rsidRPr="00E82C5A" w:rsidRDefault="00215C71" w:rsidP="00215C71">
            <w:pPr>
              <w:jc w:val="right"/>
              <w:rPr>
                <w:sz w:val="14"/>
                <w:szCs w:val="14"/>
              </w:rPr>
            </w:pPr>
            <w:r w:rsidRPr="00E82C5A">
              <w:rPr>
                <w:sz w:val="14"/>
                <w:szCs w:val="14"/>
              </w:rPr>
              <w:t>155</w:t>
            </w:r>
          </w:p>
        </w:tc>
        <w:tc>
          <w:tcPr>
            <w:tcW w:w="246" w:type="pct"/>
            <w:tcBorders>
              <w:top w:val="nil"/>
              <w:left w:val="nil"/>
              <w:bottom w:val="single" w:sz="4" w:space="0" w:color="auto"/>
              <w:right w:val="single" w:sz="4" w:space="0" w:color="auto"/>
            </w:tcBorders>
            <w:shd w:val="clear" w:color="auto" w:fill="auto"/>
            <w:vAlign w:val="center"/>
            <w:hideMark/>
          </w:tcPr>
          <w:p w14:paraId="6E5EC2A4" w14:textId="77777777" w:rsidR="00215C71" w:rsidRPr="00E82C5A" w:rsidRDefault="00215C71" w:rsidP="00215C71">
            <w:pPr>
              <w:jc w:val="right"/>
              <w:rPr>
                <w:sz w:val="14"/>
                <w:szCs w:val="14"/>
              </w:rPr>
            </w:pPr>
            <w:r w:rsidRPr="00E82C5A">
              <w:rPr>
                <w:sz w:val="14"/>
                <w:szCs w:val="14"/>
              </w:rPr>
              <w:t>145</w:t>
            </w:r>
          </w:p>
        </w:tc>
        <w:tc>
          <w:tcPr>
            <w:tcW w:w="304" w:type="pct"/>
            <w:tcBorders>
              <w:top w:val="nil"/>
              <w:left w:val="nil"/>
              <w:bottom w:val="single" w:sz="4" w:space="0" w:color="auto"/>
              <w:right w:val="single" w:sz="4" w:space="0" w:color="auto"/>
            </w:tcBorders>
            <w:shd w:val="clear" w:color="auto" w:fill="auto"/>
            <w:vAlign w:val="center"/>
            <w:hideMark/>
          </w:tcPr>
          <w:p w14:paraId="445DFC9F"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64B14117" w14:textId="0FFEC837" w:rsidR="00215C71" w:rsidRPr="00E82C5A" w:rsidRDefault="00215C71" w:rsidP="00215C71">
            <w:pPr>
              <w:jc w:val="right"/>
              <w:rPr>
                <w:sz w:val="14"/>
                <w:szCs w:val="14"/>
              </w:rPr>
            </w:pPr>
            <w:r w:rsidRPr="00E82C5A">
              <w:rPr>
                <w:sz w:val="14"/>
                <w:szCs w:val="14"/>
              </w:rPr>
              <w:t>2401</w:t>
            </w:r>
          </w:p>
        </w:tc>
        <w:tc>
          <w:tcPr>
            <w:tcW w:w="246" w:type="pct"/>
            <w:tcBorders>
              <w:top w:val="nil"/>
              <w:left w:val="nil"/>
              <w:bottom w:val="single" w:sz="4" w:space="0" w:color="auto"/>
              <w:right w:val="single" w:sz="4" w:space="0" w:color="auto"/>
            </w:tcBorders>
            <w:shd w:val="clear" w:color="auto" w:fill="auto"/>
            <w:vAlign w:val="center"/>
            <w:hideMark/>
          </w:tcPr>
          <w:p w14:paraId="7F1B0DAE" w14:textId="77777777" w:rsidR="00215C71" w:rsidRPr="00E82C5A" w:rsidRDefault="00215C71" w:rsidP="00215C71">
            <w:pPr>
              <w:jc w:val="right"/>
              <w:rPr>
                <w:sz w:val="14"/>
                <w:szCs w:val="14"/>
              </w:rPr>
            </w:pPr>
            <w:r w:rsidRPr="00E82C5A">
              <w:rPr>
                <w:sz w:val="14"/>
                <w:szCs w:val="14"/>
              </w:rPr>
              <w:t>1 290</w:t>
            </w:r>
          </w:p>
        </w:tc>
        <w:tc>
          <w:tcPr>
            <w:tcW w:w="304" w:type="pct"/>
            <w:tcBorders>
              <w:top w:val="nil"/>
              <w:left w:val="nil"/>
              <w:bottom w:val="single" w:sz="4" w:space="0" w:color="auto"/>
              <w:right w:val="single" w:sz="4" w:space="0" w:color="auto"/>
            </w:tcBorders>
            <w:shd w:val="clear" w:color="auto" w:fill="auto"/>
            <w:vAlign w:val="center"/>
            <w:hideMark/>
          </w:tcPr>
          <w:p w14:paraId="4BE8D5DB"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3E60FFF6" w14:textId="55E6AF67"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2A484C32" w14:textId="77777777" w:rsidR="00215C71" w:rsidRPr="00E82C5A" w:rsidRDefault="00215C71" w:rsidP="00215C71">
            <w:pPr>
              <w:jc w:val="right"/>
              <w:rPr>
                <w:sz w:val="14"/>
                <w:szCs w:val="14"/>
              </w:rPr>
            </w:pPr>
            <w:r w:rsidRPr="00E82C5A">
              <w:rPr>
                <w:sz w:val="14"/>
                <w:szCs w:val="14"/>
              </w:rPr>
              <w:t>100</w:t>
            </w:r>
          </w:p>
        </w:tc>
        <w:tc>
          <w:tcPr>
            <w:tcW w:w="304" w:type="pct"/>
            <w:tcBorders>
              <w:top w:val="nil"/>
              <w:left w:val="nil"/>
              <w:bottom w:val="single" w:sz="4" w:space="0" w:color="auto"/>
              <w:right w:val="single" w:sz="4" w:space="0" w:color="auto"/>
            </w:tcBorders>
            <w:shd w:val="clear" w:color="auto" w:fill="auto"/>
            <w:vAlign w:val="center"/>
            <w:hideMark/>
          </w:tcPr>
          <w:p w14:paraId="329FED1C"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3C5827EF" w14:textId="17B033C4" w:rsidR="00215C71" w:rsidRPr="00E82C5A" w:rsidRDefault="00215C71" w:rsidP="00215C71">
            <w:pPr>
              <w:jc w:val="right"/>
              <w:rPr>
                <w:sz w:val="14"/>
                <w:szCs w:val="14"/>
              </w:rPr>
            </w:pPr>
            <w:r w:rsidRPr="00E82C5A">
              <w:rPr>
                <w:sz w:val="14"/>
                <w:szCs w:val="14"/>
              </w:rPr>
              <w:t>2700</w:t>
            </w:r>
          </w:p>
        </w:tc>
        <w:tc>
          <w:tcPr>
            <w:tcW w:w="246" w:type="pct"/>
            <w:tcBorders>
              <w:top w:val="nil"/>
              <w:left w:val="nil"/>
              <w:bottom w:val="single" w:sz="4" w:space="0" w:color="auto"/>
              <w:right w:val="single" w:sz="4" w:space="0" w:color="auto"/>
            </w:tcBorders>
            <w:shd w:val="clear" w:color="auto" w:fill="auto"/>
            <w:vAlign w:val="center"/>
            <w:hideMark/>
          </w:tcPr>
          <w:p w14:paraId="1D00D0B8" w14:textId="77777777" w:rsidR="00215C71" w:rsidRPr="00E82C5A" w:rsidRDefault="00215C71" w:rsidP="00215C71">
            <w:pPr>
              <w:jc w:val="right"/>
              <w:rPr>
                <w:sz w:val="14"/>
                <w:szCs w:val="14"/>
              </w:rPr>
            </w:pPr>
            <w:r w:rsidRPr="00E82C5A">
              <w:rPr>
                <w:sz w:val="14"/>
                <w:szCs w:val="14"/>
              </w:rPr>
              <w:t>1 325</w:t>
            </w:r>
          </w:p>
        </w:tc>
        <w:tc>
          <w:tcPr>
            <w:tcW w:w="304" w:type="pct"/>
            <w:tcBorders>
              <w:top w:val="nil"/>
              <w:left w:val="nil"/>
              <w:bottom w:val="single" w:sz="4" w:space="0" w:color="auto"/>
              <w:right w:val="single" w:sz="4" w:space="0" w:color="auto"/>
            </w:tcBorders>
            <w:shd w:val="clear" w:color="auto" w:fill="auto"/>
            <w:vAlign w:val="center"/>
            <w:hideMark/>
          </w:tcPr>
          <w:p w14:paraId="4353F4F7"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06E98492" w14:textId="6847FAFB" w:rsidR="00215C71" w:rsidRPr="00E82C5A" w:rsidRDefault="00215C71" w:rsidP="00215C71">
            <w:pPr>
              <w:jc w:val="right"/>
              <w:rPr>
                <w:sz w:val="14"/>
                <w:szCs w:val="14"/>
              </w:rPr>
            </w:pPr>
            <w:r w:rsidRPr="00E82C5A">
              <w:rPr>
                <w:sz w:val="14"/>
                <w:szCs w:val="14"/>
              </w:rPr>
              <w:t>9</w:t>
            </w:r>
          </w:p>
        </w:tc>
        <w:tc>
          <w:tcPr>
            <w:tcW w:w="246" w:type="pct"/>
            <w:tcBorders>
              <w:top w:val="nil"/>
              <w:left w:val="nil"/>
              <w:bottom w:val="single" w:sz="4" w:space="0" w:color="auto"/>
              <w:right w:val="single" w:sz="4" w:space="0" w:color="auto"/>
            </w:tcBorders>
            <w:shd w:val="clear" w:color="auto" w:fill="auto"/>
            <w:vAlign w:val="center"/>
            <w:hideMark/>
          </w:tcPr>
          <w:p w14:paraId="478F8A8A" w14:textId="77777777" w:rsidR="00215C71" w:rsidRPr="00E82C5A" w:rsidRDefault="00215C71" w:rsidP="00215C71">
            <w:pPr>
              <w:jc w:val="right"/>
              <w:rPr>
                <w:sz w:val="14"/>
                <w:szCs w:val="14"/>
              </w:rPr>
            </w:pPr>
            <w:r w:rsidRPr="00E82C5A">
              <w:rPr>
                <w:sz w:val="14"/>
                <w:szCs w:val="14"/>
              </w:rPr>
              <w:t>0</w:t>
            </w:r>
          </w:p>
        </w:tc>
        <w:tc>
          <w:tcPr>
            <w:tcW w:w="104" w:type="pct"/>
            <w:vAlign w:val="center"/>
            <w:hideMark/>
          </w:tcPr>
          <w:p w14:paraId="68C29E22" w14:textId="77777777" w:rsidR="00215C71" w:rsidRDefault="00215C71" w:rsidP="00215C71">
            <w:pPr>
              <w:rPr>
                <w:sz w:val="20"/>
                <w:szCs w:val="20"/>
              </w:rPr>
            </w:pPr>
          </w:p>
        </w:tc>
      </w:tr>
      <w:tr w:rsidR="00215C71" w14:paraId="34C769CA"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6C7A7BA7" w14:textId="77777777" w:rsidR="00215C71" w:rsidRDefault="00215C71" w:rsidP="00215C71">
            <w:pPr>
              <w:rPr>
                <w:color w:val="000000"/>
                <w:sz w:val="14"/>
                <w:szCs w:val="14"/>
              </w:rPr>
            </w:pPr>
            <w:r>
              <w:rPr>
                <w:color w:val="000000"/>
                <w:sz w:val="14"/>
                <w:szCs w:val="14"/>
              </w:rPr>
              <w:t>Търговище</w:t>
            </w:r>
          </w:p>
        </w:tc>
        <w:tc>
          <w:tcPr>
            <w:tcW w:w="304" w:type="pct"/>
            <w:tcBorders>
              <w:top w:val="nil"/>
              <w:left w:val="nil"/>
              <w:bottom w:val="single" w:sz="4" w:space="0" w:color="auto"/>
              <w:right w:val="single" w:sz="4" w:space="0" w:color="auto"/>
            </w:tcBorders>
            <w:shd w:val="clear" w:color="auto" w:fill="auto"/>
            <w:vAlign w:val="center"/>
            <w:hideMark/>
          </w:tcPr>
          <w:p w14:paraId="31E6956D"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75FF55D4" w14:textId="7B5AEC1C" w:rsidR="00215C71" w:rsidRPr="00E82C5A" w:rsidRDefault="00215C71" w:rsidP="00215C71">
            <w:pPr>
              <w:jc w:val="right"/>
              <w:rPr>
                <w:sz w:val="14"/>
                <w:szCs w:val="14"/>
              </w:rPr>
            </w:pPr>
            <w:r w:rsidRPr="00E82C5A">
              <w:rPr>
                <w:sz w:val="14"/>
                <w:szCs w:val="14"/>
              </w:rPr>
              <w:t>22</w:t>
            </w:r>
          </w:p>
        </w:tc>
        <w:tc>
          <w:tcPr>
            <w:tcW w:w="246" w:type="pct"/>
            <w:tcBorders>
              <w:top w:val="nil"/>
              <w:left w:val="nil"/>
              <w:bottom w:val="single" w:sz="4" w:space="0" w:color="auto"/>
              <w:right w:val="single" w:sz="4" w:space="0" w:color="auto"/>
            </w:tcBorders>
            <w:shd w:val="clear" w:color="auto" w:fill="auto"/>
            <w:vAlign w:val="center"/>
            <w:hideMark/>
          </w:tcPr>
          <w:p w14:paraId="5F8CA10C" w14:textId="77777777" w:rsidR="00215C71" w:rsidRPr="00E82C5A" w:rsidRDefault="00215C71" w:rsidP="00215C71">
            <w:pPr>
              <w:jc w:val="right"/>
              <w:rPr>
                <w:sz w:val="14"/>
                <w:szCs w:val="14"/>
              </w:rPr>
            </w:pPr>
            <w:r w:rsidRPr="00E82C5A">
              <w:rPr>
                <w:sz w:val="14"/>
                <w:szCs w:val="14"/>
              </w:rPr>
              <w:t>22</w:t>
            </w:r>
          </w:p>
        </w:tc>
        <w:tc>
          <w:tcPr>
            <w:tcW w:w="304" w:type="pct"/>
            <w:tcBorders>
              <w:top w:val="nil"/>
              <w:left w:val="nil"/>
              <w:bottom w:val="single" w:sz="4" w:space="0" w:color="auto"/>
              <w:right w:val="single" w:sz="4" w:space="0" w:color="auto"/>
            </w:tcBorders>
            <w:shd w:val="clear" w:color="auto" w:fill="auto"/>
            <w:vAlign w:val="center"/>
            <w:hideMark/>
          </w:tcPr>
          <w:p w14:paraId="310B2D17"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14CD9C22" w14:textId="70D950A7" w:rsidR="00215C71" w:rsidRPr="00E82C5A" w:rsidRDefault="00215C71" w:rsidP="00215C71">
            <w:pPr>
              <w:jc w:val="right"/>
              <w:rPr>
                <w:sz w:val="14"/>
                <w:szCs w:val="14"/>
              </w:rPr>
            </w:pPr>
            <w:r w:rsidRPr="00E82C5A">
              <w:rPr>
                <w:sz w:val="14"/>
                <w:szCs w:val="14"/>
              </w:rPr>
              <w:t>661</w:t>
            </w:r>
          </w:p>
        </w:tc>
        <w:tc>
          <w:tcPr>
            <w:tcW w:w="246" w:type="pct"/>
            <w:tcBorders>
              <w:top w:val="nil"/>
              <w:left w:val="nil"/>
              <w:bottom w:val="single" w:sz="4" w:space="0" w:color="auto"/>
              <w:right w:val="single" w:sz="4" w:space="0" w:color="auto"/>
            </w:tcBorders>
            <w:shd w:val="clear" w:color="auto" w:fill="auto"/>
            <w:vAlign w:val="center"/>
            <w:hideMark/>
          </w:tcPr>
          <w:p w14:paraId="2EEB707C" w14:textId="77777777" w:rsidR="00215C71" w:rsidRPr="00E82C5A" w:rsidRDefault="00215C71" w:rsidP="00215C71">
            <w:pPr>
              <w:jc w:val="right"/>
              <w:rPr>
                <w:sz w:val="14"/>
                <w:szCs w:val="14"/>
              </w:rPr>
            </w:pPr>
            <w:r w:rsidRPr="00E82C5A">
              <w:rPr>
                <w:sz w:val="14"/>
                <w:szCs w:val="14"/>
              </w:rPr>
              <w:t>463</w:t>
            </w:r>
          </w:p>
        </w:tc>
        <w:tc>
          <w:tcPr>
            <w:tcW w:w="304" w:type="pct"/>
            <w:tcBorders>
              <w:top w:val="nil"/>
              <w:left w:val="nil"/>
              <w:bottom w:val="single" w:sz="4" w:space="0" w:color="auto"/>
              <w:right w:val="single" w:sz="4" w:space="0" w:color="auto"/>
            </w:tcBorders>
            <w:shd w:val="clear" w:color="auto" w:fill="auto"/>
            <w:vAlign w:val="center"/>
            <w:hideMark/>
          </w:tcPr>
          <w:p w14:paraId="19471E5D"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58649D0A" w14:textId="7D5135EF" w:rsidR="00215C71" w:rsidRPr="00E82C5A" w:rsidRDefault="00215C71" w:rsidP="00215C71">
            <w:pPr>
              <w:jc w:val="right"/>
              <w:rPr>
                <w:sz w:val="14"/>
                <w:szCs w:val="14"/>
              </w:rPr>
            </w:pPr>
            <w:r w:rsidRPr="00E82C5A">
              <w:rPr>
                <w:sz w:val="14"/>
                <w:szCs w:val="14"/>
              </w:rPr>
              <w:t>90</w:t>
            </w:r>
          </w:p>
        </w:tc>
        <w:tc>
          <w:tcPr>
            <w:tcW w:w="246" w:type="pct"/>
            <w:tcBorders>
              <w:top w:val="nil"/>
              <w:left w:val="nil"/>
              <w:bottom w:val="single" w:sz="4" w:space="0" w:color="auto"/>
              <w:right w:val="single" w:sz="4" w:space="0" w:color="auto"/>
            </w:tcBorders>
            <w:shd w:val="clear" w:color="auto" w:fill="auto"/>
            <w:vAlign w:val="center"/>
            <w:hideMark/>
          </w:tcPr>
          <w:p w14:paraId="26E97EDF" w14:textId="77777777" w:rsidR="00215C71" w:rsidRPr="00E82C5A" w:rsidRDefault="00215C71" w:rsidP="00215C71">
            <w:pPr>
              <w:jc w:val="right"/>
              <w:rPr>
                <w:sz w:val="14"/>
                <w:szCs w:val="14"/>
              </w:rPr>
            </w:pPr>
            <w:r w:rsidRPr="00E82C5A">
              <w:rPr>
                <w:sz w:val="14"/>
                <w:szCs w:val="14"/>
              </w:rPr>
              <w:t>100</w:t>
            </w:r>
          </w:p>
        </w:tc>
        <w:tc>
          <w:tcPr>
            <w:tcW w:w="304" w:type="pct"/>
            <w:tcBorders>
              <w:top w:val="nil"/>
              <w:left w:val="nil"/>
              <w:bottom w:val="single" w:sz="4" w:space="0" w:color="auto"/>
              <w:right w:val="single" w:sz="4" w:space="0" w:color="auto"/>
            </w:tcBorders>
            <w:shd w:val="clear" w:color="auto" w:fill="auto"/>
            <w:vAlign w:val="center"/>
            <w:hideMark/>
          </w:tcPr>
          <w:p w14:paraId="66B4FC9D"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484BF770" w14:textId="76A9DC65" w:rsidR="00215C71" w:rsidRPr="00E82C5A" w:rsidRDefault="00215C71" w:rsidP="00215C71">
            <w:pPr>
              <w:jc w:val="right"/>
              <w:rPr>
                <w:sz w:val="14"/>
                <w:szCs w:val="14"/>
              </w:rPr>
            </w:pPr>
            <w:r w:rsidRPr="00E82C5A">
              <w:rPr>
                <w:sz w:val="14"/>
                <w:szCs w:val="14"/>
              </w:rPr>
              <w:t>1500</w:t>
            </w:r>
          </w:p>
        </w:tc>
        <w:tc>
          <w:tcPr>
            <w:tcW w:w="246" w:type="pct"/>
            <w:tcBorders>
              <w:top w:val="nil"/>
              <w:left w:val="nil"/>
              <w:bottom w:val="single" w:sz="4" w:space="0" w:color="auto"/>
              <w:right w:val="single" w:sz="4" w:space="0" w:color="auto"/>
            </w:tcBorders>
            <w:shd w:val="clear" w:color="auto" w:fill="auto"/>
            <w:vAlign w:val="center"/>
            <w:hideMark/>
          </w:tcPr>
          <w:p w14:paraId="25606CD0" w14:textId="77777777" w:rsidR="00215C71" w:rsidRPr="00E82C5A" w:rsidRDefault="00215C71" w:rsidP="00215C71">
            <w:pPr>
              <w:jc w:val="right"/>
              <w:rPr>
                <w:sz w:val="14"/>
                <w:szCs w:val="14"/>
              </w:rPr>
            </w:pPr>
            <w:r w:rsidRPr="00E82C5A">
              <w:rPr>
                <w:sz w:val="14"/>
                <w:szCs w:val="14"/>
              </w:rPr>
              <w:t>3 360</w:t>
            </w:r>
          </w:p>
        </w:tc>
        <w:tc>
          <w:tcPr>
            <w:tcW w:w="304" w:type="pct"/>
            <w:tcBorders>
              <w:top w:val="nil"/>
              <w:left w:val="nil"/>
              <w:bottom w:val="single" w:sz="4" w:space="0" w:color="auto"/>
              <w:right w:val="single" w:sz="4" w:space="0" w:color="auto"/>
            </w:tcBorders>
            <w:shd w:val="clear" w:color="auto" w:fill="auto"/>
            <w:vAlign w:val="center"/>
            <w:hideMark/>
          </w:tcPr>
          <w:p w14:paraId="7F3B3B54"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1E600891" w14:textId="05A36B87" w:rsidR="00215C71" w:rsidRPr="00E82C5A" w:rsidRDefault="00215C71" w:rsidP="00215C71">
            <w:pPr>
              <w:jc w:val="right"/>
              <w:rPr>
                <w:sz w:val="14"/>
                <w:szCs w:val="14"/>
              </w:rPr>
            </w:pPr>
            <w:r w:rsidRPr="00E82C5A">
              <w:rPr>
                <w:sz w:val="14"/>
                <w:szCs w:val="14"/>
              </w:rPr>
              <w:t>2</w:t>
            </w:r>
          </w:p>
        </w:tc>
        <w:tc>
          <w:tcPr>
            <w:tcW w:w="246" w:type="pct"/>
            <w:tcBorders>
              <w:top w:val="nil"/>
              <w:left w:val="nil"/>
              <w:bottom w:val="single" w:sz="4" w:space="0" w:color="auto"/>
              <w:right w:val="single" w:sz="4" w:space="0" w:color="auto"/>
            </w:tcBorders>
            <w:shd w:val="clear" w:color="auto" w:fill="auto"/>
            <w:vAlign w:val="center"/>
            <w:hideMark/>
          </w:tcPr>
          <w:p w14:paraId="653570AD" w14:textId="77777777" w:rsidR="00215C71" w:rsidRPr="00E82C5A" w:rsidRDefault="00215C71" w:rsidP="00215C71">
            <w:pPr>
              <w:jc w:val="right"/>
              <w:rPr>
                <w:sz w:val="14"/>
                <w:szCs w:val="14"/>
              </w:rPr>
            </w:pPr>
            <w:r w:rsidRPr="00E82C5A">
              <w:rPr>
                <w:sz w:val="14"/>
                <w:szCs w:val="14"/>
              </w:rPr>
              <w:t>0</w:t>
            </w:r>
          </w:p>
        </w:tc>
        <w:tc>
          <w:tcPr>
            <w:tcW w:w="104" w:type="pct"/>
            <w:vAlign w:val="center"/>
            <w:hideMark/>
          </w:tcPr>
          <w:p w14:paraId="4E307A0F" w14:textId="77777777" w:rsidR="00215C71" w:rsidRDefault="00215C71" w:rsidP="00215C71">
            <w:pPr>
              <w:rPr>
                <w:sz w:val="20"/>
                <w:szCs w:val="20"/>
              </w:rPr>
            </w:pPr>
          </w:p>
        </w:tc>
      </w:tr>
      <w:tr w:rsidR="00215C71" w14:paraId="799830E1"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61324A24" w14:textId="77777777" w:rsidR="00215C71" w:rsidRDefault="00215C71" w:rsidP="00215C71">
            <w:pPr>
              <w:rPr>
                <w:color w:val="000000"/>
                <w:sz w:val="14"/>
                <w:szCs w:val="14"/>
              </w:rPr>
            </w:pPr>
            <w:r>
              <w:rPr>
                <w:color w:val="000000"/>
                <w:sz w:val="14"/>
                <w:szCs w:val="14"/>
              </w:rPr>
              <w:t>Хасково</w:t>
            </w:r>
          </w:p>
        </w:tc>
        <w:tc>
          <w:tcPr>
            <w:tcW w:w="304" w:type="pct"/>
            <w:tcBorders>
              <w:top w:val="nil"/>
              <w:left w:val="nil"/>
              <w:bottom w:val="single" w:sz="4" w:space="0" w:color="auto"/>
              <w:right w:val="single" w:sz="4" w:space="0" w:color="auto"/>
            </w:tcBorders>
            <w:shd w:val="clear" w:color="auto" w:fill="auto"/>
            <w:vAlign w:val="center"/>
            <w:hideMark/>
          </w:tcPr>
          <w:p w14:paraId="61532629"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4DEBDFFD" w14:textId="0A9F7F0F" w:rsidR="00215C71" w:rsidRPr="00E82C5A" w:rsidRDefault="00215C71" w:rsidP="00215C71">
            <w:pPr>
              <w:jc w:val="right"/>
              <w:rPr>
                <w:sz w:val="14"/>
                <w:szCs w:val="14"/>
              </w:rPr>
            </w:pPr>
            <w:r w:rsidRPr="00E82C5A">
              <w:rPr>
                <w:sz w:val="14"/>
                <w:szCs w:val="14"/>
              </w:rPr>
              <w:t>30</w:t>
            </w:r>
          </w:p>
        </w:tc>
        <w:tc>
          <w:tcPr>
            <w:tcW w:w="246" w:type="pct"/>
            <w:tcBorders>
              <w:top w:val="nil"/>
              <w:left w:val="nil"/>
              <w:bottom w:val="single" w:sz="4" w:space="0" w:color="auto"/>
              <w:right w:val="single" w:sz="4" w:space="0" w:color="auto"/>
            </w:tcBorders>
            <w:shd w:val="clear" w:color="auto" w:fill="auto"/>
            <w:vAlign w:val="center"/>
            <w:hideMark/>
          </w:tcPr>
          <w:p w14:paraId="6CFCD8BB" w14:textId="77777777" w:rsidR="00215C71" w:rsidRPr="00E82C5A" w:rsidRDefault="00215C71" w:rsidP="00215C71">
            <w:pPr>
              <w:jc w:val="right"/>
              <w:rPr>
                <w:sz w:val="14"/>
                <w:szCs w:val="14"/>
              </w:rPr>
            </w:pPr>
            <w:r w:rsidRPr="00E82C5A">
              <w:rPr>
                <w:sz w:val="14"/>
                <w:szCs w:val="14"/>
              </w:rPr>
              <w:t>23</w:t>
            </w:r>
          </w:p>
        </w:tc>
        <w:tc>
          <w:tcPr>
            <w:tcW w:w="304" w:type="pct"/>
            <w:tcBorders>
              <w:top w:val="nil"/>
              <w:left w:val="nil"/>
              <w:bottom w:val="single" w:sz="4" w:space="0" w:color="auto"/>
              <w:right w:val="single" w:sz="4" w:space="0" w:color="auto"/>
            </w:tcBorders>
            <w:shd w:val="clear" w:color="auto" w:fill="auto"/>
            <w:vAlign w:val="center"/>
            <w:hideMark/>
          </w:tcPr>
          <w:p w14:paraId="3B136662"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724B9F88" w14:textId="557B92D0" w:rsidR="00215C71" w:rsidRPr="00E82C5A" w:rsidRDefault="00215C71" w:rsidP="00215C71">
            <w:pPr>
              <w:jc w:val="right"/>
              <w:rPr>
                <w:sz w:val="14"/>
                <w:szCs w:val="14"/>
              </w:rPr>
            </w:pPr>
            <w:r w:rsidRPr="00E82C5A">
              <w:rPr>
                <w:sz w:val="14"/>
                <w:szCs w:val="14"/>
              </w:rPr>
              <w:t>1100</w:t>
            </w:r>
          </w:p>
        </w:tc>
        <w:tc>
          <w:tcPr>
            <w:tcW w:w="246" w:type="pct"/>
            <w:tcBorders>
              <w:top w:val="nil"/>
              <w:left w:val="nil"/>
              <w:bottom w:val="single" w:sz="4" w:space="0" w:color="auto"/>
              <w:right w:val="single" w:sz="4" w:space="0" w:color="auto"/>
            </w:tcBorders>
            <w:shd w:val="clear" w:color="auto" w:fill="auto"/>
            <w:vAlign w:val="center"/>
            <w:hideMark/>
          </w:tcPr>
          <w:p w14:paraId="5A340DC1" w14:textId="77777777" w:rsidR="00215C71" w:rsidRPr="00E82C5A" w:rsidRDefault="00215C71" w:rsidP="00215C71">
            <w:pPr>
              <w:jc w:val="right"/>
              <w:rPr>
                <w:sz w:val="14"/>
                <w:szCs w:val="14"/>
              </w:rPr>
            </w:pPr>
            <w:r w:rsidRPr="00E82C5A">
              <w:rPr>
                <w:sz w:val="14"/>
                <w:szCs w:val="14"/>
              </w:rPr>
              <w:t>1 164</w:t>
            </w:r>
          </w:p>
        </w:tc>
        <w:tc>
          <w:tcPr>
            <w:tcW w:w="304" w:type="pct"/>
            <w:tcBorders>
              <w:top w:val="nil"/>
              <w:left w:val="nil"/>
              <w:bottom w:val="single" w:sz="4" w:space="0" w:color="auto"/>
              <w:right w:val="single" w:sz="4" w:space="0" w:color="auto"/>
            </w:tcBorders>
            <w:shd w:val="clear" w:color="auto" w:fill="auto"/>
            <w:vAlign w:val="center"/>
            <w:hideMark/>
          </w:tcPr>
          <w:p w14:paraId="1A008DF1"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22520E73" w14:textId="1CDBFD80"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41011896" w14:textId="77777777" w:rsidR="00215C71" w:rsidRPr="00E82C5A" w:rsidRDefault="00215C71" w:rsidP="00215C71">
            <w:pPr>
              <w:jc w:val="right"/>
              <w:rPr>
                <w:sz w:val="14"/>
                <w:szCs w:val="14"/>
              </w:rPr>
            </w:pPr>
            <w:r w:rsidRPr="00E82C5A">
              <w:rPr>
                <w:sz w:val="14"/>
                <w:szCs w:val="14"/>
              </w:rPr>
              <w:t>100</w:t>
            </w:r>
          </w:p>
        </w:tc>
        <w:tc>
          <w:tcPr>
            <w:tcW w:w="304" w:type="pct"/>
            <w:tcBorders>
              <w:top w:val="nil"/>
              <w:left w:val="nil"/>
              <w:bottom w:val="single" w:sz="4" w:space="0" w:color="auto"/>
              <w:right w:val="single" w:sz="4" w:space="0" w:color="auto"/>
            </w:tcBorders>
            <w:shd w:val="clear" w:color="auto" w:fill="auto"/>
            <w:vAlign w:val="center"/>
            <w:hideMark/>
          </w:tcPr>
          <w:p w14:paraId="6218FEEB"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73F861B2" w14:textId="55579A4E" w:rsidR="00215C71" w:rsidRPr="00E82C5A" w:rsidRDefault="00215C71" w:rsidP="00215C71">
            <w:pPr>
              <w:jc w:val="right"/>
              <w:rPr>
                <w:sz w:val="14"/>
                <w:szCs w:val="14"/>
              </w:rPr>
            </w:pPr>
            <w:r w:rsidRPr="00E82C5A">
              <w:rPr>
                <w:sz w:val="14"/>
                <w:szCs w:val="14"/>
              </w:rPr>
              <w:t>4000</w:t>
            </w:r>
          </w:p>
        </w:tc>
        <w:tc>
          <w:tcPr>
            <w:tcW w:w="246" w:type="pct"/>
            <w:tcBorders>
              <w:top w:val="nil"/>
              <w:left w:val="nil"/>
              <w:bottom w:val="single" w:sz="4" w:space="0" w:color="auto"/>
              <w:right w:val="single" w:sz="4" w:space="0" w:color="auto"/>
            </w:tcBorders>
            <w:shd w:val="clear" w:color="auto" w:fill="auto"/>
            <w:vAlign w:val="center"/>
            <w:hideMark/>
          </w:tcPr>
          <w:p w14:paraId="1AC8F230" w14:textId="77777777" w:rsidR="00215C71" w:rsidRPr="00E82C5A" w:rsidRDefault="00215C71" w:rsidP="00215C71">
            <w:pPr>
              <w:jc w:val="right"/>
              <w:rPr>
                <w:sz w:val="14"/>
                <w:szCs w:val="14"/>
              </w:rPr>
            </w:pPr>
            <w:r w:rsidRPr="00E82C5A">
              <w:rPr>
                <w:sz w:val="14"/>
                <w:szCs w:val="14"/>
              </w:rPr>
              <w:t>5 312</w:t>
            </w:r>
          </w:p>
        </w:tc>
        <w:tc>
          <w:tcPr>
            <w:tcW w:w="304" w:type="pct"/>
            <w:tcBorders>
              <w:top w:val="nil"/>
              <w:left w:val="nil"/>
              <w:bottom w:val="single" w:sz="4" w:space="0" w:color="auto"/>
              <w:right w:val="single" w:sz="4" w:space="0" w:color="auto"/>
            </w:tcBorders>
            <w:shd w:val="clear" w:color="auto" w:fill="auto"/>
            <w:vAlign w:val="center"/>
            <w:hideMark/>
          </w:tcPr>
          <w:p w14:paraId="29FFCD1E"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556CBBC8" w14:textId="3F6353E3" w:rsidR="00215C71" w:rsidRPr="00E82C5A" w:rsidRDefault="00215C71" w:rsidP="00215C71">
            <w:pPr>
              <w:jc w:val="right"/>
              <w:rPr>
                <w:sz w:val="14"/>
                <w:szCs w:val="14"/>
              </w:rPr>
            </w:pPr>
            <w:r w:rsidRPr="00E82C5A">
              <w:rPr>
                <w:sz w:val="14"/>
                <w:szCs w:val="14"/>
              </w:rPr>
              <w:t>6</w:t>
            </w:r>
          </w:p>
        </w:tc>
        <w:tc>
          <w:tcPr>
            <w:tcW w:w="246" w:type="pct"/>
            <w:tcBorders>
              <w:top w:val="nil"/>
              <w:left w:val="nil"/>
              <w:bottom w:val="single" w:sz="4" w:space="0" w:color="auto"/>
              <w:right w:val="single" w:sz="4" w:space="0" w:color="auto"/>
            </w:tcBorders>
            <w:shd w:val="clear" w:color="auto" w:fill="auto"/>
            <w:vAlign w:val="center"/>
            <w:hideMark/>
          </w:tcPr>
          <w:p w14:paraId="476CD739" w14:textId="77777777" w:rsidR="00215C71" w:rsidRPr="00E82C5A" w:rsidRDefault="00215C71" w:rsidP="00215C71">
            <w:pPr>
              <w:jc w:val="right"/>
              <w:rPr>
                <w:sz w:val="14"/>
                <w:szCs w:val="14"/>
              </w:rPr>
            </w:pPr>
            <w:r w:rsidRPr="00E82C5A">
              <w:rPr>
                <w:sz w:val="14"/>
                <w:szCs w:val="14"/>
              </w:rPr>
              <w:t>5</w:t>
            </w:r>
          </w:p>
        </w:tc>
        <w:tc>
          <w:tcPr>
            <w:tcW w:w="104" w:type="pct"/>
            <w:vAlign w:val="center"/>
            <w:hideMark/>
          </w:tcPr>
          <w:p w14:paraId="3589914E" w14:textId="77777777" w:rsidR="00215C71" w:rsidRDefault="00215C71" w:rsidP="00215C71">
            <w:pPr>
              <w:rPr>
                <w:sz w:val="20"/>
                <w:szCs w:val="20"/>
              </w:rPr>
            </w:pPr>
          </w:p>
        </w:tc>
      </w:tr>
      <w:tr w:rsidR="00215C71" w14:paraId="22CE96A1"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5E9815E2" w14:textId="77777777" w:rsidR="00215C71" w:rsidRDefault="00215C71" w:rsidP="00215C71">
            <w:pPr>
              <w:rPr>
                <w:color w:val="000000"/>
                <w:sz w:val="14"/>
                <w:szCs w:val="14"/>
              </w:rPr>
            </w:pPr>
            <w:r>
              <w:rPr>
                <w:color w:val="000000"/>
                <w:sz w:val="14"/>
                <w:szCs w:val="14"/>
              </w:rPr>
              <w:t>Шумен</w:t>
            </w:r>
          </w:p>
        </w:tc>
        <w:tc>
          <w:tcPr>
            <w:tcW w:w="304" w:type="pct"/>
            <w:tcBorders>
              <w:top w:val="nil"/>
              <w:left w:val="nil"/>
              <w:bottom w:val="single" w:sz="4" w:space="0" w:color="auto"/>
              <w:right w:val="single" w:sz="4" w:space="0" w:color="auto"/>
            </w:tcBorders>
            <w:shd w:val="clear" w:color="auto" w:fill="auto"/>
            <w:vAlign w:val="center"/>
            <w:hideMark/>
          </w:tcPr>
          <w:p w14:paraId="0B8C598B" w14:textId="77777777" w:rsidR="00215C71" w:rsidRDefault="00215C71" w:rsidP="00215C71">
            <w:pPr>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2253E631" w14:textId="0159CD55" w:rsidR="00215C71" w:rsidRPr="00E82C5A" w:rsidRDefault="00215C71" w:rsidP="00215C71">
            <w:pPr>
              <w:jc w:val="right"/>
              <w:rPr>
                <w:sz w:val="14"/>
                <w:szCs w:val="14"/>
              </w:rPr>
            </w:pPr>
            <w:r w:rsidRPr="00E82C5A">
              <w:rPr>
                <w:sz w:val="14"/>
                <w:szCs w:val="14"/>
              </w:rPr>
              <w:t>21</w:t>
            </w:r>
          </w:p>
        </w:tc>
        <w:tc>
          <w:tcPr>
            <w:tcW w:w="246" w:type="pct"/>
            <w:tcBorders>
              <w:top w:val="nil"/>
              <w:left w:val="nil"/>
              <w:bottom w:val="single" w:sz="4" w:space="0" w:color="auto"/>
              <w:right w:val="single" w:sz="4" w:space="0" w:color="auto"/>
            </w:tcBorders>
            <w:shd w:val="clear" w:color="auto" w:fill="auto"/>
            <w:vAlign w:val="center"/>
            <w:hideMark/>
          </w:tcPr>
          <w:p w14:paraId="07B29E3A" w14:textId="77777777" w:rsidR="00215C71" w:rsidRPr="00E82C5A" w:rsidRDefault="00215C71" w:rsidP="00215C71">
            <w:pPr>
              <w:jc w:val="right"/>
              <w:rPr>
                <w:sz w:val="14"/>
                <w:szCs w:val="14"/>
              </w:rPr>
            </w:pPr>
            <w:r w:rsidRPr="00E82C5A">
              <w:rPr>
                <w:sz w:val="14"/>
                <w:szCs w:val="14"/>
              </w:rPr>
              <w:t>20</w:t>
            </w:r>
          </w:p>
        </w:tc>
        <w:tc>
          <w:tcPr>
            <w:tcW w:w="304" w:type="pct"/>
            <w:tcBorders>
              <w:top w:val="nil"/>
              <w:left w:val="nil"/>
              <w:bottom w:val="single" w:sz="4" w:space="0" w:color="auto"/>
              <w:right w:val="single" w:sz="4" w:space="0" w:color="auto"/>
            </w:tcBorders>
            <w:shd w:val="clear" w:color="auto" w:fill="auto"/>
            <w:vAlign w:val="center"/>
            <w:hideMark/>
          </w:tcPr>
          <w:p w14:paraId="6A6CC1ED"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69589D67" w14:textId="4A850A22" w:rsidR="00215C71" w:rsidRPr="00E82C5A" w:rsidRDefault="00215C71" w:rsidP="00215C71">
            <w:pPr>
              <w:jc w:val="right"/>
              <w:rPr>
                <w:sz w:val="14"/>
                <w:szCs w:val="14"/>
              </w:rPr>
            </w:pPr>
            <w:r w:rsidRPr="00E82C5A">
              <w:rPr>
                <w:sz w:val="14"/>
                <w:szCs w:val="14"/>
              </w:rPr>
              <w:t>1603</w:t>
            </w:r>
          </w:p>
        </w:tc>
        <w:tc>
          <w:tcPr>
            <w:tcW w:w="246" w:type="pct"/>
            <w:tcBorders>
              <w:top w:val="nil"/>
              <w:left w:val="nil"/>
              <w:bottom w:val="single" w:sz="4" w:space="0" w:color="auto"/>
              <w:right w:val="single" w:sz="4" w:space="0" w:color="auto"/>
            </w:tcBorders>
            <w:shd w:val="clear" w:color="auto" w:fill="auto"/>
            <w:vAlign w:val="center"/>
            <w:hideMark/>
          </w:tcPr>
          <w:p w14:paraId="079B5F60" w14:textId="77777777" w:rsidR="00215C71" w:rsidRPr="00E82C5A" w:rsidRDefault="00215C71" w:rsidP="00215C71">
            <w:pPr>
              <w:jc w:val="right"/>
              <w:rPr>
                <w:sz w:val="14"/>
                <w:szCs w:val="14"/>
              </w:rPr>
            </w:pPr>
            <w:r w:rsidRPr="00E82C5A">
              <w:rPr>
                <w:sz w:val="14"/>
                <w:szCs w:val="14"/>
              </w:rPr>
              <w:t>896</w:t>
            </w:r>
          </w:p>
        </w:tc>
        <w:tc>
          <w:tcPr>
            <w:tcW w:w="304" w:type="pct"/>
            <w:tcBorders>
              <w:top w:val="nil"/>
              <w:left w:val="nil"/>
              <w:bottom w:val="single" w:sz="4" w:space="0" w:color="auto"/>
              <w:right w:val="single" w:sz="4" w:space="0" w:color="auto"/>
            </w:tcBorders>
            <w:shd w:val="clear" w:color="auto" w:fill="auto"/>
            <w:vAlign w:val="center"/>
            <w:hideMark/>
          </w:tcPr>
          <w:p w14:paraId="6EA68904" w14:textId="77777777" w:rsidR="00215C71" w:rsidRPr="00E82C5A" w:rsidRDefault="00215C71" w:rsidP="00215C71">
            <w:pPr>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vAlign w:val="center"/>
            <w:hideMark/>
          </w:tcPr>
          <w:p w14:paraId="05E33F90" w14:textId="0B361661"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vAlign w:val="center"/>
            <w:hideMark/>
          </w:tcPr>
          <w:p w14:paraId="7A0A3A5F" w14:textId="77777777" w:rsidR="00215C71" w:rsidRPr="00E82C5A" w:rsidRDefault="00215C71" w:rsidP="00215C71">
            <w:pPr>
              <w:jc w:val="right"/>
              <w:rPr>
                <w:sz w:val="14"/>
                <w:szCs w:val="14"/>
              </w:rPr>
            </w:pPr>
            <w:r w:rsidRPr="00E82C5A">
              <w:rPr>
                <w:sz w:val="14"/>
                <w:szCs w:val="14"/>
              </w:rPr>
              <w:t>100</w:t>
            </w:r>
          </w:p>
        </w:tc>
        <w:tc>
          <w:tcPr>
            <w:tcW w:w="304" w:type="pct"/>
            <w:tcBorders>
              <w:top w:val="nil"/>
              <w:left w:val="nil"/>
              <w:bottom w:val="single" w:sz="4" w:space="0" w:color="auto"/>
              <w:right w:val="single" w:sz="4" w:space="0" w:color="auto"/>
            </w:tcBorders>
            <w:shd w:val="clear" w:color="auto" w:fill="auto"/>
            <w:vAlign w:val="center"/>
            <w:hideMark/>
          </w:tcPr>
          <w:p w14:paraId="756E3E27"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215350E3" w14:textId="2B4CE386" w:rsidR="00215C71" w:rsidRPr="00E82C5A" w:rsidRDefault="00215C71" w:rsidP="00215C71">
            <w:pPr>
              <w:jc w:val="right"/>
              <w:rPr>
                <w:sz w:val="14"/>
                <w:szCs w:val="14"/>
              </w:rPr>
            </w:pPr>
            <w:r w:rsidRPr="00E82C5A">
              <w:rPr>
                <w:sz w:val="14"/>
                <w:szCs w:val="14"/>
              </w:rPr>
              <w:t>8500</w:t>
            </w:r>
          </w:p>
        </w:tc>
        <w:tc>
          <w:tcPr>
            <w:tcW w:w="246" w:type="pct"/>
            <w:tcBorders>
              <w:top w:val="nil"/>
              <w:left w:val="nil"/>
              <w:bottom w:val="single" w:sz="4" w:space="0" w:color="auto"/>
              <w:right w:val="single" w:sz="4" w:space="0" w:color="auto"/>
            </w:tcBorders>
            <w:shd w:val="clear" w:color="auto" w:fill="auto"/>
            <w:vAlign w:val="center"/>
            <w:hideMark/>
          </w:tcPr>
          <w:p w14:paraId="1452CB8A" w14:textId="77777777" w:rsidR="00215C71" w:rsidRPr="00E82C5A" w:rsidRDefault="00215C71" w:rsidP="00215C71">
            <w:pPr>
              <w:jc w:val="right"/>
              <w:rPr>
                <w:sz w:val="14"/>
                <w:szCs w:val="14"/>
              </w:rPr>
            </w:pPr>
            <w:r w:rsidRPr="00E82C5A">
              <w:rPr>
                <w:sz w:val="14"/>
                <w:szCs w:val="14"/>
              </w:rPr>
              <w:t>3 943</w:t>
            </w:r>
          </w:p>
        </w:tc>
        <w:tc>
          <w:tcPr>
            <w:tcW w:w="304" w:type="pct"/>
            <w:tcBorders>
              <w:top w:val="nil"/>
              <w:left w:val="nil"/>
              <w:bottom w:val="single" w:sz="4" w:space="0" w:color="auto"/>
              <w:right w:val="single" w:sz="4" w:space="0" w:color="auto"/>
            </w:tcBorders>
            <w:shd w:val="clear" w:color="auto" w:fill="auto"/>
            <w:vAlign w:val="center"/>
            <w:hideMark/>
          </w:tcPr>
          <w:p w14:paraId="47573404" w14:textId="77777777" w:rsidR="00215C71" w:rsidRPr="00E82C5A" w:rsidRDefault="00215C71" w:rsidP="00215C71">
            <w:pPr>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center"/>
            <w:hideMark/>
          </w:tcPr>
          <w:p w14:paraId="777350D8" w14:textId="783EFD05" w:rsidR="00215C71" w:rsidRPr="00E82C5A" w:rsidRDefault="00215C71" w:rsidP="00215C71">
            <w:pPr>
              <w:jc w:val="right"/>
              <w:rPr>
                <w:sz w:val="14"/>
                <w:szCs w:val="14"/>
              </w:rPr>
            </w:pPr>
            <w:r w:rsidRPr="00E82C5A">
              <w:rPr>
                <w:sz w:val="14"/>
                <w:szCs w:val="14"/>
              </w:rPr>
              <w:t>8</w:t>
            </w:r>
          </w:p>
        </w:tc>
        <w:tc>
          <w:tcPr>
            <w:tcW w:w="246" w:type="pct"/>
            <w:tcBorders>
              <w:top w:val="nil"/>
              <w:left w:val="nil"/>
              <w:bottom w:val="single" w:sz="4" w:space="0" w:color="auto"/>
              <w:right w:val="single" w:sz="4" w:space="0" w:color="auto"/>
            </w:tcBorders>
            <w:shd w:val="clear" w:color="auto" w:fill="auto"/>
            <w:vAlign w:val="center"/>
            <w:hideMark/>
          </w:tcPr>
          <w:p w14:paraId="1DF1750B" w14:textId="77777777" w:rsidR="00215C71" w:rsidRPr="00E82C5A" w:rsidRDefault="00215C71" w:rsidP="00215C71">
            <w:pPr>
              <w:jc w:val="right"/>
              <w:rPr>
                <w:sz w:val="14"/>
                <w:szCs w:val="14"/>
              </w:rPr>
            </w:pPr>
            <w:r w:rsidRPr="00E82C5A">
              <w:rPr>
                <w:sz w:val="14"/>
                <w:szCs w:val="14"/>
              </w:rPr>
              <w:t>0</w:t>
            </w:r>
          </w:p>
        </w:tc>
        <w:tc>
          <w:tcPr>
            <w:tcW w:w="104" w:type="pct"/>
            <w:vAlign w:val="center"/>
            <w:hideMark/>
          </w:tcPr>
          <w:p w14:paraId="5323E32A" w14:textId="77777777" w:rsidR="00215C71" w:rsidRDefault="00215C71" w:rsidP="00215C71">
            <w:pPr>
              <w:rPr>
                <w:sz w:val="20"/>
                <w:szCs w:val="20"/>
              </w:rPr>
            </w:pPr>
          </w:p>
        </w:tc>
      </w:tr>
      <w:tr w:rsidR="00215C71" w14:paraId="12A7FA8C" w14:textId="77777777" w:rsidTr="00215C71">
        <w:trPr>
          <w:trHeight w:val="315"/>
          <w:jc w:val="center"/>
        </w:trPr>
        <w:tc>
          <w:tcPr>
            <w:tcW w:w="666" w:type="pct"/>
            <w:tcBorders>
              <w:top w:val="nil"/>
              <w:left w:val="single" w:sz="4" w:space="0" w:color="auto"/>
              <w:bottom w:val="single" w:sz="4" w:space="0" w:color="auto"/>
              <w:right w:val="single" w:sz="4" w:space="0" w:color="auto"/>
            </w:tcBorders>
            <w:shd w:val="clear" w:color="auto" w:fill="D1D1D1" w:themeFill="background2" w:themeFillShade="E6"/>
            <w:noWrap/>
            <w:vAlign w:val="center"/>
            <w:hideMark/>
          </w:tcPr>
          <w:p w14:paraId="6A756631" w14:textId="77777777" w:rsidR="00215C71" w:rsidRDefault="00215C71" w:rsidP="00215C71">
            <w:pPr>
              <w:spacing w:before="120"/>
              <w:rPr>
                <w:color w:val="000000"/>
                <w:sz w:val="14"/>
                <w:szCs w:val="14"/>
              </w:rPr>
            </w:pPr>
            <w:r>
              <w:rPr>
                <w:color w:val="000000"/>
                <w:sz w:val="14"/>
                <w:szCs w:val="14"/>
              </w:rPr>
              <w:t>Ямбол</w:t>
            </w:r>
          </w:p>
        </w:tc>
        <w:tc>
          <w:tcPr>
            <w:tcW w:w="304" w:type="pct"/>
            <w:tcBorders>
              <w:top w:val="nil"/>
              <w:left w:val="nil"/>
              <w:bottom w:val="single" w:sz="4" w:space="0" w:color="auto"/>
              <w:right w:val="single" w:sz="4" w:space="0" w:color="auto"/>
            </w:tcBorders>
            <w:shd w:val="clear" w:color="auto" w:fill="auto"/>
            <w:vAlign w:val="center"/>
            <w:hideMark/>
          </w:tcPr>
          <w:p w14:paraId="34DE5F7C" w14:textId="77777777" w:rsidR="00215C71" w:rsidRDefault="00215C71" w:rsidP="00215C71">
            <w:pPr>
              <w:spacing w:before="120"/>
              <w:jc w:val="right"/>
              <w:rPr>
                <w:color w:val="000000"/>
                <w:sz w:val="14"/>
                <w:szCs w:val="14"/>
              </w:rPr>
            </w:pPr>
            <w:r>
              <w:rPr>
                <w:color w:val="000000"/>
                <w:sz w:val="14"/>
                <w:szCs w:val="14"/>
              </w:rPr>
              <w:t>брой</w:t>
            </w:r>
          </w:p>
        </w:tc>
        <w:tc>
          <w:tcPr>
            <w:tcW w:w="296" w:type="pct"/>
            <w:tcBorders>
              <w:top w:val="nil"/>
              <w:left w:val="nil"/>
              <w:bottom w:val="single" w:sz="4" w:space="0" w:color="auto"/>
              <w:right w:val="single" w:sz="4" w:space="0" w:color="auto"/>
            </w:tcBorders>
            <w:shd w:val="clear" w:color="auto" w:fill="auto"/>
            <w:vAlign w:val="bottom"/>
            <w:hideMark/>
          </w:tcPr>
          <w:p w14:paraId="5201F149" w14:textId="09AAB009" w:rsidR="00215C71" w:rsidRPr="00E82C5A" w:rsidRDefault="00215C71" w:rsidP="00215C71">
            <w:pPr>
              <w:jc w:val="right"/>
              <w:rPr>
                <w:sz w:val="14"/>
                <w:szCs w:val="14"/>
              </w:rPr>
            </w:pPr>
            <w:r w:rsidRPr="00E82C5A">
              <w:rPr>
                <w:sz w:val="14"/>
                <w:szCs w:val="14"/>
              </w:rPr>
              <w:t>760</w:t>
            </w:r>
          </w:p>
        </w:tc>
        <w:tc>
          <w:tcPr>
            <w:tcW w:w="246" w:type="pct"/>
            <w:tcBorders>
              <w:top w:val="nil"/>
              <w:left w:val="nil"/>
              <w:bottom w:val="single" w:sz="4" w:space="0" w:color="auto"/>
              <w:right w:val="single" w:sz="4" w:space="0" w:color="auto"/>
            </w:tcBorders>
            <w:shd w:val="clear" w:color="auto" w:fill="auto"/>
            <w:vAlign w:val="center"/>
            <w:hideMark/>
          </w:tcPr>
          <w:p w14:paraId="2F92642C" w14:textId="77777777" w:rsidR="00215C71" w:rsidRPr="00E82C5A" w:rsidRDefault="00215C71" w:rsidP="00215C71">
            <w:pPr>
              <w:spacing w:before="120"/>
              <w:jc w:val="right"/>
              <w:rPr>
                <w:sz w:val="14"/>
                <w:szCs w:val="14"/>
              </w:rPr>
            </w:pPr>
            <w:r w:rsidRPr="00E82C5A">
              <w:rPr>
                <w:sz w:val="14"/>
                <w:szCs w:val="14"/>
              </w:rPr>
              <w:t>694</w:t>
            </w:r>
          </w:p>
        </w:tc>
        <w:tc>
          <w:tcPr>
            <w:tcW w:w="304" w:type="pct"/>
            <w:tcBorders>
              <w:top w:val="nil"/>
              <w:left w:val="nil"/>
              <w:bottom w:val="single" w:sz="4" w:space="0" w:color="auto"/>
              <w:right w:val="single" w:sz="4" w:space="0" w:color="auto"/>
            </w:tcBorders>
            <w:shd w:val="clear" w:color="auto" w:fill="auto"/>
            <w:vAlign w:val="center"/>
            <w:hideMark/>
          </w:tcPr>
          <w:p w14:paraId="1E19BFFB" w14:textId="77777777" w:rsidR="00215C71" w:rsidRPr="00E82C5A" w:rsidRDefault="00215C71" w:rsidP="00215C71">
            <w:pPr>
              <w:spacing w:before="120"/>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bottom"/>
            <w:hideMark/>
          </w:tcPr>
          <w:p w14:paraId="5CE6CB69" w14:textId="49BB2BB0" w:rsidR="00215C71" w:rsidRPr="00E82C5A" w:rsidRDefault="00215C71" w:rsidP="00215C71">
            <w:pPr>
              <w:jc w:val="right"/>
              <w:rPr>
                <w:sz w:val="14"/>
                <w:szCs w:val="14"/>
              </w:rPr>
            </w:pPr>
            <w:r w:rsidRPr="00E82C5A">
              <w:rPr>
                <w:sz w:val="14"/>
                <w:szCs w:val="14"/>
              </w:rPr>
              <w:t>1000</w:t>
            </w:r>
          </w:p>
        </w:tc>
        <w:tc>
          <w:tcPr>
            <w:tcW w:w="246" w:type="pct"/>
            <w:tcBorders>
              <w:top w:val="nil"/>
              <w:left w:val="nil"/>
              <w:bottom w:val="single" w:sz="4" w:space="0" w:color="auto"/>
              <w:right w:val="single" w:sz="4" w:space="0" w:color="auto"/>
            </w:tcBorders>
            <w:shd w:val="clear" w:color="auto" w:fill="auto"/>
            <w:vAlign w:val="center"/>
            <w:hideMark/>
          </w:tcPr>
          <w:p w14:paraId="1D166313" w14:textId="77777777" w:rsidR="00215C71" w:rsidRPr="00E82C5A" w:rsidRDefault="00215C71" w:rsidP="00215C71">
            <w:pPr>
              <w:spacing w:before="120"/>
              <w:jc w:val="right"/>
              <w:rPr>
                <w:sz w:val="14"/>
                <w:szCs w:val="14"/>
              </w:rPr>
            </w:pPr>
            <w:r w:rsidRPr="00E82C5A">
              <w:rPr>
                <w:sz w:val="14"/>
                <w:szCs w:val="14"/>
              </w:rPr>
              <w:t>508</w:t>
            </w:r>
          </w:p>
        </w:tc>
        <w:tc>
          <w:tcPr>
            <w:tcW w:w="304" w:type="pct"/>
            <w:tcBorders>
              <w:top w:val="nil"/>
              <w:left w:val="nil"/>
              <w:bottom w:val="single" w:sz="4" w:space="0" w:color="auto"/>
              <w:right w:val="single" w:sz="4" w:space="0" w:color="auto"/>
            </w:tcBorders>
            <w:shd w:val="clear" w:color="auto" w:fill="auto"/>
            <w:noWrap/>
            <w:vAlign w:val="center"/>
            <w:hideMark/>
          </w:tcPr>
          <w:p w14:paraId="7EE380E7" w14:textId="77777777" w:rsidR="00215C71" w:rsidRPr="00E82C5A" w:rsidRDefault="00215C71" w:rsidP="00215C71">
            <w:pPr>
              <w:spacing w:before="120"/>
              <w:jc w:val="right"/>
              <w:rPr>
                <w:sz w:val="14"/>
                <w:szCs w:val="14"/>
              </w:rPr>
            </w:pPr>
            <w:r w:rsidRPr="00E82C5A">
              <w:rPr>
                <w:sz w:val="14"/>
                <w:szCs w:val="14"/>
              </w:rPr>
              <w:t>%</w:t>
            </w:r>
          </w:p>
        </w:tc>
        <w:tc>
          <w:tcPr>
            <w:tcW w:w="296" w:type="pct"/>
            <w:tcBorders>
              <w:top w:val="nil"/>
              <w:left w:val="nil"/>
              <w:bottom w:val="single" w:sz="4" w:space="0" w:color="auto"/>
              <w:right w:val="single" w:sz="4" w:space="0" w:color="auto"/>
            </w:tcBorders>
            <w:shd w:val="clear" w:color="auto" w:fill="auto"/>
            <w:noWrap/>
            <w:vAlign w:val="bottom"/>
            <w:hideMark/>
          </w:tcPr>
          <w:p w14:paraId="78D5162D" w14:textId="22ECC433" w:rsidR="00215C71" w:rsidRPr="00E82C5A" w:rsidRDefault="00215C71" w:rsidP="00215C71">
            <w:pPr>
              <w:jc w:val="right"/>
              <w:rPr>
                <w:sz w:val="14"/>
                <w:szCs w:val="14"/>
              </w:rPr>
            </w:pPr>
            <w:r w:rsidRPr="00E82C5A">
              <w:rPr>
                <w:sz w:val="14"/>
                <w:szCs w:val="14"/>
              </w:rPr>
              <w:t>100</w:t>
            </w:r>
          </w:p>
        </w:tc>
        <w:tc>
          <w:tcPr>
            <w:tcW w:w="246" w:type="pct"/>
            <w:tcBorders>
              <w:top w:val="nil"/>
              <w:left w:val="nil"/>
              <w:bottom w:val="single" w:sz="4" w:space="0" w:color="auto"/>
              <w:right w:val="single" w:sz="4" w:space="0" w:color="auto"/>
            </w:tcBorders>
            <w:shd w:val="clear" w:color="auto" w:fill="auto"/>
            <w:noWrap/>
            <w:vAlign w:val="center"/>
            <w:hideMark/>
          </w:tcPr>
          <w:p w14:paraId="21C0AAB8" w14:textId="77777777" w:rsidR="00215C71" w:rsidRPr="00E82C5A" w:rsidRDefault="00215C71" w:rsidP="00215C71">
            <w:pPr>
              <w:spacing w:before="120"/>
              <w:jc w:val="right"/>
              <w:rPr>
                <w:sz w:val="14"/>
                <w:szCs w:val="14"/>
              </w:rPr>
            </w:pPr>
            <w:r w:rsidRPr="00E82C5A">
              <w:rPr>
                <w:sz w:val="14"/>
                <w:szCs w:val="14"/>
              </w:rPr>
              <w:t>100</w:t>
            </w:r>
          </w:p>
        </w:tc>
        <w:tc>
          <w:tcPr>
            <w:tcW w:w="304" w:type="pct"/>
            <w:tcBorders>
              <w:top w:val="nil"/>
              <w:left w:val="nil"/>
              <w:bottom w:val="single" w:sz="4" w:space="0" w:color="auto"/>
              <w:right w:val="single" w:sz="4" w:space="0" w:color="auto"/>
            </w:tcBorders>
            <w:shd w:val="clear" w:color="auto" w:fill="auto"/>
            <w:vAlign w:val="center"/>
            <w:hideMark/>
          </w:tcPr>
          <w:p w14:paraId="77621DBF" w14:textId="77777777" w:rsidR="00215C71" w:rsidRPr="00E82C5A" w:rsidRDefault="00215C71" w:rsidP="00215C71">
            <w:pPr>
              <w:spacing w:before="120"/>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bottom"/>
            <w:hideMark/>
          </w:tcPr>
          <w:p w14:paraId="0A1C1E7A" w14:textId="74E2A4B7" w:rsidR="00215C71" w:rsidRPr="00E82C5A" w:rsidRDefault="00215C71" w:rsidP="00215C71">
            <w:pPr>
              <w:jc w:val="right"/>
              <w:rPr>
                <w:sz w:val="14"/>
                <w:szCs w:val="14"/>
              </w:rPr>
            </w:pPr>
            <w:r w:rsidRPr="00E82C5A">
              <w:rPr>
                <w:sz w:val="14"/>
                <w:szCs w:val="14"/>
              </w:rPr>
              <w:t>5000</w:t>
            </w:r>
          </w:p>
        </w:tc>
        <w:tc>
          <w:tcPr>
            <w:tcW w:w="246" w:type="pct"/>
            <w:tcBorders>
              <w:top w:val="nil"/>
              <w:left w:val="nil"/>
              <w:bottom w:val="single" w:sz="4" w:space="0" w:color="auto"/>
              <w:right w:val="single" w:sz="4" w:space="0" w:color="auto"/>
            </w:tcBorders>
            <w:shd w:val="clear" w:color="auto" w:fill="auto"/>
            <w:vAlign w:val="center"/>
            <w:hideMark/>
          </w:tcPr>
          <w:p w14:paraId="73C9EBFC" w14:textId="77777777" w:rsidR="00215C71" w:rsidRPr="00E82C5A" w:rsidRDefault="00215C71" w:rsidP="00215C71">
            <w:pPr>
              <w:spacing w:before="120"/>
              <w:jc w:val="right"/>
              <w:rPr>
                <w:sz w:val="14"/>
                <w:szCs w:val="14"/>
              </w:rPr>
            </w:pPr>
            <w:r w:rsidRPr="00E82C5A">
              <w:rPr>
                <w:sz w:val="14"/>
                <w:szCs w:val="14"/>
              </w:rPr>
              <w:t>2 702</w:t>
            </w:r>
          </w:p>
        </w:tc>
        <w:tc>
          <w:tcPr>
            <w:tcW w:w="304" w:type="pct"/>
            <w:tcBorders>
              <w:top w:val="nil"/>
              <w:left w:val="nil"/>
              <w:bottom w:val="single" w:sz="4" w:space="0" w:color="auto"/>
              <w:right w:val="single" w:sz="4" w:space="0" w:color="auto"/>
            </w:tcBorders>
            <w:shd w:val="clear" w:color="auto" w:fill="auto"/>
            <w:vAlign w:val="center"/>
            <w:hideMark/>
          </w:tcPr>
          <w:p w14:paraId="246F0F32" w14:textId="77777777" w:rsidR="00215C71" w:rsidRPr="00E82C5A" w:rsidRDefault="00215C71" w:rsidP="00215C71">
            <w:pPr>
              <w:spacing w:before="120"/>
              <w:jc w:val="right"/>
              <w:rPr>
                <w:sz w:val="14"/>
                <w:szCs w:val="14"/>
              </w:rPr>
            </w:pPr>
            <w:r w:rsidRPr="00E82C5A">
              <w:rPr>
                <w:sz w:val="14"/>
                <w:szCs w:val="14"/>
              </w:rPr>
              <w:t>брой</w:t>
            </w:r>
          </w:p>
        </w:tc>
        <w:tc>
          <w:tcPr>
            <w:tcW w:w="296" w:type="pct"/>
            <w:tcBorders>
              <w:top w:val="nil"/>
              <w:left w:val="nil"/>
              <w:bottom w:val="single" w:sz="4" w:space="0" w:color="auto"/>
              <w:right w:val="single" w:sz="4" w:space="0" w:color="auto"/>
            </w:tcBorders>
            <w:shd w:val="clear" w:color="auto" w:fill="auto"/>
            <w:vAlign w:val="bottom"/>
            <w:hideMark/>
          </w:tcPr>
          <w:p w14:paraId="53A6B353" w14:textId="253788AC" w:rsidR="00215C71" w:rsidRPr="00E82C5A" w:rsidRDefault="00215C71" w:rsidP="00215C71">
            <w:pPr>
              <w:jc w:val="right"/>
              <w:rPr>
                <w:sz w:val="14"/>
                <w:szCs w:val="14"/>
              </w:rPr>
            </w:pPr>
            <w:r w:rsidRPr="00E82C5A">
              <w:rPr>
                <w:sz w:val="14"/>
                <w:szCs w:val="14"/>
              </w:rPr>
              <w:t>9</w:t>
            </w:r>
          </w:p>
        </w:tc>
        <w:tc>
          <w:tcPr>
            <w:tcW w:w="246" w:type="pct"/>
            <w:tcBorders>
              <w:top w:val="nil"/>
              <w:left w:val="nil"/>
              <w:bottom w:val="single" w:sz="4" w:space="0" w:color="auto"/>
              <w:right w:val="single" w:sz="4" w:space="0" w:color="auto"/>
            </w:tcBorders>
            <w:shd w:val="clear" w:color="auto" w:fill="auto"/>
            <w:vAlign w:val="center"/>
            <w:hideMark/>
          </w:tcPr>
          <w:p w14:paraId="3D3A5FE7" w14:textId="77777777" w:rsidR="00215C71" w:rsidRPr="00E82C5A" w:rsidRDefault="00215C71" w:rsidP="00215C71">
            <w:pPr>
              <w:spacing w:before="120"/>
              <w:jc w:val="right"/>
              <w:rPr>
                <w:sz w:val="14"/>
                <w:szCs w:val="14"/>
              </w:rPr>
            </w:pPr>
            <w:r w:rsidRPr="00E82C5A">
              <w:rPr>
                <w:sz w:val="14"/>
                <w:szCs w:val="14"/>
              </w:rPr>
              <w:t>8</w:t>
            </w:r>
          </w:p>
        </w:tc>
        <w:tc>
          <w:tcPr>
            <w:tcW w:w="104" w:type="pct"/>
            <w:vAlign w:val="center"/>
            <w:hideMark/>
          </w:tcPr>
          <w:p w14:paraId="037DF837" w14:textId="77777777" w:rsidR="00215C71" w:rsidRDefault="00215C71" w:rsidP="00215C71">
            <w:pPr>
              <w:spacing w:before="120"/>
              <w:rPr>
                <w:sz w:val="20"/>
                <w:szCs w:val="20"/>
              </w:rPr>
            </w:pPr>
          </w:p>
        </w:tc>
      </w:tr>
    </w:tbl>
    <w:p w14:paraId="0E133A13" w14:textId="77777777" w:rsidR="00AA17C3" w:rsidRDefault="00AA17C3" w:rsidP="0052606D">
      <w:pPr>
        <w:shd w:val="clear" w:color="auto" w:fill="FFFFFF" w:themeFill="background1"/>
        <w:autoSpaceDE w:val="0"/>
        <w:autoSpaceDN w:val="0"/>
        <w:adjustRightInd w:val="0"/>
        <w:spacing w:before="120" w:after="120"/>
        <w:ind w:firstLine="425"/>
        <w:jc w:val="both"/>
        <w:rPr>
          <w:b/>
          <w:color w:val="215E99" w:themeColor="text2" w:themeTint="BF"/>
          <w:sz w:val="22"/>
          <w:szCs w:val="22"/>
        </w:rPr>
      </w:pPr>
    </w:p>
    <w:p w14:paraId="5B63C341" w14:textId="12A7B11D" w:rsidR="00237285" w:rsidRPr="0052606D" w:rsidRDefault="00237285" w:rsidP="0052606D">
      <w:pPr>
        <w:shd w:val="clear" w:color="auto" w:fill="FFFFFF" w:themeFill="background1"/>
        <w:autoSpaceDE w:val="0"/>
        <w:autoSpaceDN w:val="0"/>
        <w:adjustRightInd w:val="0"/>
        <w:spacing w:before="120" w:after="120"/>
        <w:ind w:firstLine="425"/>
        <w:jc w:val="both"/>
        <w:rPr>
          <w:b/>
          <w:color w:val="215E99" w:themeColor="text2" w:themeTint="BF"/>
          <w:sz w:val="22"/>
          <w:szCs w:val="22"/>
        </w:rPr>
      </w:pPr>
      <w:r w:rsidRPr="0052606D">
        <w:rPr>
          <w:b/>
          <w:color w:val="215E99" w:themeColor="text2" w:themeTint="BF"/>
          <w:sz w:val="22"/>
          <w:szCs w:val="22"/>
        </w:rPr>
        <w:t>Източници на информацията за данните по показателите за полза/ефект</w:t>
      </w:r>
    </w:p>
    <w:p w14:paraId="1D467DF7" w14:textId="77777777" w:rsidR="00237285" w:rsidRDefault="00237285" w:rsidP="0052606D">
      <w:pPr>
        <w:shd w:val="clear" w:color="auto" w:fill="FFFFFF" w:themeFill="background1"/>
        <w:autoSpaceDE w:val="0"/>
        <w:autoSpaceDN w:val="0"/>
        <w:adjustRightInd w:val="0"/>
        <w:spacing w:after="120"/>
        <w:ind w:firstLine="425"/>
        <w:jc w:val="both"/>
        <w:rPr>
          <w:sz w:val="22"/>
          <w:szCs w:val="22"/>
        </w:rPr>
      </w:pPr>
      <w:r w:rsidRPr="002E4989">
        <w:rPr>
          <w:sz w:val="22"/>
          <w:szCs w:val="22"/>
        </w:rPr>
        <w:t>Информацията за данните по показателите за полза/ефект е налична в областните администрации.</w:t>
      </w:r>
    </w:p>
    <w:p w14:paraId="345B2F0B" w14:textId="7475F661" w:rsidR="00237285" w:rsidRPr="0052606D" w:rsidRDefault="00237285" w:rsidP="00AA17C3">
      <w:pPr>
        <w:ind w:firstLine="426"/>
        <w:rPr>
          <w:b/>
          <w:color w:val="215E99" w:themeColor="text2" w:themeTint="BF"/>
          <w:sz w:val="22"/>
          <w:szCs w:val="22"/>
        </w:rPr>
      </w:pPr>
      <w:r w:rsidRPr="0052606D">
        <w:rPr>
          <w:b/>
          <w:color w:val="215E99" w:themeColor="text2" w:themeTint="BF"/>
          <w:sz w:val="22"/>
          <w:szCs w:val="22"/>
        </w:rPr>
        <w:t>Отговорност за изпълнение на целите в съответната област на политика</w:t>
      </w:r>
    </w:p>
    <w:p w14:paraId="29288952" w14:textId="77777777" w:rsidR="00237285" w:rsidRPr="002E4989" w:rsidRDefault="00237285" w:rsidP="0052606D">
      <w:pPr>
        <w:shd w:val="clear" w:color="auto" w:fill="FFFFFF" w:themeFill="background1"/>
        <w:autoSpaceDE w:val="0"/>
        <w:autoSpaceDN w:val="0"/>
        <w:adjustRightInd w:val="0"/>
        <w:ind w:firstLine="425"/>
        <w:jc w:val="both"/>
        <w:rPr>
          <w:sz w:val="22"/>
          <w:szCs w:val="22"/>
        </w:rPr>
      </w:pPr>
      <w:r w:rsidRPr="002E4989">
        <w:rPr>
          <w:sz w:val="22"/>
          <w:szCs w:val="22"/>
        </w:rPr>
        <w:t xml:space="preserve">При изпълнението на целите на политиката участват всички 28 областни управители и техните администрации. За постигането на ползите/ефектите за обществото по провежданата политика, </w:t>
      </w:r>
      <w:r w:rsidRPr="002E4989">
        <w:rPr>
          <w:sz w:val="22"/>
          <w:szCs w:val="22"/>
        </w:rPr>
        <w:lastRenderedPageBreak/>
        <w:t>освен областните администрации, принос имат и отделни органи на централната изпълнителна власт и техните териториални звена.</w:t>
      </w:r>
    </w:p>
    <w:p w14:paraId="1328DDD7" w14:textId="77777777" w:rsidR="00237285" w:rsidRPr="0052606D" w:rsidRDefault="00237285" w:rsidP="0052606D">
      <w:pPr>
        <w:shd w:val="clear" w:color="auto" w:fill="FFFFFF" w:themeFill="background1"/>
        <w:autoSpaceDE w:val="0"/>
        <w:autoSpaceDN w:val="0"/>
        <w:adjustRightInd w:val="0"/>
        <w:spacing w:before="120"/>
        <w:ind w:firstLine="425"/>
        <w:jc w:val="both"/>
        <w:rPr>
          <w:b/>
          <w:color w:val="215E99" w:themeColor="text2" w:themeTint="BF"/>
          <w:sz w:val="22"/>
          <w:szCs w:val="22"/>
        </w:rPr>
      </w:pPr>
      <w:r w:rsidRPr="0052606D">
        <w:rPr>
          <w:b/>
          <w:color w:val="215E99" w:themeColor="text2" w:themeTint="BF"/>
          <w:sz w:val="22"/>
          <w:szCs w:val="22"/>
        </w:rPr>
        <w:t>Преглед на настъпили промени на нормативната уредба през отчетния период</w:t>
      </w:r>
    </w:p>
    <w:p w14:paraId="21D34CC9" w14:textId="77777777" w:rsidR="00237285" w:rsidRPr="002E4989" w:rsidRDefault="00237285" w:rsidP="0052606D">
      <w:pPr>
        <w:shd w:val="clear" w:color="auto" w:fill="FFFFFF" w:themeFill="background1"/>
        <w:autoSpaceDE w:val="0"/>
        <w:autoSpaceDN w:val="0"/>
        <w:adjustRightInd w:val="0"/>
        <w:spacing w:after="240"/>
        <w:ind w:firstLine="425"/>
        <w:jc w:val="both"/>
        <w:rPr>
          <w:sz w:val="22"/>
          <w:szCs w:val="22"/>
        </w:rPr>
      </w:pPr>
      <w:r w:rsidRPr="002E4989">
        <w:rPr>
          <w:sz w:val="22"/>
          <w:szCs w:val="22"/>
        </w:rPr>
        <w:t>През отчетния период от 01.01.2025 г. до 30.06.2025 г. функции и отговорности на областния управител са регламентирани в повече от 120 нормативни акта – общи и специални. В голяма част от тях липсва обвързаност между възложените функции и отговорности и тяхното ресурсно и кадрово осигуряване. Приемането на нови или промяната на действащи нормативни актове, които възлагат отговорности на областните управители следва да се извършва при ясно регламентиран за целта механизъм.</w:t>
      </w:r>
    </w:p>
    <w:p w14:paraId="5C3C2377" w14:textId="77777777" w:rsidR="00AC056E" w:rsidRPr="00667B09" w:rsidRDefault="00F232EC" w:rsidP="00FE5CDF">
      <w:pPr>
        <w:pStyle w:val="Heading1"/>
      </w:pPr>
      <w:r w:rsidRPr="00667B09">
        <w:t>7</w:t>
      </w:r>
      <w:r w:rsidR="00AC056E" w:rsidRPr="00667B09">
        <w:t>.</w:t>
      </w:r>
      <w:r w:rsidR="0004162E" w:rsidRPr="00667B09">
        <w:t xml:space="preserve"> </w:t>
      </w:r>
      <w:r w:rsidR="00AC056E" w:rsidRPr="00667B09">
        <w:t>Преглед на изпълнението на</w:t>
      </w:r>
      <w:r w:rsidR="00AC056E" w:rsidRPr="00667B09">
        <w:rPr>
          <w:sz w:val="18"/>
          <w:szCs w:val="18"/>
        </w:rPr>
        <w:t xml:space="preserve"> </w:t>
      </w:r>
      <w:r w:rsidR="00AC056E" w:rsidRPr="00667B09">
        <w:t>политиката в областта</w:t>
      </w:r>
      <w:r w:rsidR="00BF2F01" w:rsidRPr="00667B09">
        <w:t xml:space="preserve"> на правото на вероизповедание</w:t>
      </w:r>
    </w:p>
    <w:p w14:paraId="59C8BC1C" w14:textId="3FD318B8" w:rsidR="00756BFE" w:rsidRPr="005C1186" w:rsidRDefault="00756BFE" w:rsidP="00560B4D">
      <w:pPr>
        <w:widowControl w:val="0"/>
        <w:shd w:val="clear" w:color="auto" w:fill="FFFFFF" w:themeFill="background1"/>
        <w:tabs>
          <w:tab w:val="num" w:pos="426"/>
        </w:tabs>
        <w:ind w:firstLine="425"/>
        <w:jc w:val="both"/>
        <w:outlineLvl w:val="3"/>
        <w:rPr>
          <w:b/>
          <w:bCs/>
          <w:color w:val="215E99" w:themeColor="text2" w:themeTint="BF"/>
          <w:sz w:val="22"/>
          <w:szCs w:val="22"/>
          <w:lang w:eastAsia="en-US"/>
        </w:rPr>
      </w:pPr>
      <w:r w:rsidRPr="005C1186">
        <w:rPr>
          <w:b/>
          <w:bCs/>
          <w:color w:val="215E99" w:themeColor="text2" w:themeTint="BF"/>
          <w:sz w:val="22"/>
          <w:szCs w:val="22"/>
          <w:lang w:eastAsia="en-US"/>
        </w:rPr>
        <w:t>Описание на степента на изпълнение на заложените стратегически и оперативни цели, допринасящи за нейното постигане</w:t>
      </w:r>
    </w:p>
    <w:p w14:paraId="311E2D70" w14:textId="516F923B" w:rsidR="005C1186" w:rsidRPr="00784040" w:rsidRDefault="005C1186" w:rsidP="00560B4D">
      <w:pPr>
        <w:shd w:val="clear" w:color="auto" w:fill="FFFFFF" w:themeFill="background1"/>
        <w:tabs>
          <w:tab w:val="left" w:pos="0"/>
          <w:tab w:val="left" w:pos="360"/>
        </w:tabs>
        <w:ind w:left="10" w:firstLine="416"/>
        <w:jc w:val="both"/>
        <w:rPr>
          <w:sz w:val="22"/>
          <w:szCs w:val="22"/>
          <w:highlight w:val="yellow"/>
        </w:rPr>
      </w:pPr>
      <w:r w:rsidRPr="005C1186">
        <w:rPr>
          <w:sz w:val="22"/>
          <w:szCs w:val="22"/>
        </w:rPr>
        <w:t>Законодателството</w:t>
      </w:r>
      <w:r w:rsidRPr="00784040">
        <w:rPr>
          <w:sz w:val="22"/>
          <w:szCs w:val="22"/>
        </w:rPr>
        <w:t xml:space="preserve"> на страната ни в областта на вероизповеданията е едно от най-новите и демократични в Европейския съюз</w:t>
      </w:r>
      <w:r>
        <w:rPr>
          <w:sz w:val="22"/>
          <w:szCs w:val="22"/>
        </w:rPr>
        <w:t xml:space="preserve">. </w:t>
      </w:r>
      <w:r w:rsidRPr="00784040">
        <w:rPr>
          <w:sz w:val="22"/>
          <w:szCs w:val="22"/>
        </w:rPr>
        <w:t>Провежданата политика на държавата в тази насока, по същество, не се нуждае от корекции. В края на 2018 г. бяха приети изменения и допълнения на Закона за вероизповеданията (Държавен вестник, бр. 108 от 29.12.2018 г.), с които се създаде принципно нов механизъм за субсидиране на вероизповеданията. Разпределението на държавната субсидия се одобрява ежегодно със Закона за държавния бюджет на Република България в зависимост от броя на самоопределилите се лица към съответното вероизповедание на базата на преброяването на населението по данни на Националния статистически институт. Размерът на средствата на едно самоопреде</w:t>
      </w:r>
      <w:r w:rsidR="00560B4D">
        <w:rPr>
          <w:sz w:val="22"/>
          <w:szCs w:val="22"/>
        </w:rPr>
        <w:t>лило се лице е не по-малък от 20</w:t>
      </w:r>
      <w:r w:rsidRPr="00784040">
        <w:rPr>
          <w:sz w:val="22"/>
          <w:szCs w:val="22"/>
        </w:rPr>
        <w:t xml:space="preserve"> лв. За вероизповеданията, за които има самоопределили се лица над едно на сто, по последното преброяване на НСИ, се предвиждат и текущи разходи. Философията на законодателя е, че така основно ще бъде подпомогната дейността по удовлетворяване на религиозните потребности на българските граждани.</w:t>
      </w:r>
    </w:p>
    <w:p w14:paraId="5DE0AD8D" w14:textId="77777777" w:rsidR="00492484" w:rsidRPr="00492484" w:rsidRDefault="00492484" w:rsidP="00560B4D">
      <w:pPr>
        <w:widowControl w:val="0"/>
        <w:shd w:val="clear" w:color="auto" w:fill="FFFFFF" w:themeFill="background1"/>
        <w:tabs>
          <w:tab w:val="num" w:pos="426"/>
        </w:tabs>
        <w:spacing w:before="120"/>
        <w:ind w:firstLine="425"/>
        <w:jc w:val="both"/>
        <w:outlineLvl w:val="3"/>
        <w:rPr>
          <w:b/>
          <w:bCs/>
          <w:color w:val="215E99" w:themeColor="text2" w:themeTint="BF"/>
          <w:sz w:val="22"/>
          <w:szCs w:val="22"/>
          <w:lang w:eastAsia="en-US"/>
        </w:rPr>
      </w:pPr>
      <w:r w:rsidRPr="00492484">
        <w:rPr>
          <w:b/>
          <w:bCs/>
          <w:color w:val="215E99" w:themeColor="text2" w:themeTint="BF"/>
          <w:sz w:val="22"/>
          <w:szCs w:val="22"/>
          <w:lang w:eastAsia="en-US"/>
        </w:rPr>
        <w:t>Описание на степента на достигане на очакваната полза/ефект за обществото от постигането на стратегическата цел за съответната област на политика:</w:t>
      </w:r>
    </w:p>
    <w:p w14:paraId="32C1DE92" w14:textId="77777777" w:rsidR="00A66800" w:rsidRPr="00A66800" w:rsidRDefault="00A66800" w:rsidP="00560B4D">
      <w:pPr>
        <w:shd w:val="clear" w:color="auto" w:fill="FFFFFF" w:themeFill="background1"/>
        <w:tabs>
          <w:tab w:val="left" w:pos="0"/>
        </w:tabs>
        <w:spacing w:after="120"/>
        <w:ind w:firstLine="426"/>
        <w:contextualSpacing/>
        <w:jc w:val="both"/>
        <w:rPr>
          <w:b/>
          <w:i/>
          <w:sz w:val="22"/>
          <w:szCs w:val="22"/>
        </w:rPr>
      </w:pPr>
      <w:r w:rsidRPr="00A66800">
        <w:rPr>
          <w:b/>
          <w:i/>
          <w:sz w:val="22"/>
          <w:szCs w:val="22"/>
        </w:rPr>
        <w:t>Стратегически и оперативни цели</w:t>
      </w:r>
    </w:p>
    <w:p w14:paraId="52845138" w14:textId="2BC02A67" w:rsidR="00A66800" w:rsidRPr="00A66800" w:rsidRDefault="00A66800" w:rsidP="00560B4D">
      <w:pPr>
        <w:shd w:val="clear" w:color="auto" w:fill="FFFFFF" w:themeFill="background1"/>
        <w:spacing w:after="120"/>
        <w:ind w:firstLine="426"/>
        <w:jc w:val="both"/>
        <w:rPr>
          <w:sz w:val="22"/>
          <w:szCs w:val="22"/>
        </w:rPr>
      </w:pPr>
      <w:r w:rsidRPr="00A66800">
        <w:rPr>
          <w:sz w:val="22"/>
          <w:szCs w:val="22"/>
        </w:rPr>
        <w:t>Съобразно поставените стратегически и оперативни цели за осъществяването на политиката в областта на правото на вероизповедание в страната се наблюдава свободно и безпрепятствено упражняване на правото на вероизповедание и търпимост и уважение между вярващите от различните вероизповедания, както и между вярващи и невярващи.</w:t>
      </w:r>
    </w:p>
    <w:p w14:paraId="041FBFB0" w14:textId="04CCC136" w:rsidR="00A66800" w:rsidRPr="00A66800" w:rsidRDefault="00A66800" w:rsidP="00560B4D">
      <w:pPr>
        <w:shd w:val="clear" w:color="auto" w:fill="FFFFFF" w:themeFill="background1"/>
        <w:tabs>
          <w:tab w:val="left" w:pos="0"/>
        </w:tabs>
        <w:spacing w:after="120"/>
        <w:ind w:firstLine="425"/>
        <w:contextualSpacing/>
        <w:jc w:val="both"/>
        <w:rPr>
          <w:sz w:val="22"/>
          <w:szCs w:val="22"/>
        </w:rPr>
      </w:pPr>
      <w:r w:rsidRPr="00A66800">
        <w:rPr>
          <w:b/>
          <w:i/>
          <w:sz w:val="22"/>
          <w:szCs w:val="22"/>
        </w:rPr>
        <w:t>Полза/ефект за обществото</w:t>
      </w:r>
    </w:p>
    <w:p w14:paraId="51096A0D" w14:textId="42D70674" w:rsidR="00A66800" w:rsidRPr="00A66800" w:rsidRDefault="00A66800" w:rsidP="00560B4D">
      <w:pPr>
        <w:shd w:val="clear" w:color="auto" w:fill="FFFFFF" w:themeFill="background1"/>
        <w:ind w:firstLine="426"/>
        <w:jc w:val="both"/>
        <w:rPr>
          <w:sz w:val="22"/>
          <w:szCs w:val="22"/>
        </w:rPr>
      </w:pPr>
      <w:r w:rsidRPr="00A66800">
        <w:rPr>
          <w:sz w:val="22"/>
          <w:szCs w:val="22"/>
        </w:rPr>
        <w:t>Вследствие на планираната и провеждана политика на българското правителство в областта на вероизповеданията е налице свободно упражняване на правото на вероизповедание, което се изразява в независимо администриране на вътрешноорганизационния живот и богослужебната дейност на различните религиозни общности и възможността всеки гражданин, съобразно своите вътрешни убеждения, сам да избира религиозната си принадлежност, както и възможността да откаже такава.</w:t>
      </w:r>
    </w:p>
    <w:p w14:paraId="71364784" w14:textId="77777777" w:rsidR="00A66800" w:rsidRPr="00A66800" w:rsidRDefault="00A66800" w:rsidP="00560B4D">
      <w:pPr>
        <w:shd w:val="clear" w:color="auto" w:fill="FFFFFF" w:themeFill="background1"/>
        <w:ind w:firstLine="426"/>
        <w:jc w:val="both"/>
        <w:rPr>
          <w:sz w:val="22"/>
          <w:szCs w:val="22"/>
        </w:rPr>
      </w:pPr>
      <w:r w:rsidRPr="00A66800">
        <w:rPr>
          <w:sz w:val="22"/>
          <w:szCs w:val="22"/>
        </w:rPr>
        <w:t xml:space="preserve">Наред с това, чрез тази политика се осигури икономическата независимост на вероизповеданията със статут на юридически лица. Много от тях разкриха лечебни, социални и образователни заведения, което им даде възможност за организирането на благотворителни инициативи и осъществяването на социални програми. </w:t>
      </w:r>
    </w:p>
    <w:p w14:paraId="4A628824" w14:textId="21002A58" w:rsidR="00A66800" w:rsidRPr="00A66800" w:rsidRDefault="00A66800" w:rsidP="00560B4D">
      <w:pPr>
        <w:shd w:val="clear" w:color="auto" w:fill="FFFFFF" w:themeFill="background1"/>
        <w:ind w:firstLine="426"/>
        <w:jc w:val="both"/>
        <w:rPr>
          <w:sz w:val="22"/>
          <w:szCs w:val="22"/>
        </w:rPr>
      </w:pPr>
      <w:r w:rsidRPr="00A66800">
        <w:rPr>
          <w:sz w:val="22"/>
          <w:szCs w:val="22"/>
        </w:rPr>
        <w:t xml:space="preserve">Всичко това позволи на религиозните институции да формират една активна позиция при решаване на въпроси от важно обществено значение, което доведе до постигането на диалогичност между тях и гражданското общество от една страна и администрацията от друга. </w:t>
      </w:r>
    </w:p>
    <w:p w14:paraId="410DAA37" w14:textId="5FDA0049" w:rsidR="00A66800" w:rsidRPr="00A66800" w:rsidRDefault="00A66800" w:rsidP="00A453B0">
      <w:pPr>
        <w:shd w:val="clear" w:color="auto" w:fill="FFFFFF" w:themeFill="background1"/>
        <w:ind w:firstLine="425"/>
        <w:jc w:val="both"/>
        <w:rPr>
          <w:sz w:val="22"/>
          <w:szCs w:val="22"/>
        </w:rPr>
      </w:pPr>
      <w:r w:rsidRPr="00A66800">
        <w:rPr>
          <w:sz w:val="22"/>
          <w:szCs w:val="22"/>
        </w:rPr>
        <w:t xml:space="preserve">Тези измерения на държавната политика по отношение на правото на вероизповедание позволяват да се продължи историческата традиция на религиозна толерантност в българското общество, както и да се затвърди добрия образ на българската държава пред Европейския съюз и международната общност. </w:t>
      </w:r>
    </w:p>
    <w:p w14:paraId="12374D94" w14:textId="77777777" w:rsidR="00A66800" w:rsidRPr="00BB2397" w:rsidRDefault="00A66800" w:rsidP="00560B4D">
      <w:pPr>
        <w:widowControl w:val="0"/>
        <w:shd w:val="clear" w:color="auto" w:fill="FFFFFF" w:themeFill="background1"/>
        <w:tabs>
          <w:tab w:val="num" w:pos="426"/>
        </w:tabs>
        <w:ind w:firstLine="425"/>
        <w:jc w:val="both"/>
        <w:outlineLvl w:val="3"/>
        <w:rPr>
          <w:b/>
          <w:bCs/>
          <w:color w:val="215E99" w:themeColor="text2" w:themeTint="BF"/>
          <w:sz w:val="22"/>
          <w:szCs w:val="22"/>
          <w:lang w:eastAsia="en-US"/>
        </w:rPr>
      </w:pPr>
      <w:r w:rsidRPr="00A66800">
        <w:rPr>
          <w:sz w:val="22"/>
          <w:szCs w:val="22"/>
        </w:rPr>
        <w:lastRenderedPageBreak/>
        <w:tab/>
      </w:r>
      <w:r w:rsidRPr="00BB2397">
        <w:rPr>
          <w:b/>
          <w:bCs/>
          <w:color w:val="215E99" w:themeColor="text2" w:themeTint="BF"/>
          <w:sz w:val="22"/>
          <w:szCs w:val="22"/>
          <w:lang w:eastAsia="en-US"/>
        </w:rPr>
        <w:t>Взаимоотношения с други институции, допринасящи за изпълнение на политиката</w:t>
      </w:r>
    </w:p>
    <w:p w14:paraId="6AC1B089" w14:textId="615C696A" w:rsidR="005C1186" w:rsidRPr="00492484" w:rsidRDefault="00A66800" w:rsidP="00560B4D">
      <w:pPr>
        <w:shd w:val="clear" w:color="auto" w:fill="FFFFFF" w:themeFill="background1"/>
        <w:spacing w:after="240"/>
        <w:ind w:firstLine="426"/>
        <w:jc w:val="both"/>
        <w:rPr>
          <w:sz w:val="22"/>
          <w:szCs w:val="22"/>
        </w:rPr>
      </w:pPr>
      <w:r w:rsidRPr="00A66800">
        <w:rPr>
          <w:sz w:val="22"/>
          <w:szCs w:val="22"/>
        </w:rPr>
        <w:t>Постигнатите добри резултати от осъществяването на тази политика не биха били възможни без логистичната помощ, експертната подкрепа и активната дейност на колегите от Министерството на финансите, М</w:t>
      </w:r>
      <w:r w:rsidR="00192CAC">
        <w:rPr>
          <w:sz w:val="22"/>
          <w:szCs w:val="22"/>
        </w:rPr>
        <w:t>инистерството на вътрешните работи</w:t>
      </w:r>
      <w:r w:rsidRPr="00A66800">
        <w:rPr>
          <w:sz w:val="22"/>
          <w:szCs w:val="22"/>
        </w:rPr>
        <w:t>, М</w:t>
      </w:r>
      <w:r w:rsidR="00192CAC">
        <w:rPr>
          <w:sz w:val="22"/>
          <w:szCs w:val="22"/>
        </w:rPr>
        <w:t>инистерството на външните работи</w:t>
      </w:r>
      <w:r w:rsidRPr="00A66800">
        <w:rPr>
          <w:sz w:val="22"/>
          <w:szCs w:val="22"/>
        </w:rPr>
        <w:t>, Министерството на правосъдието, Министерството на регионалното развитие, Министерство на земеделието, Министерство на образованието и науката, Прокуратурата на Република България, Софийски градски съд, Комисията по правата на човека, вероизповеданията и жалбите на гражданите на НС, Омбудсмана на Република България, Агенцията за закрила на детето, Държавната агенция „Национална сигурност“, Комисията за защита от дискриминация, областните и общинските администрации и регистрираните религиозни институции в страната.</w:t>
      </w:r>
    </w:p>
    <w:p w14:paraId="4B202F53" w14:textId="77777777" w:rsidR="00A2061C" w:rsidRPr="00667B09" w:rsidRDefault="00345515" w:rsidP="00FE5CDF">
      <w:pPr>
        <w:pStyle w:val="Heading1"/>
      </w:pPr>
      <w:r w:rsidRPr="00667B09">
        <w:t>8</w:t>
      </w:r>
      <w:r w:rsidR="00A2061C" w:rsidRPr="00667B09">
        <w:t>.</w:t>
      </w:r>
      <w:r w:rsidR="0004162E" w:rsidRPr="00667B09">
        <w:t xml:space="preserve"> </w:t>
      </w:r>
      <w:r w:rsidR="00A2061C" w:rsidRPr="00667B09">
        <w:t>Преглед на изпълнението на</w:t>
      </w:r>
      <w:r w:rsidR="00A2061C" w:rsidRPr="00667B09">
        <w:rPr>
          <w:sz w:val="18"/>
          <w:szCs w:val="18"/>
        </w:rPr>
        <w:t xml:space="preserve"> </w:t>
      </w:r>
      <w:r w:rsidR="00A2061C" w:rsidRPr="00667B09">
        <w:t xml:space="preserve">политиката в областта на </w:t>
      </w:r>
      <w:r w:rsidR="00BD111E" w:rsidRPr="00667B09">
        <w:t>архивното дело</w:t>
      </w:r>
    </w:p>
    <w:p w14:paraId="054CE125" w14:textId="77777777" w:rsidR="00BD304A" w:rsidRPr="00F321E9" w:rsidRDefault="00BD304A" w:rsidP="00560B4D">
      <w:pPr>
        <w:widowControl w:val="0"/>
        <w:shd w:val="clear" w:color="auto" w:fill="FFFFFF" w:themeFill="background1"/>
        <w:tabs>
          <w:tab w:val="num" w:pos="426"/>
        </w:tabs>
        <w:ind w:firstLine="425"/>
        <w:jc w:val="both"/>
        <w:outlineLvl w:val="3"/>
        <w:rPr>
          <w:b/>
          <w:bCs/>
          <w:color w:val="215E99" w:themeColor="text2" w:themeTint="BF"/>
          <w:sz w:val="22"/>
          <w:szCs w:val="22"/>
          <w:lang w:eastAsia="en-US"/>
        </w:rPr>
      </w:pPr>
      <w:r w:rsidRPr="00F321E9">
        <w:rPr>
          <w:b/>
          <w:bCs/>
          <w:color w:val="215E99" w:themeColor="text2" w:themeTint="BF"/>
          <w:sz w:val="22"/>
          <w:szCs w:val="22"/>
          <w:lang w:eastAsia="en-US"/>
        </w:rPr>
        <w:t>Описание на степента на изпълнение на заложените стратегически и оперативни цели, допринасящи за нейното постигане</w:t>
      </w:r>
    </w:p>
    <w:p w14:paraId="704785F8" w14:textId="31C011B0" w:rsidR="00F321E9" w:rsidRDefault="00F321E9" w:rsidP="00560B4D">
      <w:pPr>
        <w:shd w:val="clear" w:color="auto" w:fill="FFFFFF" w:themeFill="background1"/>
        <w:ind w:firstLine="426"/>
        <w:jc w:val="both"/>
        <w:rPr>
          <w:sz w:val="22"/>
          <w:szCs w:val="22"/>
        </w:rPr>
      </w:pPr>
      <w:r w:rsidRPr="00E76E0E">
        <w:rPr>
          <w:sz w:val="22"/>
          <w:szCs w:val="22"/>
        </w:rPr>
        <w:t>Държавна агенция „Архиви” провежда политиката на държавата в областта на комплектуването, експертизата на ценността, опазването, съхраняването, използването и популяризирането на НАФ, развитието и усъвършенстването на архивната теория и практика. Дейността на Агенцията се извършва съобразно нормативно определените й функции от Закона за НАФ и е насочена за реализиране на заложените цели в Стратегия на Държавна агенция „Архиви” за 01.07.2021</w:t>
      </w:r>
      <w:r w:rsidR="00AA066E">
        <w:rPr>
          <w:sz w:val="22"/>
          <w:szCs w:val="22"/>
        </w:rPr>
        <w:t xml:space="preserve"> </w:t>
      </w:r>
      <w:r w:rsidRPr="00E76E0E">
        <w:rPr>
          <w:sz w:val="22"/>
          <w:szCs w:val="22"/>
          <w:lang w:val="ru-RU"/>
        </w:rPr>
        <w:t>–</w:t>
      </w:r>
      <w:r w:rsidR="00AA066E">
        <w:rPr>
          <w:sz w:val="22"/>
          <w:szCs w:val="22"/>
          <w:lang w:val="ru-RU"/>
        </w:rPr>
        <w:t xml:space="preserve"> </w:t>
      </w:r>
      <w:r w:rsidRPr="00E76E0E">
        <w:rPr>
          <w:sz w:val="22"/>
          <w:szCs w:val="22"/>
          <w:lang w:val="ru-RU"/>
        </w:rPr>
        <w:t>31.12.</w:t>
      </w:r>
      <w:r w:rsidRPr="00E76E0E">
        <w:rPr>
          <w:sz w:val="22"/>
          <w:szCs w:val="22"/>
        </w:rPr>
        <w:t xml:space="preserve">2026 г. </w:t>
      </w:r>
    </w:p>
    <w:p w14:paraId="2D01B5AC" w14:textId="04A24CAD" w:rsidR="00A77C1E" w:rsidRPr="00AA066E" w:rsidRDefault="00A77C1E" w:rsidP="00560B4D">
      <w:pPr>
        <w:widowControl w:val="0"/>
        <w:shd w:val="clear" w:color="auto" w:fill="FFFFFF" w:themeFill="background1"/>
        <w:tabs>
          <w:tab w:val="num" w:pos="426"/>
        </w:tabs>
        <w:spacing w:after="120"/>
        <w:ind w:firstLine="425"/>
        <w:jc w:val="both"/>
        <w:outlineLvl w:val="3"/>
        <w:rPr>
          <w:b/>
          <w:bCs/>
          <w:color w:val="215E99" w:themeColor="text2" w:themeTint="BF"/>
          <w:sz w:val="22"/>
          <w:szCs w:val="22"/>
          <w:lang w:eastAsia="en-US"/>
        </w:rPr>
      </w:pPr>
      <w:r w:rsidRPr="00AA066E">
        <w:rPr>
          <w:b/>
          <w:bCs/>
          <w:color w:val="215E99" w:themeColor="text2" w:themeTint="BF"/>
          <w:sz w:val="22"/>
          <w:szCs w:val="22"/>
          <w:lang w:eastAsia="en-US"/>
        </w:rPr>
        <w:t xml:space="preserve">Стратегически цели от Стратегията на ДАА за периода </w:t>
      </w:r>
      <w:r w:rsidR="00AA066E" w:rsidRPr="00AA066E">
        <w:rPr>
          <w:b/>
          <w:bCs/>
          <w:color w:val="215E99" w:themeColor="text2" w:themeTint="BF"/>
          <w:sz w:val="22"/>
          <w:szCs w:val="22"/>
          <w:lang w:eastAsia="en-US"/>
        </w:rPr>
        <w:t>0</w:t>
      </w:r>
      <w:r w:rsidRPr="00AA066E">
        <w:rPr>
          <w:b/>
          <w:bCs/>
          <w:color w:val="215E99" w:themeColor="text2" w:themeTint="BF"/>
          <w:sz w:val="22"/>
          <w:szCs w:val="22"/>
          <w:lang w:eastAsia="en-US"/>
        </w:rPr>
        <w:t>1.07.2021</w:t>
      </w:r>
      <w:r w:rsidR="00AA066E" w:rsidRPr="00AA066E">
        <w:rPr>
          <w:b/>
          <w:bCs/>
          <w:color w:val="215E99" w:themeColor="text2" w:themeTint="BF"/>
          <w:sz w:val="22"/>
          <w:szCs w:val="22"/>
          <w:lang w:eastAsia="en-US"/>
        </w:rPr>
        <w:t xml:space="preserve"> – </w:t>
      </w:r>
      <w:r w:rsidRPr="00AA066E">
        <w:rPr>
          <w:b/>
          <w:bCs/>
          <w:color w:val="215E99" w:themeColor="text2" w:themeTint="BF"/>
          <w:sz w:val="22"/>
          <w:szCs w:val="22"/>
          <w:lang w:eastAsia="en-US"/>
        </w:rPr>
        <w:t>31.12.2026 г.</w:t>
      </w:r>
    </w:p>
    <w:p w14:paraId="35A353D6" w14:textId="6A4F58ED" w:rsidR="00FE13F4" w:rsidRPr="00667B09" w:rsidRDefault="001B4131" w:rsidP="00A453B0">
      <w:pPr>
        <w:spacing w:before="120" w:after="120"/>
        <w:ind w:firstLine="426"/>
        <w:jc w:val="center"/>
        <w:rPr>
          <w:noProof/>
          <w:sz w:val="22"/>
          <w:szCs w:val="22"/>
        </w:rPr>
      </w:pPr>
      <w:r w:rsidRPr="00667B09">
        <w:rPr>
          <w:noProof/>
          <w:sz w:val="22"/>
          <w:szCs w:val="22"/>
        </w:rPr>
        <w:drawing>
          <wp:inline distT="0" distB="0" distL="0" distR="0" wp14:anchorId="65DBAF5D" wp14:editId="5148E3D3">
            <wp:extent cx="5572125" cy="3688080"/>
            <wp:effectExtent l="0" t="0" r="9525" b="7620"/>
            <wp:docPr id="5" name="Picture 2" descr="C:\Users\ipaskova\Desktop\otchet_DAA_2021\Strategy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paskova\Desktop\otchet_DAA_2021\Strategy FINA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72125" cy="3688080"/>
                    </a:xfrm>
                    <a:prstGeom prst="rect">
                      <a:avLst/>
                    </a:prstGeom>
                    <a:noFill/>
                    <a:ln>
                      <a:noFill/>
                    </a:ln>
                  </pic:spPr>
                </pic:pic>
              </a:graphicData>
            </a:graphic>
          </wp:inline>
        </w:drawing>
      </w:r>
    </w:p>
    <w:p w14:paraId="55D4161A" w14:textId="67BEEFF9" w:rsidR="00A77C1E" w:rsidRPr="00560B4D" w:rsidRDefault="00A77C1E" w:rsidP="00E75E6B">
      <w:pPr>
        <w:shd w:val="clear" w:color="auto" w:fill="FFFFFF" w:themeFill="background1"/>
        <w:ind w:firstLine="425"/>
        <w:jc w:val="both"/>
        <w:rPr>
          <w:b/>
          <w:kern w:val="32"/>
          <w:sz w:val="22"/>
          <w:szCs w:val="22"/>
        </w:rPr>
      </w:pPr>
      <w:r w:rsidRPr="00560B4D">
        <w:rPr>
          <w:b/>
          <w:kern w:val="32"/>
          <w:sz w:val="22"/>
          <w:szCs w:val="22"/>
        </w:rPr>
        <w:t>С</w:t>
      </w:r>
      <w:r w:rsidR="00560B4D" w:rsidRPr="00560B4D">
        <w:rPr>
          <w:b/>
          <w:kern w:val="32"/>
          <w:sz w:val="22"/>
          <w:szCs w:val="22"/>
        </w:rPr>
        <w:t>тратегическа цел 1.</w:t>
      </w:r>
      <w:r w:rsidRPr="00560B4D">
        <w:rPr>
          <w:b/>
          <w:kern w:val="32"/>
          <w:sz w:val="22"/>
          <w:szCs w:val="22"/>
        </w:rPr>
        <w:t>: У</w:t>
      </w:r>
      <w:r w:rsidR="00560B4D" w:rsidRPr="00560B4D">
        <w:rPr>
          <w:b/>
          <w:kern w:val="32"/>
          <w:sz w:val="22"/>
          <w:szCs w:val="22"/>
        </w:rPr>
        <w:t>съвършенстване на администрацията</w:t>
      </w:r>
    </w:p>
    <w:p w14:paraId="502795B9" w14:textId="77777777" w:rsidR="00A77C1E" w:rsidRPr="00E75E6B" w:rsidRDefault="00A77C1E" w:rsidP="00E75E6B">
      <w:pPr>
        <w:shd w:val="clear" w:color="auto" w:fill="FFFFFF" w:themeFill="background1"/>
        <w:ind w:firstLine="426"/>
        <w:jc w:val="both"/>
        <w:rPr>
          <w:color w:val="000000"/>
          <w:sz w:val="22"/>
          <w:szCs w:val="22"/>
        </w:rPr>
      </w:pPr>
      <w:r w:rsidRPr="00E75E6B">
        <w:rPr>
          <w:color w:val="000000"/>
          <w:sz w:val="22"/>
          <w:szCs w:val="22"/>
        </w:rPr>
        <w:t>Оперативна цел</w:t>
      </w:r>
      <w:r w:rsidRPr="00E75E6B" w:rsidDel="0040116F">
        <w:rPr>
          <w:color w:val="000000"/>
          <w:sz w:val="22"/>
          <w:szCs w:val="22"/>
        </w:rPr>
        <w:t xml:space="preserve"> </w:t>
      </w:r>
      <w:r w:rsidRPr="00E75E6B">
        <w:rPr>
          <w:color w:val="000000"/>
          <w:sz w:val="22"/>
          <w:szCs w:val="22"/>
        </w:rPr>
        <w:t>1.1. Ефективно управление на ДАА</w:t>
      </w:r>
    </w:p>
    <w:p w14:paraId="19A7BA0B" w14:textId="77777777" w:rsidR="00A77C1E" w:rsidRPr="00E75E6B" w:rsidRDefault="00A77C1E" w:rsidP="00E75E6B">
      <w:pPr>
        <w:shd w:val="clear" w:color="auto" w:fill="FFFFFF" w:themeFill="background1"/>
        <w:ind w:firstLine="426"/>
        <w:jc w:val="both"/>
        <w:rPr>
          <w:bCs/>
          <w:sz w:val="22"/>
          <w:szCs w:val="22"/>
        </w:rPr>
      </w:pPr>
      <w:r w:rsidRPr="00E75E6B">
        <w:rPr>
          <w:color w:val="000000"/>
          <w:sz w:val="22"/>
          <w:szCs w:val="22"/>
        </w:rPr>
        <w:t>Оперативна цел</w:t>
      </w:r>
      <w:r w:rsidRPr="00E75E6B" w:rsidDel="0040116F">
        <w:rPr>
          <w:color w:val="000000"/>
          <w:sz w:val="22"/>
          <w:szCs w:val="22"/>
        </w:rPr>
        <w:t xml:space="preserve"> </w:t>
      </w:r>
      <w:r w:rsidRPr="00E75E6B">
        <w:rPr>
          <w:color w:val="000000"/>
          <w:sz w:val="22"/>
          <w:szCs w:val="22"/>
        </w:rPr>
        <w:t xml:space="preserve">1.2. </w:t>
      </w:r>
      <w:r w:rsidRPr="00E75E6B">
        <w:rPr>
          <w:bCs/>
          <w:sz w:val="22"/>
          <w:szCs w:val="22"/>
        </w:rPr>
        <w:t>Превръщане на архивите в привлекателно място за работа</w:t>
      </w:r>
    </w:p>
    <w:p w14:paraId="5298F7AF" w14:textId="77777777" w:rsidR="00A77C1E" w:rsidRPr="00E75E6B" w:rsidRDefault="00A77C1E" w:rsidP="00E75E6B">
      <w:pPr>
        <w:shd w:val="clear" w:color="auto" w:fill="FFFFFF" w:themeFill="background1"/>
        <w:spacing w:after="120"/>
        <w:ind w:left="426"/>
        <w:jc w:val="both"/>
        <w:rPr>
          <w:sz w:val="22"/>
          <w:szCs w:val="22"/>
        </w:rPr>
      </w:pPr>
      <w:r w:rsidRPr="00E75E6B">
        <w:rPr>
          <w:color w:val="000000"/>
          <w:sz w:val="22"/>
          <w:szCs w:val="22"/>
        </w:rPr>
        <w:t>Оперативна цел</w:t>
      </w:r>
      <w:r w:rsidRPr="00E75E6B" w:rsidDel="0040116F">
        <w:rPr>
          <w:color w:val="000000"/>
          <w:sz w:val="22"/>
          <w:szCs w:val="22"/>
        </w:rPr>
        <w:t xml:space="preserve"> </w:t>
      </w:r>
      <w:r w:rsidRPr="00E75E6B">
        <w:rPr>
          <w:color w:val="000000"/>
          <w:sz w:val="22"/>
          <w:szCs w:val="22"/>
        </w:rPr>
        <w:t xml:space="preserve">1.3. </w:t>
      </w:r>
      <w:r w:rsidRPr="00E75E6B">
        <w:rPr>
          <w:sz w:val="22"/>
          <w:szCs w:val="22"/>
        </w:rPr>
        <w:t>Интегриране на социални и екологични аспекти в дейността на ДАА в интерес на обществото</w:t>
      </w:r>
    </w:p>
    <w:p w14:paraId="14D71009" w14:textId="77777777" w:rsidR="000F6D03" w:rsidRDefault="000F6D03">
      <w:pPr>
        <w:rPr>
          <w:b/>
          <w:i/>
          <w:sz w:val="22"/>
          <w:szCs w:val="22"/>
        </w:rPr>
      </w:pPr>
      <w:r>
        <w:rPr>
          <w:b/>
          <w:i/>
          <w:sz w:val="22"/>
          <w:szCs w:val="22"/>
        </w:rPr>
        <w:br w:type="page"/>
      </w:r>
    </w:p>
    <w:p w14:paraId="5162DD8C" w14:textId="6DACAF89" w:rsidR="00A77C1E" w:rsidRPr="00667B09" w:rsidRDefault="00A77C1E" w:rsidP="00E75E6B">
      <w:pPr>
        <w:shd w:val="clear" w:color="auto" w:fill="FFFFFF" w:themeFill="background1"/>
        <w:ind w:firstLine="425"/>
        <w:jc w:val="both"/>
        <w:rPr>
          <w:b/>
          <w:i/>
          <w:sz w:val="22"/>
          <w:szCs w:val="22"/>
        </w:rPr>
      </w:pPr>
      <w:r w:rsidRPr="00667B09">
        <w:rPr>
          <w:b/>
          <w:i/>
          <w:sz w:val="22"/>
          <w:szCs w:val="22"/>
        </w:rPr>
        <w:lastRenderedPageBreak/>
        <w:t>Полза/ефект за обществото</w:t>
      </w:r>
    </w:p>
    <w:p w14:paraId="50763848" w14:textId="77777777" w:rsidR="00AA066E" w:rsidRPr="007C2646" w:rsidRDefault="00AA066E" w:rsidP="00E75E6B">
      <w:pPr>
        <w:shd w:val="clear" w:color="auto" w:fill="FFFFFF" w:themeFill="background1"/>
        <w:ind w:firstLine="425"/>
        <w:jc w:val="both"/>
        <w:rPr>
          <w:color w:val="00141F"/>
          <w:sz w:val="22"/>
          <w:szCs w:val="22"/>
        </w:rPr>
      </w:pPr>
      <w:r w:rsidRPr="007C2646">
        <w:rPr>
          <w:kern w:val="32"/>
          <w:sz w:val="22"/>
          <w:szCs w:val="22"/>
        </w:rPr>
        <w:t>Дейността на ДАА е насочена към подобряване управлението на НАФ чрез осигуряване на необходими нормативни актове.</w:t>
      </w:r>
      <w:r w:rsidRPr="007C2646">
        <w:rPr>
          <w:sz w:val="22"/>
          <w:szCs w:val="22"/>
        </w:rPr>
        <w:t xml:space="preserve"> Изготвянето на конкретни предложения за промени в правната рамка е продиктувано от необходимостта за преодоляване на идентифицираните проблеми в регулирането на законово и подзаконово ниво. В съответствие със своите компетенции ДАА има ангажимент за разработването и актуализирането на нормативни и методически документи, свързани с п</w:t>
      </w:r>
      <w:r w:rsidRPr="007C2646">
        <w:rPr>
          <w:sz w:val="22"/>
          <w:szCs w:val="22"/>
          <w:lang w:eastAsia="zh-CN"/>
        </w:rPr>
        <w:t xml:space="preserve">роцесите по организация, експертиза, съхранение и използване на електронните документи в държавните и общинските институции, както и по предаване, опазване, съхранение и използване на ценните електронни документи в държавните архиви </w:t>
      </w:r>
      <w:r w:rsidRPr="007C2646">
        <w:rPr>
          <w:sz w:val="22"/>
          <w:szCs w:val="22"/>
        </w:rPr>
        <w:t xml:space="preserve">чрез система за е-архивиране. </w:t>
      </w:r>
      <w:r w:rsidRPr="007C2646">
        <w:rPr>
          <w:color w:val="00141F"/>
          <w:sz w:val="22"/>
          <w:szCs w:val="22"/>
        </w:rPr>
        <w:t>В изпълнение на държавната политика за насърчаване въвеждане и използване на инструментите на електронното управление от държавната администрация, се цели повишаване на ефективността на предоставените услуги, както и насърчаване прозрачността във взаимоотношенията между администрацията и потребителите.</w:t>
      </w:r>
    </w:p>
    <w:p w14:paraId="6259F5C6" w14:textId="6C8083F0" w:rsidR="00AA066E" w:rsidRPr="007C2646" w:rsidRDefault="00AA066E" w:rsidP="00E75E6B">
      <w:pPr>
        <w:shd w:val="clear" w:color="auto" w:fill="FFFFFF" w:themeFill="background1"/>
        <w:ind w:firstLine="426"/>
        <w:jc w:val="both"/>
        <w:rPr>
          <w:sz w:val="22"/>
          <w:szCs w:val="22"/>
        </w:rPr>
      </w:pPr>
      <w:r w:rsidRPr="007C2646">
        <w:rPr>
          <w:sz w:val="22"/>
          <w:szCs w:val="22"/>
        </w:rPr>
        <w:t>Внедряването на</w:t>
      </w:r>
      <w:r w:rsidRPr="007C2646">
        <w:rPr>
          <w:bCs/>
          <w:sz w:val="22"/>
          <w:szCs w:val="22"/>
        </w:rPr>
        <w:t xml:space="preserve"> Общата рамка за оценка (</w:t>
      </w:r>
      <w:r w:rsidRPr="007C2646">
        <w:rPr>
          <w:sz w:val="22"/>
          <w:szCs w:val="22"/>
        </w:rPr>
        <w:t>CAF) през 2019 г., като инструмент за управление на качеството, е основа за цялостния подход към анализ на организационното изпълнение в администрацията. Проучването на добри практики за изграждане на силна работодателска марка (</w:t>
      </w:r>
      <w:r w:rsidRPr="00AA066E">
        <w:rPr>
          <w:sz w:val="22"/>
          <w:szCs w:val="22"/>
          <w:lang w:val="en-US"/>
        </w:rPr>
        <w:t>employer branding</w:t>
      </w:r>
      <w:r w:rsidRPr="007C2646">
        <w:rPr>
          <w:sz w:val="22"/>
          <w:szCs w:val="22"/>
        </w:rPr>
        <w:t xml:space="preserve">) и разработването на Стратегия за </w:t>
      </w:r>
      <w:r w:rsidRPr="00AA066E">
        <w:rPr>
          <w:sz w:val="22"/>
          <w:szCs w:val="22"/>
          <w:lang w:val="en-US"/>
        </w:rPr>
        <w:t>employer branding</w:t>
      </w:r>
      <w:r w:rsidRPr="007C2646">
        <w:rPr>
          <w:sz w:val="22"/>
          <w:szCs w:val="22"/>
        </w:rPr>
        <w:t xml:space="preserve"> на ДАА цели чрез позициониране на предимствата на ДАА и разграничаване на марката „ДАА“ да подобри капацитета за привличане на таланти, както и конкурентната позиция на Агенцията. Това позициониране се базира на идентичност, ценности, култура и цели на ДАА.</w:t>
      </w:r>
      <w:r w:rsidRPr="007C2646">
        <w:rPr>
          <w:sz w:val="22"/>
          <w:szCs w:val="22"/>
          <w:lang w:val="ru-RU"/>
        </w:rPr>
        <w:t xml:space="preserve"> </w:t>
      </w:r>
      <w:r w:rsidRPr="007C2646">
        <w:rPr>
          <w:sz w:val="22"/>
          <w:szCs w:val="22"/>
        </w:rPr>
        <w:t xml:space="preserve">Извън основната си мисия Агенцията, като публична администрация, се стреми да отговори на очакванията и нуждите на обществото чрез проявената социална ангажираност. </w:t>
      </w:r>
    </w:p>
    <w:p w14:paraId="3036A20B" w14:textId="77777777" w:rsidR="00AA066E" w:rsidRPr="007C2646" w:rsidRDefault="00AA066E" w:rsidP="00E75E6B">
      <w:pPr>
        <w:shd w:val="clear" w:color="auto" w:fill="FFFFFF" w:themeFill="background1"/>
        <w:spacing w:after="120"/>
        <w:ind w:firstLine="426"/>
        <w:jc w:val="both"/>
        <w:rPr>
          <w:strike/>
          <w:sz w:val="22"/>
          <w:szCs w:val="22"/>
        </w:rPr>
      </w:pPr>
      <w:r w:rsidRPr="007C2646">
        <w:rPr>
          <w:sz w:val="22"/>
          <w:szCs w:val="22"/>
        </w:rPr>
        <w:t xml:space="preserve">Проявената социална отговорност влияе пряко върху репутацията и авторитета на институцията, допринася за подобряване на способността й за привличане, мотивиране и задържане на служители. </w:t>
      </w:r>
      <w:r w:rsidRPr="007C2646">
        <w:rPr>
          <w:bCs/>
          <w:color w:val="000000"/>
          <w:sz w:val="22"/>
          <w:szCs w:val="22"/>
        </w:rPr>
        <w:t>Във връзка с държавната политика за въвежда</w:t>
      </w:r>
      <w:r w:rsidRPr="007C2646">
        <w:rPr>
          <w:color w:val="000000"/>
          <w:sz w:val="22"/>
          <w:szCs w:val="22"/>
        </w:rPr>
        <w:t xml:space="preserve">не на </w:t>
      </w:r>
      <w:r w:rsidRPr="007C2646">
        <w:rPr>
          <w:bCs/>
          <w:color w:val="000000"/>
          <w:sz w:val="22"/>
          <w:szCs w:val="22"/>
        </w:rPr>
        <w:t>нисковъглеродни консуматори на енергия, което е обвързано с поддържането на</w:t>
      </w:r>
      <w:r w:rsidRPr="007C2646">
        <w:rPr>
          <w:color w:val="000000"/>
          <w:sz w:val="22"/>
          <w:szCs w:val="22"/>
        </w:rPr>
        <w:t xml:space="preserve"> микроклимата на работната среда в административните и </w:t>
      </w:r>
      <w:proofErr w:type="spellStart"/>
      <w:r w:rsidRPr="007C2646">
        <w:rPr>
          <w:color w:val="000000"/>
          <w:sz w:val="22"/>
          <w:szCs w:val="22"/>
        </w:rPr>
        <w:t>архивохранилищни</w:t>
      </w:r>
      <w:proofErr w:type="spellEnd"/>
      <w:r w:rsidRPr="007C2646">
        <w:rPr>
          <w:color w:val="000000"/>
          <w:sz w:val="22"/>
          <w:szCs w:val="22"/>
        </w:rPr>
        <w:t xml:space="preserve"> сгради на ДАА, е необходимо да бъдат изпълнени мерки </w:t>
      </w:r>
      <w:r w:rsidRPr="007C2646">
        <w:rPr>
          <w:bCs/>
          <w:color w:val="000000"/>
          <w:sz w:val="22"/>
          <w:szCs w:val="22"/>
        </w:rPr>
        <w:t>за повишаване на енергийната им ефективност</w:t>
      </w:r>
      <w:r w:rsidRPr="007C2646">
        <w:rPr>
          <w:color w:val="000000"/>
          <w:sz w:val="22"/>
          <w:szCs w:val="22"/>
        </w:rPr>
        <w:t xml:space="preserve"> в определените законови срокове. Като допълнителни мерки се предвиждат </w:t>
      </w:r>
      <w:r w:rsidRPr="007C2646">
        <w:rPr>
          <w:sz w:val="22"/>
          <w:szCs w:val="22"/>
        </w:rPr>
        <w:t>естетизиране на външната среда – сградите и прилежащите зелени площи около административните седалища и архивохранилищата и рециклиране на различни отпадъци от дейността на ДАА.</w:t>
      </w:r>
    </w:p>
    <w:p w14:paraId="003569C7" w14:textId="77777777" w:rsidR="00FE13F4" w:rsidRPr="00667B09" w:rsidRDefault="00A77C1E" w:rsidP="00E75E6B">
      <w:pPr>
        <w:shd w:val="clear" w:color="auto" w:fill="FFFFFF" w:themeFill="background1"/>
        <w:ind w:firstLine="426"/>
        <w:jc w:val="both"/>
        <w:rPr>
          <w:b/>
          <w:sz w:val="22"/>
          <w:szCs w:val="22"/>
        </w:rPr>
      </w:pPr>
      <w:r w:rsidRPr="00667B09">
        <w:rPr>
          <w:b/>
          <w:sz w:val="22"/>
          <w:szCs w:val="22"/>
        </w:rPr>
        <w:t>Ключовият индикатор по първа стратегическа цел е:</w:t>
      </w:r>
    </w:p>
    <w:p w14:paraId="1C27B03E" w14:textId="77777777" w:rsidR="00FE13F4" w:rsidRPr="00667B09" w:rsidRDefault="00FE13F4" w:rsidP="00E75E6B">
      <w:pPr>
        <w:shd w:val="clear" w:color="auto" w:fill="FFFFFF" w:themeFill="background1"/>
        <w:ind w:firstLine="426"/>
        <w:jc w:val="both"/>
        <w:rPr>
          <w:b/>
          <w:sz w:val="22"/>
          <w:szCs w:val="22"/>
        </w:rPr>
      </w:pPr>
      <w:r w:rsidRPr="00667B09">
        <w:rPr>
          <w:i/>
          <w:sz w:val="22"/>
          <w:szCs w:val="22"/>
        </w:rPr>
        <w:t>Нормативни и/или методически указания в областта е-архив и е-архивиране –</w:t>
      </w:r>
      <w:r w:rsidRPr="00667B09">
        <w:rPr>
          <w:sz w:val="22"/>
          <w:szCs w:val="22"/>
        </w:rPr>
        <w:t xml:space="preserve"> обвързан е с нормативно определените правомощия на ДАА по отношение създаването, съхранението, опазването и използването на ценните електронни документи като част от функционирането на електронното управление.</w:t>
      </w:r>
      <w:r w:rsidRPr="00667B09">
        <w:rPr>
          <w:rFonts w:eastAsia="Calibri"/>
          <w:sz w:val="22"/>
          <w:szCs w:val="22"/>
        </w:rPr>
        <w:t xml:space="preserve"> </w:t>
      </w:r>
    </w:p>
    <w:p w14:paraId="39A0EFCD" w14:textId="522ACAE6" w:rsidR="00A77C1E" w:rsidRPr="00E75E6B" w:rsidRDefault="00A77C1E" w:rsidP="00E75E6B">
      <w:pPr>
        <w:shd w:val="clear" w:color="auto" w:fill="FFFFFF" w:themeFill="background1"/>
        <w:spacing w:before="120"/>
        <w:ind w:left="425"/>
        <w:jc w:val="both"/>
        <w:rPr>
          <w:b/>
          <w:sz w:val="22"/>
          <w:szCs w:val="22"/>
        </w:rPr>
      </w:pPr>
      <w:r w:rsidRPr="00E75E6B">
        <w:rPr>
          <w:b/>
          <w:sz w:val="22"/>
          <w:szCs w:val="22"/>
        </w:rPr>
        <w:t>С</w:t>
      </w:r>
      <w:r w:rsidR="00E75E6B">
        <w:rPr>
          <w:b/>
          <w:sz w:val="22"/>
          <w:szCs w:val="22"/>
        </w:rPr>
        <w:t>тратегическа цел</w:t>
      </w:r>
      <w:r w:rsidRPr="00E75E6B">
        <w:rPr>
          <w:b/>
          <w:sz w:val="22"/>
          <w:szCs w:val="22"/>
        </w:rPr>
        <w:t xml:space="preserve"> 2: О</w:t>
      </w:r>
      <w:r w:rsidR="00E75E6B">
        <w:rPr>
          <w:b/>
          <w:sz w:val="22"/>
          <w:szCs w:val="22"/>
        </w:rPr>
        <w:t>пазване</w:t>
      </w:r>
      <w:r w:rsidRPr="00E75E6B">
        <w:rPr>
          <w:b/>
          <w:sz w:val="22"/>
          <w:szCs w:val="22"/>
        </w:rPr>
        <w:t xml:space="preserve">, </w:t>
      </w:r>
      <w:r w:rsidR="00E75E6B">
        <w:rPr>
          <w:b/>
          <w:sz w:val="22"/>
          <w:szCs w:val="22"/>
        </w:rPr>
        <w:t>съхранение и обогатяване</w:t>
      </w:r>
      <w:r w:rsidRPr="00E75E6B">
        <w:rPr>
          <w:b/>
          <w:sz w:val="22"/>
          <w:szCs w:val="22"/>
        </w:rPr>
        <w:t xml:space="preserve"> </w:t>
      </w:r>
      <w:r w:rsidR="00E75E6B">
        <w:rPr>
          <w:b/>
          <w:sz w:val="22"/>
          <w:szCs w:val="22"/>
        </w:rPr>
        <w:t>на документалното наследство на нацията</w:t>
      </w:r>
    </w:p>
    <w:p w14:paraId="6E1C52F4" w14:textId="77777777" w:rsidR="00A77C1E" w:rsidRPr="00E75E6B" w:rsidRDefault="00A77C1E" w:rsidP="00E75E6B">
      <w:pPr>
        <w:shd w:val="clear" w:color="auto" w:fill="FFFFFF" w:themeFill="background1"/>
        <w:ind w:left="426"/>
        <w:jc w:val="both"/>
        <w:rPr>
          <w:sz w:val="22"/>
          <w:szCs w:val="22"/>
        </w:rPr>
      </w:pPr>
      <w:r w:rsidRPr="00E75E6B">
        <w:rPr>
          <w:sz w:val="22"/>
          <w:szCs w:val="22"/>
        </w:rPr>
        <w:t>Оперативна цел</w:t>
      </w:r>
      <w:r w:rsidRPr="00E75E6B" w:rsidDel="0040116F">
        <w:rPr>
          <w:sz w:val="22"/>
          <w:szCs w:val="22"/>
        </w:rPr>
        <w:t xml:space="preserve"> </w:t>
      </w:r>
      <w:r w:rsidRPr="00E75E6B">
        <w:rPr>
          <w:sz w:val="22"/>
          <w:szCs w:val="22"/>
        </w:rPr>
        <w:t xml:space="preserve">2.1. Ефективна методическа и контролна дейност на държавните архиви във </w:t>
      </w:r>
      <w:proofErr w:type="spellStart"/>
      <w:r w:rsidRPr="00E75E6B">
        <w:rPr>
          <w:sz w:val="22"/>
          <w:szCs w:val="22"/>
        </w:rPr>
        <w:t>фондообразувателите</w:t>
      </w:r>
      <w:proofErr w:type="spellEnd"/>
    </w:p>
    <w:p w14:paraId="4FA73F6B" w14:textId="77777777" w:rsidR="00A77C1E" w:rsidRPr="00E75E6B" w:rsidRDefault="00A77C1E" w:rsidP="00E75E6B">
      <w:pPr>
        <w:shd w:val="clear" w:color="auto" w:fill="FFFFFF" w:themeFill="background1"/>
        <w:ind w:firstLine="426"/>
        <w:jc w:val="both"/>
        <w:rPr>
          <w:sz w:val="22"/>
          <w:szCs w:val="22"/>
        </w:rPr>
      </w:pPr>
      <w:r w:rsidRPr="00E75E6B">
        <w:rPr>
          <w:sz w:val="22"/>
          <w:szCs w:val="22"/>
        </w:rPr>
        <w:t>Оперативна цел</w:t>
      </w:r>
      <w:r w:rsidRPr="00E75E6B" w:rsidDel="0040116F">
        <w:rPr>
          <w:sz w:val="22"/>
          <w:szCs w:val="22"/>
        </w:rPr>
        <w:t xml:space="preserve"> </w:t>
      </w:r>
      <w:r w:rsidRPr="00E75E6B">
        <w:rPr>
          <w:sz w:val="22"/>
          <w:szCs w:val="22"/>
        </w:rPr>
        <w:t>2.2. Обогатяване на НАФ</w:t>
      </w:r>
    </w:p>
    <w:p w14:paraId="5E38D18C" w14:textId="77777777" w:rsidR="00A77C1E" w:rsidRPr="00E75E6B" w:rsidRDefault="00A77C1E" w:rsidP="00E75E6B">
      <w:pPr>
        <w:shd w:val="clear" w:color="auto" w:fill="FFFFFF" w:themeFill="background1"/>
        <w:spacing w:after="120"/>
        <w:ind w:firstLine="425"/>
        <w:jc w:val="both"/>
        <w:rPr>
          <w:sz w:val="22"/>
          <w:szCs w:val="22"/>
        </w:rPr>
      </w:pPr>
      <w:r w:rsidRPr="00E75E6B">
        <w:rPr>
          <w:sz w:val="22"/>
          <w:szCs w:val="22"/>
        </w:rPr>
        <w:t>Оперативна цел</w:t>
      </w:r>
      <w:r w:rsidRPr="00E75E6B" w:rsidDel="0040116F">
        <w:rPr>
          <w:sz w:val="22"/>
          <w:szCs w:val="22"/>
        </w:rPr>
        <w:t xml:space="preserve"> </w:t>
      </w:r>
      <w:r w:rsidRPr="00E75E6B">
        <w:rPr>
          <w:sz w:val="22"/>
          <w:szCs w:val="22"/>
        </w:rPr>
        <w:t>2.3. Опазване и съхранение на документите от НАФ</w:t>
      </w:r>
    </w:p>
    <w:p w14:paraId="44CBD45B" w14:textId="77777777" w:rsidR="00A77C1E" w:rsidRPr="00667B09" w:rsidRDefault="00A77C1E" w:rsidP="00E75E6B">
      <w:pPr>
        <w:shd w:val="clear" w:color="auto" w:fill="FFFFFF" w:themeFill="background1"/>
        <w:ind w:firstLine="425"/>
        <w:jc w:val="both"/>
        <w:rPr>
          <w:b/>
          <w:i/>
          <w:sz w:val="22"/>
          <w:szCs w:val="22"/>
        </w:rPr>
      </w:pPr>
      <w:r w:rsidRPr="00667B09">
        <w:rPr>
          <w:b/>
          <w:i/>
          <w:sz w:val="22"/>
          <w:szCs w:val="22"/>
        </w:rPr>
        <w:t>Полза/ефект за обществото</w:t>
      </w:r>
    </w:p>
    <w:p w14:paraId="7072D0AD" w14:textId="77777777" w:rsidR="00F91843" w:rsidRPr="00F84DDA" w:rsidRDefault="00F91843" w:rsidP="002B419A">
      <w:pPr>
        <w:shd w:val="clear" w:color="auto" w:fill="FFFFFF" w:themeFill="background1"/>
        <w:tabs>
          <w:tab w:val="left" w:pos="2106"/>
        </w:tabs>
        <w:ind w:firstLine="426"/>
        <w:jc w:val="both"/>
        <w:rPr>
          <w:sz w:val="22"/>
          <w:szCs w:val="22"/>
        </w:rPr>
      </w:pPr>
      <w:r w:rsidRPr="00F84DDA">
        <w:rPr>
          <w:sz w:val="22"/>
          <w:szCs w:val="22"/>
        </w:rPr>
        <w:t xml:space="preserve">Обогатяването на НАФ с ценни документи е от приоритетно значение за ДАА в дългосрочен план и е една от най-важните дейности, осъществявани от държавните архиви. НАФ е исторически формирала се и постоянно попълваща се съвкупност от ценни документи, отразяващи материалния и духовния живот на обществото. Той се попълва с определените за постоянно запазване документи, създадени от дейността на държавните и общинските институции, с ценните документи на политически партии, юридически лица с нестопанска цел и търговски дружества. Важни източници за комплектуване са и документите на значими за обществото личности, както и документите за историята на България, получени от чуждестранни архиви, други институции, българи и български организации в чужбина. Обогатяването на НАФ е в пряка връзка с разширяване възможностите за </w:t>
      </w:r>
      <w:r w:rsidRPr="00F84DDA">
        <w:rPr>
          <w:sz w:val="22"/>
          <w:szCs w:val="22"/>
        </w:rPr>
        <w:lastRenderedPageBreak/>
        <w:t xml:space="preserve">достъп до архивна информация на всички заинтересовани страни. От съществено значение за реализация на дейността е наличието на необходимите финансови средства за откупуване на ценни документи, чиито собственици отказват да ги дарят на държавните архиви. Ще продължи и дейността за комплектуване на документи от политически партии, обществени и религиозни организации, юридически лица с нестопанска цел и търговски дружества, частни образователни структури, фондации, търговски дружества. </w:t>
      </w:r>
    </w:p>
    <w:p w14:paraId="7FBC6E5C" w14:textId="144C1722" w:rsidR="00F91843" w:rsidRPr="00F84DDA" w:rsidRDefault="00F91843" w:rsidP="002B419A">
      <w:pPr>
        <w:shd w:val="clear" w:color="auto" w:fill="FFFFFF" w:themeFill="background1"/>
        <w:tabs>
          <w:tab w:val="left" w:pos="2106"/>
        </w:tabs>
        <w:ind w:firstLine="426"/>
        <w:jc w:val="both"/>
        <w:rPr>
          <w:sz w:val="22"/>
          <w:szCs w:val="22"/>
        </w:rPr>
      </w:pPr>
      <w:r w:rsidRPr="00F84DDA">
        <w:rPr>
          <w:sz w:val="22"/>
          <w:szCs w:val="22"/>
        </w:rPr>
        <w:t xml:space="preserve">Решаваща мярка за опазването на физическото състояние на архивните документи е тяхната своевременна и прецизна реставрация и консервация. Тя е условие не само за възстановяване на увреденото им по различни причини физическо състояние във вид, максимално близък до оригиналния, но и за запазване на този вид при използването и третирането на оригиналите, което се налага при изпълнение на нормативно определените функции на </w:t>
      </w:r>
      <w:r w:rsidR="005E796F">
        <w:rPr>
          <w:sz w:val="22"/>
          <w:szCs w:val="22"/>
        </w:rPr>
        <w:t>Агенцията</w:t>
      </w:r>
      <w:r w:rsidRPr="00F84DDA">
        <w:rPr>
          <w:sz w:val="22"/>
          <w:szCs w:val="22"/>
        </w:rPr>
        <w:t>. Подходящата и своевременна реставрация е условие за максимално дълга използваемост на архивните документи.</w:t>
      </w:r>
    </w:p>
    <w:p w14:paraId="7AE2C6D0" w14:textId="77777777" w:rsidR="00F91843" w:rsidRPr="00F84DDA" w:rsidRDefault="00F91843" w:rsidP="002B419A">
      <w:pPr>
        <w:shd w:val="clear" w:color="auto" w:fill="FFFFFF" w:themeFill="background1"/>
        <w:tabs>
          <w:tab w:val="left" w:pos="2106"/>
        </w:tabs>
        <w:spacing w:after="120"/>
        <w:ind w:firstLine="426"/>
        <w:jc w:val="both"/>
        <w:rPr>
          <w:bCs/>
          <w:iCs/>
          <w:sz w:val="22"/>
          <w:szCs w:val="22"/>
        </w:rPr>
      </w:pPr>
      <w:bookmarkStart w:id="10" w:name="_Toc75867898"/>
      <w:r w:rsidRPr="00F84DDA">
        <w:rPr>
          <w:bCs/>
          <w:iCs/>
          <w:sz w:val="22"/>
          <w:szCs w:val="22"/>
        </w:rPr>
        <w:t xml:space="preserve">Осигуряването на архивохранилища, отговарящи на стандартите за опазването на ценните документи на нацията, е едно от основните задължения на ДАА с цел правилно съхранение и опазване на ценните архивни документи, приети в държавните архиви, както и </w:t>
      </w:r>
      <w:r w:rsidRPr="00F84DDA">
        <w:rPr>
          <w:sz w:val="22"/>
          <w:szCs w:val="22"/>
        </w:rPr>
        <w:t xml:space="preserve">за гарантиране на тяхната бъдеща използваемост. Разходите за подходящо оборудвани и климатизирани архивохранилища намаляват разходите за реставрационни дейности. </w:t>
      </w:r>
      <w:r w:rsidRPr="00F84DDA">
        <w:rPr>
          <w:bCs/>
          <w:iCs/>
          <w:sz w:val="22"/>
          <w:szCs w:val="22"/>
        </w:rPr>
        <w:t xml:space="preserve">Необходимо е предприемане на действия за обединяване на </w:t>
      </w:r>
      <w:proofErr w:type="spellStart"/>
      <w:r w:rsidRPr="00F84DDA">
        <w:rPr>
          <w:iCs/>
          <w:sz w:val="22"/>
          <w:szCs w:val="22"/>
        </w:rPr>
        <w:t>архивохранилищна</w:t>
      </w:r>
      <w:proofErr w:type="spellEnd"/>
      <w:r w:rsidRPr="00F84DDA">
        <w:rPr>
          <w:iCs/>
          <w:sz w:val="22"/>
          <w:szCs w:val="22"/>
        </w:rPr>
        <w:t xml:space="preserve"> площ</w:t>
      </w:r>
      <w:r w:rsidRPr="00F84DDA">
        <w:rPr>
          <w:bCs/>
          <w:iCs/>
          <w:sz w:val="22"/>
          <w:szCs w:val="22"/>
        </w:rPr>
        <w:t xml:space="preserve"> за архивите, чийто документи се съхраняват на повече от едно място.</w:t>
      </w:r>
      <w:bookmarkEnd w:id="10"/>
      <w:r w:rsidRPr="00F84DDA">
        <w:rPr>
          <w:bCs/>
          <w:iCs/>
          <w:sz w:val="22"/>
          <w:szCs w:val="22"/>
        </w:rPr>
        <w:t xml:space="preserve"> Поетапното осигуряване на архивохранилища, отговарящи на стандартите за опазването на ценните документи на нацията е една от основните  задължения на ДАА с цел правилно съхранение и опазване на ценните архивни документи, приети в държавните архиви. Поддръжката на сградния фонд (административни сгради на държавните архиви) изисква ангажиране на допълнителен финансов ресурс. Агенцията проучва възможностите за извършване на строително-ремонтни дейности чрез проектно финансиране и при наличие на възможност ще кандидатства с проект/и.</w:t>
      </w:r>
    </w:p>
    <w:p w14:paraId="662C7FF1" w14:textId="3519DE5B" w:rsidR="00A77C1E" w:rsidRDefault="00A77C1E" w:rsidP="002B419A">
      <w:pPr>
        <w:shd w:val="clear" w:color="auto" w:fill="FFFFFF" w:themeFill="background1"/>
        <w:ind w:firstLine="426"/>
        <w:rPr>
          <w:b/>
          <w:sz w:val="22"/>
          <w:szCs w:val="22"/>
        </w:rPr>
      </w:pPr>
      <w:r w:rsidRPr="00667B09">
        <w:rPr>
          <w:b/>
          <w:sz w:val="22"/>
          <w:szCs w:val="22"/>
        </w:rPr>
        <w:t>Ключовите индикатори по втора стратегическа цел са:</w:t>
      </w:r>
    </w:p>
    <w:p w14:paraId="543521BB" w14:textId="4D744023" w:rsidR="0025101A" w:rsidRPr="00E912D0" w:rsidRDefault="0025101A" w:rsidP="002B419A">
      <w:pPr>
        <w:pStyle w:val="ListParagraph"/>
        <w:numPr>
          <w:ilvl w:val="0"/>
          <w:numId w:val="45"/>
        </w:numPr>
        <w:shd w:val="clear" w:color="auto" w:fill="FFFFFF" w:themeFill="background1"/>
        <w:ind w:left="0" w:firstLine="426"/>
        <w:jc w:val="both"/>
        <w:rPr>
          <w:sz w:val="22"/>
          <w:szCs w:val="22"/>
        </w:rPr>
      </w:pPr>
      <w:r w:rsidRPr="00E912D0">
        <w:rPr>
          <w:i/>
          <w:sz w:val="22"/>
          <w:szCs w:val="22"/>
        </w:rPr>
        <w:t xml:space="preserve">Брой реставрирани листове от архивни документи (І-ва, ІІ-ра и ІІІ-та степен на увреденост) – </w:t>
      </w:r>
      <w:r w:rsidRPr="00E912D0">
        <w:rPr>
          <w:sz w:val="22"/>
          <w:szCs w:val="22"/>
        </w:rPr>
        <w:t>реставрацията и консервацията на архивни документи са основни дейности за тяхното опазване и дългосрочно използване</w:t>
      </w:r>
      <w:r w:rsidRPr="00E912D0">
        <w:rPr>
          <w:i/>
          <w:sz w:val="22"/>
          <w:szCs w:val="22"/>
        </w:rPr>
        <w:t>;</w:t>
      </w:r>
    </w:p>
    <w:p w14:paraId="3C1B0F5D" w14:textId="77777777" w:rsidR="00E912D0" w:rsidRPr="00E912D0" w:rsidRDefault="00E912D0" w:rsidP="002B419A">
      <w:pPr>
        <w:pStyle w:val="ListParagraph"/>
        <w:numPr>
          <w:ilvl w:val="0"/>
          <w:numId w:val="45"/>
        </w:numPr>
        <w:shd w:val="clear" w:color="auto" w:fill="FFFFFF" w:themeFill="background1"/>
        <w:spacing w:after="120"/>
        <w:ind w:left="0" w:firstLine="426"/>
        <w:jc w:val="both"/>
        <w:rPr>
          <w:sz w:val="22"/>
          <w:szCs w:val="22"/>
        </w:rPr>
      </w:pPr>
      <w:r w:rsidRPr="00D36EFD">
        <w:rPr>
          <w:i/>
          <w:sz w:val="22"/>
          <w:szCs w:val="22"/>
        </w:rPr>
        <w:t xml:space="preserve">Брой комплектувани постъпления – </w:t>
      </w:r>
      <w:r w:rsidRPr="00E912D0">
        <w:rPr>
          <w:sz w:val="22"/>
          <w:szCs w:val="22"/>
        </w:rPr>
        <w:t>обогатяването на НАФ с ценни документи е от приоритетно значение за ДАА в дългосрочен план и е една от най-важните дейности, осъществявани от държавните архиви. НАФ е исторически формирала се и постоянно попълваща се съвкупност от ценни документи, отразяващи материалния и духовния живот на обществото. Той се попълва с определените за постоянно запазване документи, създадени от дейността на държавните и общинските институции, с ценните документи на политически партии, юридически лица с нестопанска цел и търговски дружества. Важни източници за комплектуване са и документите на значими за обществото личности, както и документите за историята на България, получени от чуждестранни архиви, други институции, българи и български организации в чужбина.</w:t>
      </w:r>
    </w:p>
    <w:p w14:paraId="255F8881" w14:textId="4D35E55F" w:rsidR="00A77C1E" w:rsidRPr="002B419A" w:rsidRDefault="00A77C1E" w:rsidP="002B419A">
      <w:pPr>
        <w:shd w:val="clear" w:color="auto" w:fill="FFFFFF" w:themeFill="background1"/>
        <w:ind w:left="425"/>
        <w:rPr>
          <w:b/>
          <w:sz w:val="22"/>
          <w:szCs w:val="22"/>
        </w:rPr>
      </w:pPr>
      <w:r w:rsidRPr="002B419A">
        <w:rPr>
          <w:b/>
          <w:sz w:val="22"/>
          <w:szCs w:val="22"/>
        </w:rPr>
        <w:t>С</w:t>
      </w:r>
      <w:r w:rsidR="002B419A">
        <w:rPr>
          <w:b/>
          <w:sz w:val="22"/>
          <w:szCs w:val="22"/>
        </w:rPr>
        <w:t>тратегическа цел</w:t>
      </w:r>
      <w:r w:rsidRPr="002B419A">
        <w:rPr>
          <w:b/>
          <w:sz w:val="22"/>
          <w:szCs w:val="22"/>
        </w:rPr>
        <w:t xml:space="preserve"> 3: С</w:t>
      </w:r>
      <w:r w:rsidR="002B419A">
        <w:rPr>
          <w:b/>
          <w:sz w:val="22"/>
          <w:szCs w:val="22"/>
        </w:rPr>
        <w:t>офтуерно</w:t>
      </w:r>
      <w:r w:rsidRPr="002B419A">
        <w:rPr>
          <w:b/>
          <w:sz w:val="22"/>
          <w:szCs w:val="22"/>
        </w:rPr>
        <w:t xml:space="preserve"> </w:t>
      </w:r>
      <w:r w:rsidR="002B419A">
        <w:rPr>
          <w:b/>
          <w:sz w:val="22"/>
          <w:szCs w:val="22"/>
        </w:rPr>
        <w:t>управление на архивните</w:t>
      </w:r>
      <w:r w:rsidRPr="002B419A">
        <w:rPr>
          <w:b/>
          <w:sz w:val="22"/>
          <w:szCs w:val="22"/>
        </w:rPr>
        <w:t xml:space="preserve"> </w:t>
      </w:r>
      <w:r w:rsidR="002B419A">
        <w:rPr>
          <w:b/>
          <w:sz w:val="22"/>
          <w:szCs w:val="22"/>
        </w:rPr>
        <w:t>процеси и данни</w:t>
      </w:r>
    </w:p>
    <w:p w14:paraId="5D04706A" w14:textId="77777777" w:rsidR="00A77C1E" w:rsidRPr="002B419A" w:rsidRDefault="00A77C1E" w:rsidP="002B419A">
      <w:pPr>
        <w:shd w:val="clear" w:color="auto" w:fill="FFFFFF" w:themeFill="background1"/>
        <w:ind w:left="425"/>
        <w:rPr>
          <w:sz w:val="22"/>
          <w:szCs w:val="22"/>
        </w:rPr>
      </w:pPr>
      <w:r w:rsidRPr="002B419A">
        <w:rPr>
          <w:sz w:val="22"/>
          <w:szCs w:val="22"/>
        </w:rPr>
        <w:t>Оперативна цел</w:t>
      </w:r>
      <w:r w:rsidRPr="002B419A" w:rsidDel="0040116F">
        <w:rPr>
          <w:sz w:val="22"/>
          <w:szCs w:val="22"/>
        </w:rPr>
        <w:t xml:space="preserve"> </w:t>
      </w:r>
      <w:r w:rsidRPr="002B419A">
        <w:rPr>
          <w:sz w:val="22"/>
          <w:szCs w:val="22"/>
        </w:rPr>
        <w:t>3.1. Попълване на ИСДА</w:t>
      </w:r>
    </w:p>
    <w:p w14:paraId="0E596B27" w14:textId="77777777" w:rsidR="00A77C1E" w:rsidRPr="002B419A" w:rsidRDefault="00A77C1E" w:rsidP="002B419A">
      <w:pPr>
        <w:shd w:val="clear" w:color="auto" w:fill="FFFFFF" w:themeFill="background1"/>
        <w:ind w:left="425"/>
        <w:rPr>
          <w:sz w:val="22"/>
          <w:szCs w:val="22"/>
        </w:rPr>
      </w:pPr>
      <w:r w:rsidRPr="002B419A">
        <w:rPr>
          <w:sz w:val="22"/>
          <w:szCs w:val="22"/>
        </w:rPr>
        <w:t>Оперативна цел</w:t>
      </w:r>
      <w:r w:rsidRPr="002B419A" w:rsidDel="0040116F">
        <w:rPr>
          <w:sz w:val="22"/>
          <w:szCs w:val="22"/>
        </w:rPr>
        <w:t xml:space="preserve"> </w:t>
      </w:r>
      <w:r w:rsidRPr="002B419A">
        <w:rPr>
          <w:sz w:val="22"/>
          <w:szCs w:val="22"/>
        </w:rPr>
        <w:t>3.2. Попълване на НЕРА</w:t>
      </w:r>
    </w:p>
    <w:p w14:paraId="17706613" w14:textId="77777777" w:rsidR="00A77C1E" w:rsidRPr="002B419A" w:rsidRDefault="00A77C1E" w:rsidP="002B419A">
      <w:pPr>
        <w:shd w:val="clear" w:color="auto" w:fill="FFFFFF" w:themeFill="background1"/>
        <w:ind w:left="425"/>
        <w:rPr>
          <w:sz w:val="22"/>
          <w:szCs w:val="22"/>
        </w:rPr>
      </w:pPr>
      <w:r w:rsidRPr="002B419A">
        <w:rPr>
          <w:sz w:val="22"/>
          <w:szCs w:val="22"/>
        </w:rPr>
        <w:t>Оперативна</w:t>
      </w:r>
      <w:r w:rsidR="00737631" w:rsidRPr="002B419A">
        <w:rPr>
          <w:sz w:val="22"/>
          <w:szCs w:val="22"/>
        </w:rPr>
        <w:t xml:space="preserve"> </w:t>
      </w:r>
      <w:r w:rsidRPr="002B419A">
        <w:rPr>
          <w:sz w:val="22"/>
          <w:szCs w:val="22"/>
        </w:rPr>
        <w:t>цел</w:t>
      </w:r>
      <w:r w:rsidR="00737631" w:rsidRPr="002B419A">
        <w:rPr>
          <w:sz w:val="22"/>
          <w:szCs w:val="22"/>
        </w:rPr>
        <w:t xml:space="preserve"> </w:t>
      </w:r>
      <w:r w:rsidRPr="002B419A">
        <w:rPr>
          <w:sz w:val="22"/>
          <w:szCs w:val="22"/>
        </w:rPr>
        <w:t>3.3. Внедряване и използване на технология за е-архивиране на ценни електронни документи</w:t>
      </w:r>
    </w:p>
    <w:p w14:paraId="4E08B580" w14:textId="77777777" w:rsidR="00A77C1E" w:rsidRPr="002B419A" w:rsidRDefault="00A77C1E" w:rsidP="002B419A">
      <w:pPr>
        <w:shd w:val="clear" w:color="auto" w:fill="FFFFFF" w:themeFill="background1"/>
        <w:spacing w:after="120"/>
        <w:ind w:left="426"/>
        <w:rPr>
          <w:sz w:val="22"/>
          <w:szCs w:val="22"/>
        </w:rPr>
      </w:pPr>
      <w:r w:rsidRPr="002B419A">
        <w:rPr>
          <w:sz w:val="22"/>
          <w:szCs w:val="22"/>
        </w:rPr>
        <w:t>Оперативна цел</w:t>
      </w:r>
      <w:r w:rsidRPr="002B419A" w:rsidDel="0040116F">
        <w:rPr>
          <w:sz w:val="22"/>
          <w:szCs w:val="22"/>
        </w:rPr>
        <w:t xml:space="preserve"> </w:t>
      </w:r>
      <w:r w:rsidRPr="002B419A">
        <w:rPr>
          <w:sz w:val="22"/>
          <w:szCs w:val="22"/>
        </w:rPr>
        <w:t>3.4. Поддържане на информационните ресурси</w:t>
      </w:r>
    </w:p>
    <w:p w14:paraId="77801C73" w14:textId="10481482" w:rsidR="00A77C1E" w:rsidRPr="00667B09" w:rsidRDefault="00A77C1E" w:rsidP="002B419A">
      <w:pPr>
        <w:shd w:val="clear" w:color="auto" w:fill="FFFFFF" w:themeFill="background1"/>
        <w:ind w:firstLine="426"/>
        <w:jc w:val="both"/>
        <w:rPr>
          <w:b/>
          <w:i/>
          <w:sz w:val="22"/>
          <w:szCs w:val="22"/>
        </w:rPr>
      </w:pPr>
      <w:r w:rsidRPr="00667B09">
        <w:rPr>
          <w:b/>
          <w:i/>
          <w:sz w:val="22"/>
          <w:szCs w:val="22"/>
        </w:rPr>
        <w:t xml:space="preserve">Полза/ефект за обществото </w:t>
      </w:r>
    </w:p>
    <w:p w14:paraId="6A3400F7" w14:textId="77777777" w:rsidR="004B4246" w:rsidRPr="005953DA" w:rsidRDefault="004B4246" w:rsidP="002B419A">
      <w:pPr>
        <w:shd w:val="clear" w:color="auto" w:fill="FFFFFF" w:themeFill="background1"/>
        <w:tabs>
          <w:tab w:val="left" w:pos="2106"/>
        </w:tabs>
        <w:ind w:firstLine="426"/>
        <w:jc w:val="both"/>
        <w:rPr>
          <w:sz w:val="22"/>
          <w:szCs w:val="22"/>
        </w:rPr>
      </w:pPr>
      <w:r w:rsidRPr="005953DA">
        <w:rPr>
          <w:sz w:val="22"/>
          <w:szCs w:val="22"/>
        </w:rPr>
        <w:t>Софтуерното управление на архивните процеси е стратегическа цел, насочена към ефективното и ефикасно изпълнение на основните функции на Агенцията за комплектуване, съхранение, опазване и предоставяне за използване на архивните документи и осигуряване на качествени услуги на нивото на съвременните изисквания за бързина и качество.</w:t>
      </w:r>
    </w:p>
    <w:p w14:paraId="6815E390" w14:textId="77777777" w:rsidR="004B4246" w:rsidRPr="005953DA" w:rsidRDefault="004B4246" w:rsidP="002B419A">
      <w:pPr>
        <w:shd w:val="clear" w:color="auto" w:fill="FFFFFF" w:themeFill="background1"/>
        <w:tabs>
          <w:tab w:val="left" w:pos="2106"/>
        </w:tabs>
        <w:ind w:firstLine="426"/>
        <w:jc w:val="both"/>
        <w:rPr>
          <w:sz w:val="22"/>
          <w:szCs w:val="22"/>
        </w:rPr>
      </w:pPr>
      <w:r w:rsidRPr="005953DA">
        <w:rPr>
          <w:sz w:val="22"/>
          <w:szCs w:val="22"/>
        </w:rPr>
        <w:t xml:space="preserve">Управлението и изпълнението на основните архивни процеси и на попълването на масиви с данни за съхраняваните в ДАА архивни документи и с техни дигитални копия чрез функционалностите на специализиран софтуер остава основно средство за постигане на </w:t>
      </w:r>
      <w:r w:rsidRPr="005953DA">
        <w:rPr>
          <w:sz w:val="22"/>
          <w:szCs w:val="22"/>
        </w:rPr>
        <w:lastRenderedPageBreak/>
        <w:t>необходимото качество в няколко основни направления от дейността на ДАА. Управлението на процесите по въвеждане в базите на ИСДА на архивни описания на съхраняваните документи и на техни дигитални копия, тяхната проверка и корекция чрез функционалностите на системата, е предпоставка за поддържане на максимално пълни, точни, постоянно актуални, достъпни за всички потребители данни от момента на проверката и концентрирани на едно място масиви с постоянно и устойчиво качество при по-ниски разходи на труд и запазване на резултатите от него. Така масивите, изготвени като професионално задължение от служители на ДАА, от своя страна са условие и средство за разширяване и улесняване на достъпа на всички потребители на архивна информация до данни за документите от НАФ и до дигитални копия на архивни документи, съхранявани в ДАА през публичните части на системите чрез техните функционалности и за ефективно извличане на необходимата информация. Точността, постоянната пълнота и актуалност и достъпността на тези бази за всички потребители на архивна информация са и мярка за по-добро опазване на архивните документи, защото осигуряват намалено третиране на оригиналите чрез предоставяне за ползване вместо тях на техни дигитални копия и чрез по-точното им идентифициране и съответно – намаленото им третиране. Това от своя страна намалява и разходите за скъпи реставрационни дейности.</w:t>
      </w:r>
    </w:p>
    <w:p w14:paraId="2AC7F15E" w14:textId="77777777" w:rsidR="004B4246" w:rsidRPr="005953DA" w:rsidRDefault="004B4246" w:rsidP="002B419A">
      <w:pPr>
        <w:shd w:val="clear" w:color="auto" w:fill="FFFFFF" w:themeFill="background1"/>
        <w:tabs>
          <w:tab w:val="left" w:pos="2106"/>
        </w:tabs>
        <w:ind w:firstLine="426"/>
        <w:jc w:val="both"/>
        <w:rPr>
          <w:sz w:val="22"/>
          <w:szCs w:val="22"/>
          <w:lang w:val="ru-RU"/>
        </w:rPr>
      </w:pPr>
      <w:r w:rsidRPr="005953DA">
        <w:rPr>
          <w:sz w:val="22"/>
          <w:szCs w:val="22"/>
        </w:rPr>
        <w:t>Ефективното управление на документалното наследство на нацията изисква поддържане на максимално пълен и актуален Регистър на НАФ, независимо от мястото на съхранение на документите, определени като част от него. За тази цел ДАА поддържа публичен електронен регистър. Процесите по попълване и актуализиране на Регистъра се управляват от ДАА чрез специализиран софтуер, който осигурява електронно попълване на данните и осигурява възможности за контрол от страна на ДАА върху тяхната пълнота и прецизност. Регистърът централизира информацията за документите от състава на НАФ, с което дава възможност за пълноценното му управление, за подобряване на мерките за опазване на документите, както и за пълноценен и улеснен публичен достъп до информацията за тях. Крайната цел на Регистъра е пълнота на цялата информация за НАФ. Регистърът е в постоянен процес на попълване и актуализация.</w:t>
      </w:r>
    </w:p>
    <w:p w14:paraId="538365C2" w14:textId="1B723308" w:rsidR="004B4246" w:rsidRPr="0051643E" w:rsidRDefault="004B4246" w:rsidP="00CA449D">
      <w:pPr>
        <w:shd w:val="clear" w:color="auto" w:fill="FFFFFF" w:themeFill="background1"/>
        <w:tabs>
          <w:tab w:val="left" w:pos="709"/>
        </w:tabs>
        <w:ind w:firstLine="426"/>
        <w:jc w:val="both"/>
        <w:rPr>
          <w:i/>
          <w:strike/>
          <w:sz w:val="22"/>
          <w:szCs w:val="22"/>
        </w:rPr>
      </w:pPr>
      <w:r w:rsidRPr="0051643E">
        <w:rPr>
          <w:sz w:val="22"/>
          <w:szCs w:val="22"/>
        </w:rPr>
        <w:t xml:space="preserve">Разработването и внедряването с проектно финансиране по ОПДУ на СЕА осигури приемането, съхранението, достъпа (с различни нива) и използването на ценни електронни документи от държавните и общинските институции, както и от видни за обществото личности, политически партии, юридически лица с нестопанска цел и търговски дружества, българи и български организации в чужбина с принос към българската история. Публичен достъп до базата данни от архивни описания ще се осигури чрез </w:t>
      </w:r>
      <w:proofErr w:type="spellStart"/>
      <w:r w:rsidRPr="0051643E">
        <w:rPr>
          <w:sz w:val="22"/>
          <w:szCs w:val="22"/>
        </w:rPr>
        <w:t>web</w:t>
      </w:r>
      <w:proofErr w:type="spellEnd"/>
      <w:r w:rsidRPr="0051643E">
        <w:rPr>
          <w:sz w:val="22"/>
          <w:szCs w:val="22"/>
        </w:rPr>
        <w:t>-базиран интерфейс. Създаването на единна нормативна и методическа база, както и синхронизацията на действащи нормативни актове е изключително належащо.</w:t>
      </w:r>
    </w:p>
    <w:p w14:paraId="72E3AFAC" w14:textId="77777777" w:rsidR="004B4246" w:rsidRPr="005953DA" w:rsidRDefault="004B4246" w:rsidP="00CA449D">
      <w:pPr>
        <w:shd w:val="clear" w:color="auto" w:fill="FFFFFF" w:themeFill="background1"/>
        <w:tabs>
          <w:tab w:val="left" w:pos="2106"/>
        </w:tabs>
        <w:spacing w:after="120"/>
        <w:ind w:firstLine="425"/>
        <w:jc w:val="both"/>
        <w:rPr>
          <w:sz w:val="22"/>
          <w:szCs w:val="22"/>
        </w:rPr>
      </w:pPr>
      <w:r w:rsidRPr="005953DA">
        <w:rPr>
          <w:sz w:val="22"/>
          <w:szCs w:val="22"/>
        </w:rPr>
        <w:t xml:space="preserve">Управлението на информационните ресурси в ДАА </w:t>
      </w:r>
      <w:r w:rsidRPr="005953DA">
        <w:rPr>
          <w:bCs/>
          <w:sz w:val="22"/>
          <w:szCs w:val="22"/>
        </w:rPr>
        <w:t xml:space="preserve">е насочено към подобряване, поддържане и надграждане на съществуващите ресурси в </w:t>
      </w:r>
      <w:r w:rsidRPr="005953DA">
        <w:rPr>
          <w:sz w:val="22"/>
          <w:szCs w:val="22"/>
        </w:rPr>
        <w:t>Агенцията</w:t>
      </w:r>
      <w:r w:rsidRPr="005953DA">
        <w:rPr>
          <w:bCs/>
          <w:sz w:val="22"/>
          <w:szCs w:val="22"/>
        </w:rPr>
        <w:t xml:space="preserve"> за </w:t>
      </w:r>
      <w:r w:rsidRPr="005953DA">
        <w:rPr>
          <w:sz w:val="22"/>
          <w:szCs w:val="22"/>
        </w:rPr>
        <w:t xml:space="preserve">осигуряване на непрекъснатост на процесите; минимизиране на рисковете за сигурността на информацията, причиняващи загуби или вреди, както и пробиви в информационната сигурност; осигуряване на необходимите ресурси за поддържане на ефективни информационни системи, както и за осигуряване на съответствие с нормативни и договорни изисквания, съгласно указанията на МЕУ и др. </w:t>
      </w:r>
      <w:r w:rsidRPr="005953DA">
        <w:rPr>
          <w:bCs/>
          <w:sz w:val="22"/>
          <w:szCs w:val="22"/>
        </w:rPr>
        <w:t>компетентни</w:t>
      </w:r>
      <w:r w:rsidRPr="005953DA">
        <w:rPr>
          <w:sz w:val="22"/>
          <w:szCs w:val="22"/>
        </w:rPr>
        <w:t xml:space="preserve"> държавни институции. </w:t>
      </w:r>
    </w:p>
    <w:p w14:paraId="18BF9171" w14:textId="77777777" w:rsidR="004B4246" w:rsidRPr="005953DA" w:rsidRDefault="004B4246" w:rsidP="00CA449D">
      <w:pPr>
        <w:shd w:val="clear" w:color="auto" w:fill="FFFFFF" w:themeFill="background1"/>
        <w:ind w:firstLine="425"/>
        <w:jc w:val="both"/>
        <w:rPr>
          <w:b/>
          <w:sz w:val="22"/>
          <w:szCs w:val="22"/>
        </w:rPr>
      </w:pPr>
      <w:r w:rsidRPr="005953DA">
        <w:rPr>
          <w:b/>
          <w:sz w:val="22"/>
          <w:szCs w:val="22"/>
        </w:rPr>
        <w:t>Ключовите индикатори по трета стратегическа цел са:</w:t>
      </w:r>
    </w:p>
    <w:p w14:paraId="083B693B" w14:textId="77777777" w:rsidR="004B4246" w:rsidRPr="004B4246" w:rsidRDefault="004B4246" w:rsidP="00CA449D">
      <w:pPr>
        <w:pStyle w:val="ListParagraph"/>
        <w:numPr>
          <w:ilvl w:val="0"/>
          <w:numId w:val="45"/>
        </w:numPr>
        <w:shd w:val="clear" w:color="auto" w:fill="FFFFFF" w:themeFill="background1"/>
        <w:ind w:left="0" w:firstLine="426"/>
        <w:jc w:val="both"/>
        <w:rPr>
          <w:sz w:val="22"/>
          <w:szCs w:val="22"/>
        </w:rPr>
      </w:pPr>
      <w:r w:rsidRPr="004B4246">
        <w:rPr>
          <w:i/>
          <w:sz w:val="22"/>
          <w:szCs w:val="22"/>
        </w:rPr>
        <w:t xml:space="preserve">Въведени данни в </w:t>
      </w:r>
      <w:r w:rsidRPr="005953DA">
        <w:rPr>
          <w:i/>
          <w:sz w:val="22"/>
          <w:szCs w:val="22"/>
        </w:rPr>
        <w:t>Информационната система на държавните архиви</w:t>
      </w:r>
      <w:r w:rsidRPr="004B4246">
        <w:rPr>
          <w:i/>
          <w:sz w:val="22"/>
          <w:szCs w:val="22"/>
        </w:rPr>
        <w:t xml:space="preserve"> </w:t>
      </w:r>
      <w:r w:rsidRPr="004B4246">
        <w:rPr>
          <w:sz w:val="22"/>
          <w:szCs w:val="22"/>
        </w:rPr>
        <w:t>– индикаторът включва въведените архивни описания и дигиталните образи в Информационната система на държавните архиви (ИСДА). Поддържането и попълването на четирите нива на описание на ИСДА е нормативно определено и е обвързано с ефективното и ефикасно изпълнение на основните функции на Агенцията, с улесненото управление на архивните процеси и с облекчения и улеснен достъп на потребителите на архивно описание до архивните документи;</w:t>
      </w:r>
    </w:p>
    <w:p w14:paraId="6A40B35B" w14:textId="56F363A0" w:rsidR="004B4246" w:rsidRPr="00B2611D" w:rsidRDefault="004B4246" w:rsidP="00CA449D">
      <w:pPr>
        <w:pStyle w:val="ListParagraph"/>
        <w:numPr>
          <w:ilvl w:val="0"/>
          <w:numId w:val="45"/>
        </w:numPr>
        <w:shd w:val="clear" w:color="auto" w:fill="FFFFFF" w:themeFill="background1"/>
        <w:ind w:left="0" w:firstLine="426"/>
        <w:jc w:val="both"/>
        <w:rPr>
          <w:sz w:val="22"/>
          <w:szCs w:val="22"/>
        </w:rPr>
      </w:pPr>
      <w:r w:rsidRPr="005953DA">
        <w:rPr>
          <w:i/>
          <w:sz w:val="22"/>
          <w:szCs w:val="22"/>
        </w:rPr>
        <w:t>Попълване на Системата за е-архивиране</w:t>
      </w:r>
      <w:r w:rsidRPr="00B2611D">
        <w:rPr>
          <w:i/>
          <w:sz w:val="22"/>
          <w:szCs w:val="22"/>
        </w:rPr>
        <w:t xml:space="preserve"> </w:t>
      </w:r>
      <w:r w:rsidRPr="00B2611D">
        <w:rPr>
          <w:sz w:val="22"/>
          <w:szCs w:val="22"/>
        </w:rPr>
        <w:t xml:space="preserve">– индикаторът включва комплектуване на нови постъпления с ценни е-документи и цифровизация на съхраняваните в държавните архиви аудио-визуални документи с цел тяхното опазване и предоставяне на възможност постоянен публичен достъп до съдържанието им. Чрез внедряването през 2023 г., в изпълнение на проекта по ОПДУ, на </w:t>
      </w:r>
      <w:r w:rsidRPr="00B2611D">
        <w:rPr>
          <w:sz w:val="22"/>
          <w:szCs w:val="22"/>
        </w:rPr>
        <w:lastRenderedPageBreak/>
        <w:t>Системата за е-архивиране (СЕА) се осигури приемането, съхранението, достъпа (с различни нива) и използването на ценни електронни документи от държавните и общинските институции, както и от видни за обществото личности, политически партии, юридически лица с нестопанска цел и търговски дружества, българи и български организации в чужбина с принос към българската история. Архивирането на ценни електронни документи е в пряка връзка с обогатяването на НАФ и комплектуване на пълни по съста</w:t>
      </w:r>
      <w:r w:rsidR="00B2611D">
        <w:rPr>
          <w:sz w:val="22"/>
          <w:szCs w:val="22"/>
        </w:rPr>
        <w:t>в и съдържание архивни фондове</w:t>
      </w:r>
      <w:r w:rsidR="00B2611D">
        <w:rPr>
          <w:sz w:val="22"/>
          <w:szCs w:val="22"/>
          <w:lang w:val="bg-BG"/>
        </w:rPr>
        <w:t>;</w:t>
      </w:r>
    </w:p>
    <w:p w14:paraId="4F2D895E" w14:textId="3E9B5896" w:rsidR="004B4246" w:rsidRPr="00B2611D" w:rsidRDefault="004B4246" w:rsidP="00CA449D">
      <w:pPr>
        <w:pStyle w:val="ListParagraph"/>
        <w:numPr>
          <w:ilvl w:val="0"/>
          <w:numId w:val="45"/>
        </w:numPr>
        <w:shd w:val="clear" w:color="auto" w:fill="FFFFFF" w:themeFill="background1"/>
        <w:tabs>
          <w:tab w:val="num" w:pos="709"/>
        </w:tabs>
        <w:ind w:left="0" w:firstLine="426"/>
        <w:jc w:val="both"/>
        <w:rPr>
          <w:sz w:val="22"/>
          <w:szCs w:val="22"/>
        </w:rPr>
      </w:pPr>
      <w:r w:rsidRPr="00B2611D">
        <w:rPr>
          <w:i/>
          <w:sz w:val="22"/>
          <w:szCs w:val="22"/>
        </w:rPr>
        <w:t xml:space="preserve">Вписвания в Регистъра на Националния архивен фонд </w:t>
      </w:r>
      <w:r w:rsidRPr="00B2611D">
        <w:rPr>
          <w:sz w:val="22"/>
          <w:szCs w:val="22"/>
        </w:rPr>
        <w:t>– нормативно регламентирано е документите от НАФ да се водят на отчет в Регистър на НАФ, поддържан от ДАА, с цел централизиране на информацията за архивни фондове и документи в архивите, за архивните сбирки</w:t>
      </w:r>
      <w:r w:rsidR="00B2611D">
        <w:rPr>
          <w:sz w:val="22"/>
          <w:szCs w:val="22"/>
        </w:rPr>
        <w:t xml:space="preserve"> и отделни архивни документи – </w:t>
      </w:r>
      <w:r w:rsidRPr="00B2611D">
        <w:rPr>
          <w:sz w:val="22"/>
          <w:szCs w:val="22"/>
        </w:rPr>
        <w:t>собственост на юридически и физически лица, както и за осигуряване на тяхната публичност;</w:t>
      </w:r>
    </w:p>
    <w:p w14:paraId="20FBB6CA" w14:textId="77777777" w:rsidR="004B4246" w:rsidRPr="00967118" w:rsidRDefault="004B4246" w:rsidP="00CA449D">
      <w:pPr>
        <w:pStyle w:val="ListParagraph"/>
        <w:numPr>
          <w:ilvl w:val="0"/>
          <w:numId w:val="45"/>
        </w:numPr>
        <w:shd w:val="clear" w:color="auto" w:fill="FFFFFF" w:themeFill="background1"/>
        <w:tabs>
          <w:tab w:val="num" w:pos="709"/>
          <w:tab w:val="num" w:pos="1080"/>
        </w:tabs>
        <w:spacing w:after="120"/>
        <w:ind w:left="0" w:firstLine="426"/>
        <w:jc w:val="both"/>
        <w:rPr>
          <w:sz w:val="22"/>
          <w:szCs w:val="22"/>
        </w:rPr>
      </w:pPr>
      <w:r w:rsidRPr="00967118">
        <w:rPr>
          <w:i/>
          <w:sz w:val="22"/>
          <w:szCs w:val="22"/>
        </w:rPr>
        <w:t xml:space="preserve">Посещения/показвания от потребители на данни от базите на Информационната система на държавните архиви, Системата за е-архивиране, Регистъра на Националния архивен фонд и сайтовете на ДАА </w:t>
      </w:r>
      <w:r w:rsidRPr="00967118">
        <w:rPr>
          <w:sz w:val="22"/>
          <w:szCs w:val="22"/>
        </w:rPr>
        <w:t>– индикаторът е обвързан с предходните два и е от съществено значение за измерване на удовлетвореността на потребителите на архивна информация във връзка с реализацията на приоритетните цели на Агенцията за улесняване и облекчаване на достъпа до националното документално богатство.</w:t>
      </w:r>
    </w:p>
    <w:p w14:paraId="021DA0C8" w14:textId="6AE9A399" w:rsidR="00A77C1E" w:rsidRPr="00CA449D" w:rsidRDefault="00A77C1E" w:rsidP="00C65292">
      <w:pPr>
        <w:shd w:val="clear" w:color="auto" w:fill="FFFFFF" w:themeFill="background1"/>
        <w:tabs>
          <w:tab w:val="left" w:pos="851"/>
        </w:tabs>
        <w:ind w:firstLine="426"/>
        <w:jc w:val="both"/>
        <w:rPr>
          <w:b/>
          <w:sz w:val="22"/>
          <w:szCs w:val="22"/>
        </w:rPr>
      </w:pPr>
      <w:r w:rsidRPr="00CA449D">
        <w:rPr>
          <w:b/>
          <w:sz w:val="22"/>
          <w:szCs w:val="22"/>
        </w:rPr>
        <w:t>С</w:t>
      </w:r>
      <w:r w:rsidR="00CA449D">
        <w:rPr>
          <w:b/>
          <w:sz w:val="22"/>
          <w:szCs w:val="22"/>
        </w:rPr>
        <w:t>тратегическа цел</w:t>
      </w:r>
      <w:r w:rsidRPr="00CA449D">
        <w:rPr>
          <w:b/>
          <w:sz w:val="22"/>
          <w:szCs w:val="22"/>
        </w:rPr>
        <w:t xml:space="preserve"> 4: И</w:t>
      </w:r>
      <w:r w:rsidR="00CA449D">
        <w:rPr>
          <w:b/>
          <w:sz w:val="22"/>
          <w:szCs w:val="22"/>
        </w:rPr>
        <w:t xml:space="preserve">новативност в популяризирането на националното архивно наследство и дейността на </w:t>
      </w:r>
      <w:r w:rsidRPr="00CA449D">
        <w:rPr>
          <w:b/>
          <w:sz w:val="22"/>
          <w:szCs w:val="22"/>
        </w:rPr>
        <w:t>ДАА</w:t>
      </w:r>
    </w:p>
    <w:p w14:paraId="45ADCFA7" w14:textId="77777777" w:rsidR="00A77C1E" w:rsidRPr="00CA449D" w:rsidRDefault="00A77C1E" w:rsidP="00C65292">
      <w:pPr>
        <w:shd w:val="clear" w:color="auto" w:fill="FFFFFF" w:themeFill="background1"/>
        <w:tabs>
          <w:tab w:val="left" w:pos="851"/>
        </w:tabs>
        <w:ind w:firstLine="426"/>
        <w:jc w:val="both"/>
        <w:rPr>
          <w:sz w:val="22"/>
          <w:szCs w:val="22"/>
        </w:rPr>
      </w:pPr>
      <w:r w:rsidRPr="00CA449D">
        <w:rPr>
          <w:sz w:val="22"/>
          <w:szCs w:val="22"/>
        </w:rPr>
        <w:t>Оперативна цел</w:t>
      </w:r>
      <w:r w:rsidRPr="00CA449D" w:rsidDel="0040116F">
        <w:rPr>
          <w:sz w:val="22"/>
          <w:szCs w:val="22"/>
        </w:rPr>
        <w:t xml:space="preserve"> </w:t>
      </w:r>
      <w:r w:rsidRPr="00CA449D">
        <w:rPr>
          <w:sz w:val="22"/>
          <w:szCs w:val="22"/>
        </w:rPr>
        <w:t>4.1. Обогатяване на формите за отваряне на архивите към обществото</w:t>
      </w:r>
    </w:p>
    <w:p w14:paraId="38041FF3" w14:textId="77777777" w:rsidR="00A77C1E" w:rsidRPr="00CA449D" w:rsidRDefault="00A77C1E" w:rsidP="00C65292">
      <w:pPr>
        <w:shd w:val="clear" w:color="auto" w:fill="FFFFFF" w:themeFill="background1"/>
        <w:tabs>
          <w:tab w:val="left" w:pos="851"/>
        </w:tabs>
        <w:ind w:firstLine="426"/>
        <w:jc w:val="both"/>
        <w:rPr>
          <w:sz w:val="22"/>
          <w:szCs w:val="22"/>
        </w:rPr>
      </w:pPr>
      <w:r w:rsidRPr="00CA449D">
        <w:rPr>
          <w:sz w:val="22"/>
          <w:szCs w:val="22"/>
        </w:rPr>
        <w:t>Оперативна цел 4.2. Подобряване на свързаността с международната архивна общност</w:t>
      </w:r>
    </w:p>
    <w:p w14:paraId="114A7570" w14:textId="77777777" w:rsidR="00A77C1E" w:rsidRPr="00667B09" w:rsidRDefault="00A77C1E" w:rsidP="00C65292">
      <w:pPr>
        <w:shd w:val="clear" w:color="auto" w:fill="FFFFFF" w:themeFill="background1"/>
        <w:spacing w:before="120"/>
        <w:ind w:firstLine="425"/>
        <w:jc w:val="both"/>
        <w:rPr>
          <w:b/>
          <w:i/>
          <w:sz w:val="22"/>
          <w:szCs w:val="22"/>
        </w:rPr>
      </w:pPr>
      <w:r w:rsidRPr="00667B09">
        <w:rPr>
          <w:b/>
          <w:i/>
          <w:sz w:val="22"/>
          <w:szCs w:val="22"/>
        </w:rPr>
        <w:t>Полза/ефект за обществото</w:t>
      </w:r>
    </w:p>
    <w:p w14:paraId="3980B7F7" w14:textId="77777777" w:rsidR="007B5D44" w:rsidRPr="007B5D44" w:rsidRDefault="007B5D44" w:rsidP="00C65292">
      <w:pPr>
        <w:shd w:val="clear" w:color="auto" w:fill="FFFFFF" w:themeFill="background1"/>
        <w:tabs>
          <w:tab w:val="left" w:pos="851"/>
        </w:tabs>
        <w:ind w:firstLine="426"/>
        <w:jc w:val="both"/>
        <w:rPr>
          <w:sz w:val="22"/>
          <w:szCs w:val="22"/>
        </w:rPr>
      </w:pPr>
      <w:r w:rsidRPr="007B5D44">
        <w:rPr>
          <w:sz w:val="22"/>
          <w:szCs w:val="22"/>
        </w:rPr>
        <w:t>Популяризирането на НАФ е една от основните дейности на ДАА, насочена към формиране на общественото разбиране за значението и функциите на Агенцията като национална институция, съхраняваща културно-историческото документално наследство и осигуряваща използване в общодостъпна форма на архивни документи от и в обществен интерес. Основните насоки за осигуряване на иновативност в популяризирането на НАФ и ДАА</w:t>
      </w:r>
      <w:r w:rsidRPr="007B5D44">
        <w:rPr>
          <w:bCs/>
          <w:sz w:val="22"/>
          <w:szCs w:val="22"/>
        </w:rPr>
        <w:t xml:space="preserve"> ще бъдат активно използване на </w:t>
      </w:r>
      <w:r w:rsidRPr="007B5D44">
        <w:rPr>
          <w:sz w:val="22"/>
          <w:szCs w:val="22"/>
        </w:rPr>
        <w:t xml:space="preserve">информационно-комуникационните технологии за интерактивно представяне на архивни документи, процеси, дейности и продукции и активен диалог със заинтересованите страни в България и чужбина за реализиране на съвместни инициативи и обмен на добри практики. </w:t>
      </w:r>
    </w:p>
    <w:p w14:paraId="1A1E4491" w14:textId="648A7FAE" w:rsidR="007B5D44" w:rsidRPr="00291604" w:rsidRDefault="007B5D44" w:rsidP="00C65292">
      <w:pPr>
        <w:shd w:val="clear" w:color="auto" w:fill="FFFFFF" w:themeFill="background1"/>
        <w:ind w:firstLine="426"/>
        <w:jc w:val="both"/>
        <w:rPr>
          <w:sz w:val="22"/>
          <w:szCs w:val="22"/>
        </w:rPr>
      </w:pPr>
      <w:r w:rsidRPr="00291604">
        <w:rPr>
          <w:sz w:val="22"/>
          <w:szCs w:val="22"/>
        </w:rPr>
        <w:t xml:space="preserve">ДАА ще води целенасочена политика за активно присъствие в интернет пространството чрез електронни версии на своите периодични издания, нови дигитални колекции по теми от обществен интерес, дигитални изложби, филми, видеа, презентации и др., публикувани в сайтовете на Агенцията и социалните медии. ДАА ще търси и осъществява ползотворни партньорства за </w:t>
      </w:r>
      <w:r w:rsidR="00605244">
        <w:rPr>
          <w:sz w:val="22"/>
          <w:szCs w:val="22"/>
        </w:rPr>
        <w:t>привличане и обмен на публики.</w:t>
      </w:r>
    </w:p>
    <w:p w14:paraId="16392D3E" w14:textId="0EF6E3F6" w:rsidR="007B5D44" w:rsidRPr="00291604" w:rsidRDefault="007B5D44" w:rsidP="00C65292">
      <w:pPr>
        <w:shd w:val="clear" w:color="auto" w:fill="FFFFFF" w:themeFill="background1"/>
        <w:tabs>
          <w:tab w:val="left" w:pos="426"/>
        </w:tabs>
        <w:spacing w:after="120"/>
        <w:ind w:firstLine="426"/>
        <w:jc w:val="both"/>
        <w:rPr>
          <w:bCs/>
          <w:color w:val="000000"/>
          <w:sz w:val="22"/>
          <w:szCs w:val="22"/>
        </w:rPr>
      </w:pPr>
      <w:r w:rsidRPr="00291604">
        <w:rPr>
          <w:bCs/>
          <w:color w:val="000000"/>
          <w:sz w:val="22"/>
          <w:szCs w:val="22"/>
        </w:rPr>
        <w:t>Агенцията</w:t>
      </w:r>
      <w:r w:rsidRPr="00291604">
        <w:rPr>
          <w:sz w:val="22"/>
          <w:szCs w:val="22"/>
        </w:rPr>
        <w:t xml:space="preserve"> участва в събития и дейности на </w:t>
      </w:r>
      <w:r w:rsidRPr="00291604">
        <w:rPr>
          <w:bCs/>
          <w:color w:val="000000"/>
          <w:sz w:val="22"/>
          <w:szCs w:val="22"/>
        </w:rPr>
        <w:t xml:space="preserve">международната архивна общност. ДАА ще води активна политика на двустранно сътрудничество с архивни институции, приоритетно от Европа, но и от цял свят за обмен на професионален опит и с организации в чужбина за популяризиране на България и нейното документално наследство. Партньорските връзки на многостранна основа ще се развиват в рамките на Международния съвет на архивите, Групата на европейските архиви към Европейската комисия, Европейското бюро на националните </w:t>
      </w:r>
      <w:proofErr w:type="spellStart"/>
      <w:r w:rsidRPr="00291604">
        <w:rPr>
          <w:bCs/>
          <w:color w:val="000000"/>
          <w:sz w:val="22"/>
          <w:szCs w:val="22"/>
        </w:rPr>
        <w:t>архивисти</w:t>
      </w:r>
      <w:proofErr w:type="spellEnd"/>
      <w:r w:rsidRPr="00291604">
        <w:rPr>
          <w:bCs/>
          <w:color w:val="000000"/>
          <w:sz w:val="22"/>
          <w:szCs w:val="22"/>
        </w:rPr>
        <w:t xml:space="preserve"> към Съвета на Европа, Фондацията „Архивен портал на Европа“, Международния център за архивни проучвания – ИКАРУС. Основният фокус в двустранното сътрудничество ще продължават да бъдат архивите на съседните балкански страни. </w:t>
      </w:r>
    </w:p>
    <w:p w14:paraId="610604FA" w14:textId="77777777" w:rsidR="00A77C1E" w:rsidRPr="00667B09" w:rsidRDefault="00A77C1E" w:rsidP="00C65292">
      <w:pPr>
        <w:shd w:val="clear" w:color="auto" w:fill="FFFFFF" w:themeFill="background1"/>
        <w:ind w:firstLine="425"/>
        <w:jc w:val="both"/>
        <w:rPr>
          <w:b/>
          <w:sz w:val="22"/>
          <w:szCs w:val="22"/>
        </w:rPr>
      </w:pPr>
      <w:r w:rsidRPr="00667B09">
        <w:rPr>
          <w:b/>
          <w:sz w:val="22"/>
          <w:szCs w:val="22"/>
        </w:rPr>
        <w:t>Ключовият индикатор по четвърта стратегическа цел е:</w:t>
      </w:r>
    </w:p>
    <w:p w14:paraId="137E6C7A" w14:textId="77777777" w:rsidR="00605244" w:rsidRPr="00605244" w:rsidRDefault="00605244" w:rsidP="00C65292">
      <w:pPr>
        <w:pStyle w:val="ListParagraph"/>
        <w:numPr>
          <w:ilvl w:val="0"/>
          <w:numId w:val="45"/>
        </w:numPr>
        <w:shd w:val="clear" w:color="auto" w:fill="FFFFFF" w:themeFill="background1"/>
        <w:tabs>
          <w:tab w:val="num" w:pos="709"/>
          <w:tab w:val="num" w:pos="1080"/>
        </w:tabs>
        <w:spacing w:after="120"/>
        <w:ind w:left="0" w:firstLine="426"/>
        <w:jc w:val="both"/>
        <w:rPr>
          <w:sz w:val="22"/>
          <w:szCs w:val="22"/>
        </w:rPr>
      </w:pPr>
      <w:r w:rsidRPr="00B27A37">
        <w:rPr>
          <w:i/>
          <w:sz w:val="22"/>
          <w:szCs w:val="22"/>
        </w:rPr>
        <w:t xml:space="preserve">Брой потребители/посещения/обсег на достигнати хора на популяризаторските форми </w:t>
      </w:r>
      <w:r w:rsidRPr="00605244">
        <w:rPr>
          <w:sz w:val="22"/>
          <w:szCs w:val="22"/>
        </w:rPr>
        <w:t>– индикаторът е свързан с нормативно определени задължения на ДАА за предоставяне за използване на архивни документи за популяризаторски цели/в популяризаторски форми. Популяризирането на документи от НАФ се осъществява чрез електронни издания, тематичните дигитални колекции в интернет, социалните медии – фейсбук, ютюб, туитър и инстаграм, изложби, представяния на издания с публикувани архивни документи и др.</w:t>
      </w:r>
    </w:p>
    <w:p w14:paraId="020F41FE" w14:textId="77777777" w:rsidR="00443F31" w:rsidRPr="00443F31" w:rsidRDefault="00443F31" w:rsidP="005A4ECE">
      <w:pPr>
        <w:widowControl w:val="0"/>
        <w:shd w:val="clear" w:color="auto" w:fill="FFFFFF" w:themeFill="background1"/>
        <w:tabs>
          <w:tab w:val="num" w:pos="426"/>
        </w:tabs>
        <w:ind w:firstLine="425"/>
        <w:jc w:val="both"/>
        <w:outlineLvl w:val="3"/>
        <w:rPr>
          <w:b/>
          <w:bCs/>
          <w:i/>
          <w:color w:val="215E99" w:themeColor="text2" w:themeTint="BF"/>
          <w:sz w:val="22"/>
          <w:szCs w:val="22"/>
          <w:lang w:eastAsia="en-US"/>
        </w:rPr>
      </w:pPr>
      <w:r w:rsidRPr="00443F31">
        <w:rPr>
          <w:b/>
          <w:bCs/>
          <w:i/>
          <w:color w:val="215E99" w:themeColor="text2" w:themeTint="BF"/>
          <w:sz w:val="22"/>
          <w:szCs w:val="22"/>
          <w:lang w:eastAsia="en-US"/>
        </w:rPr>
        <w:lastRenderedPageBreak/>
        <w:t>Показатели за полза/ефект и целеви стойности</w:t>
      </w:r>
    </w:p>
    <w:tbl>
      <w:tblPr>
        <w:tblW w:w="5000" w:type="pct"/>
        <w:jc w:val="center"/>
        <w:tblCellMar>
          <w:left w:w="70" w:type="dxa"/>
          <w:right w:w="70" w:type="dxa"/>
        </w:tblCellMar>
        <w:tblLook w:val="0000" w:firstRow="0" w:lastRow="0" w:firstColumn="0" w:lastColumn="0" w:noHBand="0" w:noVBand="0"/>
      </w:tblPr>
      <w:tblGrid>
        <w:gridCol w:w="4875"/>
        <w:gridCol w:w="1637"/>
        <w:gridCol w:w="1417"/>
        <w:gridCol w:w="1417"/>
      </w:tblGrid>
      <w:tr w:rsidR="00443F31" w:rsidRPr="00BA7638" w14:paraId="39219848" w14:textId="77777777" w:rsidTr="00DA496A">
        <w:trPr>
          <w:trHeight w:val="403"/>
          <w:jc w:val="center"/>
        </w:trPr>
        <w:tc>
          <w:tcPr>
            <w:tcW w:w="2608" w:type="pct"/>
            <w:tcBorders>
              <w:top w:val="single" w:sz="4" w:space="0" w:color="auto"/>
              <w:left w:val="single" w:sz="4" w:space="0" w:color="auto"/>
              <w:bottom w:val="single" w:sz="4" w:space="0" w:color="auto"/>
              <w:right w:val="single" w:sz="4" w:space="0" w:color="auto"/>
            </w:tcBorders>
            <w:shd w:val="clear" w:color="auto" w:fill="FFCC99"/>
            <w:vAlign w:val="center"/>
          </w:tcPr>
          <w:p w14:paraId="25FCFF1E" w14:textId="7DD05958" w:rsidR="00443F31" w:rsidRPr="00FB153D" w:rsidRDefault="00443F31" w:rsidP="00443F31">
            <w:pPr>
              <w:spacing w:after="120"/>
              <w:rPr>
                <w:b/>
                <w:bCs/>
                <w:sz w:val="16"/>
                <w:szCs w:val="16"/>
              </w:rPr>
            </w:pPr>
            <w:r w:rsidRPr="00FB153D">
              <w:rPr>
                <w:b/>
                <w:bCs/>
                <w:sz w:val="16"/>
                <w:szCs w:val="16"/>
              </w:rPr>
              <w:t>0300.05.01 Област на политика:</w:t>
            </w:r>
            <w:r>
              <w:rPr>
                <w:b/>
                <w:bCs/>
                <w:sz w:val="16"/>
                <w:szCs w:val="16"/>
              </w:rPr>
              <w:t xml:space="preserve"> </w:t>
            </w:r>
            <w:r w:rsidRPr="00FB153D">
              <w:rPr>
                <w:b/>
                <w:bCs/>
                <w:sz w:val="16"/>
                <w:szCs w:val="16"/>
              </w:rPr>
              <w:t>„Политиката в областта на архивното дело”</w:t>
            </w:r>
          </w:p>
        </w:tc>
        <w:tc>
          <w:tcPr>
            <w:tcW w:w="876" w:type="pct"/>
            <w:vMerge w:val="restart"/>
            <w:tcBorders>
              <w:top w:val="single" w:sz="4" w:space="0" w:color="auto"/>
              <w:left w:val="nil"/>
              <w:right w:val="single" w:sz="4" w:space="0" w:color="auto"/>
            </w:tcBorders>
            <w:shd w:val="clear" w:color="auto" w:fill="FFCC99"/>
            <w:vAlign w:val="center"/>
          </w:tcPr>
          <w:p w14:paraId="75D3F990" w14:textId="77777777" w:rsidR="00443F31" w:rsidRPr="00FB153D" w:rsidRDefault="00443F31" w:rsidP="00443F31">
            <w:pPr>
              <w:spacing w:after="120"/>
              <w:jc w:val="center"/>
              <w:rPr>
                <w:b/>
                <w:bCs/>
                <w:sz w:val="16"/>
                <w:szCs w:val="16"/>
              </w:rPr>
            </w:pPr>
            <w:r w:rsidRPr="00FB153D">
              <w:rPr>
                <w:b/>
                <w:bCs/>
                <w:sz w:val="16"/>
                <w:szCs w:val="16"/>
              </w:rPr>
              <w:t>Мерна единица</w:t>
            </w:r>
          </w:p>
        </w:tc>
        <w:tc>
          <w:tcPr>
            <w:tcW w:w="758" w:type="pct"/>
            <w:vMerge w:val="restart"/>
            <w:tcBorders>
              <w:top w:val="single" w:sz="4" w:space="0" w:color="auto"/>
              <w:left w:val="single" w:sz="4" w:space="0" w:color="auto"/>
              <w:right w:val="single" w:sz="4" w:space="0" w:color="auto"/>
            </w:tcBorders>
            <w:shd w:val="clear" w:color="auto" w:fill="FFCC99"/>
            <w:vAlign w:val="center"/>
          </w:tcPr>
          <w:p w14:paraId="6019F715" w14:textId="77777777" w:rsidR="00443F31" w:rsidRPr="00FB153D" w:rsidRDefault="00443F31" w:rsidP="00443F31">
            <w:pPr>
              <w:spacing w:after="120"/>
              <w:jc w:val="center"/>
              <w:rPr>
                <w:b/>
                <w:bCs/>
                <w:iCs/>
                <w:sz w:val="16"/>
                <w:szCs w:val="16"/>
              </w:rPr>
            </w:pPr>
            <w:r w:rsidRPr="00FB153D">
              <w:rPr>
                <w:b/>
                <w:bCs/>
                <w:iCs/>
                <w:sz w:val="16"/>
                <w:szCs w:val="16"/>
              </w:rPr>
              <w:t xml:space="preserve">Целева стойност </w:t>
            </w:r>
          </w:p>
        </w:tc>
        <w:tc>
          <w:tcPr>
            <w:tcW w:w="758" w:type="pct"/>
            <w:vMerge w:val="restart"/>
            <w:tcBorders>
              <w:top w:val="single" w:sz="4" w:space="0" w:color="auto"/>
              <w:left w:val="nil"/>
              <w:bottom w:val="single" w:sz="4" w:space="0" w:color="auto"/>
              <w:right w:val="single" w:sz="4" w:space="0" w:color="auto"/>
            </w:tcBorders>
            <w:shd w:val="clear" w:color="auto" w:fill="FFCC99"/>
            <w:vAlign w:val="center"/>
          </w:tcPr>
          <w:p w14:paraId="5F28BE83" w14:textId="77777777" w:rsidR="00443F31" w:rsidRPr="00FB153D" w:rsidRDefault="00443F31" w:rsidP="00443F31">
            <w:pPr>
              <w:spacing w:after="120"/>
              <w:jc w:val="center"/>
              <w:rPr>
                <w:b/>
                <w:bCs/>
                <w:iCs/>
                <w:sz w:val="16"/>
                <w:szCs w:val="16"/>
              </w:rPr>
            </w:pPr>
            <w:r w:rsidRPr="00FB153D">
              <w:rPr>
                <w:b/>
                <w:bCs/>
                <w:iCs/>
                <w:sz w:val="16"/>
                <w:szCs w:val="16"/>
              </w:rPr>
              <w:t>Отчет</w:t>
            </w:r>
          </w:p>
        </w:tc>
      </w:tr>
      <w:tr w:rsidR="00443F31" w:rsidRPr="00BA7638" w14:paraId="234DC2FA" w14:textId="77777777" w:rsidTr="00DA496A">
        <w:trPr>
          <w:trHeight w:val="198"/>
          <w:jc w:val="center"/>
        </w:trPr>
        <w:tc>
          <w:tcPr>
            <w:tcW w:w="2608" w:type="pct"/>
            <w:tcBorders>
              <w:top w:val="single" w:sz="4" w:space="0" w:color="auto"/>
              <w:left w:val="single" w:sz="4" w:space="0" w:color="auto"/>
              <w:bottom w:val="single" w:sz="4" w:space="0" w:color="auto"/>
              <w:right w:val="single" w:sz="4" w:space="0" w:color="auto"/>
            </w:tcBorders>
            <w:shd w:val="clear" w:color="auto" w:fill="FFCC99"/>
            <w:vAlign w:val="center"/>
          </w:tcPr>
          <w:p w14:paraId="64884097" w14:textId="0570A4D2" w:rsidR="00443F31" w:rsidRPr="00026CA3" w:rsidRDefault="00443F31" w:rsidP="00443F31">
            <w:pPr>
              <w:rPr>
                <w:b/>
                <w:bCs/>
                <w:sz w:val="16"/>
                <w:szCs w:val="16"/>
                <w:lang w:val="en-GB"/>
              </w:rPr>
            </w:pPr>
            <w:r w:rsidRPr="00FB153D">
              <w:rPr>
                <w:b/>
                <w:iCs/>
                <w:sz w:val="16"/>
                <w:szCs w:val="16"/>
              </w:rPr>
              <w:t>Показатели за полза/ефект</w:t>
            </w:r>
            <w:r w:rsidRPr="00FB153D">
              <w:rPr>
                <w:b/>
                <w:iCs/>
                <w:sz w:val="16"/>
                <w:szCs w:val="16"/>
                <w:lang w:val="en-GB"/>
              </w:rPr>
              <w:t xml:space="preserve"> </w:t>
            </w:r>
          </w:p>
        </w:tc>
        <w:tc>
          <w:tcPr>
            <w:tcW w:w="876" w:type="pct"/>
            <w:vMerge/>
            <w:tcBorders>
              <w:left w:val="nil"/>
              <w:bottom w:val="single" w:sz="4" w:space="0" w:color="auto"/>
              <w:right w:val="single" w:sz="4" w:space="0" w:color="auto"/>
            </w:tcBorders>
            <w:shd w:val="clear" w:color="auto" w:fill="FFCC99"/>
            <w:vAlign w:val="center"/>
          </w:tcPr>
          <w:p w14:paraId="5A22D30B" w14:textId="77777777" w:rsidR="00443F31" w:rsidRPr="00FB153D" w:rsidRDefault="00443F31" w:rsidP="00443F31">
            <w:pPr>
              <w:jc w:val="center"/>
              <w:rPr>
                <w:b/>
                <w:bCs/>
                <w:sz w:val="16"/>
                <w:szCs w:val="16"/>
              </w:rPr>
            </w:pPr>
          </w:p>
        </w:tc>
        <w:tc>
          <w:tcPr>
            <w:tcW w:w="758" w:type="pct"/>
            <w:vMerge/>
            <w:tcBorders>
              <w:left w:val="single" w:sz="4" w:space="0" w:color="auto"/>
              <w:bottom w:val="single" w:sz="4" w:space="0" w:color="auto"/>
              <w:right w:val="single" w:sz="4" w:space="0" w:color="auto"/>
            </w:tcBorders>
            <w:shd w:val="clear" w:color="auto" w:fill="FFCC99"/>
            <w:vAlign w:val="center"/>
          </w:tcPr>
          <w:p w14:paraId="0507464F" w14:textId="77777777" w:rsidR="00443F31" w:rsidRPr="00FB153D" w:rsidRDefault="00443F31" w:rsidP="00443F31">
            <w:pPr>
              <w:jc w:val="center"/>
              <w:rPr>
                <w:b/>
                <w:bCs/>
                <w:i/>
                <w:iCs/>
                <w:sz w:val="16"/>
                <w:szCs w:val="16"/>
              </w:rPr>
            </w:pPr>
          </w:p>
        </w:tc>
        <w:tc>
          <w:tcPr>
            <w:tcW w:w="758" w:type="pct"/>
            <w:vMerge/>
            <w:tcBorders>
              <w:left w:val="nil"/>
              <w:bottom w:val="single" w:sz="4" w:space="0" w:color="auto"/>
              <w:right w:val="single" w:sz="4" w:space="0" w:color="auto"/>
            </w:tcBorders>
            <w:shd w:val="clear" w:color="auto" w:fill="FFCC99"/>
            <w:vAlign w:val="center"/>
          </w:tcPr>
          <w:p w14:paraId="0320FB1A" w14:textId="77777777" w:rsidR="00443F31" w:rsidRPr="00FB153D" w:rsidRDefault="00443F31" w:rsidP="00443F31">
            <w:pPr>
              <w:jc w:val="center"/>
              <w:rPr>
                <w:b/>
                <w:bCs/>
                <w:i/>
                <w:iCs/>
                <w:sz w:val="16"/>
                <w:szCs w:val="16"/>
              </w:rPr>
            </w:pPr>
          </w:p>
        </w:tc>
      </w:tr>
      <w:tr w:rsidR="00443F31" w:rsidRPr="00E7357B" w14:paraId="204B1CB2" w14:textId="77777777" w:rsidTr="00DA496A">
        <w:trPr>
          <w:trHeight w:val="398"/>
          <w:jc w:val="center"/>
        </w:trPr>
        <w:tc>
          <w:tcPr>
            <w:tcW w:w="2608" w:type="pct"/>
            <w:tcBorders>
              <w:top w:val="nil"/>
              <w:left w:val="single" w:sz="4" w:space="0" w:color="auto"/>
              <w:bottom w:val="single" w:sz="4" w:space="0" w:color="auto"/>
              <w:right w:val="single" w:sz="4" w:space="0" w:color="auto"/>
            </w:tcBorders>
            <w:shd w:val="clear" w:color="auto" w:fill="auto"/>
          </w:tcPr>
          <w:p w14:paraId="793DC2F1" w14:textId="0C4CC23A" w:rsidR="00443F31" w:rsidRPr="00FB153D" w:rsidRDefault="00443F31" w:rsidP="00443F31">
            <w:pPr>
              <w:rPr>
                <w:b/>
                <w:sz w:val="16"/>
                <w:szCs w:val="16"/>
              </w:rPr>
            </w:pPr>
            <w:r w:rsidRPr="00FB153D">
              <w:rPr>
                <w:b/>
                <w:sz w:val="16"/>
                <w:szCs w:val="16"/>
              </w:rPr>
              <w:t xml:space="preserve">1. </w:t>
            </w:r>
            <w:r w:rsidRPr="00FB153D">
              <w:rPr>
                <w:sz w:val="16"/>
                <w:szCs w:val="16"/>
              </w:rPr>
              <w:t>Нормативни и/или методически указания в областта е</w:t>
            </w:r>
            <w:r>
              <w:rPr>
                <w:sz w:val="16"/>
                <w:szCs w:val="16"/>
              </w:rPr>
              <w:t xml:space="preserve">-архив и </w:t>
            </w:r>
            <w:r w:rsidRPr="00FB153D">
              <w:rPr>
                <w:sz w:val="16"/>
                <w:szCs w:val="16"/>
              </w:rPr>
              <w:t>е-архивиране</w:t>
            </w:r>
          </w:p>
        </w:tc>
        <w:tc>
          <w:tcPr>
            <w:tcW w:w="876" w:type="pct"/>
            <w:tcBorders>
              <w:top w:val="nil"/>
              <w:left w:val="nil"/>
              <w:bottom w:val="single" w:sz="4" w:space="0" w:color="auto"/>
              <w:right w:val="single" w:sz="4" w:space="0" w:color="auto"/>
            </w:tcBorders>
            <w:shd w:val="clear" w:color="auto" w:fill="auto"/>
          </w:tcPr>
          <w:p w14:paraId="516C8B64" w14:textId="77777777" w:rsidR="00443F31" w:rsidRPr="00FB153D" w:rsidRDefault="00443F31" w:rsidP="00443F31">
            <w:pPr>
              <w:rPr>
                <w:sz w:val="16"/>
                <w:szCs w:val="16"/>
              </w:rPr>
            </w:pPr>
            <w:r w:rsidRPr="00FB153D">
              <w:rPr>
                <w:sz w:val="16"/>
                <w:szCs w:val="16"/>
              </w:rPr>
              <w:t>Брой</w:t>
            </w:r>
          </w:p>
        </w:tc>
        <w:tc>
          <w:tcPr>
            <w:tcW w:w="758" w:type="pct"/>
            <w:tcBorders>
              <w:top w:val="nil"/>
              <w:left w:val="single" w:sz="4" w:space="0" w:color="auto"/>
              <w:bottom w:val="single" w:sz="4" w:space="0" w:color="auto"/>
              <w:right w:val="single" w:sz="4" w:space="0" w:color="auto"/>
            </w:tcBorders>
            <w:shd w:val="clear" w:color="auto" w:fill="auto"/>
          </w:tcPr>
          <w:p w14:paraId="4C2C4E46" w14:textId="77777777" w:rsidR="00443F31" w:rsidRPr="00FB153D" w:rsidRDefault="00443F31" w:rsidP="00443F31">
            <w:pPr>
              <w:jc w:val="right"/>
              <w:rPr>
                <w:sz w:val="16"/>
                <w:szCs w:val="16"/>
              </w:rPr>
            </w:pPr>
            <w:r w:rsidRPr="00FB153D">
              <w:rPr>
                <w:sz w:val="16"/>
                <w:szCs w:val="16"/>
              </w:rPr>
              <w:t>1</w:t>
            </w:r>
          </w:p>
        </w:tc>
        <w:tc>
          <w:tcPr>
            <w:tcW w:w="758" w:type="pct"/>
            <w:tcBorders>
              <w:top w:val="nil"/>
              <w:left w:val="nil"/>
              <w:bottom w:val="single" w:sz="4" w:space="0" w:color="auto"/>
              <w:right w:val="single" w:sz="4" w:space="0" w:color="auto"/>
            </w:tcBorders>
            <w:shd w:val="clear" w:color="auto" w:fill="auto"/>
          </w:tcPr>
          <w:p w14:paraId="5AC3B031" w14:textId="77777777" w:rsidR="00443F31" w:rsidRPr="00FB153D" w:rsidRDefault="00443F31" w:rsidP="00443F31">
            <w:pPr>
              <w:jc w:val="right"/>
              <w:rPr>
                <w:sz w:val="16"/>
                <w:szCs w:val="16"/>
                <w:lang w:val="en-GB"/>
              </w:rPr>
            </w:pPr>
            <w:r w:rsidRPr="00FB153D">
              <w:rPr>
                <w:sz w:val="16"/>
                <w:szCs w:val="16"/>
                <w:lang w:val="en-GB"/>
              </w:rPr>
              <w:t>0</w:t>
            </w:r>
          </w:p>
        </w:tc>
      </w:tr>
      <w:tr w:rsidR="00443F31" w:rsidRPr="00E7357B" w14:paraId="7211CE4D" w14:textId="77777777" w:rsidTr="00DA496A">
        <w:trPr>
          <w:trHeight w:val="255"/>
          <w:jc w:val="center"/>
        </w:trPr>
        <w:tc>
          <w:tcPr>
            <w:tcW w:w="2608" w:type="pct"/>
            <w:tcBorders>
              <w:top w:val="single" w:sz="4" w:space="0" w:color="auto"/>
              <w:left w:val="single" w:sz="4" w:space="0" w:color="auto"/>
              <w:bottom w:val="single" w:sz="4" w:space="0" w:color="auto"/>
              <w:right w:val="single" w:sz="4" w:space="0" w:color="auto"/>
            </w:tcBorders>
            <w:shd w:val="clear" w:color="auto" w:fill="auto"/>
          </w:tcPr>
          <w:p w14:paraId="7C98AAC8" w14:textId="77777777" w:rsidR="00443F31" w:rsidRPr="00FB153D" w:rsidRDefault="00443F31" w:rsidP="00443F31">
            <w:pPr>
              <w:tabs>
                <w:tab w:val="left" w:pos="993"/>
              </w:tabs>
              <w:rPr>
                <w:b/>
                <w:sz w:val="16"/>
                <w:szCs w:val="16"/>
              </w:rPr>
            </w:pPr>
            <w:r w:rsidRPr="00FB153D">
              <w:rPr>
                <w:b/>
                <w:sz w:val="16"/>
                <w:szCs w:val="16"/>
              </w:rPr>
              <w:t xml:space="preserve">2. </w:t>
            </w:r>
            <w:r w:rsidRPr="00FB153D">
              <w:rPr>
                <w:sz w:val="16"/>
                <w:szCs w:val="16"/>
              </w:rPr>
              <w:t>Въведени архивни описания в Информационната система на държавните архиви (ИСДА)</w:t>
            </w:r>
          </w:p>
        </w:tc>
        <w:tc>
          <w:tcPr>
            <w:tcW w:w="876" w:type="pct"/>
            <w:tcBorders>
              <w:top w:val="single" w:sz="4" w:space="0" w:color="auto"/>
              <w:left w:val="nil"/>
              <w:bottom w:val="single" w:sz="4" w:space="0" w:color="auto"/>
              <w:right w:val="single" w:sz="4" w:space="0" w:color="auto"/>
            </w:tcBorders>
            <w:shd w:val="clear" w:color="auto" w:fill="auto"/>
          </w:tcPr>
          <w:p w14:paraId="07DCBDDC" w14:textId="711FCBCA" w:rsidR="00443F31" w:rsidRPr="00FB153D" w:rsidRDefault="00443F31" w:rsidP="00443F31">
            <w:pPr>
              <w:jc w:val="both"/>
              <w:rPr>
                <w:sz w:val="16"/>
                <w:szCs w:val="16"/>
              </w:rPr>
            </w:pPr>
            <w:r w:rsidRPr="00FB153D">
              <w:rPr>
                <w:sz w:val="16"/>
                <w:szCs w:val="16"/>
              </w:rPr>
              <w:t>Брой</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3A6C567F" w14:textId="77777777" w:rsidR="00443F31" w:rsidRPr="00443F31" w:rsidRDefault="00443F31" w:rsidP="00443F31">
            <w:pPr>
              <w:jc w:val="right"/>
              <w:rPr>
                <w:sz w:val="16"/>
                <w:szCs w:val="16"/>
                <w:lang w:val="en-GB"/>
              </w:rPr>
            </w:pPr>
            <w:r w:rsidRPr="00443F31">
              <w:rPr>
                <w:sz w:val="16"/>
                <w:szCs w:val="16"/>
              </w:rPr>
              <w:t>1</w:t>
            </w:r>
          </w:p>
          <w:p w14:paraId="693F1B1A" w14:textId="77777777" w:rsidR="00443F31" w:rsidRPr="00443F31" w:rsidRDefault="00443F31" w:rsidP="00443F31">
            <w:pPr>
              <w:jc w:val="right"/>
              <w:rPr>
                <w:sz w:val="16"/>
                <w:szCs w:val="16"/>
              </w:rPr>
            </w:pPr>
          </w:p>
        </w:tc>
        <w:tc>
          <w:tcPr>
            <w:tcW w:w="758" w:type="pct"/>
            <w:tcBorders>
              <w:top w:val="single" w:sz="4" w:space="0" w:color="auto"/>
              <w:left w:val="nil"/>
              <w:bottom w:val="single" w:sz="4" w:space="0" w:color="auto"/>
              <w:right w:val="single" w:sz="4" w:space="0" w:color="auto"/>
            </w:tcBorders>
            <w:shd w:val="clear" w:color="auto" w:fill="auto"/>
          </w:tcPr>
          <w:p w14:paraId="34FFB3E6" w14:textId="77777777" w:rsidR="00443F31" w:rsidRPr="00443F31" w:rsidRDefault="00443F31" w:rsidP="00443F31">
            <w:pPr>
              <w:jc w:val="right"/>
              <w:rPr>
                <w:sz w:val="16"/>
                <w:szCs w:val="16"/>
                <w:lang w:val="ru-RU"/>
              </w:rPr>
            </w:pPr>
            <w:r w:rsidRPr="00443F31">
              <w:rPr>
                <w:sz w:val="16"/>
                <w:szCs w:val="16"/>
                <w:lang w:val="en-US"/>
              </w:rPr>
              <w:t>18 285</w:t>
            </w:r>
            <w:r w:rsidRPr="00443F31">
              <w:rPr>
                <w:rStyle w:val="FootnoteReference"/>
                <w:sz w:val="16"/>
                <w:szCs w:val="16"/>
              </w:rPr>
              <w:footnoteReference w:id="16"/>
            </w:r>
          </w:p>
          <w:p w14:paraId="50A55745" w14:textId="77777777" w:rsidR="00443F31" w:rsidRPr="00443F31" w:rsidRDefault="00443F31" w:rsidP="00443F31">
            <w:pPr>
              <w:jc w:val="right"/>
              <w:rPr>
                <w:sz w:val="16"/>
                <w:szCs w:val="16"/>
                <w:lang w:val="en-GB"/>
              </w:rPr>
            </w:pPr>
          </w:p>
        </w:tc>
      </w:tr>
      <w:tr w:rsidR="00443F31" w:rsidRPr="00E7357B" w14:paraId="1CAAD7F1" w14:textId="77777777" w:rsidTr="00DA496A">
        <w:trPr>
          <w:trHeight w:val="459"/>
          <w:jc w:val="center"/>
        </w:trPr>
        <w:tc>
          <w:tcPr>
            <w:tcW w:w="2608" w:type="pct"/>
            <w:vMerge w:val="restart"/>
            <w:tcBorders>
              <w:top w:val="single" w:sz="4" w:space="0" w:color="auto"/>
              <w:left w:val="single" w:sz="4" w:space="0" w:color="auto"/>
              <w:right w:val="single" w:sz="4" w:space="0" w:color="auto"/>
            </w:tcBorders>
            <w:shd w:val="clear" w:color="auto" w:fill="auto"/>
          </w:tcPr>
          <w:p w14:paraId="302450D1" w14:textId="77777777" w:rsidR="00443F31" w:rsidRPr="00FB153D" w:rsidRDefault="00443F31" w:rsidP="00443F31">
            <w:pPr>
              <w:tabs>
                <w:tab w:val="left" w:pos="993"/>
              </w:tabs>
              <w:rPr>
                <w:b/>
                <w:sz w:val="16"/>
                <w:szCs w:val="16"/>
              </w:rPr>
            </w:pPr>
            <w:r w:rsidRPr="00FB153D">
              <w:rPr>
                <w:b/>
                <w:sz w:val="16"/>
                <w:szCs w:val="16"/>
              </w:rPr>
              <w:t xml:space="preserve">3. </w:t>
            </w:r>
            <w:r w:rsidRPr="00FB153D">
              <w:rPr>
                <w:sz w:val="16"/>
                <w:szCs w:val="16"/>
              </w:rPr>
              <w:t>Попълване на Системата за е-архивиране</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C3D2AAE" w14:textId="77777777" w:rsidR="00443F31" w:rsidRPr="00FB153D" w:rsidRDefault="00443F31" w:rsidP="00443F31">
            <w:pPr>
              <w:rPr>
                <w:sz w:val="16"/>
                <w:szCs w:val="16"/>
              </w:rPr>
            </w:pPr>
            <w:r w:rsidRPr="00FB153D">
              <w:rPr>
                <w:sz w:val="16"/>
                <w:szCs w:val="16"/>
              </w:rPr>
              <w:t>Брой постъпления с ценни е-документи</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519B3D5C" w14:textId="77777777" w:rsidR="00443F31" w:rsidRPr="00443F31" w:rsidRDefault="00443F31" w:rsidP="00443F31">
            <w:pPr>
              <w:jc w:val="right"/>
              <w:rPr>
                <w:sz w:val="16"/>
                <w:szCs w:val="16"/>
              </w:rPr>
            </w:pPr>
            <w:r w:rsidRPr="00443F31">
              <w:rPr>
                <w:sz w:val="16"/>
                <w:szCs w:val="16"/>
              </w:rPr>
              <w:t>1</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4B8DDED8" w14:textId="77777777" w:rsidR="00443F31" w:rsidRPr="00443F31" w:rsidRDefault="00443F31" w:rsidP="00443F31">
            <w:pPr>
              <w:jc w:val="right"/>
              <w:rPr>
                <w:sz w:val="16"/>
                <w:szCs w:val="16"/>
              </w:rPr>
            </w:pPr>
            <w:r w:rsidRPr="00443F31">
              <w:rPr>
                <w:sz w:val="16"/>
                <w:szCs w:val="16"/>
              </w:rPr>
              <w:t>0</w:t>
            </w:r>
          </w:p>
        </w:tc>
      </w:tr>
      <w:tr w:rsidR="00443F31" w:rsidRPr="00E7357B" w14:paraId="018B9119" w14:textId="77777777" w:rsidTr="00DA496A">
        <w:trPr>
          <w:trHeight w:val="369"/>
          <w:jc w:val="center"/>
        </w:trPr>
        <w:tc>
          <w:tcPr>
            <w:tcW w:w="2608" w:type="pct"/>
            <w:vMerge/>
            <w:tcBorders>
              <w:left w:val="single" w:sz="4" w:space="0" w:color="auto"/>
              <w:bottom w:val="single" w:sz="4" w:space="0" w:color="auto"/>
              <w:right w:val="single" w:sz="4" w:space="0" w:color="auto"/>
            </w:tcBorders>
            <w:shd w:val="clear" w:color="auto" w:fill="auto"/>
          </w:tcPr>
          <w:p w14:paraId="612AF95D" w14:textId="77777777" w:rsidR="00443F31" w:rsidRPr="00FB153D" w:rsidRDefault="00443F31" w:rsidP="00443F31">
            <w:pPr>
              <w:tabs>
                <w:tab w:val="left" w:pos="993"/>
              </w:tabs>
              <w:rPr>
                <w:b/>
                <w:sz w:val="16"/>
                <w:szCs w:val="16"/>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8AD4332" w14:textId="77777777" w:rsidR="00443F31" w:rsidRPr="00FB153D" w:rsidRDefault="00443F31" w:rsidP="00443F31">
            <w:pPr>
              <w:rPr>
                <w:sz w:val="16"/>
                <w:szCs w:val="16"/>
              </w:rPr>
            </w:pPr>
            <w:r w:rsidRPr="00FB153D">
              <w:rPr>
                <w:sz w:val="16"/>
                <w:szCs w:val="16"/>
              </w:rPr>
              <w:t>Брой цифровизирани аудио-визуални документи</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39F7A9E9" w14:textId="77777777" w:rsidR="00443F31" w:rsidRPr="00443F31" w:rsidRDefault="00443F31" w:rsidP="00443F31">
            <w:pPr>
              <w:jc w:val="right"/>
              <w:rPr>
                <w:sz w:val="16"/>
                <w:szCs w:val="16"/>
              </w:rPr>
            </w:pPr>
            <w:r w:rsidRPr="00443F31">
              <w:rPr>
                <w:sz w:val="16"/>
                <w:szCs w:val="16"/>
              </w:rPr>
              <w:t>1</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6D3E13D4" w14:textId="77777777" w:rsidR="00443F31" w:rsidRPr="00443F31" w:rsidRDefault="00443F31" w:rsidP="00443F31">
            <w:pPr>
              <w:jc w:val="right"/>
              <w:rPr>
                <w:sz w:val="16"/>
                <w:szCs w:val="16"/>
              </w:rPr>
            </w:pPr>
            <w:r w:rsidRPr="00443F31">
              <w:rPr>
                <w:sz w:val="16"/>
                <w:szCs w:val="16"/>
                <w:lang w:val="en-US"/>
              </w:rPr>
              <w:t>0</w:t>
            </w:r>
            <w:r w:rsidRPr="00443F31">
              <w:rPr>
                <w:sz w:val="16"/>
                <w:szCs w:val="16"/>
              </w:rPr>
              <w:t xml:space="preserve"> </w:t>
            </w:r>
          </w:p>
        </w:tc>
      </w:tr>
      <w:tr w:rsidR="00443F31" w:rsidRPr="00E7357B" w14:paraId="324F095C" w14:textId="77777777" w:rsidTr="00DA496A">
        <w:trPr>
          <w:trHeight w:val="419"/>
          <w:jc w:val="center"/>
        </w:trPr>
        <w:tc>
          <w:tcPr>
            <w:tcW w:w="2608" w:type="pct"/>
            <w:tcBorders>
              <w:top w:val="single" w:sz="4" w:space="0" w:color="auto"/>
              <w:left w:val="single" w:sz="4" w:space="0" w:color="auto"/>
              <w:bottom w:val="single" w:sz="4" w:space="0" w:color="auto"/>
              <w:right w:val="single" w:sz="4" w:space="0" w:color="auto"/>
            </w:tcBorders>
            <w:shd w:val="clear" w:color="auto" w:fill="auto"/>
          </w:tcPr>
          <w:p w14:paraId="624A20E8" w14:textId="77777777" w:rsidR="00443F31" w:rsidRPr="00FB153D" w:rsidRDefault="00443F31" w:rsidP="00443F31">
            <w:pPr>
              <w:tabs>
                <w:tab w:val="left" w:pos="993"/>
              </w:tabs>
              <w:rPr>
                <w:b/>
                <w:sz w:val="16"/>
                <w:szCs w:val="16"/>
              </w:rPr>
            </w:pPr>
            <w:r w:rsidRPr="00FB153D">
              <w:rPr>
                <w:b/>
                <w:sz w:val="16"/>
                <w:szCs w:val="16"/>
              </w:rPr>
              <w:t xml:space="preserve">4. </w:t>
            </w:r>
            <w:r w:rsidRPr="00FB153D">
              <w:rPr>
                <w:sz w:val="16"/>
                <w:szCs w:val="16"/>
              </w:rPr>
              <w:t>Вписвания в Регистъра на Националния архивен фонд</w:t>
            </w:r>
          </w:p>
        </w:tc>
        <w:tc>
          <w:tcPr>
            <w:tcW w:w="876" w:type="pct"/>
            <w:tcBorders>
              <w:top w:val="single" w:sz="4" w:space="0" w:color="auto"/>
              <w:left w:val="nil"/>
              <w:bottom w:val="single" w:sz="4" w:space="0" w:color="auto"/>
              <w:right w:val="single" w:sz="4" w:space="0" w:color="auto"/>
            </w:tcBorders>
            <w:shd w:val="clear" w:color="auto" w:fill="auto"/>
          </w:tcPr>
          <w:p w14:paraId="50DD404B" w14:textId="77777777" w:rsidR="00443F31" w:rsidRPr="00FB153D" w:rsidRDefault="00443F31" w:rsidP="00443F31">
            <w:pPr>
              <w:jc w:val="both"/>
              <w:rPr>
                <w:sz w:val="16"/>
                <w:szCs w:val="16"/>
              </w:rPr>
            </w:pPr>
            <w:r w:rsidRPr="00FB153D">
              <w:rPr>
                <w:sz w:val="16"/>
                <w:szCs w:val="16"/>
              </w:rPr>
              <w:t>Брой</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52F864A5" w14:textId="77777777" w:rsidR="00443F31" w:rsidRPr="00443F31" w:rsidRDefault="00443F31" w:rsidP="00443F31">
            <w:pPr>
              <w:jc w:val="right"/>
              <w:rPr>
                <w:sz w:val="16"/>
                <w:szCs w:val="16"/>
              </w:rPr>
            </w:pPr>
            <w:r w:rsidRPr="00443F31">
              <w:rPr>
                <w:sz w:val="16"/>
                <w:szCs w:val="16"/>
              </w:rPr>
              <w:t>1</w:t>
            </w:r>
          </w:p>
        </w:tc>
        <w:tc>
          <w:tcPr>
            <w:tcW w:w="758" w:type="pct"/>
            <w:tcBorders>
              <w:top w:val="single" w:sz="4" w:space="0" w:color="auto"/>
              <w:left w:val="nil"/>
              <w:bottom w:val="single" w:sz="4" w:space="0" w:color="auto"/>
              <w:right w:val="single" w:sz="4" w:space="0" w:color="auto"/>
            </w:tcBorders>
            <w:shd w:val="clear" w:color="auto" w:fill="auto"/>
          </w:tcPr>
          <w:p w14:paraId="1E3A0142" w14:textId="77777777" w:rsidR="00443F31" w:rsidRPr="00443F31" w:rsidRDefault="00443F31" w:rsidP="00443F31">
            <w:pPr>
              <w:jc w:val="right"/>
              <w:rPr>
                <w:sz w:val="16"/>
                <w:szCs w:val="16"/>
                <w:lang w:val="en-GB"/>
              </w:rPr>
            </w:pPr>
            <w:r w:rsidRPr="00443F31">
              <w:rPr>
                <w:sz w:val="16"/>
                <w:szCs w:val="16"/>
                <w:lang w:val="en-GB"/>
              </w:rPr>
              <w:t>6</w:t>
            </w:r>
            <w:r w:rsidRPr="00443F31">
              <w:rPr>
                <w:rStyle w:val="FootnoteReference"/>
                <w:sz w:val="16"/>
                <w:szCs w:val="16"/>
                <w:lang w:val="en-GB"/>
              </w:rPr>
              <w:footnoteReference w:id="17"/>
            </w:r>
          </w:p>
        </w:tc>
      </w:tr>
      <w:tr w:rsidR="00443F31" w:rsidRPr="00E7357B" w14:paraId="3E4EFC8F" w14:textId="77777777" w:rsidTr="00DA496A">
        <w:trPr>
          <w:trHeight w:val="797"/>
          <w:jc w:val="center"/>
        </w:trPr>
        <w:tc>
          <w:tcPr>
            <w:tcW w:w="2608" w:type="pct"/>
            <w:tcBorders>
              <w:top w:val="single" w:sz="4" w:space="0" w:color="auto"/>
              <w:left w:val="single" w:sz="4" w:space="0" w:color="auto"/>
              <w:bottom w:val="single" w:sz="4" w:space="0" w:color="auto"/>
              <w:right w:val="single" w:sz="4" w:space="0" w:color="auto"/>
            </w:tcBorders>
            <w:shd w:val="clear" w:color="auto" w:fill="auto"/>
          </w:tcPr>
          <w:p w14:paraId="1D26D3BC" w14:textId="77777777" w:rsidR="00443F31" w:rsidRPr="00FB153D" w:rsidRDefault="00443F31" w:rsidP="00443F31">
            <w:pPr>
              <w:tabs>
                <w:tab w:val="left" w:pos="1134"/>
              </w:tabs>
              <w:rPr>
                <w:b/>
                <w:sz w:val="16"/>
                <w:szCs w:val="16"/>
              </w:rPr>
            </w:pPr>
            <w:r w:rsidRPr="00026CA3">
              <w:rPr>
                <w:b/>
                <w:sz w:val="16"/>
                <w:szCs w:val="16"/>
              </w:rPr>
              <w:t>5.</w:t>
            </w:r>
            <w:r w:rsidRPr="00FB153D">
              <w:rPr>
                <w:sz w:val="16"/>
                <w:szCs w:val="16"/>
              </w:rPr>
              <w:t xml:space="preserve"> </w:t>
            </w:r>
            <w:r w:rsidRPr="00FB153D">
              <w:rPr>
                <w:sz w:val="16"/>
                <w:szCs w:val="16"/>
                <w:lang w:val="ru-RU"/>
              </w:rPr>
              <w:t>Посещения/</w:t>
            </w:r>
            <w:r w:rsidRPr="007D5B36">
              <w:rPr>
                <w:sz w:val="16"/>
                <w:szCs w:val="16"/>
              </w:rPr>
              <w:t xml:space="preserve">показвания </w:t>
            </w:r>
            <w:proofErr w:type="gramStart"/>
            <w:r w:rsidRPr="007D5B36">
              <w:rPr>
                <w:sz w:val="16"/>
                <w:szCs w:val="16"/>
              </w:rPr>
              <w:t>от потребители</w:t>
            </w:r>
            <w:proofErr w:type="gramEnd"/>
            <w:r w:rsidRPr="007D5B36">
              <w:rPr>
                <w:sz w:val="16"/>
                <w:szCs w:val="16"/>
              </w:rPr>
              <w:t xml:space="preserve"> на данни от базите на Информационната система на държавните архиви, Системата за е-архивиране, Регистъра на Националния архивен фонд и сайтовете на ДАА</w:t>
            </w:r>
          </w:p>
        </w:tc>
        <w:tc>
          <w:tcPr>
            <w:tcW w:w="876" w:type="pct"/>
            <w:tcBorders>
              <w:top w:val="single" w:sz="4" w:space="0" w:color="auto"/>
              <w:left w:val="nil"/>
              <w:bottom w:val="single" w:sz="4" w:space="0" w:color="auto"/>
              <w:right w:val="single" w:sz="4" w:space="0" w:color="auto"/>
            </w:tcBorders>
            <w:shd w:val="clear" w:color="auto" w:fill="auto"/>
          </w:tcPr>
          <w:p w14:paraId="75958772" w14:textId="77777777" w:rsidR="00443F31" w:rsidRPr="00FB153D" w:rsidRDefault="00443F31" w:rsidP="00443F31">
            <w:pPr>
              <w:jc w:val="both"/>
              <w:rPr>
                <w:sz w:val="16"/>
                <w:szCs w:val="16"/>
              </w:rPr>
            </w:pPr>
            <w:r w:rsidRPr="00FB153D">
              <w:rPr>
                <w:sz w:val="16"/>
                <w:szCs w:val="16"/>
              </w:rPr>
              <w:t>Брой</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047A0A71" w14:textId="77777777" w:rsidR="00443F31" w:rsidRPr="00443F31" w:rsidRDefault="00443F31" w:rsidP="00443F31">
            <w:pPr>
              <w:jc w:val="right"/>
              <w:rPr>
                <w:sz w:val="16"/>
                <w:szCs w:val="16"/>
              </w:rPr>
            </w:pPr>
            <w:r w:rsidRPr="00443F31">
              <w:rPr>
                <w:sz w:val="16"/>
                <w:szCs w:val="16"/>
              </w:rPr>
              <w:t>1</w:t>
            </w:r>
          </w:p>
        </w:tc>
        <w:tc>
          <w:tcPr>
            <w:tcW w:w="758" w:type="pct"/>
            <w:tcBorders>
              <w:top w:val="single" w:sz="4" w:space="0" w:color="auto"/>
              <w:left w:val="nil"/>
              <w:bottom w:val="single" w:sz="4" w:space="0" w:color="auto"/>
              <w:right w:val="single" w:sz="4" w:space="0" w:color="auto"/>
            </w:tcBorders>
            <w:shd w:val="clear" w:color="auto" w:fill="auto"/>
          </w:tcPr>
          <w:p w14:paraId="58EF456D" w14:textId="77777777" w:rsidR="00443F31" w:rsidRPr="00443F31" w:rsidRDefault="00443F31" w:rsidP="00443F31">
            <w:pPr>
              <w:tabs>
                <w:tab w:val="left" w:pos="993"/>
              </w:tabs>
              <w:jc w:val="right"/>
              <w:rPr>
                <w:noProof/>
                <w:sz w:val="16"/>
                <w:szCs w:val="16"/>
                <w:lang w:val="ru-RU"/>
              </w:rPr>
            </w:pPr>
            <w:r w:rsidRPr="00443F31">
              <w:rPr>
                <w:noProof/>
                <w:sz w:val="16"/>
                <w:szCs w:val="16"/>
              </w:rPr>
              <w:t>126 </w:t>
            </w:r>
            <w:r w:rsidRPr="00443F31">
              <w:rPr>
                <w:noProof/>
                <w:sz w:val="16"/>
                <w:szCs w:val="16"/>
                <w:lang w:val="en-GB"/>
              </w:rPr>
              <w:t>704</w:t>
            </w:r>
            <w:r w:rsidRPr="00443F31">
              <w:rPr>
                <w:rStyle w:val="FootnoteReference"/>
                <w:noProof/>
                <w:sz w:val="16"/>
                <w:szCs w:val="16"/>
                <w:lang w:val="ru-RU"/>
              </w:rPr>
              <w:footnoteReference w:id="18"/>
            </w:r>
          </w:p>
          <w:p w14:paraId="6E473F29" w14:textId="77777777" w:rsidR="00443F31" w:rsidRPr="00443F31" w:rsidRDefault="00443F31" w:rsidP="00443F31">
            <w:pPr>
              <w:tabs>
                <w:tab w:val="left" w:pos="993"/>
              </w:tabs>
              <w:jc w:val="right"/>
              <w:rPr>
                <w:sz w:val="16"/>
                <w:szCs w:val="16"/>
              </w:rPr>
            </w:pPr>
          </w:p>
        </w:tc>
      </w:tr>
      <w:tr w:rsidR="00443F31" w:rsidRPr="00E7357B" w14:paraId="699367ED" w14:textId="77777777" w:rsidTr="00DA496A">
        <w:trPr>
          <w:trHeight w:val="312"/>
          <w:jc w:val="center"/>
        </w:trPr>
        <w:tc>
          <w:tcPr>
            <w:tcW w:w="2608" w:type="pct"/>
            <w:tcBorders>
              <w:top w:val="nil"/>
              <w:left w:val="single" w:sz="4" w:space="0" w:color="auto"/>
              <w:bottom w:val="single" w:sz="4" w:space="0" w:color="auto"/>
              <w:right w:val="single" w:sz="4" w:space="0" w:color="auto"/>
            </w:tcBorders>
            <w:shd w:val="clear" w:color="auto" w:fill="auto"/>
          </w:tcPr>
          <w:p w14:paraId="773BCCBE" w14:textId="77777777" w:rsidR="00443F31" w:rsidRPr="00FB153D" w:rsidRDefault="00443F31" w:rsidP="00443F31">
            <w:pPr>
              <w:tabs>
                <w:tab w:val="left" w:pos="993"/>
              </w:tabs>
              <w:rPr>
                <w:b/>
                <w:sz w:val="16"/>
                <w:szCs w:val="16"/>
              </w:rPr>
            </w:pPr>
            <w:r w:rsidRPr="00FB153D">
              <w:rPr>
                <w:b/>
                <w:sz w:val="16"/>
                <w:szCs w:val="16"/>
              </w:rPr>
              <w:t>6.</w:t>
            </w:r>
            <w:r w:rsidRPr="00FB153D">
              <w:rPr>
                <w:sz w:val="16"/>
                <w:szCs w:val="16"/>
              </w:rPr>
              <w:t xml:space="preserve"> Реставрирани листове от архивни документи  (І-ва, ІІ-</w:t>
            </w:r>
            <w:proofErr w:type="spellStart"/>
            <w:r w:rsidRPr="00FB153D">
              <w:rPr>
                <w:sz w:val="16"/>
                <w:szCs w:val="16"/>
              </w:rPr>
              <w:t>ра</w:t>
            </w:r>
            <w:proofErr w:type="spellEnd"/>
            <w:r w:rsidRPr="00FB153D">
              <w:rPr>
                <w:sz w:val="16"/>
                <w:szCs w:val="16"/>
              </w:rPr>
              <w:t xml:space="preserve"> и ІІІ-та степен на увреденост)</w:t>
            </w:r>
          </w:p>
        </w:tc>
        <w:tc>
          <w:tcPr>
            <w:tcW w:w="876" w:type="pct"/>
            <w:tcBorders>
              <w:top w:val="nil"/>
              <w:left w:val="nil"/>
              <w:bottom w:val="single" w:sz="4" w:space="0" w:color="auto"/>
              <w:right w:val="single" w:sz="4" w:space="0" w:color="auto"/>
            </w:tcBorders>
            <w:shd w:val="clear" w:color="auto" w:fill="auto"/>
          </w:tcPr>
          <w:p w14:paraId="4C2A8A36" w14:textId="77777777" w:rsidR="00443F31" w:rsidRPr="00FB153D" w:rsidRDefault="00443F31" w:rsidP="00443F31">
            <w:pPr>
              <w:jc w:val="both"/>
              <w:rPr>
                <w:sz w:val="16"/>
                <w:szCs w:val="16"/>
              </w:rPr>
            </w:pPr>
            <w:r w:rsidRPr="00FB153D">
              <w:rPr>
                <w:sz w:val="16"/>
                <w:szCs w:val="16"/>
              </w:rPr>
              <w:t>Брой</w:t>
            </w:r>
          </w:p>
        </w:tc>
        <w:tc>
          <w:tcPr>
            <w:tcW w:w="758" w:type="pct"/>
            <w:tcBorders>
              <w:top w:val="nil"/>
              <w:left w:val="single" w:sz="4" w:space="0" w:color="auto"/>
              <w:bottom w:val="single" w:sz="4" w:space="0" w:color="auto"/>
              <w:right w:val="single" w:sz="4" w:space="0" w:color="auto"/>
            </w:tcBorders>
            <w:shd w:val="clear" w:color="auto" w:fill="auto"/>
          </w:tcPr>
          <w:p w14:paraId="170516C2" w14:textId="77777777" w:rsidR="00443F31" w:rsidRPr="00443F31" w:rsidRDefault="00443F31" w:rsidP="00443F31">
            <w:pPr>
              <w:jc w:val="right"/>
              <w:rPr>
                <w:sz w:val="16"/>
                <w:szCs w:val="16"/>
              </w:rPr>
            </w:pPr>
            <w:r w:rsidRPr="00443F31">
              <w:rPr>
                <w:sz w:val="16"/>
                <w:szCs w:val="16"/>
              </w:rPr>
              <w:t>32 000</w:t>
            </w:r>
          </w:p>
        </w:tc>
        <w:tc>
          <w:tcPr>
            <w:tcW w:w="758" w:type="pct"/>
            <w:tcBorders>
              <w:top w:val="nil"/>
              <w:left w:val="nil"/>
              <w:bottom w:val="single" w:sz="4" w:space="0" w:color="auto"/>
              <w:right w:val="single" w:sz="4" w:space="0" w:color="auto"/>
            </w:tcBorders>
            <w:shd w:val="clear" w:color="auto" w:fill="auto"/>
          </w:tcPr>
          <w:p w14:paraId="3946BB7C" w14:textId="77777777" w:rsidR="00443F31" w:rsidRPr="00443F31" w:rsidRDefault="00443F31" w:rsidP="00443F31">
            <w:pPr>
              <w:jc w:val="right"/>
              <w:rPr>
                <w:strike/>
                <w:sz w:val="16"/>
                <w:szCs w:val="16"/>
              </w:rPr>
            </w:pPr>
            <w:r w:rsidRPr="00443F31">
              <w:rPr>
                <w:sz w:val="16"/>
                <w:szCs w:val="16"/>
              </w:rPr>
              <w:t>16 963</w:t>
            </w:r>
            <w:r w:rsidRPr="00443F31">
              <w:rPr>
                <w:rStyle w:val="FootnoteReference"/>
                <w:sz w:val="16"/>
                <w:szCs w:val="16"/>
              </w:rPr>
              <w:footnoteReference w:id="19"/>
            </w:r>
          </w:p>
        </w:tc>
      </w:tr>
      <w:tr w:rsidR="00443F31" w:rsidRPr="00E7357B" w14:paraId="2C8D999F" w14:textId="77777777" w:rsidTr="00DA496A">
        <w:trPr>
          <w:trHeight w:val="374"/>
          <w:jc w:val="center"/>
        </w:trPr>
        <w:tc>
          <w:tcPr>
            <w:tcW w:w="2608" w:type="pct"/>
            <w:tcBorders>
              <w:top w:val="nil"/>
              <w:left w:val="single" w:sz="4" w:space="0" w:color="auto"/>
              <w:bottom w:val="single" w:sz="4" w:space="0" w:color="auto"/>
              <w:right w:val="single" w:sz="4" w:space="0" w:color="auto"/>
            </w:tcBorders>
            <w:shd w:val="clear" w:color="auto" w:fill="auto"/>
          </w:tcPr>
          <w:p w14:paraId="5706CDCE" w14:textId="77777777" w:rsidR="00443F31" w:rsidRPr="00FB153D" w:rsidRDefault="00443F31" w:rsidP="00443F31">
            <w:pPr>
              <w:tabs>
                <w:tab w:val="left" w:pos="993"/>
              </w:tabs>
              <w:rPr>
                <w:b/>
                <w:sz w:val="16"/>
                <w:szCs w:val="16"/>
              </w:rPr>
            </w:pPr>
            <w:r w:rsidRPr="00FB153D">
              <w:rPr>
                <w:b/>
                <w:sz w:val="16"/>
                <w:szCs w:val="16"/>
              </w:rPr>
              <w:t>7.</w:t>
            </w:r>
            <w:r w:rsidRPr="00FB153D">
              <w:rPr>
                <w:sz w:val="16"/>
                <w:szCs w:val="16"/>
              </w:rPr>
              <w:t xml:space="preserve"> Комплектувани постъпления</w:t>
            </w:r>
          </w:p>
        </w:tc>
        <w:tc>
          <w:tcPr>
            <w:tcW w:w="876" w:type="pct"/>
            <w:tcBorders>
              <w:top w:val="nil"/>
              <w:left w:val="nil"/>
              <w:bottom w:val="single" w:sz="4" w:space="0" w:color="auto"/>
              <w:right w:val="single" w:sz="4" w:space="0" w:color="auto"/>
            </w:tcBorders>
            <w:shd w:val="clear" w:color="auto" w:fill="auto"/>
          </w:tcPr>
          <w:p w14:paraId="3B124874" w14:textId="77777777" w:rsidR="00443F31" w:rsidRPr="00FB153D" w:rsidRDefault="00443F31" w:rsidP="00443F31">
            <w:pPr>
              <w:jc w:val="both"/>
              <w:rPr>
                <w:sz w:val="16"/>
                <w:szCs w:val="16"/>
              </w:rPr>
            </w:pPr>
            <w:r w:rsidRPr="00FB153D">
              <w:rPr>
                <w:sz w:val="16"/>
                <w:szCs w:val="16"/>
              </w:rPr>
              <w:t>Брой</w:t>
            </w:r>
          </w:p>
        </w:tc>
        <w:tc>
          <w:tcPr>
            <w:tcW w:w="758" w:type="pct"/>
            <w:tcBorders>
              <w:top w:val="nil"/>
              <w:left w:val="single" w:sz="4" w:space="0" w:color="auto"/>
              <w:bottom w:val="single" w:sz="4" w:space="0" w:color="auto"/>
              <w:right w:val="single" w:sz="4" w:space="0" w:color="auto"/>
            </w:tcBorders>
            <w:shd w:val="clear" w:color="auto" w:fill="auto"/>
          </w:tcPr>
          <w:p w14:paraId="47726434" w14:textId="77777777" w:rsidR="00443F31" w:rsidRPr="00443F31" w:rsidRDefault="00443F31" w:rsidP="00443F31">
            <w:pPr>
              <w:jc w:val="right"/>
              <w:rPr>
                <w:sz w:val="16"/>
                <w:szCs w:val="16"/>
              </w:rPr>
            </w:pPr>
            <w:r w:rsidRPr="00443F31">
              <w:rPr>
                <w:sz w:val="16"/>
                <w:szCs w:val="16"/>
              </w:rPr>
              <w:t>520</w:t>
            </w:r>
          </w:p>
        </w:tc>
        <w:tc>
          <w:tcPr>
            <w:tcW w:w="758" w:type="pct"/>
            <w:tcBorders>
              <w:top w:val="nil"/>
              <w:left w:val="nil"/>
              <w:bottom w:val="single" w:sz="4" w:space="0" w:color="auto"/>
              <w:right w:val="single" w:sz="4" w:space="0" w:color="auto"/>
            </w:tcBorders>
            <w:shd w:val="clear" w:color="auto" w:fill="auto"/>
          </w:tcPr>
          <w:p w14:paraId="0A7B0579" w14:textId="77777777" w:rsidR="00443F31" w:rsidRPr="00443F31" w:rsidRDefault="00443F31" w:rsidP="00443F31">
            <w:pPr>
              <w:jc w:val="right"/>
              <w:rPr>
                <w:sz w:val="16"/>
                <w:szCs w:val="16"/>
              </w:rPr>
            </w:pPr>
            <w:r w:rsidRPr="00443F31">
              <w:rPr>
                <w:sz w:val="16"/>
                <w:szCs w:val="16"/>
              </w:rPr>
              <w:t>273</w:t>
            </w:r>
          </w:p>
        </w:tc>
      </w:tr>
      <w:tr w:rsidR="00443F31" w:rsidRPr="00EB5BA5" w14:paraId="51B11EBF" w14:textId="77777777" w:rsidTr="00DA496A">
        <w:trPr>
          <w:trHeight w:val="405"/>
          <w:jc w:val="center"/>
        </w:trPr>
        <w:tc>
          <w:tcPr>
            <w:tcW w:w="2608" w:type="pct"/>
            <w:tcBorders>
              <w:top w:val="nil"/>
              <w:left w:val="single" w:sz="4" w:space="0" w:color="auto"/>
              <w:bottom w:val="single" w:sz="4" w:space="0" w:color="auto"/>
              <w:right w:val="single" w:sz="4" w:space="0" w:color="auto"/>
            </w:tcBorders>
            <w:shd w:val="clear" w:color="auto" w:fill="auto"/>
          </w:tcPr>
          <w:p w14:paraId="4F4B381C" w14:textId="77777777" w:rsidR="00443F31" w:rsidRPr="00FB153D" w:rsidRDefault="00443F31" w:rsidP="00443F31">
            <w:pPr>
              <w:tabs>
                <w:tab w:val="left" w:pos="993"/>
              </w:tabs>
              <w:rPr>
                <w:b/>
                <w:sz w:val="16"/>
                <w:szCs w:val="16"/>
              </w:rPr>
            </w:pPr>
            <w:r w:rsidRPr="00FB153D">
              <w:rPr>
                <w:b/>
                <w:sz w:val="16"/>
                <w:szCs w:val="16"/>
                <w:lang w:val="ru-RU"/>
              </w:rPr>
              <w:t>8</w:t>
            </w:r>
            <w:r w:rsidRPr="00FB153D">
              <w:rPr>
                <w:b/>
                <w:sz w:val="16"/>
                <w:szCs w:val="16"/>
              </w:rPr>
              <w:t>.</w:t>
            </w:r>
            <w:r w:rsidRPr="00FB153D">
              <w:rPr>
                <w:sz w:val="16"/>
                <w:szCs w:val="16"/>
              </w:rPr>
              <w:t xml:space="preserve"> Потребители/посещения/обсег на достигнати хора на популяризаторските форми</w:t>
            </w:r>
          </w:p>
        </w:tc>
        <w:tc>
          <w:tcPr>
            <w:tcW w:w="876" w:type="pct"/>
            <w:tcBorders>
              <w:top w:val="nil"/>
              <w:left w:val="nil"/>
              <w:bottom w:val="single" w:sz="4" w:space="0" w:color="auto"/>
              <w:right w:val="single" w:sz="4" w:space="0" w:color="auto"/>
            </w:tcBorders>
            <w:shd w:val="clear" w:color="auto" w:fill="auto"/>
          </w:tcPr>
          <w:p w14:paraId="13B471BA" w14:textId="77777777" w:rsidR="00443F31" w:rsidRPr="00FB153D" w:rsidRDefault="00443F31" w:rsidP="00443F31">
            <w:pPr>
              <w:jc w:val="both"/>
              <w:rPr>
                <w:sz w:val="16"/>
                <w:szCs w:val="16"/>
              </w:rPr>
            </w:pPr>
            <w:r w:rsidRPr="00FB153D">
              <w:rPr>
                <w:sz w:val="16"/>
                <w:szCs w:val="16"/>
              </w:rPr>
              <w:t>Брой</w:t>
            </w:r>
          </w:p>
        </w:tc>
        <w:tc>
          <w:tcPr>
            <w:tcW w:w="758" w:type="pct"/>
            <w:tcBorders>
              <w:top w:val="nil"/>
              <w:left w:val="single" w:sz="4" w:space="0" w:color="auto"/>
              <w:bottom w:val="single" w:sz="4" w:space="0" w:color="auto"/>
              <w:right w:val="single" w:sz="4" w:space="0" w:color="auto"/>
            </w:tcBorders>
            <w:shd w:val="clear" w:color="auto" w:fill="auto"/>
          </w:tcPr>
          <w:p w14:paraId="0C7BA119" w14:textId="77777777" w:rsidR="00443F31" w:rsidRPr="00443F31" w:rsidRDefault="00443F31" w:rsidP="00443F31">
            <w:pPr>
              <w:jc w:val="right"/>
              <w:rPr>
                <w:sz w:val="16"/>
                <w:szCs w:val="16"/>
              </w:rPr>
            </w:pPr>
            <w:r w:rsidRPr="00443F31">
              <w:rPr>
                <w:sz w:val="16"/>
                <w:szCs w:val="16"/>
              </w:rPr>
              <w:t>154 000/</w:t>
            </w:r>
          </w:p>
          <w:p w14:paraId="7DDFFC38" w14:textId="77777777" w:rsidR="00443F31" w:rsidRPr="00443F31" w:rsidRDefault="00443F31" w:rsidP="00443F31">
            <w:pPr>
              <w:jc w:val="right"/>
              <w:rPr>
                <w:sz w:val="16"/>
                <w:szCs w:val="16"/>
              </w:rPr>
            </w:pPr>
            <w:r w:rsidRPr="00443F31">
              <w:rPr>
                <w:sz w:val="16"/>
                <w:szCs w:val="16"/>
              </w:rPr>
              <w:t>272 000</w:t>
            </w:r>
            <w:r w:rsidRPr="00443F31">
              <w:rPr>
                <w:rStyle w:val="FootnoteReference"/>
                <w:sz w:val="16"/>
                <w:szCs w:val="16"/>
              </w:rPr>
              <w:footnoteReference w:id="20"/>
            </w:r>
          </w:p>
        </w:tc>
        <w:tc>
          <w:tcPr>
            <w:tcW w:w="758" w:type="pct"/>
            <w:tcBorders>
              <w:top w:val="nil"/>
              <w:left w:val="nil"/>
              <w:bottom w:val="single" w:sz="4" w:space="0" w:color="auto"/>
              <w:right w:val="single" w:sz="4" w:space="0" w:color="auto"/>
            </w:tcBorders>
            <w:shd w:val="clear" w:color="auto" w:fill="auto"/>
          </w:tcPr>
          <w:p w14:paraId="14DBDCC5" w14:textId="57D80153" w:rsidR="00443F31" w:rsidRPr="00443F31" w:rsidRDefault="00443F31" w:rsidP="00443F31">
            <w:pPr>
              <w:jc w:val="right"/>
              <w:rPr>
                <w:sz w:val="16"/>
                <w:szCs w:val="16"/>
                <w:lang w:val="en-US"/>
              </w:rPr>
            </w:pPr>
            <w:r w:rsidRPr="00443F31">
              <w:rPr>
                <w:sz w:val="16"/>
                <w:szCs w:val="16"/>
                <w:lang w:val="en-US"/>
              </w:rPr>
              <w:t>120 881</w:t>
            </w:r>
            <w:r w:rsidRPr="00443F31">
              <w:rPr>
                <w:rStyle w:val="FootnoteReference"/>
                <w:sz w:val="16"/>
                <w:szCs w:val="16"/>
              </w:rPr>
              <w:footnoteReference w:id="21"/>
            </w:r>
            <w:r w:rsidRPr="00443F31">
              <w:rPr>
                <w:sz w:val="16"/>
                <w:szCs w:val="16"/>
              </w:rPr>
              <w:t>/</w:t>
            </w:r>
            <w:r w:rsidR="00026CA3">
              <w:rPr>
                <w:sz w:val="16"/>
                <w:szCs w:val="16"/>
              </w:rPr>
              <w:br/>
            </w:r>
            <w:r w:rsidRPr="00443F31">
              <w:rPr>
                <w:sz w:val="16"/>
                <w:szCs w:val="16"/>
              </w:rPr>
              <w:t>5</w:t>
            </w:r>
            <w:r w:rsidRPr="00443F31">
              <w:rPr>
                <w:sz w:val="16"/>
                <w:szCs w:val="16"/>
                <w:lang w:val="en-US"/>
              </w:rPr>
              <w:t>91</w:t>
            </w:r>
            <w:r w:rsidRPr="00443F31">
              <w:rPr>
                <w:sz w:val="16"/>
                <w:szCs w:val="16"/>
              </w:rPr>
              <w:t xml:space="preserve"> </w:t>
            </w:r>
            <w:r w:rsidRPr="00443F31">
              <w:rPr>
                <w:sz w:val="16"/>
                <w:szCs w:val="16"/>
                <w:lang w:val="en-US"/>
              </w:rPr>
              <w:t>525</w:t>
            </w:r>
          </w:p>
        </w:tc>
      </w:tr>
    </w:tbl>
    <w:p w14:paraId="647C3EA3" w14:textId="77777777" w:rsidR="00026CA3" w:rsidRPr="00C65292" w:rsidRDefault="00026CA3" w:rsidP="00DC6569">
      <w:pPr>
        <w:shd w:val="clear" w:color="auto" w:fill="FFFFFF" w:themeFill="background1"/>
        <w:spacing w:before="120"/>
        <w:ind w:firstLine="425"/>
        <w:jc w:val="both"/>
        <w:rPr>
          <w:b/>
          <w:color w:val="215E99" w:themeColor="text2" w:themeTint="BF"/>
          <w:sz w:val="22"/>
          <w:szCs w:val="22"/>
        </w:rPr>
      </w:pPr>
      <w:r w:rsidRPr="00C65292">
        <w:rPr>
          <w:b/>
          <w:color w:val="215E99" w:themeColor="text2" w:themeTint="BF"/>
          <w:sz w:val="22"/>
          <w:szCs w:val="22"/>
        </w:rPr>
        <w:t>Взаимоотношения с други институции, допринасящи за изпълнение на политиката</w:t>
      </w:r>
    </w:p>
    <w:p w14:paraId="0D7BD42D" w14:textId="68C7B208" w:rsidR="00026CA3" w:rsidRPr="00B27A37" w:rsidRDefault="00026CA3" w:rsidP="00DC6569">
      <w:pPr>
        <w:shd w:val="clear" w:color="auto" w:fill="FFFFFF" w:themeFill="background1"/>
        <w:spacing w:after="360"/>
        <w:ind w:firstLine="425"/>
        <w:jc w:val="both"/>
        <w:rPr>
          <w:sz w:val="22"/>
          <w:szCs w:val="22"/>
        </w:rPr>
      </w:pPr>
      <w:r w:rsidRPr="00B27A37">
        <w:rPr>
          <w:sz w:val="22"/>
          <w:szCs w:val="22"/>
        </w:rPr>
        <w:t xml:space="preserve">ДАА взаимодейства с органите на централното и местно управление, </w:t>
      </w:r>
      <w:r w:rsidR="00DA496A">
        <w:rPr>
          <w:sz w:val="22"/>
          <w:szCs w:val="22"/>
        </w:rPr>
        <w:t>с културни и научни институции,</w:t>
      </w:r>
      <w:r w:rsidRPr="00B27A37">
        <w:rPr>
          <w:sz w:val="22"/>
          <w:szCs w:val="22"/>
        </w:rPr>
        <w:t xml:space="preserve"> обществени и неправителствени организации, с всички учреждения – </w:t>
      </w:r>
      <w:proofErr w:type="spellStart"/>
      <w:r w:rsidRPr="00B27A37">
        <w:rPr>
          <w:sz w:val="22"/>
          <w:szCs w:val="22"/>
        </w:rPr>
        <w:t>фондообразуватели</w:t>
      </w:r>
      <w:proofErr w:type="spellEnd"/>
      <w:r w:rsidRPr="00B27A37">
        <w:rPr>
          <w:sz w:val="22"/>
          <w:szCs w:val="22"/>
        </w:rPr>
        <w:t xml:space="preserve"> на архивите, средствата за масово осведомяване.</w:t>
      </w:r>
    </w:p>
    <w:p w14:paraId="657D6753" w14:textId="77777777" w:rsidR="005B6697" w:rsidRPr="00667B09" w:rsidRDefault="00345515" w:rsidP="00FE5CDF">
      <w:pPr>
        <w:pStyle w:val="Heading1"/>
      </w:pPr>
      <w:bookmarkStart w:id="11" w:name="_Toc239159342"/>
      <w:r w:rsidRPr="00667B09">
        <w:t>9</w:t>
      </w:r>
      <w:r w:rsidR="000E51FB" w:rsidRPr="00667B09">
        <w:t xml:space="preserve">. </w:t>
      </w:r>
      <w:r w:rsidR="005B6697" w:rsidRPr="00667B09">
        <w:t xml:space="preserve">Преглед на изпълнението по </w:t>
      </w:r>
      <w:r w:rsidR="006E35CA" w:rsidRPr="00667B09">
        <w:t xml:space="preserve">бюджетни </w:t>
      </w:r>
      <w:r w:rsidR="005B6697" w:rsidRPr="00667B09">
        <w:t>програми</w:t>
      </w:r>
      <w:bookmarkEnd w:id="11"/>
    </w:p>
    <w:p w14:paraId="16F1D25E" w14:textId="59EF4349" w:rsidR="00EB0176" w:rsidRPr="00667B09" w:rsidRDefault="00EB0176" w:rsidP="00FF2C75">
      <w:pPr>
        <w:shd w:val="clear" w:color="auto" w:fill="FFFFFF"/>
        <w:spacing w:before="120" w:after="120"/>
        <w:jc w:val="both"/>
        <w:rPr>
          <w:sz w:val="10"/>
          <w:szCs w:val="10"/>
          <w:lang w:eastAsia="en-US"/>
        </w:rPr>
      </w:pPr>
    </w:p>
    <w:p w14:paraId="56201340" w14:textId="77777777" w:rsidR="002D7295" w:rsidRPr="00667B09" w:rsidRDefault="0018076D" w:rsidP="00FE5CDF">
      <w:pPr>
        <w:pStyle w:val="Heading1"/>
      </w:pPr>
      <w:r w:rsidRPr="00667B09">
        <w:t>9</w:t>
      </w:r>
      <w:r w:rsidR="002D7295" w:rsidRPr="00667B09">
        <w:t xml:space="preserve">.1 </w:t>
      </w:r>
      <w:r w:rsidR="006E35CA" w:rsidRPr="00667B09">
        <w:t>Бюджетна п</w:t>
      </w:r>
      <w:r w:rsidR="002D7295" w:rsidRPr="00667B09">
        <w:t xml:space="preserve">рограма </w:t>
      </w:r>
      <w:r w:rsidR="00EE7A55" w:rsidRPr="00667B09">
        <w:t xml:space="preserve">0300.01.01 </w:t>
      </w:r>
      <w:r w:rsidR="002D7295" w:rsidRPr="00667B09">
        <w:t>“</w:t>
      </w:r>
      <w:r w:rsidR="00BD111E" w:rsidRPr="00667B09">
        <w:t>Министерски съвет и организация на дейността му</w:t>
      </w:r>
      <w:r w:rsidR="002D7295" w:rsidRPr="00667B09">
        <w:t>”</w:t>
      </w:r>
    </w:p>
    <w:p w14:paraId="4081040C" w14:textId="77777777" w:rsidR="00D069B9" w:rsidRPr="009E2774" w:rsidRDefault="00D069B9" w:rsidP="00DA496A">
      <w:pPr>
        <w:widowControl w:val="0"/>
        <w:shd w:val="clear" w:color="auto" w:fill="FFFFFF" w:themeFill="background1"/>
        <w:tabs>
          <w:tab w:val="num" w:pos="426"/>
        </w:tabs>
        <w:ind w:firstLine="425"/>
        <w:jc w:val="both"/>
        <w:outlineLvl w:val="3"/>
        <w:rPr>
          <w:b/>
          <w:bCs/>
          <w:color w:val="215E99" w:themeColor="text2" w:themeTint="BF"/>
          <w:sz w:val="22"/>
          <w:szCs w:val="22"/>
          <w:lang w:eastAsia="en-US"/>
        </w:rPr>
      </w:pPr>
      <w:r w:rsidRPr="009E2774">
        <w:rPr>
          <w:b/>
          <w:bCs/>
          <w:color w:val="215E99" w:themeColor="text2" w:themeTint="BF"/>
          <w:sz w:val="22"/>
          <w:szCs w:val="22"/>
          <w:lang w:eastAsia="en-US"/>
        </w:rPr>
        <w:t>Описание на степента на изпълнение на заложените в програмата цели:</w:t>
      </w:r>
    </w:p>
    <w:p w14:paraId="30850CB6" w14:textId="77777777" w:rsidR="00D069B9" w:rsidRPr="00667B09" w:rsidRDefault="00D069B9" w:rsidP="00DA496A">
      <w:pPr>
        <w:shd w:val="clear" w:color="auto" w:fill="FFFFFF" w:themeFill="background1"/>
        <w:spacing w:after="120"/>
        <w:ind w:firstLine="425"/>
        <w:jc w:val="both"/>
        <w:rPr>
          <w:sz w:val="22"/>
          <w:szCs w:val="22"/>
        </w:rPr>
      </w:pPr>
      <w:r w:rsidRPr="00667B09">
        <w:rPr>
          <w:sz w:val="22"/>
          <w:szCs w:val="22"/>
        </w:rPr>
        <w:t>Основната цел на програмата е да осигури организацията на дейността на Министерския съвет в съответствие с приоритетите на правителството.</w:t>
      </w:r>
    </w:p>
    <w:p w14:paraId="7B457F79" w14:textId="77777777" w:rsidR="00D069B9" w:rsidRPr="003963DF" w:rsidRDefault="00D069B9" w:rsidP="00DA496A">
      <w:pPr>
        <w:widowControl w:val="0"/>
        <w:shd w:val="clear" w:color="auto" w:fill="FFFFFF" w:themeFill="background1"/>
        <w:tabs>
          <w:tab w:val="num" w:pos="426"/>
        </w:tabs>
        <w:spacing w:after="120"/>
        <w:ind w:firstLine="425"/>
        <w:jc w:val="both"/>
        <w:outlineLvl w:val="3"/>
        <w:rPr>
          <w:b/>
          <w:bCs/>
          <w:color w:val="215E99" w:themeColor="text2" w:themeTint="BF"/>
          <w:sz w:val="22"/>
          <w:szCs w:val="22"/>
          <w:lang w:eastAsia="en-US"/>
        </w:rPr>
      </w:pPr>
      <w:r w:rsidRPr="003963DF">
        <w:rPr>
          <w:b/>
          <w:bCs/>
          <w:color w:val="215E99" w:themeColor="text2" w:themeTint="BF"/>
          <w:sz w:val="22"/>
          <w:szCs w:val="22"/>
          <w:lang w:eastAsia="en-US"/>
        </w:rPr>
        <w:t>Продукти/услуги предоставяни по програмата</w:t>
      </w:r>
    </w:p>
    <w:p w14:paraId="34385199" w14:textId="77777777" w:rsidR="00D069B9" w:rsidRPr="00593BB8" w:rsidRDefault="00D069B9" w:rsidP="00593BB8">
      <w:pPr>
        <w:pStyle w:val="ListParagraph"/>
        <w:widowControl w:val="0"/>
        <w:numPr>
          <w:ilvl w:val="0"/>
          <w:numId w:val="69"/>
        </w:numPr>
        <w:shd w:val="clear" w:color="auto" w:fill="FFFFFF" w:themeFill="background1"/>
        <w:tabs>
          <w:tab w:val="num" w:pos="426"/>
        </w:tabs>
        <w:ind w:left="426" w:firstLine="0"/>
        <w:jc w:val="both"/>
        <w:outlineLvl w:val="3"/>
        <w:rPr>
          <w:b/>
          <w:bCs/>
          <w:i/>
          <w:color w:val="215E99" w:themeColor="text2" w:themeTint="BF"/>
          <w:sz w:val="22"/>
          <w:szCs w:val="22"/>
          <w:lang w:eastAsia="en-US"/>
        </w:rPr>
      </w:pPr>
      <w:r w:rsidRPr="00593BB8">
        <w:rPr>
          <w:b/>
          <w:bCs/>
          <w:i/>
          <w:color w:val="215E99" w:themeColor="text2" w:themeTint="BF"/>
          <w:sz w:val="22"/>
          <w:szCs w:val="22"/>
          <w:lang w:eastAsia="en-US"/>
        </w:rPr>
        <w:t>Правна подкрепа при подготовката на актове на МС</w:t>
      </w:r>
    </w:p>
    <w:p w14:paraId="6F9F322C" w14:textId="77777777" w:rsidR="00AC2E73" w:rsidRPr="00667B09" w:rsidRDefault="00D069B9" w:rsidP="00DA496A">
      <w:pPr>
        <w:shd w:val="clear" w:color="auto" w:fill="FFFFFF" w:themeFill="background1"/>
        <w:ind w:firstLine="426"/>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36124786" w14:textId="35B10C13" w:rsidR="00154EBC" w:rsidRPr="00AA1FBC" w:rsidRDefault="00154EBC" w:rsidP="00DA496A">
      <w:pPr>
        <w:pStyle w:val="ListParagraph"/>
        <w:numPr>
          <w:ilvl w:val="0"/>
          <w:numId w:val="46"/>
        </w:numPr>
        <w:shd w:val="clear" w:color="auto" w:fill="FFFFFF" w:themeFill="background1"/>
        <w:spacing w:line="259" w:lineRule="auto"/>
        <w:ind w:left="0" w:firstLine="426"/>
        <w:jc w:val="both"/>
        <w:rPr>
          <w:sz w:val="22"/>
          <w:szCs w:val="22"/>
        </w:rPr>
      </w:pPr>
      <w:r w:rsidRPr="00AA1FBC">
        <w:rPr>
          <w:sz w:val="22"/>
          <w:szCs w:val="22"/>
        </w:rPr>
        <w:t>Изготвяне на правни становища по проектите на актове на Министерския съвет и на министър-председателя.</w:t>
      </w:r>
    </w:p>
    <w:p w14:paraId="764EB013" w14:textId="2C4AA393" w:rsidR="00154EBC" w:rsidRPr="00154EBC" w:rsidRDefault="00154EBC" w:rsidP="00DA496A">
      <w:pPr>
        <w:shd w:val="clear" w:color="auto" w:fill="FFFFFF" w:themeFill="background1"/>
        <w:spacing w:line="259" w:lineRule="auto"/>
        <w:ind w:firstLine="426"/>
        <w:jc w:val="both"/>
        <w:rPr>
          <w:sz w:val="22"/>
          <w:szCs w:val="22"/>
        </w:rPr>
      </w:pPr>
      <w:r w:rsidRPr="00154EBC">
        <w:rPr>
          <w:sz w:val="22"/>
          <w:szCs w:val="22"/>
        </w:rPr>
        <w:lastRenderedPageBreak/>
        <w:t xml:space="preserve">За периода </w:t>
      </w:r>
      <w:r w:rsidR="00C85D4D">
        <w:rPr>
          <w:sz w:val="22"/>
          <w:szCs w:val="22"/>
          <w:lang w:val="en-US"/>
        </w:rPr>
        <w:t>0</w:t>
      </w:r>
      <w:r w:rsidRPr="00154EBC">
        <w:rPr>
          <w:sz w:val="22"/>
          <w:szCs w:val="22"/>
        </w:rPr>
        <w:t>1</w:t>
      </w:r>
      <w:r w:rsidR="00C85D4D">
        <w:rPr>
          <w:sz w:val="22"/>
          <w:szCs w:val="22"/>
          <w:lang w:val="en-US"/>
        </w:rPr>
        <w:t>.01.</w:t>
      </w:r>
      <w:r w:rsidRPr="00154EBC">
        <w:rPr>
          <w:sz w:val="22"/>
          <w:szCs w:val="22"/>
        </w:rPr>
        <w:t>2025 г. – 30</w:t>
      </w:r>
      <w:r w:rsidR="00C85D4D">
        <w:rPr>
          <w:sz w:val="22"/>
          <w:szCs w:val="22"/>
          <w:lang w:val="en-US"/>
        </w:rPr>
        <w:t>.06.</w:t>
      </w:r>
      <w:r w:rsidRPr="00154EBC">
        <w:rPr>
          <w:sz w:val="22"/>
          <w:szCs w:val="22"/>
        </w:rPr>
        <w:t>2025 г. от дирекция „Правна” са разгледани 1</w:t>
      </w:r>
      <w:r w:rsidR="00C85D4D">
        <w:rPr>
          <w:sz w:val="22"/>
          <w:szCs w:val="22"/>
          <w:lang w:val="en-US"/>
        </w:rPr>
        <w:t xml:space="preserve"> </w:t>
      </w:r>
      <w:r w:rsidRPr="00154EBC">
        <w:rPr>
          <w:sz w:val="22"/>
          <w:szCs w:val="22"/>
        </w:rPr>
        <w:t>153 преписки, които включват:</w:t>
      </w:r>
    </w:p>
    <w:p w14:paraId="43C5C549" w14:textId="4FE8D807" w:rsidR="00154EBC" w:rsidRPr="00492146" w:rsidRDefault="00154EBC" w:rsidP="00DA496A">
      <w:pPr>
        <w:pStyle w:val="ListParagraph"/>
        <w:numPr>
          <w:ilvl w:val="0"/>
          <w:numId w:val="47"/>
        </w:numPr>
        <w:shd w:val="clear" w:color="auto" w:fill="FFFFFF" w:themeFill="background1"/>
        <w:spacing w:line="259" w:lineRule="auto"/>
        <w:ind w:left="0" w:firstLine="426"/>
        <w:jc w:val="both"/>
        <w:rPr>
          <w:sz w:val="22"/>
          <w:szCs w:val="22"/>
        </w:rPr>
      </w:pPr>
      <w:r w:rsidRPr="00492146">
        <w:rPr>
          <w:sz w:val="22"/>
          <w:szCs w:val="22"/>
        </w:rPr>
        <w:t>преписки за съгласуване на проекти на актове от министерства и други ведомства, по които дирекцията е изразила становище в съответствие с установената практика и Устройствения правилник на Министерския съвет и на неговата администрация (УПМСНА);</w:t>
      </w:r>
    </w:p>
    <w:p w14:paraId="152E4914" w14:textId="4C42BA70" w:rsidR="00154EBC" w:rsidRPr="00154EBC" w:rsidRDefault="00154EBC" w:rsidP="00DA496A">
      <w:pPr>
        <w:pStyle w:val="ListParagraph"/>
        <w:numPr>
          <w:ilvl w:val="0"/>
          <w:numId w:val="47"/>
        </w:numPr>
        <w:shd w:val="clear" w:color="auto" w:fill="FFFFFF" w:themeFill="background1"/>
        <w:spacing w:line="259" w:lineRule="auto"/>
        <w:ind w:left="0" w:firstLine="426"/>
        <w:jc w:val="both"/>
        <w:rPr>
          <w:sz w:val="22"/>
          <w:szCs w:val="22"/>
        </w:rPr>
      </w:pPr>
      <w:r w:rsidRPr="00154EBC">
        <w:rPr>
          <w:sz w:val="22"/>
          <w:szCs w:val="22"/>
        </w:rPr>
        <w:t>жалби срещу актове на Министерски съвет или на министър-председателя;</w:t>
      </w:r>
    </w:p>
    <w:p w14:paraId="2BB649A7" w14:textId="30C1A414" w:rsidR="00154EBC" w:rsidRPr="00154EBC" w:rsidRDefault="00154EBC" w:rsidP="00DA496A">
      <w:pPr>
        <w:pStyle w:val="ListParagraph"/>
        <w:numPr>
          <w:ilvl w:val="0"/>
          <w:numId w:val="47"/>
        </w:numPr>
        <w:shd w:val="clear" w:color="auto" w:fill="FFFFFF" w:themeFill="background1"/>
        <w:spacing w:line="259" w:lineRule="auto"/>
        <w:ind w:left="0" w:firstLine="426"/>
        <w:jc w:val="both"/>
        <w:rPr>
          <w:sz w:val="22"/>
          <w:szCs w:val="22"/>
        </w:rPr>
      </w:pPr>
      <w:r w:rsidRPr="00154EBC">
        <w:rPr>
          <w:sz w:val="22"/>
          <w:szCs w:val="22"/>
        </w:rPr>
        <w:t>писма с искания за становища от органи на изпълнителната власт по различни правни въпроси, по които дирекцията е подготвила отговори и становища;</w:t>
      </w:r>
    </w:p>
    <w:p w14:paraId="0B3446CA" w14:textId="620CEEAA" w:rsidR="00154EBC" w:rsidRPr="00154EBC" w:rsidRDefault="00154EBC" w:rsidP="00DA496A">
      <w:pPr>
        <w:pStyle w:val="ListParagraph"/>
        <w:numPr>
          <w:ilvl w:val="0"/>
          <w:numId w:val="47"/>
        </w:numPr>
        <w:shd w:val="clear" w:color="auto" w:fill="FFFFFF" w:themeFill="background1"/>
        <w:spacing w:line="259" w:lineRule="auto"/>
        <w:ind w:left="0" w:firstLine="426"/>
        <w:jc w:val="both"/>
        <w:rPr>
          <w:sz w:val="22"/>
          <w:szCs w:val="22"/>
        </w:rPr>
      </w:pPr>
      <w:r w:rsidRPr="00154EBC">
        <w:rPr>
          <w:sz w:val="22"/>
          <w:szCs w:val="22"/>
        </w:rPr>
        <w:t>предложения за нормативни промени от граждани и юридически лица, по които дирекцията е подготвила отговори и становища;</w:t>
      </w:r>
    </w:p>
    <w:p w14:paraId="6F8C72EB" w14:textId="342BE479" w:rsidR="00154EBC" w:rsidRPr="00154EBC" w:rsidRDefault="00154EBC" w:rsidP="00DA496A">
      <w:pPr>
        <w:pStyle w:val="ListParagraph"/>
        <w:numPr>
          <w:ilvl w:val="0"/>
          <w:numId w:val="47"/>
        </w:numPr>
        <w:shd w:val="clear" w:color="auto" w:fill="FFFFFF" w:themeFill="background1"/>
        <w:spacing w:line="259" w:lineRule="auto"/>
        <w:ind w:left="0" w:firstLine="426"/>
        <w:jc w:val="both"/>
        <w:rPr>
          <w:sz w:val="22"/>
          <w:szCs w:val="22"/>
        </w:rPr>
      </w:pPr>
      <w:r w:rsidRPr="00154EBC">
        <w:rPr>
          <w:sz w:val="22"/>
          <w:szCs w:val="22"/>
        </w:rPr>
        <w:t>предложения за издаване на заповеди от министър-председателя и заместник министър-председателите в това им качество, по които дирекцията е подготвила проектите на заповеди.</w:t>
      </w:r>
    </w:p>
    <w:p w14:paraId="7A21A2C5" w14:textId="77777777" w:rsidR="00154EBC" w:rsidRPr="00154EBC" w:rsidRDefault="00154EBC" w:rsidP="00DA496A">
      <w:pPr>
        <w:shd w:val="clear" w:color="auto" w:fill="FFFFFF" w:themeFill="background1"/>
        <w:spacing w:line="259" w:lineRule="auto"/>
        <w:ind w:firstLine="426"/>
        <w:jc w:val="both"/>
        <w:rPr>
          <w:sz w:val="22"/>
          <w:szCs w:val="22"/>
        </w:rPr>
      </w:pPr>
      <w:r w:rsidRPr="00154EBC">
        <w:rPr>
          <w:sz w:val="22"/>
          <w:szCs w:val="22"/>
        </w:rPr>
        <w:t>С осъществяването на тази дейност е постигнат резултат осигуряване на законосъобразност в работата на Министерския съвет и на министър-председателя.</w:t>
      </w:r>
    </w:p>
    <w:p w14:paraId="5E9C6E7D" w14:textId="60DED681" w:rsidR="00154EBC" w:rsidRPr="00154EBC" w:rsidRDefault="00154EBC" w:rsidP="00A2441B">
      <w:pPr>
        <w:pStyle w:val="ListParagraph"/>
        <w:numPr>
          <w:ilvl w:val="0"/>
          <w:numId w:val="46"/>
        </w:numPr>
        <w:shd w:val="clear" w:color="auto" w:fill="FFFFFF" w:themeFill="background1"/>
        <w:spacing w:line="259" w:lineRule="auto"/>
        <w:ind w:left="0" w:firstLine="426"/>
        <w:jc w:val="both"/>
        <w:rPr>
          <w:sz w:val="22"/>
          <w:szCs w:val="22"/>
        </w:rPr>
      </w:pPr>
      <w:r w:rsidRPr="00154EBC">
        <w:rPr>
          <w:sz w:val="22"/>
          <w:szCs w:val="22"/>
        </w:rPr>
        <w:t>Разработване на проекти на актове на Министерския съвет и на министър-председателя и съгласуване на актовете.</w:t>
      </w:r>
    </w:p>
    <w:p w14:paraId="3247888E" w14:textId="7B7511FB" w:rsidR="00154EBC" w:rsidRPr="00154EBC" w:rsidRDefault="00154EBC" w:rsidP="00A2441B">
      <w:pPr>
        <w:pStyle w:val="ListParagraph"/>
        <w:numPr>
          <w:ilvl w:val="0"/>
          <w:numId w:val="46"/>
        </w:numPr>
        <w:shd w:val="clear" w:color="auto" w:fill="FFFFFF" w:themeFill="background1"/>
        <w:spacing w:line="259" w:lineRule="auto"/>
        <w:ind w:left="0" w:firstLine="426"/>
        <w:jc w:val="both"/>
        <w:rPr>
          <w:sz w:val="22"/>
          <w:szCs w:val="22"/>
        </w:rPr>
      </w:pPr>
      <w:r w:rsidRPr="00154EBC">
        <w:rPr>
          <w:sz w:val="22"/>
          <w:szCs w:val="22"/>
        </w:rPr>
        <w:t>Правно-техническо оформяне на актове на Министерския съвет и на министър-председателя.</w:t>
      </w:r>
    </w:p>
    <w:p w14:paraId="44A83E0F" w14:textId="1CE296BD" w:rsidR="00154EBC" w:rsidRPr="00154EBC" w:rsidRDefault="00154EBC" w:rsidP="00A2441B">
      <w:pPr>
        <w:shd w:val="clear" w:color="auto" w:fill="FFFFFF" w:themeFill="background1"/>
        <w:spacing w:line="259" w:lineRule="auto"/>
        <w:ind w:firstLine="426"/>
        <w:jc w:val="both"/>
        <w:rPr>
          <w:sz w:val="22"/>
          <w:szCs w:val="22"/>
        </w:rPr>
      </w:pPr>
      <w:r w:rsidRPr="00154EBC">
        <w:rPr>
          <w:sz w:val="22"/>
          <w:szCs w:val="22"/>
        </w:rPr>
        <w:t>За посочения период юридически са прегледани 493 приети от Министерски съвет акта, в т.ч. 384 решения, 107 постановления и 2 разпореждания, както и 11 акта, класифицирани с гриф (в т.ч. едно постановление, 9 решения и едно протоколно решение). Допълнително са изготвени 69 доклада и проекти на актове с вносител министър-председателя, в т.ч. 18 акта за неприсъствено приемане от Министерския съвет по реда на чл.7, ал.3 от УПМСНА. Съгласувани са и прегледани 26 протокола от заседания на правителството.</w:t>
      </w:r>
    </w:p>
    <w:p w14:paraId="0561ACA1" w14:textId="248361DC" w:rsidR="00154EBC" w:rsidRPr="00154EBC" w:rsidRDefault="00154EBC" w:rsidP="00A2441B">
      <w:pPr>
        <w:shd w:val="clear" w:color="auto" w:fill="FFFFFF" w:themeFill="background1"/>
        <w:spacing w:line="259" w:lineRule="auto"/>
        <w:ind w:firstLine="426"/>
        <w:jc w:val="both"/>
        <w:rPr>
          <w:sz w:val="22"/>
          <w:szCs w:val="22"/>
        </w:rPr>
      </w:pPr>
      <w:r w:rsidRPr="00154EBC">
        <w:rPr>
          <w:sz w:val="22"/>
          <w:szCs w:val="22"/>
        </w:rPr>
        <w:t>Дирекция „Правна” е подготвила по писмено и устно разпореждане и е съгласувала представените й проекти на 46 заповеди на министър-председателя и заместник министър-председателите в това им качество.</w:t>
      </w:r>
    </w:p>
    <w:p w14:paraId="0F28548A" w14:textId="77777777" w:rsidR="00154EBC" w:rsidRPr="00154EBC" w:rsidRDefault="00154EBC" w:rsidP="00A2441B">
      <w:pPr>
        <w:shd w:val="clear" w:color="auto" w:fill="FFFFFF" w:themeFill="background1"/>
        <w:spacing w:line="259" w:lineRule="auto"/>
        <w:ind w:firstLine="426"/>
        <w:jc w:val="both"/>
        <w:rPr>
          <w:sz w:val="22"/>
          <w:szCs w:val="22"/>
        </w:rPr>
      </w:pPr>
      <w:r w:rsidRPr="00154EBC">
        <w:rPr>
          <w:sz w:val="22"/>
          <w:szCs w:val="22"/>
        </w:rPr>
        <w:t xml:space="preserve">Разработването на проекти на актове на Министерския съвет се извършва също въз основа на писмено или устно разпореждане. Актовете, които задължително се изготвят от дирекция „Правна” са и решенията за одобряване на становищата на Министерския съвет по делата пред Конституционния съд и самите становища. За отчетния период подготвените становища и доклади по конституционни дела са общо 4. </w:t>
      </w:r>
    </w:p>
    <w:p w14:paraId="193FE084" w14:textId="75493876" w:rsidR="00154EBC" w:rsidRPr="00154EBC" w:rsidRDefault="00154EBC" w:rsidP="00A2441B">
      <w:pPr>
        <w:shd w:val="clear" w:color="auto" w:fill="FFFFFF" w:themeFill="background1"/>
        <w:spacing w:line="259" w:lineRule="auto"/>
        <w:ind w:firstLine="426"/>
        <w:jc w:val="both"/>
        <w:rPr>
          <w:sz w:val="22"/>
          <w:szCs w:val="22"/>
        </w:rPr>
      </w:pPr>
      <w:r w:rsidRPr="00154EBC">
        <w:rPr>
          <w:sz w:val="22"/>
          <w:szCs w:val="22"/>
        </w:rPr>
        <w:t xml:space="preserve">Подготвени са също решения за избиране и освобождаване на органи на изпълнителната власт, актове за създаване, преобразуване и закриване на административни структури и др. </w:t>
      </w:r>
    </w:p>
    <w:p w14:paraId="4294EC23" w14:textId="77777777" w:rsidR="00154EBC" w:rsidRPr="00154EBC" w:rsidRDefault="00154EBC" w:rsidP="00A2441B">
      <w:pPr>
        <w:shd w:val="clear" w:color="auto" w:fill="FFFFFF" w:themeFill="background1"/>
        <w:spacing w:line="259" w:lineRule="auto"/>
        <w:ind w:firstLine="426"/>
        <w:jc w:val="both"/>
        <w:rPr>
          <w:sz w:val="22"/>
          <w:szCs w:val="22"/>
        </w:rPr>
      </w:pPr>
      <w:r w:rsidRPr="00154EBC">
        <w:rPr>
          <w:sz w:val="22"/>
          <w:szCs w:val="22"/>
        </w:rPr>
        <w:t xml:space="preserve">Съгласно Устройствения правилник на Министерския съвет и на неговата администрация дирекция „Правна” съгласува за законосъобразност актовете на Министерския съвет (съгласуваните в процедурата за предварително съгласуване актове на Министерския съвет са 550 проекта на решения, 170 проекта на постановления, 3 проекта на разпореждания и 4 проекта на протоколни решения). </w:t>
      </w:r>
    </w:p>
    <w:p w14:paraId="6633DFCB" w14:textId="34496362" w:rsidR="00154EBC" w:rsidRPr="00154EBC" w:rsidRDefault="00154EBC" w:rsidP="00A2441B">
      <w:pPr>
        <w:shd w:val="clear" w:color="auto" w:fill="FFFFFF" w:themeFill="background1"/>
        <w:spacing w:line="259" w:lineRule="auto"/>
        <w:ind w:firstLine="426"/>
        <w:jc w:val="both"/>
        <w:rPr>
          <w:sz w:val="22"/>
          <w:szCs w:val="22"/>
        </w:rPr>
      </w:pPr>
      <w:r w:rsidRPr="00154EBC">
        <w:rPr>
          <w:sz w:val="22"/>
          <w:szCs w:val="22"/>
        </w:rPr>
        <w:t>С осъществяването на тази дейност е постигнат резултат осигуряване на законосъобразност в работата на Министерския съвет и на министър-председателя.</w:t>
      </w:r>
    </w:p>
    <w:p w14:paraId="51A751F7" w14:textId="5ED997B9" w:rsidR="00154EBC" w:rsidRPr="00154EBC" w:rsidRDefault="00154EBC" w:rsidP="00A2441B">
      <w:pPr>
        <w:pStyle w:val="ListParagraph"/>
        <w:numPr>
          <w:ilvl w:val="0"/>
          <w:numId w:val="46"/>
        </w:numPr>
        <w:shd w:val="clear" w:color="auto" w:fill="FFFFFF" w:themeFill="background1"/>
        <w:spacing w:line="259" w:lineRule="auto"/>
        <w:ind w:left="0" w:firstLine="426"/>
        <w:jc w:val="both"/>
        <w:rPr>
          <w:sz w:val="22"/>
          <w:szCs w:val="22"/>
        </w:rPr>
      </w:pPr>
      <w:r w:rsidRPr="00154EBC">
        <w:rPr>
          <w:sz w:val="22"/>
          <w:szCs w:val="22"/>
        </w:rPr>
        <w:t>Участие в работни групи за разработване на законопроекти и проекти на нормативни актове</w:t>
      </w:r>
    </w:p>
    <w:p w14:paraId="1B0050DE" w14:textId="77777777" w:rsidR="00154EBC" w:rsidRPr="00154EBC" w:rsidRDefault="00154EBC" w:rsidP="00A2441B">
      <w:pPr>
        <w:shd w:val="clear" w:color="auto" w:fill="FFFFFF" w:themeFill="background1"/>
        <w:spacing w:line="259" w:lineRule="auto"/>
        <w:ind w:firstLine="426"/>
        <w:jc w:val="both"/>
        <w:rPr>
          <w:sz w:val="22"/>
          <w:szCs w:val="22"/>
        </w:rPr>
      </w:pPr>
      <w:r w:rsidRPr="00154EBC">
        <w:rPr>
          <w:sz w:val="22"/>
          <w:szCs w:val="22"/>
        </w:rPr>
        <w:t>Дирекция „Правна” е участвала в работни групи за разработване на проекти на нормативни актове по възлагане от министър-председателя или главния секретар или по искане на министерства и ведомства.</w:t>
      </w:r>
    </w:p>
    <w:p w14:paraId="762B09D8" w14:textId="77777777" w:rsidR="00154EBC" w:rsidRPr="00154EBC" w:rsidRDefault="00154EBC" w:rsidP="00A2441B">
      <w:pPr>
        <w:shd w:val="clear" w:color="auto" w:fill="FFFFFF" w:themeFill="background1"/>
        <w:spacing w:line="259" w:lineRule="auto"/>
        <w:ind w:firstLine="426"/>
        <w:jc w:val="both"/>
        <w:rPr>
          <w:sz w:val="22"/>
          <w:szCs w:val="22"/>
        </w:rPr>
      </w:pPr>
      <w:r w:rsidRPr="00154EBC">
        <w:rPr>
          <w:sz w:val="22"/>
          <w:szCs w:val="22"/>
        </w:rPr>
        <w:t>С осъществяването на тази дейност са постигнати резултати осигуряване на законосъобразност в работата на Министерския съвет и на министър-председателя и осигуряване на методическа помощ и консултации на администрациите в изпълнителната власт.</w:t>
      </w:r>
    </w:p>
    <w:p w14:paraId="7AD1118E" w14:textId="3C3FEDFE" w:rsidR="00154EBC" w:rsidRPr="00154EBC" w:rsidRDefault="00154EBC" w:rsidP="00A2441B">
      <w:pPr>
        <w:pStyle w:val="ListParagraph"/>
        <w:numPr>
          <w:ilvl w:val="0"/>
          <w:numId w:val="46"/>
        </w:numPr>
        <w:shd w:val="clear" w:color="auto" w:fill="FFFFFF" w:themeFill="background1"/>
        <w:spacing w:line="259" w:lineRule="auto"/>
        <w:ind w:left="0" w:firstLine="426"/>
        <w:jc w:val="both"/>
        <w:rPr>
          <w:sz w:val="22"/>
          <w:szCs w:val="22"/>
        </w:rPr>
      </w:pPr>
      <w:r w:rsidRPr="00154EBC">
        <w:rPr>
          <w:sz w:val="22"/>
          <w:szCs w:val="22"/>
        </w:rPr>
        <w:lastRenderedPageBreak/>
        <w:t>Изготвяне и представяне на документи и становища в съдебните производство, необходими във връзка с процесуалното представителство на Министерския съвет и на министър-председателя, явяване и пледиране в съдебната зала.</w:t>
      </w:r>
    </w:p>
    <w:p w14:paraId="419B78D6" w14:textId="77777777" w:rsidR="00154EBC" w:rsidRPr="00154EBC" w:rsidRDefault="00154EBC" w:rsidP="00A2441B">
      <w:pPr>
        <w:shd w:val="clear" w:color="auto" w:fill="FFFFFF" w:themeFill="background1"/>
        <w:spacing w:line="259" w:lineRule="auto"/>
        <w:ind w:firstLine="426"/>
        <w:jc w:val="both"/>
        <w:rPr>
          <w:sz w:val="22"/>
          <w:szCs w:val="22"/>
        </w:rPr>
      </w:pPr>
      <w:r w:rsidRPr="00154EBC">
        <w:rPr>
          <w:sz w:val="22"/>
          <w:szCs w:val="22"/>
        </w:rPr>
        <w:t xml:space="preserve">Общият брой на висящите производствата, по които дирекцията е представлявала Министерския съвет и министър-председателя пред административните и гражданските съдилища и пред Комисията за защита от дискриминация през отчетния период е 214, от които 193 са пред съдилищата и 21 пред Комисията за защита от дискриминация. </w:t>
      </w:r>
    </w:p>
    <w:p w14:paraId="04777426" w14:textId="77777777" w:rsidR="00154EBC" w:rsidRPr="00154EBC" w:rsidRDefault="00154EBC" w:rsidP="00A2441B">
      <w:pPr>
        <w:shd w:val="clear" w:color="auto" w:fill="FFFFFF" w:themeFill="background1"/>
        <w:spacing w:line="259" w:lineRule="auto"/>
        <w:ind w:firstLine="426"/>
        <w:jc w:val="both"/>
        <w:rPr>
          <w:sz w:val="22"/>
          <w:szCs w:val="22"/>
        </w:rPr>
      </w:pPr>
      <w:r w:rsidRPr="00154EBC">
        <w:rPr>
          <w:sz w:val="22"/>
          <w:szCs w:val="22"/>
        </w:rPr>
        <w:t>С осъществяването на тази дейност е постигнат резултат процесуалноправна защита на актовете на Министерския съвет и на министър-председателя.</w:t>
      </w:r>
    </w:p>
    <w:p w14:paraId="6C51A862" w14:textId="4EA68903" w:rsidR="00154EBC" w:rsidRPr="00154EBC" w:rsidRDefault="00154EBC" w:rsidP="00A2441B">
      <w:pPr>
        <w:pStyle w:val="ListParagraph"/>
        <w:numPr>
          <w:ilvl w:val="0"/>
          <w:numId w:val="46"/>
        </w:numPr>
        <w:shd w:val="clear" w:color="auto" w:fill="FFFFFF" w:themeFill="background1"/>
        <w:spacing w:line="259" w:lineRule="auto"/>
        <w:ind w:left="0" w:firstLine="426"/>
        <w:jc w:val="both"/>
        <w:rPr>
          <w:sz w:val="22"/>
          <w:szCs w:val="22"/>
        </w:rPr>
      </w:pPr>
      <w:r w:rsidRPr="00154EBC">
        <w:rPr>
          <w:sz w:val="22"/>
          <w:szCs w:val="22"/>
        </w:rPr>
        <w:t>Осигуряване на методическа помощ и консултации на администрациите в изпълнителната власт</w:t>
      </w:r>
    </w:p>
    <w:p w14:paraId="13B5ABD2" w14:textId="77777777" w:rsidR="00154EBC" w:rsidRPr="00154EBC" w:rsidRDefault="00154EBC" w:rsidP="00A2441B">
      <w:pPr>
        <w:shd w:val="clear" w:color="auto" w:fill="FFFFFF" w:themeFill="background1"/>
        <w:spacing w:line="259" w:lineRule="auto"/>
        <w:ind w:firstLine="426"/>
        <w:jc w:val="both"/>
        <w:rPr>
          <w:sz w:val="22"/>
          <w:szCs w:val="22"/>
        </w:rPr>
      </w:pPr>
      <w:r w:rsidRPr="00154EBC">
        <w:rPr>
          <w:sz w:val="22"/>
          <w:szCs w:val="22"/>
        </w:rPr>
        <w:t>Методическата помощ и консултациите на администрациите в изпълнителната власт се осигуряват чрез отговори на поставени писмено и устно въпроси и чрез участие в работни групи.</w:t>
      </w:r>
    </w:p>
    <w:p w14:paraId="3B8D4047" w14:textId="77777777" w:rsidR="00154EBC" w:rsidRPr="00154EBC" w:rsidRDefault="00154EBC" w:rsidP="00A2441B">
      <w:pPr>
        <w:shd w:val="clear" w:color="auto" w:fill="FFFFFF" w:themeFill="background1"/>
        <w:spacing w:after="120" w:line="259" w:lineRule="auto"/>
        <w:ind w:firstLine="425"/>
        <w:jc w:val="both"/>
        <w:rPr>
          <w:sz w:val="22"/>
          <w:szCs w:val="22"/>
        </w:rPr>
      </w:pPr>
      <w:r w:rsidRPr="00154EBC">
        <w:rPr>
          <w:sz w:val="22"/>
          <w:szCs w:val="22"/>
        </w:rPr>
        <w:t>С осъществяването на тази дейност е постигнат резултат осигуряване на методическа помощ и консултации на администрациите в изпълнителната власт.</w:t>
      </w:r>
    </w:p>
    <w:p w14:paraId="77FC36F2" w14:textId="77777777" w:rsidR="00FF2C75" w:rsidRPr="00FF2C75" w:rsidRDefault="00FF2C75" w:rsidP="00BC1C7A">
      <w:pPr>
        <w:pStyle w:val="ListParagraph"/>
        <w:widowControl w:val="0"/>
        <w:numPr>
          <w:ilvl w:val="0"/>
          <w:numId w:val="69"/>
        </w:numPr>
        <w:shd w:val="clear" w:color="auto" w:fill="FFFFFF" w:themeFill="background1"/>
        <w:tabs>
          <w:tab w:val="num" w:pos="426"/>
        </w:tabs>
        <w:ind w:left="426" w:firstLine="0"/>
        <w:jc w:val="both"/>
        <w:outlineLvl w:val="3"/>
        <w:rPr>
          <w:b/>
          <w:bCs/>
          <w:i/>
          <w:color w:val="215E99" w:themeColor="text2" w:themeTint="BF"/>
          <w:sz w:val="22"/>
          <w:szCs w:val="22"/>
          <w:lang w:eastAsia="en-US"/>
        </w:rPr>
      </w:pPr>
      <w:r w:rsidRPr="00FF2C75">
        <w:rPr>
          <w:b/>
          <w:bCs/>
          <w:i/>
          <w:color w:val="215E99" w:themeColor="text2" w:themeTint="BF"/>
          <w:sz w:val="22"/>
          <w:szCs w:val="22"/>
          <w:lang w:eastAsia="en-US"/>
        </w:rPr>
        <w:t>Правителствен протокол и церемониал</w:t>
      </w:r>
    </w:p>
    <w:p w14:paraId="21D4DA67" w14:textId="77777777" w:rsidR="00FF2C75" w:rsidRPr="00667B09" w:rsidRDefault="00FF2C75" w:rsidP="00593BB8">
      <w:pPr>
        <w:shd w:val="clear" w:color="auto" w:fill="FFFFFF" w:themeFill="background1"/>
        <w:ind w:firstLine="425"/>
        <w:jc w:val="both"/>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79FC0AE9" w14:textId="0DDDC8AE"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Постигнато високо ниво на протоколната и церемониална дейност, в съответствие с европейските стандарти и възможностите, които дава българското законодателство</w:t>
      </w:r>
      <w:r w:rsidR="00237BE8">
        <w:rPr>
          <w:sz w:val="22"/>
          <w:szCs w:val="22"/>
          <w:lang w:val="bg-BG"/>
        </w:rPr>
        <w:t>;</w:t>
      </w:r>
    </w:p>
    <w:p w14:paraId="553B8FD8" w14:textId="4BCF19A2"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Реализирани официални и работни посещения в страната и чужбина на министър-председателя на Република България</w:t>
      </w:r>
      <w:r w:rsidR="00237BE8">
        <w:rPr>
          <w:sz w:val="22"/>
          <w:szCs w:val="22"/>
          <w:lang w:val="bg-BG"/>
        </w:rPr>
        <w:t>;</w:t>
      </w:r>
    </w:p>
    <w:p w14:paraId="690A2D67" w14:textId="1406099C"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Постигната идентичност и координация в приоритетите с администрацията на Народното събрание, администрация на Президента, дирекция „Държавен протокол” на МВнР, НСО и други служби, свързани с единната външна политика, дейността по осигуряване на протоколни прояви, церемонии, срещи и посещения (Правителствена зала на летище „Васил Левски“ София, УМБАЛ „Лозенец“, Столична дирекция на вътрешните работи, посолства, др. ведомства)</w:t>
      </w:r>
      <w:r w:rsidR="00237BE8" w:rsidRPr="00DB20FC">
        <w:rPr>
          <w:sz w:val="22"/>
          <w:szCs w:val="22"/>
        </w:rPr>
        <w:t>;</w:t>
      </w:r>
    </w:p>
    <w:p w14:paraId="467CC3C0" w14:textId="36E99415"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Подробно описана и поддържана експозиция с получени протоколни подаръци, изложена в сградата на Министерския съвет, съгласно създаден регистър за водене, съхраняване и оценяване на протоколните подаръци</w:t>
      </w:r>
      <w:r w:rsidR="00237BE8" w:rsidRPr="00DB20FC">
        <w:rPr>
          <w:sz w:val="22"/>
          <w:szCs w:val="22"/>
        </w:rPr>
        <w:t>;</w:t>
      </w:r>
    </w:p>
    <w:p w14:paraId="3B6E75D7" w14:textId="47A0503C"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Инициирана подготовка за провеждането на обществена поръчка с предмет „Доставка и аранжировка на цветя, букети, венци и кошници за протоколните нужди на Министерския съвет“ за сключване на договор при подходящи условия за обслужване на администрацията на Министерския съвет</w:t>
      </w:r>
      <w:r w:rsidR="00237BE8" w:rsidRPr="00DB20FC">
        <w:rPr>
          <w:sz w:val="22"/>
          <w:szCs w:val="22"/>
        </w:rPr>
        <w:t>;</w:t>
      </w:r>
    </w:p>
    <w:p w14:paraId="17AB91D3" w14:textId="7ADE4800"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Оптимизирана преводаческата дейност чрез сключените договори при подходящи условия за осигуряване на устни и писмени преводи за обслужване на администрацията на Министерския съвет</w:t>
      </w:r>
      <w:r w:rsidR="00237BE8" w:rsidRPr="00DB20FC">
        <w:rPr>
          <w:sz w:val="22"/>
          <w:szCs w:val="22"/>
        </w:rPr>
        <w:t>;</w:t>
      </w:r>
    </w:p>
    <w:p w14:paraId="2C060187" w14:textId="27962EFC"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Постигната уеднаквена визия на официалните бланки, визитни картички и официални материали, които излизат по официални поводи от администрацията на Министерския съвет, като се спазват всички изисквания за зачитане на националните символи – национален флаг, герб, химн</w:t>
      </w:r>
      <w:r w:rsidR="00237BE8" w:rsidRPr="00DB20FC">
        <w:rPr>
          <w:sz w:val="22"/>
          <w:szCs w:val="22"/>
        </w:rPr>
        <w:t>;</w:t>
      </w:r>
    </w:p>
    <w:p w14:paraId="7D756285" w14:textId="35805886" w:rsidR="00FF2C75" w:rsidRPr="00FF2C75" w:rsidRDefault="00FF2C75" w:rsidP="00A2441B">
      <w:pPr>
        <w:pStyle w:val="ListParagraph"/>
        <w:numPr>
          <w:ilvl w:val="0"/>
          <w:numId w:val="48"/>
        </w:numPr>
        <w:shd w:val="clear" w:color="auto" w:fill="FFFFFF" w:themeFill="background1"/>
        <w:spacing w:after="120" w:line="259" w:lineRule="auto"/>
        <w:ind w:left="0" w:firstLine="425"/>
        <w:jc w:val="both"/>
        <w:rPr>
          <w:sz w:val="22"/>
          <w:szCs w:val="22"/>
        </w:rPr>
      </w:pPr>
      <w:r w:rsidRPr="00FF2C75">
        <w:rPr>
          <w:sz w:val="22"/>
          <w:szCs w:val="22"/>
        </w:rPr>
        <w:t>Оптимизирани с цел икономии и възможност за ефективен контрол дейностите, свързани със закупуване на самолетни билети, конферентни услуги и хотелски настанявания чрез сключените договори при подходящи условия за обслужване на администрацията на Министерския съвет и при спазване на утвърдените вътрешни правила за организация на служебните командировки и специализации в чужбина на Министерския съвет, на неговата администрация и на разпоредителите с бюджет към Министерския съвет.</w:t>
      </w:r>
    </w:p>
    <w:p w14:paraId="7CD49B98" w14:textId="77777777" w:rsidR="00772E1B" w:rsidRDefault="00772E1B">
      <w:pPr>
        <w:rPr>
          <w:b/>
          <w:i/>
          <w:color w:val="800000"/>
          <w:sz w:val="22"/>
          <w:szCs w:val="22"/>
        </w:rPr>
      </w:pPr>
      <w:r>
        <w:rPr>
          <w:b/>
          <w:i/>
          <w:color w:val="800000"/>
          <w:sz w:val="22"/>
          <w:szCs w:val="22"/>
        </w:rPr>
        <w:br w:type="page"/>
      </w:r>
    </w:p>
    <w:p w14:paraId="1F5A05CF" w14:textId="72CB504D" w:rsidR="00FF2C75" w:rsidRPr="007554A3" w:rsidRDefault="00FF2C75" w:rsidP="00A2441B">
      <w:pPr>
        <w:shd w:val="clear" w:color="auto" w:fill="FFFFFF" w:themeFill="background1"/>
        <w:ind w:firstLine="425"/>
        <w:jc w:val="both"/>
        <w:rPr>
          <w:b/>
          <w:i/>
          <w:color w:val="800000"/>
          <w:sz w:val="22"/>
          <w:szCs w:val="22"/>
        </w:rPr>
      </w:pPr>
      <w:r w:rsidRPr="007554A3">
        <w:rPr>
          <w:b/>
          <w:i/>
          <w:color w:val="800000"/>
          <w:sz w:val="22"/>
          <w:szCs w:val="22"/>
        </w:rPr>
        <w:lastRenderedPageBreak/>
        <w:t xml:space="preserve">Продукт/услуга, предоставяни по програмата </w:t>
      </w:r>
      <w:r w:rsidR="007554A3">
        <w:rPr>
          <w:b/>
          <w:i/>
          <w:color w:val="800000"/>
          <w:sz w:val="22"/>
          <w:szCs w:val="22"/>
        </w:rPr>
        <w:t>–</w:t>
      </w:r>
      <w:r w:rsidRPr="007554A3">
        <w:rPr>
          <w:b/>
          <w:i/>
          <w:color w:val="800000"/>
          <w:sz w:val="22"/>
          <w:szCs w:val="22"/>
        </w:rPr>
        <w:t xml:space="preserve"> описание на постигнатите резултати и изпълнените дейности за тяхното предоставяне:</w:t>
      </w:r>
    </w:p>
    <w:p w14:paraId="5B9DAB51" w14:textId="68A7C354"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Осъществена програмата в страната и чужбина на министър-председателя и заместник министър-председателите (23 бр.)</w:t>
      </w:r>
      <w:r w:rsidR="00C07CA4">
        <w:rPr>
          <w:sz w:val="22"/>
          <w:szCs w:val="22"/>
          <w:lang w:val="bg-BG"/>
        </w:rPr>
        <w:t>;</w:t>
      </w:r>
    </w:p>
    <w:p w14:paraId="4AC22974" w14:textId="40E31A7C"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Подготвени, съвместно с дирекция „Държавен протокол“ на Министерството на външните работи на официални и работни посещения, международни форуми и срещи, свързани с дипломатическия корпус и контактите с българските задгранични представителства (1 бр.)</w:t>
      </w:r>
      <w:r w:rsidR="00C07CA4" w:rsidRPr="00DB20FC">
        <w:rPr>
          <w:sz w:val="22"/>
          <w:szCs w:val="22"/>
        </w:rPr>
        <w:t>;</w:t>
      </w:r>
    </w:p>
    <w:p w14:paraId="15BD179E" w14:textId="52A37743"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Извършена организация, дадени методически указания и обезпечено участието на министър-председателя в национални и официални празници и събития в страната, както и в други конкретни поводи – годишнини, чествания, национален траур, държавни погребения, откриване на национални обекти, конференции, форуми и други културни прояви (5 бр.)</w:t>
      </w:r>
      <w:r w:rsidR="00C07CA4" w:rsidRPr="00DB20FC">
        <w:rPr>
          <w:sz w:val="22"/>
          <w:szCs w:val="22"/>
        </w:rPr>
        <w:t>;</w:t>
      </w:r>
    </w:p>
    <w:p w14:paraId="123FBF06" w14:textId="32281C9E"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Извършена организация, изработена цялостна програма по посрещането и пребиваването на чуждестранни правителствени делегации при официални или работни посещения по покана на министър-председателя или заместник министър-председателите, както и на международни форуми по покана и с участието на същите (3 бр.)</w:t>
      </w:r>
      <w:r w:rsidR="00C07CA4" w:rsidRPr="00DB20FC">
        <w:rPr>
          <w:sz w:val="22"/>
          <w:szCs w:val="22"/>
        </w:rPr>
        <w:t>;</w:t>
      </w:r>
    </w:p>
    <w:p w14:paraId="32900C9E" w14:textId="43AEF26E"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Извършена организация, изработена цялостна програма и проведени посещения на правителствени делегации, начело с министър-председателя или заместник министър-председателите в чужбина или за участие в международни форуми (16 бр.)</w:t>
      </w:r>
      <w:r w:rsidR="00C07CA4" w:rsidRPr="00DB20FC">
        <w:rPr>
          <w:sz w:val="22"/>
          <w:szCs w:val="22"/>
        </w:rPr>
        <w:t>;</w:t>
      </w:r>
    </w:p>
    <w:p w14:paraId="5B40CF28" w14:textId="2A0D11EE"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Обезпечени срещи при министър-председателя, заместник-министър-председателите и на високо ниво в администрацията на Министерския съвет (128 бр.)</w:t>
      </w:r>
      <w:r w:rsidR="00C07CA4" w:rsidRPr="00DB20FC">
        <w:rPr>
          <w:sz w:val="22"/>
          <w:szCs w:val="22"/>
        </w:rPr>
        <w:t>;</w:t>
      </w:r>
    </w:p>
    <w:p w14:paraId="60580F7D" w14:textId="07E90B1B"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 xml:space="preserve">Официални обеди, вечери или приеми от името на министър-председателя и заместник-министър-председателите – извършена цялостна организация </w:t>
      </w:r>
      <w:r w:rsidR="00347507">
        <w:rPr>
          <w:sz w:val="22"/>
          <w:szCs w:val="22"/>
        </w:rPr>
        <w:t>–</w:t>
      </w:r>
      <w:r w:rsidRPr="00FF2C75">
        <w:rPr>
          <w:sz w:val="22"/>
          <w:szCs w:val="22"/>
        </w:rPr>
        <w:t xml:space="preserve"> изработени покани, сценарии и провеждането им (5 бр.)</w:t>
      </w:r>
      <w:r w:rsidR="00C07CA4" w:rsidRPr="00DB20FC">
        <w:rPr>
          <w:sz w:val="22"/>
          <w:szCs w:val="22"/>
        </w:rPr>
        <w:t>;</w:t>
      </w:r>
    </w:p>
    <w:p w14:paraId="2D572612" w14:textId="56F00D8D"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Подаръчна дейност (84 бр. подаръци), изпратени цветя, венци, кошници по необходимите поводи (30 бр. венци и 14 броя кошници)</w:t>
      </w:r>
      <w:r w:rsidR="00C07CA4" w:rsidRPr="00DB20FC">
        <w:rPr>
          <w:sz w:val="22"/>
          <w:szCs w:val="22"/>
        </w:rPr>
        <w:t>;</w:t>
      </w:r>
    </w:p>
    <w:p w14:paraId="035C5D74" w14:textId="58A4A62F"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Изработени поздравителни, съболезнователни адреси, оформена официална кореспонденция с чужбина и страната (181 бр.)</w:t>
      </w:r>
      <w:r w:rsidR="00C07CA4" w:rsidRPr="00DB20FC">
        <w:rPr>
          <w:sz w:val="22"/>
          <w:szCs w:val="22"/>
        </w:rPr>
        <w:t>;</w:t>
      </w:r>
    </w:p>
    <w:p w14:paraId="0979E79D" w14:textId="669A723D"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Отказани покани за мероприятия на министър-председателя (131 бр.)</w:t>
      </w:r>
      <w:r w:rsidR="00C07CA4" w:rsidRPr="00DB20FC">
        <w:rPr>
          <w:sz w:val="22"/>
          <w:szCs w:val="22"/>
        </w:rPr>
        <w:t>;</w:t>
      </w:r>
    </w:p>
    <w:p w14:paraId="24B7158E" w14:textId="5CA99173"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Резервирани самолетни билети и осигурени маршрути съгласно условията на сключен договор и осигурено хотелско настаняване, съгласно условията на сключен договор (3 бр.).</w:t>
      </w:r>
    </w:p>
    <w:p w14:paraId="1EC29FCF" w14:textId="0FB5B2AA"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Осигурена методическа помощ и консултирани звена в централната и местната администрация, които са ангажирани с протоколната и церемониална дейност (9 бр.)</w:t>
      </w:r>
      <w:r w:rsidR="00C07CA4" w:rsidRPr="00DB20FC">
        <w:rPr>
          <w:sz w:val="22"/>
          <w:szCs w:val="22"/>
        </w:rPr>
        <w:t>;</w:t>
      </w:r>
    </w:p>
    <w:p w14:paraId="2B799D05" w14:textId="2DAE0A2D"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 xml:space="preserve">Извършена преводаческа дейност за обслужване с официален превод на всички срещи на министър-председателя, заместник министър-председателите и администрацията на Министерския съвет, съгласно условията на сключени договори за писмен и устен превод </w:t>
      </w:r>
      <w:r w:rsidR="00BC60EC" w:rsidRPr="00DB20FC">
        <w:rPr>
          <w:sz w:val="22"/>
          <w:szCs w:val="22"/>
        </w:rPr>
        <w:br/>
      </w:r>
      <w:r w:rsidRPr="00FF2C75">
        <w:rPr>
          <w:sz w:val="22"/>
          <w:szCs w:val="22"/>
        </w:rPr>
        <w:t>(4 бр. писмени и 14 бр. устни преводи)</w:t>
      </w:r>
      <w:r w:rsidR="00C07CA4" w:rsidRPr="00DB20FC">
        <w:rPr>
          <w:sz w:val="22"/>
          <w:szCs w:val="22"/>
        </w:rPr>
        <w:t>;</w:t>
      </w:r>
    </w:p>
    <w:p w14:paraId="738993F7" w14:textId="25C80ECA"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Организирани и осъществени от дирекция „Правителствен протокол“ устни и писмени преводи на текущи документи и за обслужване на срещи в администрация на Министерския съвет (111 стр. писмени и 1 бр. устни преводи)</w:t>
      </w:r>
      <w:r w:rsidR="00C07CA4" w:rsidRPr="00DB20FC">
        <w:rPr>
          <w:sz w:val="22"/>
          <w:szCs w:val="22"/>
        </w:rPr>
        <w:t>;</w:t>
      </w:r>
    </w:p>
    <w:p w14:paraId="7FFE720C" w14:textId="14CEE951"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Изготвени заповеди за командировка на министър-председателя, заместник министър-председателите, министрите, председателите на агенции и комисии от системата на Министерския съвет и областните управители (212 бр.)</w:t>
      </w:r>
      <w:r w:rsidR="00C07CA4" w:rsidRPr="00DB20FC">
        <w:rPr>
          <w:sz w:val="22"/>
          <w:szCs w:val="22"/>
        </w:rPr>
        <w:t>;</w:t>
      </w:r>
    </w:p>
    <w:p w14:paraId="5F6A385C" w14:textId="1389F20C"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Поръчани и изработени визитни картички (33 комплекта по 100 бр. в комплект)</w:t>
      </w:r>
      <w:r w:rsidR="00C07CA4" w:rsidRPr="00DB20FC">
        <w:rPr>
          <w:sz w:val="22"/>
          <w:szCs w:val="22"/>
        </w:rPr>
        <w:t>;</w:t>
      </w:r>
    </w:p>
    <w:p w14:paraId="090100F6" w14:textId="7FCEA589"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Изготвени от дирекция „Правителствен протокол“ официални печатни материали – менюта, табели, покани, настанителни картончета, разстановки за срещите на министър-председателя и заместник министър-председателите (783 бр.).</w:t>
      </w:r>
    </w:p>
    <w:p w14:paraId="737654B8" w14:textId="77777777" w:rsidR="006E6B92" w:rsidRDefault="006E6B92">
      <w:pPr>
        <w:rPr>
          <w:b/>
          <w:i/>
          <w:color w:val="800000"/>
          <w:sz w:val="22"/>
          <w:szCs w:val="22"/>
        </w:rPr>
      </w:pPr>
      <w:r>
        <w:rPr>
          <w:b/>
          <w:i/>
          <w:color w:val="800000"/>
          <w:sz w:val="22"/>
          <w:szCs w:val="22"/>
        </w:rPr>
        <w:br w:type="page"/>
      </w:r>
    </w:p>
    <w:p w14:paraId="23FEBB2C" w14:textId="13064AF5" w:rsidR="00FF2C75" w:rsidRPr="006B1368" w:rsidRDefault="00FF2C75" w:rsidP="00A2441B">
      <w:pPr>
        <w:shd w:val="clear" w:color="auto" w:fill="FFFFFF" w:themeFill="background1"/>
        <w:spacing w:before="120"/>
        <w:ind w:firstLine="425"/>
        <w:jc w:val="both"/>
        <w:rPr>
          <w:b/>
          <w:i/>
          <w:color w:val="800000"/>
          <w:sz w:val="22"/>
          <w:szCs w:val="22"/>
        </w:rPr>
      </w:pPr>
      <w:r w:rsidRPr="006B1368">
        <w:rPr>
          <w:b/>
          <w:i/>
          <w:color w:val="800000"/>
          <w:sz w:val="22"/>
          <w:szCs w:val="22"/>
        </w:rPr>
        <w:lastRenderedPageBreak/>
        <w:t>Отчет на показателите за изпълнение на програмата. Кратко описание на показателите за изпълнение:</w:t>
      </w:r>
    </w:p>
    <w:p w14:paraId="7E5F4B51" w14:textId="1C29A67B" w:rsidR="00FF2C75" w:rsidRPr="00FF2C75" w:rsidRDefault="00FF2C75" w:rsidP="00A2441B">
      <w:pPr>
        <w:pStyle w:val="ListParagraph"/>
        <w:numPr>
          <w:ilvl w:val="0"/>
          <w:numId w:val="48"/>
        </w:numPr>
        <w:shd w:val="clear" w:color="auto" w:fill="FFFFFF" w:themeFill="background1"/>
        <w:spacing w:line="259" w:lineRule="auto"/>
        <w:ind w:left="0" w:firstLine="426"/>
        <w:jc w:val="both"/>
        <w:rPr>
          <w:sz w:val="22"/>
          <w:szCs w:val="22"/>
        </w:rPr>
      </w:pPr>
      <w:r w:rsidRPr="00FF2C75">
        <w:rPr>
          <w:sz w:val="22"/>
          <w:szCs w:val="22"/>
        </w:rPr>
        <w:t>Реализирани вътрешно и външнополитически мероприятия, заложени в индивидуалната програма на министър-председателя и заместник министър-председателите</w:t>
      </w:r>
      <w:r w:rsidR="00237BE8">
        <w:rPr>
          <w:sz w:val="22"/>
          <w:szCs w:val="22"/>
          <w:lang w:val="bg-BG"/>
        </w:rPr>
        <w:t>;</w:t>
      </w:r>
    </w:p>
    <w:p w14:paraId="28D95571" w14:textId="1A3EE9D6" w:rsidR="00FF2C75" w:rsidRPr="00FF2C75" w:rsidRDefault="00FF2C75" w:rsidP="00A2441B">
      <w:pPr>
        <w:pStyle w:val="ListParagraph"/>
        <w:numPr>
          <w:ilvl w:val="0"/>
          <w:numId w:val="48"/>
        </w:numPr>
        <w:shd w:val="clear" w:color="auto" w:fill="FFFFFF" w:themeFill="background1"/>
        <w:spacing w:after="120" w:line="259" w:lineRule="auto"/>
        <w:ind w:left="0" w:firstLine="426"/>
        <w:jc w:val="both"/>
        <w:rPr>
          <w:sz w:val="22"/>
          <w:szCs w:val="22"/>
        </w:rPr>
      </w:pPr>
      <w:r w:rsidRPr="00FF2C75">
        <w:rPr>
          <w:sz w:val="22"/>
          <w:szCs w:val="22"/>
        </w:rPr>
        <w:t>Постигнат добър синхрон в работата с останалите институции и служби, отговорни за осъществяването на вътрешната и външна политика на страната.</w:t>
      </w:r>
    </w:p>
    <w:p w14:paraId="6F21D542" w14:textId="259677B8" w:rsidR="00B612F8" w:rsidRPr="00B612F8" w:rsidRDefault="00B612F8" w:rsidP="00BC1C7A">
      <w:pPr>
        <w:pStyle w:val="ListParagraph"/>
        <w:widowControl w:val="0"/>
        <w:numPr>
          <w:ilvl w:val="0"/>
          <w:numId w:val="69"/>
        </w:numPr>
        <w:shd w:val="clear" w:color="auto" w:fill="FFFFFF" w:themeFill="background1"/>
        <w:tabs>
          <w:tab w:val="num" w:pos="426"/>
        </w:tabs>
        <w:ind w:left="426" w:firstLine="0"/>
        <w:jc w:val="both"/>
        <w:outlineLvl w:val="3"/>
        <w:rPr>
          <w:b/>
          <w:bCs/>
          <w:i/>
          <w:color w:val="215E99" w:themeColor="text2" w:themeTint="BF"/>
          <w:sz w:val="22"/>
          <w:szCs w:val="22"/>
          <w:lang w:eastAsia="en-US"/>
        </w:rPr>
      </w:pPr>
      <w:r w:rsidRPr="00B612F8">
        <w:rPr>
          <w:b/>
          <w:bCs/>
          <w:i/>
          <w:color w:val="215E99" w:themeColor="text2" w:themeTint="BF"/>
          <w:sz w:val="22"/>
          <w:szCs w:val="22"/>
          <w:lang w:eastAsia="en-US"/>
        </w:rPr>
        <w:t>Правителствена информационна служба</w:t>
      </w:r>
    </w:p>
    <w:p w14:paraId="7FFF288D" w14:textId="77777777" w:rsidR="00B612F8" w:rsidRPr="00667B09" w:rsidRDefault="00B612F8" w:rsidP="00A2441B">
      <w:pPr>
        <w:shd w:val="clear" w:color="auto" w:fill="FFFFFF" w:themeFill="background1"/>
        <w:ind w:firstLine="426"/>
        <w:jc w:val="both"/>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33F1EE72" w14:textId="77777777" w:rsidR="00A4694C" w:rsidRPr="002C743D" w:rsidRDefault="00A4694C" w:rsidP="00A2441B">
      <w:pPr>
        <w:pStyle w:val="ListParagraph"/>
        <w:numPr>
          <w:ilvl w:val="0"/>
          <w:numId w:val="48"/>
        </w:numPr>
        <w:shd w:val="clear" w:color="auto" w:fill="FFFFFF" w:themeFill="background1"/>
        <w:spacing w:line="259" w:lineRule="auto"/>
        <w:ind w:left="0" w:firstLine="426"/>
        <w:jc w:val="both"/>
        <w:rPr>
          <w:sz w:val="22"/>
          <w:szCs w:val="22"/>
        </w:rPr>
      </w:pPr>
      <w:r w:rsidRPr="002C743D">
        <w:rPr>
          <w:sz w:val="22"/>
          <w:szCs w:val="22"/>
        </w:rPr>
        <w:t>Разработена е и се изпълнява програма за представяне дейността на Министерския съвет и на неговата администрация;</w:t>
      </w:r>
    </w:p>
    <w:p w14:paraId="63555EA8" w14:textId="77777777" w:rsidR="00A4694C" w:rsidRPr="002C743D" w:rsidRDefault="00A4694C" w:rsidP="00A2441B">
      <w:pPr>
        <w:pStyle w:val="ListParagraph"/>
        <w:numPr>
          <w:ilvl w:val="0"/>
          <w:numId w:val="48"/>
        </w:numPr>
        <w:shd w:val="clear" w:color="auto" w:fill="FFFFFF" w:themeFill="background1"/>
        <w:spacing w:line="259" w:lineRule="auto"/>
        <w:ind w:left="0" w:firstLine="426"/>
        <w:jc w:val="both"/>
        <w:rPr>
          <w:sz w:val="22"/>
          <w:szCs w:val="22"/>
        </w:rPr>
      </w:pPr>
      <w:r w:rsidRPr="002C743D">
        <w:rPr>
          <w:sz w:val="22"/>
          <w:szCs w:val="22"/>
        </w:rPr>
        <w:t>Създадена е организация за публични изяви на членовете на Министерския съвет във връзка с представянето на решенията на правителството;</w:t>
      </w:r>
    </w:p>
    <w:p w14:paraId="5D1D4BAA" w14:textId="77777777" w:rsidR="00A4694C" w:rsidRPr="002C743D" w:rsidRDefault="00A4694C" w:rsidP="00A2441B">
      <w:pPr>
        <w:pStyle w:val="ListParagraph"/>
        <w:numPr>
          <w:ilvl w:val="0"/>
          <w:numId w:val="48"/>
        </w:numPr>
        <w:shd w:val="clear" w:color="auto" w:fill="FFFFFF" w:themeFill="background1"/>
        <w:spacing w:line="259" w:lineRule="auto"/>
        <w:ind w:left="0" w:firstLine="426"/>
        <w:jc w:val="both"/>
        <w:rPr>
          <w:sz w:val="22"/>
          <w:szCs w:val="22"/>
        </w:rPr>
      </w:pPr>
      <w:r w:rsidRPr="002C743D">
        <w:rPr>
          <w:sz w:val="22"/>
          <w:szCs w:val="22"/>
        </w:rPr>
        <w:t>През отчетния период до средствата за масово осведомяване са изпратени общо 26 прессъобщения, чрез които е предоставена информация за приетите правителствени решения от заседанията на МС през първото полугодие на 2025 г.;</w:t>
      </w:r>
    </w:p>
    <w:p w14:paraId="47ECA388" w14:textId="77777777" w:rsidR="00A4694C" w:rsidRPr="002C743D" w:rsidRDefault="00A4694C" w:rsidP="00A2441B">
      <w:pPr>
        <w:pStyle w:val="ListParagraph"/>
        <w:numPr>
          <w:ilvl w:val="0"/>
          <w:numId w:val="48"/>
        </w:numPr>
        <w:shd w:val="clear" w:color="auto" w:fill="FFFFFF" w:themeFill="background1"/>
        <w:spacing w:line="259" w:lineRule="auto"/>
        <w:ind w:left="0" w:firstLine="426"/>
        <w:jc w:val="both"/>
        <w:rPr>
          <w:sz w:val="22"/>
          <w:szCs w:val="22"/>
        </w:rPr>
      </w:pPr>
      <w:r w:rsidRPr="002C743D">
        <w:rPr>
          <w:sz w:val="22"/>
          <w:szCs w:val="22"/>
        </w:rPr>
        <w:t>Осигурени са условия за провеждането на информационната политика на правителството чрез планиране и провеждане на информационни събития за представяне на конкретни правителствени политики, мерки и действия;</w:t>
      </w:r>
    </w:p>
    <w:p w14:paraId="5C4A6C06" w14:textId="77777777" w:rsidR="00A4694C" w:rsidRPr="002C743D" w:rsidRDefault="00A4694C" w:rsidP="00A2441B">
      <w:pPr>
        <w:pStyle w:val="ListParagraph"/>
        <w:numPr>
          <w:ilvl w:val="0"/>
          <w:numId w:val="48"/>
        </w:numPr>
        <w:shd w:val="clear" w:color="auto" w:fill="FFFFFF" w:themeFill="background1"/>
        <w:spacing w:line="259" w:lineRule="auto"/>
        <w:ind w:left="0" w:firstLine="426"/>
        <w:jc w:val="both"/>
        <w:rPr>
          <w:sz w:val="22"/>
          <w:szCs w:val="22"/>
        </w:rPr>
      </w:pPr>
      <w:r w:rsidRPr="002C743D">
        <w:rPr>
          <w:sz w:val="22"/>
          <w:szCs w:val="22"/>
        </w:rPr>
        <w:t>Извършван е ежедневен мониторинг на публикации и предавания в средствата за масово осведомяване и на общественото мнение за дейността на правителството;</w:t>
      </w:r>
    </w:p>
    <w:p w14:paraId="2E1F174B" w14:textId="77777777" w:rsidR="00A4694C" w:rsidRPr="002C743D" w:rsidRDefault="00A4694C" w:rsidP="00A2441B">
      <w:pPr>
        <w:pStyle w:val="ListParagraph"/>
        <w:numPr>
          <w:ilvl w:val="0"/>
          <w:numId w:val="48"/>
        </w:numPr>
        <w:shd w:val="clear" w:color="auto" w:fill="FFFFFF" w:themeFill="background1"/>
        <w:spacing w:line="259" w:lineRule="auto"/>
        <w:ind w:left="0" w:firstLine="426"/>
        <w:jc w:val="both"/>
        <w:rPr>
          <w:sz w:val="22"/>
          <w:szCs w:val="22"/>
        </w:rPr>
      </w:pPr>
      <w:r w:rsidRPr="002C743D">
        <w:rPr>
          <w:sz w:val="22"/>
          <w:szCs w:val="22"/>
        </w:rPr>
        <w:t>Осъществявано е методическо ръководство и координация на звената за връзки с обществеността на министрите, на ръководителите на държавни агенции и на областните управители;</w:t>
      </w:r>
    </w:p>
    <w:p w14:paraId="79CD6E69" w14:textId="77777777" w:rsidR="00A4694C" w:rsidRPr="002C743D" w:rsidRDefault="00A4694C" w:rsidP="00A2441B">
      <w:pPr>
        <w:pStyle w:val="ListParagraph"/>
        <w:numPr>
          <w:ilvl w:val="0"/>
          <w:numId w:val="48"/>
        </w:numPr>
        <w:shd w:val="clear" w:color="auto" w:fill="FFFFFF" w:themeFill="background1"/>
        <w:spacing w:line="259" w:lineRule="auto"/>
        <w:ind w:left="0" w:firstLine="426"/>
        <w:jc w:val="both"/>
        <w:rPr>
          <w:sz w:val="22"/>
          <w:szCs w:val="22"/>
        </w:rPr>
      </w:pPr>
      <w:r w:rsidRPr="002C743D">
        <w:rPr>
          <w:sz w:val="22"/>
          <w:szCs w:val="22"/>
        </w:rPr>
        <w:t>Оказано е съдействие при достъпа на граждани до правителствена информация и е оказвана помощ на граждани, медии и неправителствени организации относно получаването на обществена информация, която не е създавана и съхранявана от администрацията на МС;</w:t>
      </w:r>
    </w:p>
    <w:p w14:paraId="5911AE00" w14:textId="77777777" w:rsidR="00A4694C" w:rsidRPr="002C743D" w:rsidRDefault="00A4694C" w:rsidP="00A2441B">
      <w:pPr>
        <w:pStyle w:val="ListParagraph"/>
        <w:numPr>
          <w:ilvl w:val="0"/>
          <w:numId w:val="48"/>
        </w:numPr>
        <w:shd w:val="clear" w:color="auto" w:fill="FFFFFF" w:themeFill="background1"/>
        <w:spacing w:line="259" w:lineRule="auto"/>
        <w:ind w:left="0" w:firstLine="426"/>
        <w:jc w:val="both"/>
        <w:rPr>
          <w:sz w:val="22"/>
          <w:szCs w:val="22"/>
        </w:rPr>
      </w:pPr>
      <w:r w:rsidRPr="002C743D">
        <w:rPr>
          <w:sz w:val="22"/>
          <w:szCs w:val="22"/>
        </w:rPr>
        <w:t>Създадени са видеопродукти за ползване от електронните медии;</w:t>
      </w:r>
    </w:p>
    <w:p w14:paraId="164D1995" w14:textId="77777777" w:rsidR="00A4694C" w:rsidRPr="002C743D" w:rsidRDefault="00A4694C" w:rsidP="00A2441B">
      <w:pPr>
        <w:pStyle w:val="ListParagraph"/>
        <w:numPr>
          <w:ilvl w:val="0"/>
          <w:numId w:val="48"/>
        </w:numPr>
        <w:shd w:val="clear" w:color="auto" w:fill="FFFFFF" w:themeFill="background1"/>
        <w:spacing w:line="259" w:lineRule="auto"/>
        <w:ind w:left="0" w:firstLine="426"/>
        <w:jc w:val="both"/>
        <w:rPr>
          <w:sz w:val="22"/>
          <w:szCs w:val="22"/>
        </w:rPr>
      </w:pPr>
      <w:r w:rsidRPr="002C743D">
        <w:rPr>
          <w:sz w:val="22"/>
          <w:szCs w:val="22"/>
        </w:rPr>
        <w:t xml:space="preserve">Създадена е организация за поддържане на комуникационно осигуряване на МС и неговата администрация, вкл. осъществяване на видеоконферентни връзки; </w:t>
      </w:r>
    </w:p>
    <w:p w14:paraId="26DB2BF8" w14:textId="77777777" w:rsidR="00A4694C" w:rsidRPr="002C743D" w:rsidRDefault="00A4694C" w:rsidP="00A2441B">
      <w:pPr>
        <w:pStyle w:val="ListParagraph"/>
        <w:numPr>
          <w:ilvl w:val="0"/>
          <w:numId w:val="48"/>
        </w:numPr>
        <w:shd w:val="clear" w:color="auto" w:fill="FFFFFF" w:themeFill="background1"/>
        <w:spacing w:line="259" w:lineRule="auto"/>
        <w:ind w:left="0" w:firstLine="426"/>
        <w:jc w:val="both"/>
        <w:rPr>
          <w:sz w:val="22"/>
          <w:szCs w:val="22"/>
        </w:rPr>
      </w:pPr>
      <w:r w:rsidRPr="002C743D">
        <w:rPr>
          <w:sz w:val="22"/>
          <w:szCs w:val="22"/>
        </w:rPr>
        <w:t>Създадена е организация за директно излъчване в интернет на събития, свързани с дейността на МС;</w:t>
      </w:r>
    </w:p>
    <w:p w14:paraId="41327D78" w14:textId="77777777" w:rsidR="00A4694C" w:rsidRPr="002C743D" w:rsidRDefault="00A4694C" w:rsidP="00A2441B">
      <w:pPr>
        <w:pStyle w:val="ListParagraph"/>
        <w:numPr>
          <w:ilvl w:val="0"/>
          <w:numId w:val="48"/>
        </w:numPr>
        <w:shd w:val="clear" w:color="auto" w:fill="FFFFFF" w:themeFill="background1"/>
        <w:spacing w:line="259" w:lineRule="auto"/>
        <w:ind w:left="0" w:firstLine="426"/>
        <w:jc w:val="both"/>
        <w:rPr>
          <w:sz w:val="22"/>
          <w:szCs w:val="22"/>
        </w:rPr>
      </w:pPr>
      <w:r w:rsidRPr="002C743D">
        <w:rPr>
          <w:sz w:val="22"/>
          <w:szCs w:val="22"/>
        </w:rPr>
        <w:t>Поддържана е страницата на правителството в интернет;</w:t>
      </w:r>
    </w:p>
    <w:p w14:paraId="49043D29" w14:textId="77777777" w:rsidR="00A4694C" w:rsidRPr="002C743D" w:rsidRDefault="00A4694C" w:rsidP="00A2441B">
      <w:pPr>
        <w:pStyle w:val="ListParagraph"/>
        <w:numPr>
          <w:ilvl w:val="0"/>
          <w:numId w:val="48"/>
        </w:numPr>
        <w:shd w:val="clear" w:color="auto" w:fill="FFFFFF" w:themeFill="background1"/>
        <w:spacing w:after="120" w:line="259" w:lineRule="auto"/>
        <w:ind w:left="0" w:firstLine="426"/>
        <w:jc w:val="both"/>
        <w:rPr>
          <w:sz w:val="22"/>
          <w:szCs w:val="22"/>
        </w:rPr>
      </w:pPr>
      <w:r w:rsidRPr="002C743D">
        <w:rPr>
          <w:sz w:val="22"/>
          <w:szCs w:val="22"/>
        </w:rPr>
        <w:t>Изготвяни са проекти на поздравителни и съболезнователни адреси и на официална кореспонденция.</w:t>
      </w:r>
    </w:p>
    <w:p w14:paraId="53A32221" w14:textId="77777777" w:rsidR="0000422E" w:rsidRPr="0000422E" w:rsidRDefault="0000422E" w:rsidP="00BC1C7A">
      <w:pPr>
        <w:pStyle w:val="ListParagraph"/>
        <w:widowControl w:val="0"/>
        <w:numPr>
          <w:ilvl w:val="0"/>
          <w:numId w:val="69"/>
        </w:numPr>
        <w:shd w:val="clear" w:color="auto" w:fill="FFFFFF" w:themeFill="background1"/>
        <w:tabs>
          <w:tab w:val="num" w:pos="426"/>
        </w:tabs>
        <w:ind w:left="426" w:firstLine="0"/>
        <w:jc w:val="both"/>
        <w:outlineLvl w:val="3"/>
        <w:rPr>
          <w:b/>
          <w:bCs/>
          <w:i/>
          <w:color w:val="215E99" w:themeColor="text2" w:themeTint="BF"/>
          <w:sz w:val="22"/>
          <w:szCs w:val="22"/>
          <w:lang w:eastAsia="en-US"/>
        </w:rPr>
      </w:pPr>
      <w:r w:rsidRPr="0000422E">
        <w:rPr>
          <w:b/>
          <w:bCs/>
          <w:i/>
          <w:color w:val="215E99" w:themeColor="text2" w:themeTint="BF"/>
          <w:sz w:val="22"/>
          <w:szCs w:val="22"/>
          <w:lang w:eastAsia="en-US"/>
        </w:rPr>
        <w:t>Организация на заседания на МС</w:t>
      </w:r>
    </w:p>
    <w:p w14:paraId="34613843" w14:textId="77777777" w:rsidR="0000422E" w:rsidRPr="00667B09" w:rsidRDefault="0000422E" w:rsidP="00593BB8">
      <w:pPr>
        <w:shd w:val="clear" w:color="auto" w:fill="FFFFFF" w:themeFill="background1"/>
        <w:ind w:firstLine="425"/>
        <w:jc w:val="both"/>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45CB7D8C" w14:textId="5FAC1375" w:rsidR="00F771B3" w:rsidRPr="00F771B3" w:rsidRDefault="00F771B3" w:rsidP="00A2441B">
      <w:pPr>
        <w:shd w:val="clear" w:color="auto" w:fill="FFFFFF" w:themeFill="background1"/>
        <w:spacing w:line="259" w:lineRule="auto"/>
        <w:ind w:firstLine="360"/>
        <w:jc w:val="both"/>
        <w:rPr>
          <w:sz w:val="22"/>
          <w:szCs w:val="22"/>
        </w:rPr>
      </w:pPr>
      <w:r w:rsidRPr="00F771B3">
        <w:rPr>
          <w:sz w:val="22"/>
          <w:szCs w:val="22"/>
        </w:rPr>
        <w:t>За отчетния период 01.01.2025 г. – 30.06.2025 г. са подготвени 26 заседания на Министерския съвет. Във връзка с това служителите от дирекция „Правителствена канцелария“ са извършили следните дейности:</w:t>
      </w:r>
    </w:p>
    <w:p w14:paraId="48F496CF" w14:textId="77AD697B" w:rsidR="00F771B3" w:rsidRPr="00F771B3" w:rsidRDefault="00F771B3" w:rsidP="00A2441B">
      <w:pPr>
        <w:shd w:val="clear" w:color="auto" w:fill="FFFFFF" w:themeFill="background1"/>
        <w:spacing w:line="259" w:lineRule="auto"/>
        <w:ind w:firstLine="360"/>
        <w:jc w:val="both"/>
        <w:rPr>
          <w:sz w:val="22"/>
          <w:szCs w:val="22"/>
        </w:rPr>
      </w:pPr>
      <w:r w:rsidRPr="00F771B3">
        <w:rPr>
          <w:sz w:val="22"/>
          <w:szCs w:val="22"/>
        </w:rPr>
        <w:t>Оторизирани служители от отдел „Деловодство, архив и техническо осигуряване“ на дирекцията са регистрирали в Автоматизираната информационна система на Министерския съвет (АИСМС) 767 броя материали, постъпили за разглеждане от Министерския съвет. Предвид приетото Постановление № 15 на Министерския съвет от 05.03.2025г., съгласно което въпросите за разглеждане от Министерския съвет се внасят по електронен път с придружително писмо, подписано от съответния главен секретар, след 14.03.2025</w:t>
      </w:r>
      <w:r w:rsidR="005C34A9">
        <w:rPr>
          <w:sz w:val="22"/>
          <w:szCs w:val="22"/>
        </w:rPr>
        <w:t xml:space="preserve"> </w:t>
      </w:r>
      <w:r w:rsidRPr="00F771B3">
        <w:rPr>
          <w:sz w:val="22"/>
          <w:szCs w:val="22"/>
        </w:rPr>
        <w:t xml:space="preserve">г. служители на отдела са извършили първоначален преглед на всеки документ, съдържащ се във всяка преписка по повод предоставянето му в необходимата форма и в частност представлява ли годен за последващо процедиране документ. </w:t>
      </w:r>
    </w:p>
    <w:p w14:paraId="6A4A5C10" w14:textId="77777777" w:rsidR="00F771B3" w:rsidRPr="00F771B3" w:rsidRDefault="00F771B3" w:rsidP="00A2441B">
      <w:pPr>
        <w:shd w:val="clear" w:color="auto" w:fill="FFFFFF" w:themeFill="background1"/>
        <w:spacing w:line="259" w:lineRule="auto"/>
        <w:ind w:firstLine="360"/>
        <w:jc w:val="both"/>
        <w:rPr>
          <w:sz w:val="22"/>
          <w:szCs w:val="22"/>
        </w:rPr>
      </w:pPr>
      <w:r w:rsidRPr="00F771B3">
        <w:rPr>
          <w:sz w:val="22"/>
          <w:szCs w:val="22"/>
        </w:rPr>
        <w:lastRenderedPageBreak/>
        <w:t>Оторизирани със заповед на главния секретар на Министерския съвет служители са заверили всеки лист от съдържащото се в 718 бр. преписки, с цел надлежно оформяне на архивно досие на акта. Така оформените преписки са предоставяни на дирекция „Правна“ (както и други специализирани дирекции в администрацията на Министерския съвет) с оглед изразяването на становище относно възможността за включването им в дневния ред на заседанията на Министерския съвет.</w:t>
      </w:r>
    </w:p>
    <w:p w14:paraId="41BABBFC" w14:textId="77777777" w:rsidR="00F771B3" w:rsidRPr="00F771B3" w:rsidRDefault="00F771B3" w:rsidP="00A2441B">
      <w:pPr>
        <w:shd w:val="clear" w:color="auto" w:fill="FFFFFF" w:themeFill="background1"/>
        <w:spacing w:line="259" w:lineRule="auto"/>
        <w:ind w:firstLine="360"/>
        <w:jc w:val="both"/>
        <w:rPr>
          <w:sz w:val="22"/>
          <w:szCs w:val="22"/>
        </w:rPr>
      </w:pPr>
      <w:r w:rsidRPr="00F771B3">
        <w:rPr>
          <w:sz w:val="22"/>
          <w:szCs w:val="22"/>
        </w:rPr>
        <w:t>Служители от отдела са извършили вторичен преглед на 718 бр. постъпили преписки и в частност относно пълнота и съответствие с изискванията на УПМСНА, както и дали надлежно са комплектувани с оглед опазването и съхраняването на преписките и архивните дела.</w:t>
      </w:r>
    </w:p>
    <w:p w14:paraId="33CA9B26" w14:textId="083D6C88" w:rsidR="00F771B3" w:rsidRPr="00F771B3" w:rsidRDefault="00F771B3" w:rsidP="00A2441B">
      <w:pPr>
        <w:shd w:val="clear" w:color="auto" w:fill="FFFFFF" w:themeFill="background1"/>
        <w:spacing w:line="259" w:lineRule="auto"/>
        <w:ind w:firstLine="360"/>
        <w:jc w:val="both"/>
        <w:rPr>
          <w:sz w:val="22"/>
          <w:szCs w:val="22"/>
        </w:rPr>
      </w:pPr>
      <w:r w:rsidRPr="00F771B3">
        <w:rPr>
          <w:sz w:val="22"/>
          <w:szCs w:val="22"/>
        </w:rPr>
        <w:t>Извършен е преглед и редакционна обработка на 109 постановления, 433 решения, 2 разпореждания, 186 протоколни извлечения, като спрямо същия брой актове е проследено надлежното отразяване в хипотеза на наличие на бележки и допълнения и както и е извършена компютърна текстообработка на същия брой актове.</w:t>
      </w:r>
    </w:p>
    <w:p w14:paraId="7EAECA28" w14:textId="77777777" w:rsidR="00F771B3" w:rsidRPr="00F771B3" w:rsidRDefault="00F771B3" w:rsidP="00A2441B">
      <w:pPr>
        <w:shd w:val="clear" w:color="auto" w:fill="FFFFFF" w:themeFill="background1"/>
        <w:spacing w:line="259" w:lineRule="auto"/>
        <w:ind w:firstLine="360"/>
        <w:jc w:val="both"/>
        <w:rPr>
          <w:sz w:val="22"/>
          <w:szCs w:val="22"/>
        </w:rPr>
      </w:pPr>
      <w:r w:rsidRPr="00F771B3">
        <w:rPr>
          <w:sz w:val="22"/>
          <w:szCs w:val="22"/>
        </w:rPr>
        <w:t xml:space="preserve">Подготвени са 26 проекта на дневен ред и 26 протокола от заседанията, както и технически и логистично е било обезпечено провеждането на заседанията. Служители на дирекцията са подготвили стенографски запис от същите заседания, като в допълнение на това са направили 18 стенографски записа от закрити заседания на правителството, 12 паметни записки от оперативни съвещания на МС и са изготвили 46 стенографски записа от проведени срещи, заседания и работни съвещания на комисии, съвети и работни групи. </w:t>
      </w:r>
    </w:p>
    <w:p w14:paraId="03FDE6F3" w14:textId="128E5A11" w:rsidR="00154EBC" w:rsidRPr="00154EBC" w:rsidRDefault="00F771B3" w:rsidP="00593BB8">
      <w:pPr>
        <w:shd w:val="clear" w:color="auto" w:fill="FFFFFF" w:themeFill="background1"/>
        <w:spacing w:after="120" w:line="259" w:lineRule="auto"/>
        <w:ind w:firstLine="360"/>
        <w:jc w:val="both"/>
        <w:rPr>
          <w:sz w:val="22"/>
          <w:szCs w:val="22"/>
        </w:rPr>
      </w:pPr>
      <w:r w:rsidRPr="00F771B3">
        <w:rPr>
          <w:sz w:val="22"/>
          <w:szCs w:val="22"/>
        </w:rPr>
        <w:t>Всички включени за разглеждане материали са обработени и сканирани с оглед инкорпорирането им в електронната система на заседанията на Министерския съвет. Материалите по отделните точки са обособени в досиета, отговарящи на съответния вид и номер на приетия акт. Извършено е регистриране, оформяне на преписи и изпращане до съответните адресати за изпълнение.</w:t>
      </w:r>
    </w:p>
    <w:p w14:paraId="6C4B66A0" w14:textId="77777777" w:rsidR="005C34A9" w:rsidRPr="005C34A9" w:rsidRDefault="005C34A9" w:rsidP="00BC1C7A">
      <w:pPr>
        <w:pStyle w:val="ListParagraph"/>
        <w:widowControl w:val="0"/>
        <w:numPr>
          <w:ilvl w:val="0"/>
          <w:numId w:val="69"/>
        </w:numPr>
        <w:shd w:val="clear" w:color="auto" w:fill="FFFFFF" w:themeFill="background1"/>
        <w:tabs>
          <w:tab w:val="num" w:pos="426"/>
        </w:tabs>
        <w:ind w:left="426" w:firstLine="0"/>
        <w:jc w:val="both"/>
        <w:outlineLvl w:val="3"/>
        <w:rPr>
          <w:b/>
          <w:bCs/>
          <w:i/>
          <w:color w:val="215E99" w:themeColor="text2" w:themeTint="BF"/>
          <w:sz w:val="22"/>
          <w:szCs w:val="22"/>
          <w:lang w:eastAsia="en-US"/>
        </w:rPr>
      </w:pPr>
      <w:r w:rsidRPr="005C34A9">
        <w:rPr>
          <w:b/>
          <w:bCs/>
          <w:i/>
          <w:color w:val="215E99" w:themeColor="text2" w:themeTint="BF"/>
          <w:sz w:val="22"/>
          <w:szCs w:val="22"/>
          <w:lang w:eastAsia="en-US"/>
        </w:rPr>
        <w:t xml:space="preserve">Контрол по изпълнението на актовете и договорите </w:t>
      </w:r>
    </w:p>
    <w:p w14:paraId="74BEE50F" w14:textId="72051CE0" w:rsidR="00154EBC" w:rsidRPr="005C34A9" w:rsidRDefault="005C34A9" w:rsidP="00593BB8">
      <w:pPr>
        <w:shd w:val="clear" w:color="auto" w:fill="FFFFFF" w:themeFill="background1"/>
        <w:ind w:firstLine="426"/>
        <w:jc w:val="both"/>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31C466F7" w14:textId="77777777" w:rsidR="00C362DE" w:rsidRPr="00C362DE" w:rsidRDefault="00C362DE" w:rsidP="00593BB8">
      <w:pPr>
        <w:shd w:val="clear" w:color="auto" w:fill="FFFFFF" w:themeFill="background1"/>
        <w:spacing w:line="259" w:lineRule="auto"/>
        <w:ind w:firstLine="426"/>
        <w:jc w:val="both"/>
        <w:rPr>
          <w:sz w:val="22"/>
          <w:szCs w:val="22"/>
        </w:rPr>
      </w:pPr>
      <w:r w:rsidRPr="00C362DE">
        <w:rPr>
          <w:sz w:val="22"/>
          <w:szCs w:val="22"/>
        </w:rPr>
        <w:t xml:space="preserve">Отдел „Контрол по изпълнението на актовете и договорите” е на пряко подчинение на главния секретар на Министерския съвет. Числеността на отдела е 5 души, в т. ч. началник на отдел. </w:t>
      </w:r>
    </w:p>
    <w:p w14:paraId="56AED311" w14:textId="77777777" w:rsidR="00C362DE" w:rsidRPr="00E7009B" w:rsidRDefault="00C362DE" w:rsidP="00593BB8">
      <w:pPr>
        <w:shd w:val="clear" w:color="auto" w:fill="FFFFFF" w:themeFill="background1"/>
        <w:spacing w:line="259" w:lineRule="auto"/>
        <w:ind w:left="360"/>
        <w:jc w:val="both"/>
        <w:rPr>
          <w:i/>
          <w:iCs/>
          <w:sz w:val="22"/>
          <w:szCs w:val="22"/>
        </w:rPr>
      </w:pPr>
      <w:r w:rsidRPr="00E7009B">
        <w:rPr>
          <w:i/>
          <w:iCs/>
          <w:sz w:val="22"/>
          <w:szCs w:val="22"/>
        </w:rPr>
        <w:t>Резултатите на структурното звено за периода от 01.01.2025 г. до 30.06.2025 г. са:</w:t>
      </w:r>
    </w:p>
    <w:p w14:paraId="0BE41C01" w14:textId="6876FF14" w:rsidR="00C362DE" w:rsidRPr="00C362DE" w:rsidRDefault="00C362DE" w:rsidP="00593BB8">
      <w:pPr>
        <w:pStyle w:val="ListParagraph"/>
        <w:numPr>
          <w:ilvl w:val="0"/>
          <w:numId w:val="48"/>
        </w:numPr>
        <w:shd w:val="clear" w:color="auto" w:fill="FFFFFF" w:themeFill="background1"/>
        <w:spacing w:line="259" w:lineRule="auto"/>
        <w:ind w:left="709" w:hanging="283"/>
        <w:jc w:val="both"/>
        <w:rPr>
          <w:sz w:val="22"/>
          <w:szCs w:val="22"/>
        </w:rPr>
      </w:pPr>
      <w:r w:rsidRPr="00C362DE">
        <w:rPr>
          <w:sz w:val="22"/>
          <w:szCs w:val="22"/>
        </w:rPr>
        <w:t>Осъществяване на текущ и последващ контрол на изпълнението и отчитането на договорите</w:t>
      </w:r>
      <w:r w:rsidR="00E7009B">
        <w:rPr>
          <w:sz w:val="22"/>
          <w:szCs w:val="22"/>
          <w:lang w:val="bg-BG"/>
        </w:rPr>
        <w:t>;</w:t>
      </w:r>
    </w:p>
    <w:p w14:paraId="49130A42" w14:textId="28CE9A1A" w:rsidR="00C362DE" w:rsidRPr="00C362DE" w:rsidRDefault="00C362DE" w:rsidP="00593BB8">
      <w:pPr>
        <w:pStyle w:val="ListParagraph"/>
        <w:numPr>
          <w:ilvl w:val="0"/>
          <w:numId w:val="48"/>
        </w:numPr>
        <w:shd w:val="clear" w:color="auto" w:fill="FFFFFF" w:themeFill="background1"/>
        <w:spacing w:line="259" w:lineRule="auto"/>
        <w:ind w:left="0" w:firstLine="426"/>
        <w:jc w:val="both"/>
        <w:rPr>
          <w:sz w:val="22"/>
          <w:szCs w:val="22"/>
        </w:rPr>
      </w:pPr>
      <w:r w:rsidRPr="00C362DE">
        <w:rPr>
          <w:sz w:val="22"/>
          <w:szCs w:val="22"/>
        </w:rPr>
        <w:t>Съставяне на доклади за резултатите от извършената контролна дейност до главния секретар</w:t>
      </w:r>
      <w:r w:rsidR="00E7009B">
        <w:rPr>
          <w:sz w:val="22"/>
          <w:szCs w:val="22"/>
          <w:lang w:val="bg-BG"/>
        </w:rPr>
        <w:t>;</w:t>
      </w:r>
    </w:p>
    <w:p w14:paraId="7A7D7325" w14:textId="496783B4" w:rsidR="00C362DE" w:rsidRPr="00C362DE" w:rsidRDefault="00C362DE" w:rsidP="00593BB8">
      <w:pPr>
        <w:pStyle w:val="ListParagraph"/>
        <w:numPr>
          <w:ilvl w:val="0"/>
          <w:numId w:val="48"/>
        </w:numPr>
        <w:shd w:val="clear" w:color="auto" w:fill="FFFFFF" w:themeFill="background1"/>
        <w:spacing w:line="259" w:lineRule="auto"/>
        <w:ind w:left="0" w:firstLine="426"/>
        <w:jc w:val="both"/>
        <w:rPr>
          <w:sz w:val="22"/>
          <w:szCs w:val="22"/>
        </w:rPr>
      </w:pPr>
      <w:r w:rsidRPr="00C362DE">
        <w:rPr>
          <w:sz w:val="22"/>
          <w:szCs w:val="22"/>
        </w:rPr>
        <w:t>Идентифициране на потенциални рискови фактори и най-често допускани грешки в процеса на изпълнението и отчитането на договорите</w:t>
      </w:r>
      <w:r w:rsidR="00E7009B" w:rsidRPr="00897EF5">
        <w:rPr>
          <w:sz w:val="22"/>
          <w:szCs w:val="22"/>
        </w:rPr>
        <w:t>;</w:t>
      </w:r>
    </w:p>
    <w:p w14:paraId="39B7453B" w14:textId="2E2394EE" w:rsidR="00C362DE" w:rsidRPr="00C362DE" w:rsidRDefault="00C362DE" w:rsidP="00593BB8">
      <w:pPr>
        <w:pStyle w:val="ListParagraph"/>
        <w:numPr>
          <w:ilvl w:val="0"/>
          <w:numId w:val="48"/>
        </w:numPr>
        <w:shd w:val="clear" w:color="auto" w:fill="FFFFFF" w:themeFill="background1"/>
        <w:spacing w:line="259" w:lineRule="auto"/>
        <w:ind w:left="0" w:firstLine="426"/>
        <w:jc w:val="both"/>
        <w:rPr>
          <w:sz w:val="22"/>
          <w:szCs w:val="22"/>
        </w:rPr>
      </w:pPr>
      <w:r w:rsidRPr="00C362DE">
        <w:rPr>
          <w:sz w:val="22"/>
          <w:szCs w:val="22"/>
        </w:rPr>
        <w:t>При промяна на условията на вече сключени договори извършване на проверка на причините наложили тези изменения</w:t>
      </w:r>
      <w:r w:rsidR="00E7009B" w:rsidRPr="00897EF5">
        <w:rPr>
          <w:sz w:val="22"/>
          <w:szCs w:val="22"/>
        </w:rPr>
        <w:t>;</w:t>
      </w:r>
    </w:p>
    <w:p w14:paraId="46E7CCC3" w14:textId="59977BE2" w:rsidR="00C362DE" w:rsidRPr="00C362DE" w:rsidRDefault="00C362DE" w:rsidP="00593BB8">
      <w:pPr>
        <w:pStyle w:val="ListParagraph"/>
        <w:numPr>
          <w:ilvl w:val="0"/>
          <w:numId w:val="48"/>
        </w:numPr>
        <w:shd w:val="clear" w:color="auto" w:fill="FFFFFF" w:themeFill="background1"/>
        <w:spacing w:line="259" w:lineRule="auto"/>
        <w:ind w:left="0" w:firstLine="426"/>
        <w:jc w:val="both"/>
        <w:rPr>
          <w:sz w:val="22"/>
          <w:szCs w:val="22"/>
        </w:rPr>
      </w:pPr>
      <w:r w:rsidRPr="00C362DE">
        <w:rPr>
          <w:sz w:val="22"/>
          <w:szCs w:val="22"/>
        </w:rPr>
        <w:t>При установено отклонение от изпълнението или при неизпълнение на договорите, анализ на причините за неизпълнението и предложения до главния секретар мерки за тяхното отстраняване, включително проследяване на изпълнението на предписаните мерки и препоръки</w:t>
      </w:r>
      <w:r w:rsidR="00C2235D" w:rsidRPr="00897EF5">
        <w:rPr>
          <w:sz w:val="22"/>
          <w:szCs w:val="22"/>
        </w:rPr>
        <w:t>;</w:t>
      </w:r>
    </w:p>
    <w:p w14:paraId="45A736FF" w14:textId="5D28FC30" w:rsidR="00C362DE" w:rsidRPr="00C362DE" w:rsidRDefault="00C362DE" w:rsidP="00593BB8">
      <w:pPr>
        <w:pStyle w:val="ListParagraph"/>
        <w:numPr>
          <w:ilvl w:val="0"/>
          <w:numId w:val="48"/>
        </w:numPr>
        <w:shd w:val="clear" w:color="auto" w:fill="FFFFFF" w:themeFill="background1"/>
        <w:spacing w:line="259" w:lineRule="auto"/>
        <w:ind w:left="0" w:firstLine="426"/>
        <w:jc w:val="both"/>
        <w:rPr>
          <w:sz w:val="22"/>
          <w:szCs w:val="22"/>
        </w:rPr>
      </w:pPr>
      <w:r w:rsidRPr="00C362DE">
        <w:rPr>
          <w:sz w:val="22"/>
          <w:szCs w:val="22"/>
        </w:rPr>
        <w:t>Въз основа на анализите, изготвяне на предложения до главния секретар за извършване на промени или разработване на нови административни правила с цел създаване на добри практики при изпълнението и отчитането на сключените договори.</w:t>
      </w:r>
    </w:p>
    <w:p w14:paraId="3AF5AC87" w14:textId="77777777" w:rsidR="00C362DE" w:rsidRPr="00C362DE" w:rsidRDefault="00C362DE" w:rsidP="00593BB8">
      <w:pPr>
        <w:shd w:val="clear" w:color="auto" w:fill="FFFFFF" w:themeFill="background1"/>
        <w:spacing w:line="259" w:lineRule="auto"/>
        <w:ind w:firstLine="426"/>
        <w:jc w:val="both"/>
        <w:rPr>
          <w:sz w:val="22"/>
          <w:szCs w:val="22"/>
        </w:rPr>
      </w:pPr>
      <w:r w:rsidRPr="00C362DE">
        <w:rPr>
          <w:sz w:val="22"/>
          <w:szCs w:val="22"/>
        </w:rPr>
        <w:t>В цифрово изражение гореописаните дейности се свеждат до следното:</w:t>
      </w:r>
    </w:p>
    <w:p w14:paraId="7DE8935A" w14:textId="0A49BC93" w:rsidR="00C362DE" w:rsidRDefault="00C362DE" w:rsidP="00593BB8">
      <w:pPr>
        <w:shd w:val="clear" w:color="auto" w:fill="FFFFFF" w:themeFill="background1"/>
        <w:tabs>
          <w:tab w:val="left" w:pos="709"/>
        </w:tabs>
        <w:spacing w:line="259" w:lineRule="auto"/>
        <w:ind w:left="360" w:firstLine="66"/>
        <w:jc w:val="both"/>
        <w:rPr>
          <w:sz w:val="22"/>
          <w:szCs w:val="22"/>
        </w:rPr>
      </w:pPr>
      <w:r w:rsidRPr="00C362DE">
        <w:rPr>
          <w:sz w:val="22"/>
          <w:szCs w:val="22"/>
        </w:rPr>
        <w:t>-</w:t>
      </w:r>
      <w:r w:rsidRPr="00C362DE">
        <w:rPr>
          <w:sz w:val="22"/>
          <w:szCs w:val="22"/>
        </w:rPr>
        <w:tab/>
        <w:t>Изготвени становища по текущи проверки</w:t>
      </w:r>
      <w:r w:rsidR="00B20308">
        <w:rPr>
          <w:sz w:val="22"/>
          <w:szCs w:val="22"/>
        </w:rPr>
        <w:t xml:space="preserve"> – </w:t>
      </w:r>
      <w:r w:rsidRPr="00C362DE">
        <w:rPr>
          <w:sz w:val="22"/>
          <w:szCs w:val="22"/>
        </w:rPr>
        <w:t>483 бр.</w:t>
      </w:r>
    </w:p>
    <w:p w14:paraId="5E69DB81" w14:textId="66B4C635" w:rsidR="00C362DE" w:rsidRPr="00C362DE" w:rsidRDefault="00C362DE" w:rsidP="00593BB8">
      <w:pPr>
        <w:shd w:val="clear" w:color="auto" w:fill="FFFFFF" w:themeFill="background1"/>
        <w:tabs>
          <w:tab w:val="left" w:pos="709"/>
        </w:tabs>
        <w:spacing w:line="259" w:lineRule="auto"/>
        <w:ind w:left="360" w:firstLine="66"/>
        <w:jc w:val="both"/>
        <w:rPr>
          <w:sz w:val="22"/>
          <w:szCs w:val="22"/>
        </w:rPr>
      </w:pPr>
      <w:r w:rsidRPr="00C362DE">
        <w:rPr>
          <w:sz w:val="22"/>
          <w:szCs w:val="22"/>
        </w:rPr>
        <w:t>-</w:t>
      </w:r>
      <w:r w:rsidRPr="00C362DE">
        <w:rPr>
          <w:sz w:val="22"/>
          <w:szCs w:val="22"/>
        </w:rPr>
        <w:tab/>
        <w:t>Изготвени доклади по извършени планови проверки</w:t>
      </w:r>
      <w:r w:rsidR="008E5A08">
        <w:rPr>
          <w:sz w:val="22"/>
          <w:szCs w:val="22"/>
        </w:rPr>
        <w:t xml:space="preserve"> – </w:t>
      </w:r>
      <w:r w:rsidRPr="00C362DE">
        <w:rPr>
          <w:sz w:val="22"/>
          <w:szCs w:val="22"/>
        </w:rPr>
        <w:t>18 бр.</w:t>
      </w:r>
    </w:p>
    <w:p w14:paraId="26335178" w14:textId="6962DDCF" w:rsidR="00154EBC" w:rsidRPr="00154EBC" w:rsidRDefault="00C362DE" w:rsidP="00593BB8">
      <w:pPr>
        <w:shd w:val="clear" w:color="auto" w:fill="FFFFFF" w:themeFill="background1"/>
        <w:spacing w:after="120" w:line="259" w:lineRule="auto"/>
        <w:ind w:firstLine="426"/>
        <w:jc w:val="both"/>
        <w:rPr>
          <w:sz w:val="22"/>
          <w:szCs w:val="22"/>
        </w:rPr>
      </w:pPr>
      <w:r w:rsidRPr="00C362DE">
        <w:rPr>
          <w:sz w:val="22"/>
          <w:szCs w:val="22"/>
        </w:rPr>
        <w:t xml:space="preserve">Дейността на отдела през периода 01.01.2025 г. </w:t>
      </w:r>
      <w:r w:rsidR="008E5A08">
        <w:rPr>
          <w:sz w:val="22"/>
          <w:szCs w:val="22"/>
        </w:rPr>
        <w:t>–</w:t>
      </w:r>
      <w:r w:rsidRPr="00C362DE">
        <w:rPr>
          <w:sz w:val="22"/>
          <w:szCs w:val="22"/>
        </w:rPr>
        <w:t xml:space="preserve"> 30.06.2025 г. е довела до осигуряване на законосъобразност и добра практика на отчетност по изпълнението на договорите, по които са извършени проверки или са изразени становища по тяхното изпълнение.</w:t>
      </w:r>
    </w:p>
    <w:p w14:paraId="7CC4EE5C" w14:textId="4ACD70F5" w:rsidR="00A44DEA" w:rsidRPr="00593BB8" w:rsidRDefault="00355A72" w:rsidP="009B4B42">
      <w:pPr>
        <w:widowControl w:val="0"/>
        <w:shd w:val="clear" w:color="auto" w:fill="FFFFFF" w:themeFill="background1"/>
        <w:tabs>
          <w:tab w:val="num" w:pos="426"/>
        </w:tabs>
        <w:ind w:firstLine="425"/>
        <w:jc w:val="both"/>
        <w:outlineLvl w:val="3"/>
        <w:rPr>
          <w:b/>
          <w:bCs/>
          <w:color w:val="215E99" w:themeColor="text2" w:themeTint="BF"/>
          <w:sz w:val="22"/>
          <w:szCs w:val="22"/>
          <w:lang w:eastAsia="en-US"/>
        </w:rPr>
      </w:pPr>
      <w:r w:rsidRPr="00593BB8">
        <w:rPr>
          <w:b/>
          <w:bCs/>
          <w:color w:val="215E99" w:themeColor="text2" w:themeTint="BF"/>
          <w:sz w:val="22"/>
          <w:szCs w:val="22"/>
          <w:lang w:eastAsia="en-US"/>
        </w:rPr>
        <w:lastRenderedPageBreak/>
        <w:t xml:space="preserve">Отчет на разходите по </w:t>
      </w:r>
      <w:r w:rsidR="001F0434" w:rsidRPr="00593BB8">
        <w:rPr>
          <w:b/>
          <w:bCs/>
          <w:color w:val="215E99" w:themeColor="text2" w:themeTint="BF"/>
          <w:sz w:val="22"/>
          <w:szCs w:val="22"/>
          <w:lang w:eastAsia="en-US"/>
        </w:rPr>
        <w:t xml:space="preserve">бюджетната </w:t>
      </w:r>
      <w:r w:rsidRPr="00593BB8">
        <w:rPr>
          <w:b/>
          <w:bCs/>
          <w:color w:val="215E99" w:themeColor="text2" w:themeTint="BF"/>
          <w:sz w:val="22"/>
          <w:szCs w:val="22"/>
          <w:lang w:eastAsia="en-US"/>
        </w:rPr>
        <w:t xml:space="preserve">програма с разпределение </w:t>
      </w:r>
      <w:r w:rsidR="001F0434" w:rsidRPr="00593BB8">
        <w:rPr>
          <w:b/>
          <w:bCs/>
          <w:color w:val="215E99" w:themeColor="text2" w:themeTint="BF"/>
          <w:sz w:val="22"/>
          <w:szCs w:val="22"/>
          <w:lang w:eastAsia="en-US"/>
        </w:rPr>
        <w:t>по</w:t>
      </w:r>
      <w:r w:rsidRPr="00593BB8">
        <w:rPr>
          <w:b/>
          <w:bCs/>
          <w:color w:val="215E99" w:themeColor="text2" w:themeTint="BF"/>
          <w:sz w:val="22"/>
          <w:szCs w:val="22"/>
          <w:lang w:eastAsia="en-US"/>
        </w:rPr>
        <w:t xml:space="preserve"> ведомствени и администрирани разходи</w:t>
      </w:r>
    </w:p>
    <w:p w14:paraId="4F45F19A" w14:textId="77777777" w:rsidR="0056424C" w:rsidRPr="00DB20FC" w:rsidRDefault="0018076D" w:rsidP="00593BB8">
      <w:pPr>
        <w:shd w:val="clear" w:color="auto" w:fill="FFFFFF" w:themeFill="background1"/>
        <w:tabs>
          <w:tab w:val="num" w:pos="780"/>
          <w:tab w:val="num" w:pos="1092"/>
          <w:tab w:val="num" w:pos="2080"/>
        </w:tabs>
        <w:jc w:val="right"/>
        <w:rPr>
          <w:i/>
          <w:iCs/>
          <w:sz w:val="20"/>
          <w:szCs w:val="20"/>
        </w:rPr>
      </w:pPr>
      <w:r w:rsidRPr="00DB20FC">
        <w:rPr>
          <w:b/>
          <w:i/>
          <w:iCs/>
          <w:sz w:val="20"/>
          <w:szCs w:val="20"/>
        </w:rPr>
        <w:t>Приложение № 7</w:t>
      </w:r>
      <w:r w:rsidRPr="00DB20FC">
        <w:rPr>
          <w:i/>
          <w:iCs/>
          <w:sz w:val="20"/>
          <w:szCs w:val="20"/>
        </w:rPr>
        <w:t xml:space="preserve"> </w:t>
      </w:r>
    </w:p>
    <w:p w14:paraId="15FE4030" w14:textId="4C6876F9" w:rsidR="00447DE1" w:rsidRPr="00DB20FC" w:rsidRDefault="0018076D" w:rsidP="00593BB8">
      <w:pPr>
        <w:shd w:val="clear" w:color="auto" w:fill="FFFFFF" w:themeFill="background1"/>
        <w:tabs>
          <w:tab w:val="num" w:pos="780"/>
          <w:tab w:val="num" w:pos="1092"/>
          <w:tab w:val="num" w:pos="2080"/>
        </w:tabs>
        <w:jc w:val="both"/>
        <w:rPr>
          <w:i/>
          <w:iCs/>
          <w:sz w:val="20"/>
          <w:szCs w:val="20"/>
        </w:rPr>
      </w:pPr>
      <w:r w:rsidRPr="00DB20FC">
        <w:rPr>
          <w:i/>
          <w:iCs/>
          <w:sz w:val="20"/>
          <w:szCs w:val="20"/>
        </w:rPr>
        <w:t>Отчет на разходите по бюджетните програми с разпределение по ведомствени и администрирани разходи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7"/>
        <w:gridCol w:w="6356"/>
        <w:gridCol w:w="933"/>
        <w:gridCol w:w="860"/>
        <w:gridCol w:w="810"/>
      </w:tblGrid>
      <w:tr w:rsidR="00DE711B" w14:paraId="31A8D5EE" w14:textId="77777777" w:rsidTr="008E15BC">
        <w:trPr>
          <w:trHeight w:val="312"/>
          <w:jc w:val="center"/>
        </w:trPr>
        <w:tc>
          <w:tcPr>
            <w:tcW w:w="222" w:type="pct"/>
            <w:vMerge w:val="restart"/>
            <w:shd w:val="clear" w:color="000000" w:fill="E6E6E6"/>
            <w:noWrap/>
            <w:vAlign w:val="center"/>
            <w:hideMark/>
          </w:tcPr>
          <w:p w14:paraId="661E6B6A" w14:textId="77777777" w:rsidR="00DE711B" w:rsidRDefault="00DE711B">
            <w:pPr>
              <w:jc w:val="center"/>
              <w:rPr>
                <w:b/>
                <w:bCs/>
                <w:sz w:val="16"/>
                <w:szCs w:val="16"/>
              </w:rPr>
            </w:pPr>
            <w:r>
              <w:rPr>
                <w:b/>
                <w:bCs/>
                <w:sz w:val="16"/>
                <w:szCs w:val="16"/>
              </w:rPr>
              <w:t>№</w:t>
            </w:r>
          </w:p>
        </w:tc>
        <w:tc>
          <w:tcPr>
            <w:tcW w:w="3363" w:type="pct"/>
            <w:shd w:val="clear" w:color="000000" w:fill="E6E6E6"/>
            <w:noWrap/>
            <w:vAlign w:val="center"/>
            <w:hideMark/>
          </w:tcPr>
          <w:p w14:paraId="380BAEC1" w14:textId="77777777" w:rsidR="00DE711B" w:rsidRDefault="00DE711B">
            <w:pPr>
              <w:jc w:val="center"/>
              <w:rPr>
                <w:b/>
                <w:bCs/>
                <w:sz w:val="16"/>
                <w:szCs w:val="16"/>
              </w:rPr>
            </w:pPr>
            <w:r>
              <w:rPr>
                <w:b/>
                <w:bCs/>
                <w:sz w:val="16"/>
                <w:szCs w:val="16"/>
              </w:rPr>
              <w:t>0300.01.01 'Бюджетна програма „Министерски съвет и организация на дейността му”</w:t>
            </w:r>
          </w:p>
        </w:tc>
        <w:tc>
          <w:tcPr>
            <w:tcW w:w="514" w:type="pct"/>
            <w:vMerge w:val="restart"/>
            <w:shd w:val="clear" w:color="000000" w:fill="E6E6E6"/>
            <w:vAlign w:val="center"/>
            <w:hideMark/>
          </w:tcPr>
          <w:p w14:paraId="333BF582" w14:textId="77777777" w:rsidR="00DE711B" w:rsidRDefault="00DE711B">
            <w:pPr>
              <w:jc w:val="center"/>
              <w:rPr>
                <w:b/>
                <w:bCs/>
                <w:sz w:val="16"/>
                <w:szCs w:val="16"/>
              </w:rPr>
            </w:pPr>
            <w:r>
              <w:rPr>
                <w:b/>
                <w:bCs/>
                <w:sz w:val="16"/>
                <w:szCs w:val="16"/>
              </w:rPr>
              <w:t>Закон</w:t>
            </w:r>
          </w:p>
        </w:tc>
        <w:tc>
          <w:tcPr>
            <w:tcW w:w="453" w:type="pct"/>
            <w:vMerge w:val="restart"/>
            <w:shd w:val="clear" w:color="000000" w:fill="E6E6E6"/>
            <w:vAlign w:val="center"/>
            <w:hideMark/>
          </w:tcPr>
          <w:p w14:paraId="1E465C70" w14:textId="77777777" w:rsidR="00DE711B" w:rsidRDefault="00DE711B">
            <w:pPr>
              <w:jc w:val="center"/>
              <w:rPr>
                <w:b/>
                <w:bCs/>
                <w:sz w:val="16"/>
                <w:szCs w:val="16"/>
              </w:rPr>
            </w:pPr>
            <w:r>
              <w:rPr>
                <w:b/>
                <w:bCs/>
                <w:sz w:val="16"/>
                <w:szCs w:val="16"/>
              </w:rPr>
              <w:t>Уточнен план</w:t>
            </w:r>
          </w:p>
        </w:tc>
        <w:tc>
          <w:tcPr>
            <w:tcW w:w="448" w:type="pct"/>
            <w:vMerge w:val="restart"/>
            <w:shd w:val="clear" w:color="000000" w:fill="E6E6E6"/>
            <w:vAlign w:val="center"/>
            <w:hideMark/>
          </w:tcPr>
          <w:p w14:paraId="0C54F0DC" w14:textId="77777777" w:rsidR="00DE711B" w:rsidRDefault="00DE711B">
            <w:pPr>
              <w:jc w:val="center"/>
              <w:rPr>
                <w:b/>
                <w:bCs/>
                <w:sz w:val="16"/>
                <w:szCs w:val="16"/>
              </w:rPr>
            </w:pPr>
            <w:r>
              <w:rPr>
                <w:b/>
                <w:bCs/>
                <w:sz w:val="16"/>
                <w:szCs w:val="16"/>
              </w:rPr>
              <w:t>Отчет</w:t>
            </w:r>
          </w:p>
        </w:tc>
      </w:tr>
      <w:tr w:rsidR="00DE711B" w14:paraId="62A689EE" w14:textId="77777777" w:rsidTr="008E15BC">
        <w:trPr>
          <w:trHeight w:val="40"/>
          <w:jc w:val="center"/>
        </w:trPr>
        <w:tc>
          <w:tcPr>
            <w:tcW w:w="222" w:type="pct"/>
            <w:vMerge/>
            <w:vAlign w:val="center"/>
            <w:hideMark/>
          </w:tcPr>
          <w:p w14:paraId="3523D32B" w14:textId="77777777" w:rsidR="00DE711B" w:rsidRDefault="00DE711B">
            <w:pPr>
              <w:rPr>
                <w:b/>
                <w:bCs/>
                <w:sz w:val="16"/>
                <w:szCs w:val="16"/>
              </w:rPr>
            </w:pPr>
          </w:p>
        </w:tc>
        <w:tc>
          <w:tcPr>
            <w:tcW w:w="3363" w:type="pct"/>
            <w:shd w:val="clear" w:color="000000" w:fill="E6E6E6"/>
            <w:noWrap/>
            <w:vAlign w:val="center"/>
            <w:hideMark/>
          </w:tcPr>
          <w:p w14:paraId="3A68EBF1" w14:textId="77777777" w:rsidR="00DE711B" w:rsidRDefault="00DE711B">
            <w:pPr>
              <w:jc w:val="center"/>
              <w:rPr>
                <w:b/>
                <w:bCs/>
                <w:sz w:val="16"/>
                <w:szCs w:val="16"/>
              </w:rPr>
            </w:pPr>
            <w:r>
              <w:rPr>
                <w:b/>
                <w:bCs/>
                <w:sz w:val="16"/>
                <w:szCs w:val="16"/>
              </w:rPr>
              <w:t>(в лева)</w:t>
            </w:r>
          </w:p>
        </w:tc>
        <w:tc>
          <w:tcPr>
            <w:tcW w:w="514" w:type="pct"/>
            <w:vMerge/>
            <w:vAlign w:val="center"/>
            <w:hideMark/>
          </w:tcPr>
          <w:p w14:paraId="663055CA" w14:textId="77777777" w:rsidR="00DE711B" w:rsidRDefault="00DE711B">
            <w:pPr>
              <w:rPr>
                <w:b/>
                <w:bCs/>
                <w:sz w:val="16"/>
                <w:szCs w:val="16"/>
              </w:rPr>
            </w:pPr>
          </w:p>
        </w:tc>
        <w:tc>
          <w:tcPr>
            <w:tcW w:w="453" w:type="pct"/>
            <w:vMerge/>
            <w:vAlign w:val="center"/>
            <w:hideMark/>
          </w:tcPr>
          <w:p w14:paraId="67580D08" w14:textId="77777777" w:rsidR="00DE711B" w:rsidRDefault="00DE711B">
            <w:pPr>
              <w:rPr>
                <w:b/>
                <w:bCs/>
                <w:sz w:val="16"/>
                <w:szCs w:val="16"/>
              </w:rPr>
            </w:pPr>
          </w:p>
        </w:tc>
        <w:tc>
          <w:tcPr>
            <w:tcW w:w="448" w:type="pct"/>
            <w:vMerge/>
            <w:vAlign w:val="center"/>
            <w:hideMark/>
          </w:tcPr>
          <w:p w14:paraId="37F8E644" w14:textId="77777777" w:rsidR="00DE711B" w:rsidRDefault="00DE711B">
            <w:pPr>
              <w:rPr>
                <w:b/>
                <w:bCs/>
                <w:sz w:val="16"/>
                <w:szCs w:val="16"/>
              </w:rPr>
            </w:pPr>
          </w:p>
        </w:tc>
      </w:tr>
      <w:tr w:rsidR="00DE711B" w14:paraId="6D717FB3" w14:textId="77777777" w:rsidTr="008E15BC">
        <w:trPr>
          <w:trHeight w:val="248"/>
          <w:jc w:val="center"/>
        </w:trPr>
        <w:tc>
          <w:tcPr>
            <w:tcW w:w="222" w:type="pct"/>
            <w:shd w:val="clear" w:color="000000" w:fill="E6E6E6"/>
            <w:noWrap/>
            <w:vAlign w:val="center"/>
            <w:hideMark/>
          </w:tcPr>
          <w:p w14:paraId="2A065763" w14:textId="77777777" w:rsidR="00DE711B" w:rsidRDefault="00DE711B">
            <w:pPr>
              <w:jc w:val="both"/>
              <w:rPr>
                <w:b/>
                <w:bCs/>
                <w:sz w:val="16"/>
                <w:szCs w:val="16"/>
              </w:rPr>
            </w:pPr>
            <w:r>
              <w:rPr>
                <w:b/>
                <w:bCs/>
                <w:sz w:val="16"/>
                <w:szCs w:val="16"/>
              </w:rPr>
              <w:t>І.</w:t>
            </w:r>
          </w:p>
        </w:tc>
        <w:tc>
          <w:tcPr>
            <w:tcW w:w="3363" w:type="pct"/>
            <w:shd w:val="clear" w:color="000000" w:fill="E6E6E6"/>
            <w:noWrap/>
            <w:vAlign w:val="center"/>
            <w:hideMark/>
          </w:tcPr>
          <w:p w14:paraId="50534855" w14:textId="77777777" w:rsidR="00DE711B" w:rsidRDefault="00DE711B">
            <w:pPr>
              <w:rPr>
                <w:b/>
                <w:bCs/>
                <w:sz w:val="16"/>
                <w:szCs w:val="16"/>
              </w:rPr>
            </w:pPr>
            <w:r>
              <w:rPr>
                <w:b/>
                <w:bCs/>
                <w:sz w:val="16"/>
                <w:szCs w:val="16"/>
              </w:rPr>
              <w:t>Общо ведомствени разходи:</w:t>
            </w:r>
          </w:p>
        </w:tc>
        <w:tc>
          <w:tcPr>
            <w:tcW w:w="514" w:type="pct"/>
            <w:shd w:val="clear" w:color="000000" w:fill="E6E6E6"/>
            <w:noWrap/>
            <w:vAlign w:val="center"/>
            <w:hideMark/>
          </w:tcPr>
          <w:p w14:paraId="260AB6C7" w14:textId="77777777" w:rsidR="00DE711B" w:rsidRDefault="00DE711B">
            <w:pPr>
              <w:jc w:val="right"/>
              <w:rPr>
                <w:b/>
                <w:bCs/>
                <w:sz w:val="16"/>
                <w:szCs w:val="16"/>
              </w:rPr>
            </w:pPr>
            <w:r>
              <w:rPr>
                <w:b/>
                <w:bCs/>
                <w:sz w:val="16"/>
                <w:szCs w:val="16"/>
              </w:rPr>
              <w:t>11 679 000</w:t>
            </w:r>
          </w:p>
        </w:tc>
        <w:tc>
          <w:tcPr>
            <w:tcW w:w="453" w:type="pct"/>
            <w:shd w:val="clear" w:color="000000" w:fill="E6E6E6"/>
            <w:noWrap/>
            <w:vAlign w:val="center"/>
            <w:hideMark/>
          </w:tcPr>
          <w:p w14:paraId="0412B83A" w14:textId="77777777" w:rsidR="00DE711B" w:rsidRDefault="00DE711B">
            <w:pPr>
              <w:jc w:val="right"/>
              <w:rPr>
                <w:b/>
                <w:bCs/>
                <w:sz w:val="16"/>
                <w:szCs w:val="16"/>
              </w:rPr>
            </w:pPr>
            <w:r>
              <w:rPr>
                <w:b/>
                <w:bCs/>
                <w:sz w:val="16"/>
                <w:szCs w:val="16"/>
              </w:rPr>
              <w:t>11 679 000</w:t>
            </w:r>
          </w:p>
        </w:tc>
        <w:tc>
          <w:tcPr>
            <w:tcW w:w="448" w:type="pct"/>
            <w:shd w:val="clear" w:color="000000" w:fill="E6E6E6"/>
            <w:noWrap/>
            <w:vAlign w:val="center"/>
            <w:hideMark/>
          </w:tcPr>
          <w:p w14:paraId="5D324AEE" w14:textId="77777777" w:rsidR="00DE711B" w:rsidRDefault="00DE711B">
            <w:pPr>
              <w:jc w:val="right"/>
              <w:rPr>
                <w:b/>
                <w:bCs/>
                <w:sz w:val="16"/>
                <w:szCs w:val="16"/>
              </w:rPr>
            </w:pPr>
            <w:r>
              <w:rPr>
                <w:b/>
                <w:bCs/>
                <w:sz w:val="16"/>
                <w:szCs w:val="16"/>
              </w:rPr>
              <w:t>5 213 687</w:t>
            </w:r>
          </w:p>
        </w:tc>
      </w:tr>
      <w:tr w:rsidR="00DE711B" w14:paraId="0420E1A6" w14:textId="77777777" w:rsidTr="008E15BC">
        <w:trPr>
          <w:trHeight w:val="110"/>
          <w:jc w:val="center"/>
        </w:trPr>
        <w:tc>
          <w:tcPr>
            <w:tcW w:w="222" w:type="pct"/>
            <w:shd w:val="clear" w:color="auto" w:fill="auto"/>
            <w:noWrap/>
            <w:vAlign w:val="center"/>
            <w:hideMark/>
          </w:tcPr>
          <w:p w14:paraId="363CDDCE" w14:textId="77777777" w:rsidR="00DE711B" w:rsidRDefault="00DE711B">
            <w:pPr>
              <w:jc w:val="both"/>
              <w:rPr>
                <w:sz w:val="16"/>
                <w:szCs w:val="16"/>
              </w:rPr>
            </w:pPr>
            <w:r>
              <w:rPr>
                <w:sz w:val="16"/>
                <w:szCs w:val="16"/>
              </w:rPr>
              <w:t> </w:t>
            </w:r>
          </w:p>
        </w:tc>
        <w:tc>
          <w:tcPr>
            <w:tcW w:w="3363" w:type="pct"/>
            <w:shd w:val="clear" w:color="auto" w:fill="auto"/>
            <w:noWrap/>
            <w:vAlign w:val="center"/>
            <w:hideMark/>
          </w:tcPr>
          <w:p w14:paraId="5815F157" w14:textId="743B5AA1" w:rsidR="00DE711B" w:rsidRDefault="00DE711B" w:rsidP="00F850EB">
            <w:pPr>
              <w:ind w:left="79" w:firstLine="79"/>
              <w:rPr>
                <w:sz w:val="16"/>
                <w:szCs w:val="16"/>
              </w:rPr>
            </w:pPr>
            <w:r>
              <w:rPr>
                <w:sz w:val="16"/>
                <w:szCs w:val="16"/>
              </w:rPr>
              <w:t>Персонал</w:t>
            </w:r>
          </w:p>
        </w:tc>
        <w:tc>
          <w:tcPr>
            <w:tcW w:w="514" w:type="pct"/>
            <w:shd w:val="clear" w:color="auto" w:fill="auto"/>
            <w:noWrap/>
            <w:vAlign w:val="center"/>
            <w:hideMark/>
          </w:tcPr>
          <w:p w14:paraId="5CD877B6" w14:textId="77777777" w:rsidR="00DE711B" w:rsidRDefault="00DE711B">
            <w:pPr>
              <w:jc w:val="right"/>
              <w:rPr>
                <w:sz w:val="16"/>
                <w:szCs w:val="16"/>
              </w:rPr>
            </w:pPr>
            <w:r>
              <w:rPr>
                <w:sz w:val="16"/>
                <w:szCs w:val="16"/>
              </w:rPr>
              <w:t>10 837 500</w:t>
            </w:r>
          </w:p>
        </w:tc>
        <w:tc>
          <w:tcPr>
            <w:tcW w:w="453" w:type="pct"/>
            <w:shd w:val="clear" w:color="auto" w:fill="auto"/>
            <w:noWrap/>
            <w:vAlign w:val="center"/>
            <w:hideMark/>
          </w:tcPr>
          <w:p w14:paraId="77756A8A" w14:textId="77777777" w:rsidR="00DE711B" w:rsidRDefault="00DE711B">
            <w:pPr>
              <w:jc w:val="right"/>
              <w:rPr>
                <w:sz w:val="16"/>
                <w:szCs w:val="16"/>
              </w:rPr>
            </w:pPr>
            <w:r>
              <w:rPr>
                <w:sz w:val="16"/>
                <w:szCs w:val="16"/>
              </w:rPr>
              <w:t>10 837 500</w:t>
            </w:r>
          </w:p>
        </w:tc>
        <w:tc>
          <w:tcPr>
            <w:tcW w:w="448" w:type="pct"/>
            <w:shd w:val="clear" w:color="auto" w:fill="auto"/>
            <w:noWrap/>
            <w:vAlign w:val="center"/>
            <w:hideMark/>
          </w:tcPr>
          <w:p w14:paraId="6E851FC6" w14:textId="77777777" w:rsidR="00DE711B" w:rsidRDefault="00DE711B">
            <w:pPr>
              <w:jc w:val="right"/>
              <w:rPr>
                <w:sz w:val="16"/>
                <w:szCs w:val="16"/>
              </w:rPr>
            </w:pPr>
            <w:r>
              <w:rPr>
                <w:sz w:val="16"/>
                <w:szCs w:val="16"/>
              </w:rPr>
              <w:t>4 969 225</w:t>
            </w:r>
          </w:p>
        </w:tc>
      </w:tr>
      <w:tr w:rsidR="00DE711B" w14:paraId="5CB113D6" w14:textId="77777777" w:rsidTr="008E15BC">
        <w:trPr>
          <w:trHeight w:val="197"/>
          <w:jc w:val="center"/>
        </w:trPr>
        <w:tc>
          <w:tcPr>
            <w:tcW w:w="222" w:type="pct"/>
            <w:shd w:val="clear" w:color="auto" w:fill="auto"/>
            <w:noWrap/>
            <w:vAlign w:val="center"/>
            <w:hideMark/>
          </w:tcPr>
          <w:p w14:paraId="7C7D5460" w14:textId="77777777" w:rsidR="00DE711B" w:rsidRDefault="00DE711B">
            <w:pPr>
              <w:jc w:val="both"/>
              <w:rPr>
                <w:sz w:val="16"/>
                <w:szCs w:val="16"/>
              </w:rPr>
            </w:pPr>
            <w:r>
              <w:rPr>
                <w:sz w:val="16"/>
                <w:szCs w:val="16"/>
              </w:rPr>
              <w:t> </w:t>
            </w:r>
          </w:p>
        </w:tc>
        <w:tc>
          <w:tcPr>
            <w:tcW w:w="3363" w:type="pct"/>
            <w:shd w:val="clear" w:color="auto" w:fill="auto"/>
            <w:noWrap/>
            <w:vAlign w:val="center"/>
            <w:hideMark/>
          </w:tcPr>
          <w:p w14:paraId="6F1AD41E" w14:textId="35B248A3" w:rsidR="00DE711B" w:rsidRDefault="00DE711B" w:rsidP="00F850EB">
            <w:pPr>
              <w:ind w:left="79" w:firstLine="79"/>
              <w:rPr>
                <w:sz w:val="16"/>
                <w:szCs w:val="16"/>
              </w:rPr>
            </w:pPr>
            <w:r>
              <w:rPr>
                <w:sz w:val="16"/>
                <w:szCs w:val="16"/>
              </w:rPr>
              <w:t>Издръжка</w:t>
            </w:r>
          </w:p>
        </w:tc>
        <w:tc>
          <w:tcPr>
            <w:tcW w:w="514" w:type="pct"/>
            <w:shd w:val="clear" w:color="auto" w:fill="auto"/>
            <w:noWrap/>
            <w:vAlign w:val="center"/>
            <w:hideMark/>
          </w:tcPr>
          <w:p w14:paraId="73487CCE" w14:textId="77777777" w:rsidR="00DE711B" w:rsidRDefault="00DE711B">
            <w:pPr>
              <w:jc w:val="right"/>
              <w:rPr>
                <w:sz w:val="16"/>
                <w:szCs w:val="16"/>
              </w:rPr>
            </w:pPr>
            <w:r>
              <w:rPr>
                <w:sz w:val="16"/>
                <w:szCs w:val="16"/>
              </w:rPr>
              <w:t>841 500</w:t>
            </w:r>
          </w:p>
        </w:tc>
        <w:tc>
          <w:tcPr>
            <w:tcW w:w="453" w:type="pct"/>
            <w:shd w:val="clear" w:color="auto" w:fill="auto"/>
            <w:noWrap/>
            <w:vAlign w:val="center"/>
            <w:hideMark/>
          </w:tcPr>
          <w:p w14:paraId="3EE8D90E" w14:textId="77777777" w:rsidR="00DE711B" w:rsidRDefault="00DE711B">
            <w:pPr>
              <w:jc w:val="right"/>
              <w:rPr>
                <w:sz w:val="16"/>
                <w:szCs w:val="16"/>
              </w:rPr>
            </w:pPr>
            <w:r>
              <w:rPr>
                <w:sz w:val="16"/>
                <w:szCs w:val="16"/>
              </w:rPr>
              <w:t>835 668</w:t>
            </w:r>
          </w:p>
        </w:tc>
        <w:tc>
          <w:tcPr>
            <w:tcW w:w="448" w:type="pct"/>
            <w:shd w:val="clear" w:color="auto" w:fill="auto"/>
            <w:noWrap/>
            <w:vAlign w:val="center"/>
            <w:hideMark/>
          </w:tcPr>
          <w:p w14:paraId="05DBCF6C" w14:textId="77777777" w:rsidR="00DE711B" w:rsidRDefault="00DE711B">
            <w:pPr>
              <w:jc w:val="right"/>
              <w:rPr>
                <w:sz w:val="16"/>
                <w:szCs w:val="16"/>
              </w:rPr>
            </w:pPr>
            <w:r>
              <w:rPr>
                <w:sz w:val="16"/>
                <w:szCs w:val="16"/>
              </w:rPr>
              <w:t>238 630</w:t>
            </w:r>
          </w:p>
        </w:tc>
      </w:tr>
      <w:tr w:rsidR="00DE711B" w14:paraId="65494328" w14:textId="77777777" w:rsidTr="008E15BC">
        <w:trPr>
          <w:trHeight w:val="116"/>
          <w:jc w:val="center"/>
        </w:trPr>
        <w:tc>
          <w:tcPr>
            <w:tcW w:w="222" w:type="pct"/>
            <w:shd w:val="clear" w:color="auto" w:fill="auto"/>
            <w:noWrap/>
            <w:vAlign w:val="center"/>
            <w:hideMark/>
          </w:tcPr>
          <w:p w14:paraId="1052DC07" w14:textId="77777777" w:rsidR="00DE711B" w:rsidRDefault="00DE711B">
            <w:pPr>
              <w:jc w:val="both"/>
              <w:rPr>
                <w:sz w:val="16"/>
                <w:szCs w:val="16"/>
              </w:rPr>
            </w:pPr>
            <w:r>
              <w:rPr>
                <w:sz w:val="16"/>
                <w:szCs w:val="16"/>
              </w:rPr>
              <w:t> </w:t>
            </w:r>
          </w:p>
        </w:tc>
        <w:tc>
          <w:tcPr>
            <w:tcW w:w="3363" w:type="pct"/>
            <w:shd w:val="clear" w:color="auto" w:fill="auto"/>
            <w:noWrap/>
            <w:vAlign w:val="center"/>
            <w:hideMark/>
          </w:tcPr>
          <w:p w14:paraId="55CF9F81" w14:textId="0EF6A7A0" w:rsidR="00DE711B" w:rsidRDefault="00DE711B" w:rsidP="00F850EB">
            <w:pPr>
              <w:ind w:left="79" w:firstLine="79"/>
              <w:rPr>
                <w:sz w:val="16"/>
                <w:szCs w:val="16"/>
              </w:rPr>
            </w:pPr>
            <w:r>
              <w:rPr>
                <w:sz w:val="16"/>
                <w:szCs w:val="16"/>
              </w:rPr>
              <w:t>Капиталови разходи</w:t>
            </w:r>
          </w:p>
        </w:tc>
        <w:tc>
          <w:tcPr>
            <w:tcW w:w="514" w:type="pct"/>
            <w:shd w:val="clear" w:color="auto" w:fill="auto"/>
            <w:noWrap/>
            <w:vAlign w:val="center"/>
            <w:hideMark/>
          </w:tcPr>
          <w:p w14:paraId="19270317" w14:textId="77777777" w:rsidR="00DE711B" w:rsidRDefault="00DE711B">
            <w:pPr>
              <w:jc w:val="right"/>
              <w:rPr>
                <w:sz w:val="16"/>
                <w:szCs w:val="16"/>
              </w:rPr>
            </w:pPr>
            <w:r>
              <w:rPr>
                <w:sz w:val="16"/>
                <w:szCs w:val="16"/>
              </w:rPr>
              <w:t>0</w:t>
            </w:r>
          </w:p>
        </w:tc>
        <w:tc>
          <w:tcPr>
            <w:tcW w:w="453" w:type="pct"/>
            <w:shd w:val="clear" w:color="auto" w:fill="auto"/>
            <w:noWrap/>
            <w:vAlign w:val="center"/>
            <w:hideMark/>
          </w:tcPr>
          <w:p w14:paraId="08AE3A10" w14:textId="77777777" w:rsidR="00DE711B" w:rsidRDefault="00DE711B">
            <w:pPr>
              <w:jc w:val="right"/>
              <w:rPr>
                <w:sz w:val="16"/>
                <w:szCs w:val="16"/>
              </w:rPr>
            </w:pPr>
            <w:r>
              <w:rPr>
                <w:sz w:val="16"/>
                <w:szCs w:val="16"/>
              </w:rPr>
              <w:t>5 832</w:t>
            </w:r>
          </w:p>
        </w:tc>
        <w:tc>
          <w:tcPr>
            <w:tcW w:w="448" w:type="pct"/>
            <w:shd w:val="clear" w:color="auto" w:fill="auto"/>
            <w:noWrap/>
            <w:vAlign w:val="center"/>
            <w:hideMark/>
          </w:tcPr>
          <w:p w14:paraId="1EF62DD7" w14:textId="77777777" w:rsidR="00DE711B" w:rsidRDefault="00DE711B">
            <w:pPr>
              <w:jc w:val="right"/>
              <w:rPr>
                <w:sz w:val="16"/>
                <w:szCs w:val="16"/>
              </w:rPr>
            </w:pPr>
            <w:r>
              <w:rPr>
                <w:sz w:val="16"/>
                <w:szCs w:val="16"/>
              </w:rPr>
              <w:t>5 832</w:t>
            </w:r>
          </w:p>
        </w:tc>
      </w:tr>
      <w:tr w:rsidR="00DE711B" w14:paraId="529287DC" w14:textId="77777777" w:rsidTr="008E15BC">
        <w:trPr>
          <w:trHeight w:val="204"/>
          <w:jc w:val="center"/>
        </w:trPr>
        <w:tc>
          <w:tcPr>
            <w:tcW w:w="222" w:type="pct"/>
            <w:shd w:val="clear" w:color="000000" w:fill="E6E6E6"/>
            <w:noWrap/>
            <w:vAlign w:val="center"/>
            <w:hideMark/>
          </w:tcPr>
          <w:p w14:paraId="46A23C42" w14:textId="77777777" w:rsidR="00DE711B" w:rsidRDefault="00DE711B">
            <w:pPr>
              <w:jc w:val="both"/>
              <w:rPr>
                <w:b/>
                <w:bCs/>
                <w:sz w:val="16"/>
                <w:szCs w:val="16"/>
              </w:rPr>
            </w:pPr>
            <w:r>
              <w:rPr>
                <w:b/>
                <w:bCs/>
                <w:sz w:val="16"/>
                <w:szCs w:val="16"/>
              </w:rPr>
              <w:t>1</w:t>
            </w:r>
          </w:p>
        </w:tc>
        <w:tc>
          <w:tcPr>
            <w:tcW w:w="3363" w:type="pct"/>
            <w:shd w:val="clear" w:color="000000" w:fill="E6E6E6"/>
            <w:noWrap/>
            <w:vAlign w:val="center"/>
            <w:hideMark/>
          </w:tcPr>
          <w:p w14:paraId="58EE8AF0" w14:textId="77777777" w:rsidR="00DE711B" w:rsidRDefault="00DE711B">
            <w:pPr>
              <w:ind w:firstLineChars="300" w:firstLine="482"/>
              <w:rPr>
                <w:b/>
                <w:bCs/>
                <w:sz w:val="16"/>
                <w:szCs w:val="16"/>
              </w:rPr>
            </w:pPr>
            <w:r>
              <w:rPr>
                <w:b/>
                <w:bCs/>
                <w:sz w:val="16"/>
                <w:szCs w:val="16"/>
              </w:rPr>
              <w:t>Ведомствени разходи по бюджета на ПРБ:</w:t>
            </w:r>
          </w:p>
        </w:tc>
        <w:tc>
          <w:tcPr>
            <w:tcW w:w="514" w:type="pct"/>
            <w:shd w:val="clear" w:color="000000" w:fill="E6E6E6"/>
            <w:noWrap/>
            <w:vAlign w:val="center"/>
            <w:hideMark/>
          </w:tcPr>
          <w:p w14:paraId="525506A8" w14:textId="77777777" w:rsidR="00DE711B" w:rsidRDefault="00DE711B">
            <w:pPr>
              <w:jc w:val="right"/>
              <w:rPr>
                <w:b/>
                <w:bCs/>
                <w:sz w:val="16"/>
                <w:szCs w:val="16"/>
              </w:rPr>
            </w:pPr>
            <w:r>
              <w:rPr>
                <w:b/>
                <w:bCs/>
                <w:sz w:val="16"/>
                <w:szCs w:val="16"/>
              </w:rPr>
              <w:t>11 679 000</w:t>
            </w:r>
          </w:p>
        </w:tc>
        <w:tc>
          <w:tcPr>
            <w:tcW w:w="453" w:type="pct"/>
            <w:shd w:val="clear" w:color="000000" w:fill="E6E6E6"/>
            <w:noWrap/>
            <w:vAlign w:val="center"/>
            <w:hideMark/>
          </w:tcPr>
          <w:p w14:paraId="22ED4355" w14:textId="77777777" w:rsidR="00DE711B" w:rsidRDefault="00DE711B">
            <w:pPr>
              <w:jc w:val="right"/>
              <w:rPr>
                <w:b/>
                <w:bCs/>
                <w:sz w:val="16"/>
                <w:szCs w:val="16"/>
              </w:rPr>
            </w:pPr>
            <w:r>
              <w:rPr>
                <w:b/>
                <w:bCs/>
                <w:sz w:val="16"/>
                <w:szCs w:val="16"/>
              </w:rPr>
              <w:t>11 679 000</w:t>
            </w:r>
          </w:p>
        </w:tc>
        <w:tc>
          <w:tcPr>
            <w:tcW w:w="448" w:type="pct"/>
            <w:shd w:val="clear" w:color="000000" w:fill="E6E6E6"/>
            <w:noWrap/>
            <w:vAlign w:val="center"/>
            <w:hideMark/>
          </w:tcPr>
          <w:p w14:paraId="033CE7BA" w14:textId="77777777" w:rsidR="00DE711B" w:rsidRDefault="00DE711B">
            <w:pPr>
              <w:jc w:val="right"/>
              <w:rPr>
                <w:b/>
                <w:bCs/>
                <w:sz w:val="16"/>
                <w:szCs w:val="16"/>
              </w:rPr>
            </w:pPr>
            <w:r>
              <w:rPr>
                <w:b/>
                <w:bCs/>
                <w:sz w:val="16"/>
                <w:szCs w:val="16"/>
              </w:rPr>
              <w:t>5 213 687</w:t>
            </w:r>
          </w:p>
        </w:tc>
      </w:tr>
      <w:tr w:rsidR="00DE711B" w14:paraId="3D47B1EF" w14:textId="77777777" w:rsidTr="008E15BC">
        <w:trPr>
          <w:trHeight w:val="138"/>
          <w:jc w:val="center"/>
        </w:trPr>
        <w:tc>
          <w:tcPr>
            <w:tcW w:w="222" w:type="pct"/>
            <w:shd w:val="clear" w:color="auto" w:fill="auto"/>
            <w:noWrap/>
            <w:vAlign w:val="center"/>
            <w:hideMark/>
          </w:tcPr>
          <w:p w14:paraId="5A72F317" w14:textId="77777777" w:rsidR="00DE711B" w:rsidRDefault="00DE711B">
            <w:pPr>
              <w:jc w:val="both"/>
              <w:rPr>
                <w:sz w:val="16"/>
                <w:szCs w:val="16"/>
              </w:rPr>
            </w:pPr>
            <w:r>
              <w:rPr>
                <w:sz w:val="16"/>
                <w:szCs w:val="16"/>
              </w:rPr>
              <w:t> </w:t>
            </w:r>
          </w:p>
        </w:tc>
        <w:tc>
          <w:tcPr>
            <w:tcW w:w="3363" w:type="pct"/>
            <w:shd w:val="clear" w:color="auto" w:fill="auto"/>
            <w:noWrap/>
            <w:vAlign w:val="center"/>
            <w:hideMark/>
          </w:tcPr>
          <w:p w14:paraId="06E4A6FB" w14:textId="2952C0DA" w:rsidR="00DE711B" w:rsidRDefault="00DE711B" w:rsidP="00F850EB">
            <w:pPr>
              <w:ind w:firstLineChars="403" w:firstLine="645"/>
              <w:rPr>
                <w:sz w:val="16"/>
                <w:szCs w:val="16"/>
              </w:rPr>
            </w:pPr>
            <w:r>
              <w:rPr>
                <w:sz w:val="16"/>
                <w:szCs w:val="16"/>
              </w:rPr>
              <w:t>Персонал</w:t>
            </w:r>
          </w:p>
        </w:tc>
        <w:tc>
          <w:tcPr>
            <w:tcW w:w="514" w:type="pct"/>
            <w:shd w:val="clear" w:color="auto" w:fill="auto"/>
            <w:noWrap/>
            <w:vAlign w:val="center"/>
            <w:hideMark/>
          </w:tcPr>
          <w:p w14:paraId="0CE694B3" w14:textId="77777777" w:rsidR="00DE711B" w:rsidRDefault="00DE711B">
            <w:pPr>
              <w:jc w:val="right"/>
              <w:rPr>
                <w:sz w:val="16"/>
                <w:szCs w:val="16"/>
              </w:rPr>
            </w:pPr>
            <w:r>
              <w:rPr>
                <w:sz w:val="16"/>
                <w:szCs w:val="16"/>
              </w:rPr>
              <w:t>10 837 500</w:t>
            </w:r>
          </w:p>
        </w:tc>
        <w:tc>
          <w:tcPr>
            <w:tcW w:w="453" w:type="pct"/>
            <w:shd w:val="clear" w:color="auto" w:fill="auto"/>
            <w:noWrap/>
            <w:vAlign w:val="center"/>
            <w:hideMark/>
          </w:tcPr>
          <w:p w14:paraId="04E33C45" w14:textId="77777777" w:rsidR="00DE711B" w:rsidRDefault="00DE711B">
            <w:pPr>
              <w:jc w:val="right"/>
              <w:rPr>
                <w:sz w:val="16"/>
                <w:szCs w:val="16"/>
              </w:rPr>
            </w:pPr>
            <w:r>
              <w:rPr>
                <w:sz w:val="16"/>
                <w:szCs w:val="16"/>
              </w:rPr>
              <w:t>10 837 500</w:t>
            </w:r>
          </w:p>
        </w:tc>
        <w:tc>
          <w:tcPr>
            <w:tcW w:w="448" w:type="pct"/>
            <w:shd w:val="clear" w:color="auto" w:fill="auto"/>
            <w:noWrap/>
            <w:vAlign w:val="center"/>
            <w:hideMark/>
          </w:tcPr>
          <w:p w14:paraId="1C8BE11C" w14:textId="77777777" w:rsidR="00DE711B" w:rsidRDefault="00DE711B">
            <w:pPr>
              <w:jc w:val="right"/>
              <w:rPr>
                <w:sz w:val="16"/>
                <w:szCs w:val="16"/>
              </w:rPr>
            </w:pPr>
            <w:r>
              <w:rPr>
                <w:sz w:val="16"/>
                <w:szCs w:val="16"/>
              </w:rPr>
              <w:t>4 969 225</w:t>
            </w:r>
          </w:p>
        </w:tc>
      </w:tr>
      <w:tr w:rsidR="00DE711B" w14:paraId="7736A636" w14:textId="77777777" w:rsidTr="008E15BC">
        <w:trPr>
          <w:trHeight w:val="120"/>
          <w:jc w:val="center"/>
        </w:trPr>
        <w:tc>
          <w:tcPr>
            <w:tcW w:w="222" w:type="pct"/>
            <w:shd w:val="clear" w:color="auto" w:fill="auto"/>
            <w:noWrap/>
            <w:vAlign w:val="center"/>
            <w:hideMark/>
          </w:tcPr>
          <w:p w14:paraId="0281F199" w14:textId="77777777" w:rsidR="00DE711B" w:rsidRDefault="00DE711B">
            <w:pPr>
              <w:jc w:val="both"/>
              <w:rPr>
                <w:sz w:val="16"/>
                <w:szCs w:val="16"/>
              </w:rPr>
            </w:pPr>
            <w:r>
              <w:rPr>
                <w:sz w:val="16"/>
                <w:szCs w:val="16"/>
              </w:rPr>
              <w:t> </w:t>
            </w:r>
          </w:p>
        </w:tc>
        <w:tc>
          <w:tcPr>
            <w:tcW w:w="3363" w:type="pct"/>
            <w:shd w:val="clear" w:color="auto" w:fill="auto"/>
            <w:noWrap/>
            <w:vAlign w:val="center"/>
            <w:hideMark/>
          </w:tcPr>
          <w:p w14:paraId="4E1E30E8" w14:textId="47986C1A" w:rsidR="00DE711B" w:rsidRDefault="00DE711B" w:rsidP="00F850EB">
            <w:pPr>
              <w:ind w:firstLineChars="403" w:firstLine="645"/>
              <w:rPr>
                <w:sz w:val="16"/>
                <w:szCs w:val="16"/>
              </w:rPr>
            </w:pPr>
            <w:r>
              <w:rPr>
                <w:sz w:val="16"/>
                <w:szCs w:val="16"/>
              </w:rPr>
              <w:t>Издръжка</w:t>
            </w:r>
          </w:p>
        </w:tc>
        <w:tc>
          <w:tcPr>
            <w:tcW w:w="514" w:type="pct"/>
            <w:shd w:val="clear" w:color="auto" w:fill="auto"/>
            <w:noWrap/>
            <w:vAlign w:val="center"/>
            <w:hideMark/>
          </w:tcPr>
          <w:p w14:paraId="77470235" w14:textId="77777777" w:rsidR="00DE711B" w:rsidRDefault="00DE711B">
            <w:pPr>
              <w:jc w:val="right"/>
              <w:rPr>
                <w:sz w:val="16"/>
                <w:szCs w:val="16"/>
              </w:rPr>
            </w:pPr>
            <w:r>
              <w:rPr>
                <w:sz w:val="16"/>
                <w:szCs w:val="16"/>
              </w:rPr>
              <w:t>841 500</w:t>
            </w:r>
          </w:p>
        </w:tc>
        <w:tc>
          <w:tcPr>
            <w:tcW w:w="453" w:type="pct"/>
            <w:shd w:val="clear" w:color="auto" w:fill="auto"/>
            <w:noWrap/>
            <w:vAlign w:val="center"/>
            <w:hideMark/>
          </w:tcPr>
          <w:p w14:paraId="7A2C987F" w14:textId="77777777" w:rsidR="00DE711B" w:rsidRDefault="00DE711B">
            <w:pPr>
              <w:jc w:val="right"/>
              <w:rPr>
                <w:sz w:val="16"/>
                <w:szCs w:val="16"/>
              </w:rPr>
            </w:pPr>
            <w:r>
              <w:rPr>
                <w:sz w:val="16"/>
                <w:szCs w:val="16"/>
              </w:rPr>
              <w:t>835 668</w:t>
            </w:r>
          </w:p>
        </w:tc>
        <w:tc>
          <w:tcPr>
            <w:tcW w:w="448" w:type="pct"/>
            <w:shd w:val="clear" w:color="auto" w:fill="auto"/>
            <w:noWrap/>
            <w:vAlign w:val="center"/>
            <w:hideMark/>
          </w:tcPr>
          <w:p w14:paraId="1BE33A0C" w14:textId="77777777" w:rsidR="00DE711B" w:rsidRDefault="00DE711B">
            <w:pPr>
              <w:jc w:val="right"/>
              <w:rPr>
                <w:sz w:val="16"/>
                <w:szCs w:val="16"/>
              </w:rPr>
            </w:pPr>
            <w:r>
              <w:rPr>
                <w:sz w:val="16"/>
                <w:szCs w:val="16"/>
              </w:rPr>
              <w:t>238 630</w:t>
            </w:r>
          </w:p>
        </w:tc>
      </w:tr>
      <w:tr w:rsidR="00DE711B" w14:paraId="4620FEE5" w14:textId="77777777" w:rsidTr="008E15BC">
        <w:trPr>
          <w:trHeight w:val="237"/>
          <w:jc w:val="center"/>
        </w:trPr>
        <w:tc>
          <w:tcPr>
            <w:tcW w:w="222" w:type="pct"/>
            <w:shd w:val="clear" w:color="auto" w:fill="auto"/>
            <w:noWrap/>
            <w:vAlign w:val="center"/>
            <w:hideMark/>
          </w:tcPr>
          <w:p w14:paraId="06936D3E" w14:textId="77777777" w:rsidR="00DE711B" w:rsidRDefault="00DE711B">
            <w:pPr>
              <w:jc w:val="both"/>
              <w:rPr>
                <w:sz w:val="16"/>
                <w:szCs w:val="16"/>
              </w:rPr>
            </w:pPr>
            <w:r>
              <w:rPr>
                <w:sz w:val="16"/>
                <w:szCs w:val="16"/>
              </w:rPr>
              <w:t> </w:t>
            </w:r>
          </w:p>
        </w:tc>
        <w:tc>
          <w:tcPr>
            <w:tcW w:w="3363" w:type="pct"/>
            <w:shd w:val="clear" w:color="auto" w:fill="auto"/>
            <w:noWrap/>
            <w:vAlign w:val="center"/>
            <w:hideMark/>
          </w:tcPr>
          <w:p w14:paraId="60D28E4E" w14:textId="05DC0846" w:rsidR="00DE711B" w:rsidRDefault="00DE711B" w:rsidP="00F850EB">
            <w:pPr>
              <w:ind w:firstLineChars="403" w:firstLine="645"/>
              <w:rPr>
                <w:sz w:val="16"/>
                <w:szCs w:val="16"/>
              </w:rPr>
            </w:pPr>
            <w:r>
              <w:rPr>
                <w:sz w:val="16"/>
                <w:szCs w:val="16"/>
              </w:rPr>
              <w:t>Капиталови разходи</w:t>
            </w:r>
          </w:p>
        </w:tc>
        <w:tc>
          <w:tcPr>
            <w:tcW w:w="514" w:type="pct"/>
            <w:shd w:val="clear" w:color="auto" w:fill="auto"/>
            <w:noWrap/>
            <w:vAlign w:val="center"/>
            <w:hideMark/>
          </w:tcPr>
          <w:p w14:paraId="08AA3BAD" w14:textId="77777777" w:rsidR="00DE711B" w:rsidRDefault="00DE711B">
            <w:pPr>
              <w:jc w:val="right"/>
              <w:rPr>
                <w:sz w:val="16"/>
                <w:szCs w:val="16"/>
              </w:rPr>
            </w:pPr>
            <w:r>
              <w:rPr>
                <w:sz w:val="16"/>
                <w:szCs w:val="16"/>
              </w:rPr>
              <w:t> </w:t>
            </w:r>
          </w:p>
        </w:tc>
        <w:tc>
          <w:tcPr>
            <w:tcW w:w="453" w:type="pct"/>
            <w:shd w:val="clear" w:color="auto" w:fill="auto"/>
            <w:noWrap/>
            <w:vAlign w:val="center"/>
            <w:hideMark/>
          </w:tcPr>
          <w:p w14:paraId="05C02090" w14:textId="77777777" w:rsidR="00DE711B" w:rsidRDefault="00DE711B">
            <w:pPr>
              <w:jc w:val="right"/>
              <w:rPr>
                <w:sz w:val="16"/>
                <w:szCs w:val="16"/>
              </w:rPr>
            </w:pPr>
            <w:r>
              <w:rPr>
                <w:sz w:val="16"/>
                <w:szCs w:val="16"/>
              </w:rPr>
              <w:t>5 832</w:t>
            </w:r>
          </w:p>
        </w:tc>
        <w:tc>
          <w:tcPr>
            <w:tcW w:w="448" w:type="pct"/>
            <w:shd w:val="clear" w:color="auto" w:fill="auto"/>
            <w:noWrap/>
            <w:vAlign w:val="center"/>
            <w:hideMark/>
          </w:tcPr>
          <w:p w14:paraId="36ADD715" w14:textId="77777777" w:rsidR="00DE711B" w:rsidRDefault="00DE711B">
            <w:pPr>
              <w:jc w:val="right"/>
              <w:rPr>
                <w:sz w:val="16"/>
                <w:szCs w:val="16"/>
              </w:rPr>
            </w:pPr>
            <w:r>
              <w:rPr>
                <w:sz w:val="16"/>
                <w:szCs w:val="16"/>
              </w:rPr>
              <w:t>5 832</w:t>
            </w:r>
          </w:p>
        </w:tc>
      </w:tr>
      <w:tr w:rsidR="00DE711B" w14:paraId="60603566" w14:textId="77777777" w:rsidTr="008E15BC">
        <w:trPr>
          <w:trHeight w:val="254"/>
          <w:jc w:val="center"/>
        </w:trPr>
        <w:tc>
          <w:tcPr>
            <w:tcW w:w="222" w:type="pct"/>
            <w:shd w:val="clear" w:color="000000" w:fill="E6E6E6"/>
            <w:noWrap/>
            <w:vAlign w:val="center"/>
            <w:hideMark/>
          </w:tcPr>
          <w:p w14:paraId="7ADF6EDB" w14:textId="77777777" w:rsidR="00DE711B" w:rsidRDefault="00DE711B">
            <w:pPr>
              <w:jc w:val="both"/>
              <w:rPr>
                <w:b/>
                <w:bCs/>
                <w:sz w:val="16"/>
                <w:szCs w:val="16"/>
              </w:rPr>
            </w:pPr>
            <w:r>
              <w:rPr>
                <w:b/>
                <w:bCs/>
                <w:sz w:val="16"/>
                <w:szCs w:val="16"/>
              </w:rPr>
              <w:t>2</w:t>
            </w:r>
          </w:p>
        </w:tc>
        <w:tc>
          <w:tcPr>
            <w:tcW w:w="3363" w:type="pct"/>
            <w:shd w:val="clear" w:color="000000" w:fill="E6E6E6"/>
            <w:noWrap/>
            <w:vAlign w:val="center"/>
            <w:hideMark/>
          </w:tcPr>
          <w:p w14:paraId="68ACB554" w14:textId="77777777" w:rsidR="00DE711B" w:rsidRDefault="00DE711B">
            <w:pPr>
              <w:ind w:firstLineChars="300" w:firstLine="482"/>
              <w:rPr>
                <w:b/>
                <w:bCs/>
                <w:sz w:val="16"/>
                <w:szCs w:val="16"/>
              </w:rPr>
            </w:pPr>
            <w:r>
              <w:rPr>
                <w:b/>
                <w:bCs/>
                <w:sz w:val="16"/>
                <w:szCs w:val="16"/>
              </w:rPr>
              <w:t xml:space="preserve">Ведомствени разходи по други бюджети и сметки за средства от ЕС </w:t>
            </w:r>
          </w:p>
        </w:tc>
        <w:tc>
          <w:tcPr>
            <w:tcW w:w="514" w:type="pct"/>
            <w:shd w:val="clear" w:color="000000" w:fill="E6E6E6"/>
            <w:noWrap/>
            <w:vAlign w:val="center"/>
            <w:hideMark/>
          </w:tcPr>
          <w:p w14:paraId="44B53567" w14:textId="77777777" w:rsidR="00DE711B" w:rsidRDefault="00DE711B">
            <w:pPr>
              <w:jc w:val="right"/>
              <w:rPr>
                <w:b/>
                <w:bCs/>
                <w:sz w:val="16"/>
                <w:szCs w:val="16"/>
              </w:rPr>
            </w:pPr>
            <w:r>
              <w:rPr>
                <w:b/>
                <w:bCs/>
                <w:sz w:val="16"/>
                <w:szCs w:val="16"/>
              </w:rPr>
              <w:t>0</w:t>
            </w:r>
          </w:p>
        </w:tc>
        <w:tc>
          <w:tcPr>
            <w:tcW w:w="453" w:type="pct"/>
            <w:shd w:val="clear" w:color="000000" w:fill="E6E6E6"/>
            <w:noWrap/>
            <w:vAlign w:val="center"/>
            <w:hideMark/>
          </w:tcPr>
          <w:p w14:paraId="76CE7ABE" w14:textId="77777777" w:rsidR="00DE711B" w:rsidRDefault="00DE711B">
            <w:pPr>
              <w:jc w:val="right"/>
              <w:rPr>
                <w:b/>
                <w:bCs/>
                <w:sz w:val="16"/>
                <w:szCs w:val="16"/>
              </w:rPr>
            </w:pPr>
            <w:r>
              <w:rPr>
                <w:b/>
                <w:bCs/>
                <w:sz w:val="16"/>
                <w:szCs w:val="16"/>
              </w:rPr>
              <w:t>0</w:t>
            </w:r>
          </w:p>
        </w:tc>
        <w:tc>
          <w:tcPr>
            <w:tcW w:w="448" w:type="pct"/>
            <w:shd w:val="clear" w:color="000000" w:fill="E6E6E6"/>
            <w:noWrap/>
            <w:vAlign w:val="center"/>
            <w:hideMark/>
          </w:tcPr>
          <w:p w14:paraId="6A47D26B" w14:textId="77777777" w:rsidR="00DE711B" w:rsidRDefault="00DE711B">
            <w:pPr>
              <w:jc w:val="right"/>
              <w:rPr>
                <w:b/>
                <w:bCs/>
                <w:sz w:val="16"/>
                <w:szCs w:val="16"/>
              </w:rPr>
            </w:pPr>
            <w:r>
              <w:rPr>
                <w:b/>
                <w:bCs/>
                <w:sz w:val="16"/>
                <w:szCs w:val="16"/>
              </w:rPr>
              <w:t>0</w:t>
            </w:r>
          </w:p>
        </w:tc>
      </w:tr>
      <w:tr w:rsidR="00DE711B" w14:paraId="418057F0" w14:textId="77777777" w:rsidTr="008E15BC">
        <w:trPr>
          <w:trHeight w:val="184"/>
          <w:jc w:val="center"/>
        </w:trPr>
        <w:tc>
          <w:tcPr>
            <w:tcW w:w="222" w:type="pct"/>
            <w:shd w:val="clear" w:color="auto" w:fill="auto"/>
            <w:noWrap/>
            <w:vAlign w:val="center"/>
            <w:hideMark/>
          </w:tcPr>
          <w:p w14:paraId="65ED84C9" w14:textId="77777777" w:rsidR="00DE711B" w:rsidRDefault="00DE711B">
            <w:pPr>
              <w:jc w:val="both"/>
              <w:rPr>
                <w:sz w:val="16"/>
                <w:szCs w:val="16"/>
              </w:rPr>
            </w:pPr>
            <w:r>
              <w:rPr>
                <w:sz w:val="16"/>
                <w:szCs w:val="16"/>
              </w:rPr>
              <w:t> </w:t>
            </w:r>
          </w:p>
        </w:tc>
        <w:tc>
          <w:tcPr>
            <w:tcW w:w="3363" w:type="pct"/>
            <w:shd w:val="clear" w:color="auto" w:fill="auto"/>
            <w:noWrap/>
            <w:vAlign w:val="center"/>
            <w:hideMark/>
          </w:tcPr>
          <w:p w14:paraId="640C0116" w14:textId="5AEFF2B4" w:rsidR="00DE711B" w:rsidRDefault="00DE711B" w:rsidP="00F850EB">
            <w:pPr>
              <w:ind w:firstLineChars="403" w:firstLine="645"/>
              <w:rPr>
                <w:sz w:val="16"/>
                <w:szCs w:val="16"/>
              </w:rPr>
            </w:pPr>
            <w:r>
              <w:rPr>
                <w:sz w:val="16"/>
                <w:szCs w:val="16"/>
              </w:rPr>
              <w:t>Персонал</w:t>
            </w:r>
          </w:p>
        </w:tc>
        <w:tc>
          <w:tcPr>
            <w:tcW w:w="514" w:type="pct"/>
            <w:shd w:val="clear" w:color="auto" w:fill="auto"/>
            <w:noWrap/>
            <w:vAlign w:val="center"/>
            <w:hideMark/>
          </w:tcPr>
          <w:p w14:paraId="3B92A2AD" w14:textId="77777777" w:rsidR="00DE711B" w:rsidRDefault="00DE711B">
            <w:pPr>
              <w:jc w:val="right"/>
              <w:rPr>
                <w:sz w:val="16"/>
                <w:szCs w:val="16"/>
              </w:rPr>
            </w:pPr>
            <w:r>
              <w:rPr>
                <w:sz w:val="16"/>
                <w:szCs w:val="16"/>
              </w:rPr>
              <w:t> </w:t>
            </w:r>
          </w:p>
        </w:tc>
        <w:tc>
          <w:tcPr>
            <w:tcW w:w="453" w:type="pct"/>
            <w:shd w:val="clear" w:color="auto" w:fill="auto"/>
            <w:noWrap/>
            <w:vAlign w:val="center"/>
            <w:hideMark/>
          </w:tcPr>
          <w:p w14:paraId="0377A017" w14:textId="77777777" w:rsidR="00DE711B" w:rsidRDefault="00DE711B">
            <w:pPr>
              <w:jc w:val="right"/>
              <w:rPr>
                <w:sz w:val="16"/>
                <w:szCs w:val="16"/>
              </w:rPr>
            </w:pPr>
            <w:r>
              <w:rPr>
                <w:sz w:val="16"/>
                <w:szCs w:val="16"/>
              </w:rPr>
              <w:t> </w:t>
            </w:r>
          </w:p>
        </w:tc>
        <w:tc>
          <w:tcPr>
            <w:tcW w:w="448" w:type="pct"/>
            <w:shd w:val="clear" w:color="auto" w:fill="auto"/>
            <w:noWrap/>
            <w:vAlign w:val="center"/>
            <w:hideMark/>
          </w:tcPr>
          <w:p w14:paraId="1F4552A5" w14:textId="77777777" w:rsidR="00DE711B" w:rsidRDefault="00DE711B">
            <w:pPr>
              <w:jc w:val="right"/>
              <w:rPr>
                <w:sz w:val="16"/>
                <w:szCs w:val="16"/>
              </w:rPr>
            </w:pPr>
            <w:r>
              <w:rPr>
                <w:sz w:val="16"/>
                <w:szCs w:val="16"/>
              </w:rPr>
              <w:t> </w:t>
            </w:r>
          </w:p>
        </w:tc>
      </w:tr>
      <w:tr w:rsidR="00DE711B" w14:paraId="797074EE" w14:textId="77777777" w:rsidTr="008E15BC">
        <w:trPr>
          <w:trHeight w:val="117"/>
          <w:jc w:val="center"/>
        </w:trPr>
        <w:tc>
          <w:tcPr>
            <w:tcW w:w="222" w:type="pct"/>
            <w:shd w:val="clear" w:color="auto" w:fill="auto"/>
            <w:noWrap/>
            <w:vAlign w:val="center"/>
            <w:hideMark/>
          </w:tcPr>
          <w:p w14:paraId="73BA5D6A" w14:textId="77777777" w:rsidR="00DE711B" w:rsidRDefault="00DE711B">
            <w:pPr>
              <w:jc w:val="both"/>
              <w:rPr>
                <w:sz w:val="16"/>
                <w:szCs w:val="16"/>
              </w:rPr>
            </w:pPr>
            <w:r>
              <w:rPr>
                <w:sz w:val="16"/>
                <w:szCs w:val="16"/>
              </w:rPr>
              <w:t> </w:t>
            </w:r>
          </w:p>
        </w:tc>
        <w:tc>
          <w:tcPr>
            <w:tcW w:w="3363" w:type="pct"/>
            <w:shd w:val="clear" w:color="auto" w:fill="auto"/>
            <w:noWrap/>
            <w:vAlign w:val="center"/>
            <w:hideMark/>
          </w:tcPr>
          <w:p w14:paraId="4F9E936F" w14:textId="2EA92BF9" w:rsidR="00DE711B" w:rsidRDefault="00DE711B" w:rsidP="00F850EB">
            <w:pPr>
              <w:ind w:firstLineChars="403" w:firstLine="645"/>
              <w:rPr>
                <w:sz w:val="16"/>
                <w:szCs w:val="16"/>
              </w:rPr>
            </w:pPr>
            <w:r>
              <w:rPr>
                <w:sz w:val="16"/>
                <w:szCs w:val="16"/>
              </w:rPr>
              <w:t>Издръжка</w:t>
            </w:r>
          </w:p>
        </w:tc>
        <w:tc>
          <w:tcPr>
            <w:tcW w:w="514" w:type="pct"/>
            <w:shd w:val="clear" w:color="auto" w:fill="auto"/>
            <w:noWrap/>
            <w:vAlign w:val="center"/>
            <w:hideMark/>
          </w:tcPr>
          <w:p w14:paraId="118AE0C5" w14:textId="77777777" w:rsidR="00DE711B" w:rsidRDefault="00DE711B">
            <w:pPr>
              <w:jc w:val="right"/>
              <w:rPr>
                <w:sz w:val="16"/>
                <w:szCs w:val="16"/>
              </w:rPr>
            </w:pPr>
            <w:r>
              <w:rPr>
                <w:sz w:val="16"/>
                <w:szCs w:val="16"/>
              </w:rPr>
              <w:t> </w:t>
            </w:r>
          </w:p>
        </w:tc>
        <w:tc>
          <w:tcPr>
            <w:tcW w:w="453" w:type="pct"/>
            <w:shd w:val="clear" w:color="auto" w:fill="auto"/>
            <w:noWrap/>
            <w:vAlign w:val="center"/>
            <w:hideMark/>
          </w:tcPr>
          <w:p w14:paraId="17DD9812" w14:textId="77777777" w:rsidR="00DE711B" w:rsidRDefault="00DE711B">
            <w:pPr>
              <w:jc w:val="right"/>
              <w:rPr>
                <w:sz w:val="16"/>
                <w:szCs w:val="16"/>
              </w:rPr>
            </w:pPr>
            <w:r>
              <w:rPr>
                <w:sz w:val="16"/>
                <w:szCs w:val="16"/>
              </w:rPr>
              <w:t> </w:t>
            </w:r>
          </w:p>
        </w:tc>
        <w:tc>
          <w:tcPr>
            <w:tcW w:w="448" w:type="pct"/>
            <w:shd w:val="clear" w:color="auto" w:fill="auto"/>
            <w:noWrap/>
            <w:vAlign w:val="center"/>
            <w:hideMark/>
          </w:tcPr>
          <w:p w14:paraId="2B1FAE5A" w14:textId="77777777" w:rsidR="00DE711B" w:rsidRDefault="00DE711B">
            <w:pPr>
              <w:jc w:val="right"/>
              <w:rPr>
                <w:sz w:val="16"/>
                <w:szCs w:val="16"/>
              </w:rPr>
            </w:pPr>
            <w:r>
              <w:rPr>
                <w:sz w:val="16"/>
                <w:szCs w:val="16"/>
              </w:rPr>
              <w:t> </w:t>
            </w:r>
          </w:p>
        </w:tc>
      </w:tr>
      <w:tr w:rsidR="00DE711B" w14:paraId="3D457858" w14:textId="77777777" w:rsidTr="008E15BC">
        <w:trPr>
          <w:trHeight w:val="205"/>
          <w:jc w:val="center"/>
        </w:trPr>
        <w:tc>
          <w:tcPr>
            <w:tcW w:w="222" w:type="pct"/>
            <w:shd w:val="clear" w:color="auto" w:fill="auto"/>
            <w:noWrap/>
            <w:vAlign w:val="center"/>
            <w:hideMark/>
          </w:tcPr>
          <w:p w14:paraId="6A42BE2D" w14:textId="77777777" w:rsidR="00DE711B" w:rsidRDefault="00DE711B">
            <w:pPr>
              <w:jc w:val="both"/>
              <w:rPr>
                <w:sz w:val="16"/>
                <w:szCs w:val="16"/>
              </w:rPr>
            </w:pPr>
            <w:r>
              <w:rPr>
                <w:sz w:val="16"/>
                <w:szCs w:val="16"/>
              </w:rPr>
              <w:t> </w:t>
            </w:r>
          </w:p>
        </w:tc>
        <w:tc>
          <w:tcPr>
            <w:tcW w:w="3363" w:type="pct"/>
            <w:shd w:val="clear" w:color="auto" w:fill="auto"/>
            <w:noWrap/>
            <w:vAlign w:val="center"/>
            <w:hideMark/>
          </w:tcPr>
          <w:p w14:paraId="1D86BDF5" w14:textId="758E7006" w:rsidR="00DE711B" w:rsidRDefault="00DE711B" w:rsidP="00F850EB">
            <w:pPr>
              <w:ind w:firstLineChars="403" w:firstLine="645"/>
              <w:rPr>
                <w:sz w:val="16"/>
                <w:szCs w:val="16"/>
              </w:rPr>
            </w:pPr>
            <w:r>
              <w:rPr>
                <w:sz w:val="16"/>
                <w:szCs w:val="16"/>
              </w:rPr>
              <w:t>Капиталови разходи</w:t>
            </w:r>
          </w:p>
        </w:tc>
        <w:tc>
          <w:tcPr>
            <w:tcW w:w="514" w:type="pct"/>
            <w:shd w:val="clear" w:color="auto" w:fill="auto"/>
            <w:noWrap/>
            <w:vAlign w:val="center"/>
            <w:hideMark/>
          </w:tcPr>
          <w:p w14:paraId="55323246" w14:textId="77777777" w:rsidR="00DE711B" w:rsidRDefault="00DE711B">
            <w:pPr>
              <w:jc w:val="right"/>
              <w:rPr>
                <w:sz w:val="16"/>
                <w:szCs w:val="16"/>
              </w:rPr>
            </w:pPr>
            <w:r>
              <w:rPr>
                <w:sz w:val="16"/>
                <w:szCs w:val="16"/>
              </w:rPr>
              <w:t> </w:t>
            </w:r>
          </w:p>
        </w:tc>
        <w:tc>
          <w:tcPr>
            <w:tcW w:w="453" w:type="pct"/>
            <w:shd w:val="clear" w:color="auto" w:fill="auto"/>
            <w:noWrap/>
            <w:vAlign w:val="center"/>
            <w:hideMark/>
          </w:tcPr>
          <w:p w14:paraId="01BF9235" w14:textId="77777777" w:rsidR="00DE711B" w:rsidRDefault="00DE711B">
            <w:pPr>
              <w:jc w:val="right"/>
              <w:rPr>
                <w:sz w:val="16"/>
                <w:szCs w:val="16"/>
              </w:rPr>
            </w:pPr>
            <w:r>
              <w:rPr>
                <w:sz w:val="16"/>
                <w:szCs w:val="16"/>
              </w:rPr>
              <w:t> </w:t>
            </w:r>
          </w:p>
        </w:tc>
        <w:tc>
          <w:tcPr>
            <w:tcW w:w="448" w:type="pct"/>
            <w:shd w:val="clear" w:color="auto" w:fill="auto"/>
            <w:noWrap/>
            <w:vAlign w:val="center"/>
            <w:hideMark/>
          </w:tcPr>
          <w:p w14:paraId="2D58A883" w14:textId="77777777" w:rsidR="00DE711B" w:rsidRDefault="00DE711B">
            <w:pPr>
              <w:jc w:val="right"/>
              <w:rPr>
                <w:sz w:val="16"/>
                <w:szCs w:val="16"/>
              </w:rPr>
            </w:pPr>
            <w:r>
              <w:rPr>
                <w:sz w:val="16"/>
                <w:szCs w:val="16"/>
              </w:rPr>
              <w:t> </w:t>
            </w:r>
          </w:p>
        </w:tc>
      </w:tr>
      <w:tr w:rsidR="00DE711B" w14:paraId="3D2F6368" w14:textId="77777777" w:rsidTr="008E15BC">
        <w:trPr>
          <w:trHeight w:val="160"/>
          <w:jc w:val="center"/>
        </w:trPr>
        <w:tc>
          <w:tcPr>
            <w:tcW w:w="222" w:type="pct"/>
            <w:shd w:val="clear" w:color="auto" w:fill="auto"/>
            <w:noWrap/>
            <w:vAlign w:val="center"/>
            <w:hideMark/>
          </w:tcPr>
          <w:p w14:paraId="2D268EC7" w14:textId="77777777" w:rsidR="00DE711B" w:rsidRDefault="00DE711B">
            <w:pPr>
              <w:jc w:val="both"/>
              <w:rPr>
                <w:sz w:val="16"/>
                <w:szCs w:val="16"/>
              </w:rPr>
            </w:pPr>
            <w:r>
              <w:rPr>
                <w:sz w:val="16"/>
                <w:szCs w:val="16"/>
              </w:rPr>
              <w:t> </w:t>
            </w:r>
          </w:p>
        </w:tc>
        <w:tc>
          <w:tcPr>
            <w:tcW w:w="3363" w:type="pct"/>
            <w:shd w:val="clear" w:color="auto" w:fill="auto"/>
            <w:noWrap/>
            <w:vAlign w:val="center"/>
            <w:hideMark/>
          </w:tcPr>
          <w:p w14:paraId="3B4034B8" w14:textId="77777777" w:rsidR="00DE711B" w:rsidRDefault="00DE711B">
            <w:pPr>
              <w:ind w:firstLineChars="200" w:firstLine="320"/>
              <w:rPr>
                <w:sz w:val="16"/>
                <w:szCs w:val="16"/>
              </w:rPr>
            </w:pPr>
            <w:r>
              <w:rPr>
                <w:sz w:val="16"/>
                <w:szCs w:val="16"/>
              </w:rPr>
              <w:t xml:space="preserve">От тях за: * </w:t>
            </w:r>
          </w:p>
        </w:tc>
        <w:tc>
          <w:tcPr>
            <w:tcW w:w="514" w:type="pct"/>
            <w:shd w:val="clear" w:color="auto" w:fill="auto"/>
            <w:noWrap/>
            <w:vAlign w:val="center"/>
            <w:hideMark/>
          </w:tcPr>
          <w:p w14:paraId="29335B2D" w14:textId="77777777" w:rsidR="00DE711B" w:rsidRDefault="00DE711B">
            <w:pPr>
              <w:jc w:val="right"/>
              <w:rPr>
                <w:sz w:val="16"/>
                <w:szCs w:val="16"/>
              </w:rPr>
            </w:pPr>
            <w:r>
              <w:rPr>
                <w:sz w:val="16"/>
                <w:szCs w:val="16"/>
              </w:rPr>
              <w:t> </w:t>
            </w:r>
          </w:p>
        </w:tc>
        <w:tc>
          <w:tcPr>
            <w:tcW w:w="453" w:type="pct"/>
            <w:shd w:val="clear" w:color="auto" w:fill="auto"/>
            <w:noWrap/>
            <w:vAlign w:val="center"/>
            <w:hideMark/>
          </w:tcPr>
          <w:p w14:paraId="323D8924" w14:textId="77777777" w:rsidR="00DE711B" w:rsidRDefault="00DE711B">
            <w:pPr>
              <w:jc w:val="right"/>
              <w:rPr>
                <w:sz w:val="16"/>
                <w:szCs w:val="16"/>
              </w:rPr>
            </w:pPr>
            <w:r>
              <w:rPr>
                <w:sz w:val="16"/>
                <w:szCs w:val="16"/>
              </w:rPr>
              <w:t> </w:t>
            </w:r>
          </w:p>
        </w:tc>
        <w:tc>
          <w:tcPr>
            <w:tcW w:w="448" w:type="pct"/>
            <w:shd w:val="clear" w:color="auto" w:fill="auto"/>
            <w:noWrap/>
            <w:vAlign w:val="center"/>
            <w:hideMark/>
          </w:tcPr>
          <w:p w14:paraId="7DC301F7" w14:textId="77777777" w:rsidR="00DE711B" w:rsidRDefault="00DE711B">
            <w:pPr>
              <w:jc w:val="right"/>
              <w:rPr>
                <w:sz w:val="16"/>
                <w:szCs w:val="16"/>
              </w:rPr>
            </w:pPr>
            <w:r>
              <w:rPr>
                <w:sz w:val="16"/>
                <w:szCs w:val="16"/>
              </w:rPr>
              <w:t> </w:t>
            </w:r>
          </w:p>
        </w:tc>
      </w:tr>
      <w:tr w:rsidR="00DE711B" w14:paraId="520D74C2" w14:textId="77777777" w:rsidTr="008E15BC">
        <w:trPr>
          <w:trHeight w:val="106"/>
          <w:jc w:val="center"/>
        </w:trPr>
        <w:tc>
          <w:tcPr>
            <w:tcW w:w="222" w:type="pct"/>
            <w:shd w:val="clear" w:color="auto" w:fill="auto"/>
            <w:noWrap/>
            <w:vAlign w:val="center"/>
            <w:hideMark/>
          </w:tcPr>
          <w:p w14:paraId="5E055E3A" w14:textId="77777777" w:rsidR="00DE711B" w:rsidRDefault="00DE711B">
            <w:pPr>
              <w:jc w:val="both"/>
              <w:rPr>
                <w:sz w:val="16"/>
                <w:szCs w:val="16"/>
              </w:rPr>
            </w:pPr>
            <w:r>
              <w:rPr>
                <w:sz w:val="16"/>
                <w:szCs w:val="16"/>
              </w:rPr>
              <w:t> </w:t>
            </w:r>
          </w:p>
        </w:tc>
        <w:tc>
          <w:tcPr>
            <w:tcW w:w="3363" w:type="pct"/>
            <w:shd w:val="clear" w:color="auto" w:fill="auto"/>
            <w:noWrap/>
            <w:vAlign w:val="center"/>
            <w:hideMark/>
          </w:tcPr>
          <w:p w14:paraId="0EFCC1EC" w14:textId="77777777" w:rsidR="00DE711B" w:rsidRDefault="00DE711B">
            <w:pPr>
              <w:ind w:firstLineChars="500" w:firstLine="800"/>
              <w:rPr>
                <w:sz w:val="16"/>
                <w:szCs w:val="16"/>
              </w:rPr>
            </w:pPr>
            <w:r>
              <w:rPr>
                <w:sz w:val="16"/>
                <w:szCs w:val="16"/>
              </w:rPr>
              <w:t> </w:t>
            </w:r>
          </w:p>
        </w:tc>
        <w:tc>
          <w:tcPr>
            <w:tcW w:w="514" w:type="pct"/>
            <w:shd w:val="clear" w:color="auto" w:fill="auto"/>
            <w:noWrap/>
            <w:vAlign w:val="center"/>
            <w:hideMark/>
          </w:tcPr>
          <w:p w14:paraId="11A82EF6" w14:textId="77777777" w:rsidR="00DE711B" w:rsidRDefault="00DE711B">
            <w:pPr>
              <w:jc w:val="right"/>
              <w:rPr>
                <w:sz w:val="16"/>
                <w:szCs w:val="16"/>
              </w:rPr>
            </w:pPr>
            <w:r>
              <w:rPr>
                <w:sz w:val="16"/>
                <w:szCs w:val="16"/>
              </w:rPr>
              <w:t> </w:t>
            </w:r>
          </w:p>
        </w:tc>
        <w:tc>
          <w:tcPr>
            <w:tcW w:w="453" w:type="pct"/>
            <w:shd w:val="clear" w:color="auto" w:fill="auto"/>
            <w:noWrap/>
            <w:vAlign w:val="center"/>
            <w:hideMark/>
          </w:tcPr>
          <w:p w14:paraId="7C1E5DFE" w14:textId="77777777" w:rsidR="00DE711B" w:rsidRDefault="00DE711B">
            <w:pPr>
              <w:jc w:val="right"/>
              <w:rPr>
                <w:sz w:val="16"/>
                <w:szCs w:val="16"/>
              </w:rPr>
            </w:pPr>
            <w:r>
              <w:rPr>
                <w:sz w:val="16"/>
                <w:szCs w:val="16"/>
              </w:rPr>
              <w:t> </w:t>
            </w:r>
          </w:p>
        </w:tc>
        <w:tc>
          <w:tcPr>
            <w:tcW w:w="448" w:type="pct"/>
            <w:shd w:val="clear" w:color="auto" w:fill="auto"/>
            <w:noWrap/>
            <w:vAlign w:val="center"/>
            <w:hideMark/>
          </w:tcPr>
          <w:p w14:paraId="3408D62E" w14:textId="77777777" w:rsidR="00DE711B" w:rsidRDefault="00DE711B">
            <w:pPr>
              <w:jc w:val="right"/>
              <w:rPr>
                <w:sz w:val="16"/>
                <w:szCs w:val="16"/>
              </w:rPr>
            </w:pPr>
            <w:r>
              <w:rPr>
                <w:sz w:val="16"/>
                <w:szCs w:val="16"/>
              </w:rPr>
              <w:t> </w:t>
            </w:r>
          </w:p>
        </w:tc>
      </w:tr>
      <w:tr w:rsidR="00DE711B" w14:paraId="3529B1F4" w14:textId="77777777" w:rsidTr="008E15BC">
        <w:trPr>
          <w:trHeight w:val="194"/>
          <w:jc w:val="center"/>
        </w:trPr>
        <w:tc>
          <w:tcPr>
            <w:tcW w:w="222" w:type="pct"/>
            <w:shd w:val="clear" w:color="auto" w:fill="auto"/>
            <w:noWrap/>
            <w:vAlign w:val="center"/>
            <w:hideMark/>
          </w:tcPr>
          <w:p w14:paraId="69450C58" w14:textId="77777777" w:rsidR="00DE711B" w:rsidRDefault="00DE711B">
            <w:pPr>
              <w:jc w:val="both"/>
              <w:rPr>
                <w:sz w:val="16"/>
                <w:szCs w:val="16"/>
              </w:rPr>
            </w:pPr>
            <w:r>
              <w:rPr>
                <w:sz w:val="16"/>
                <w:szCs w:val="16"/>
              </w:rPr>
              <w:t> </w:t>
            </w:r>
          </w:p>
        </w:tc>
        <w:tc>
          <w:tcPr>
            <w:tcW w:w="3363" w:type="pct"/>
            <w:shd w:val="clear" w:color="auto" w:fill="auto"/>
            <w:noWrap/>
            <w:vAlign w:val="center"/>
            <w:hideMark/>
          </w:tcPr>
          <w:p w14:paraId="18F76BF4" w14:textId="77777777" w:rsidR="00DE711B" w:rsidRDefault="00DE711B">
            <w:pPr>
              <w:rPr>
                <w:i/>
                <w:iCs/>
                <w:sz w:val="16"/>
                <w:szCs w:val="16"/>
              </w:rPr>
            </w:pPr>
            <w:r>
              <w:rPr>
                <w:i/>
                <w:iCs/>
                <w:sz w:val="16"/>
                <w:szCs w:val="16"/>
              </w:rPr>
              <w:t xml:space="preserve">Администрирани разходни показатели </w:t>
            </w:r>
            <w:r>
              <w:rPr>
                <w:sz w:val="16"/>
                <w:szCs w:val="16"/>
              </w:rPr>
              <w:t>**</w:t>
            </w:r>
          </w:p>
        </w:tc>
        <w:tc>
          <w:tcPr>
            <w:tcW w:w="514" w:type="pct"/>
            <w:shd w:val="clear" w:color="auto" w:fill="auto"/>
            <w:noWrap/>
            <w:vAlign w:val="center"/>
            <w:hideMark/>
          </w:tcPr>
          <w:p w14:paraId="66F53D44" w14:textId="77777777" w:rsidR="00DE711B" w:rsidRDefault="00DE711B">
            <w:pPr>
              <w:jc w:val="right"/>
              <w:rPr>
                <w:sz w:val="16"/>
                <w:szCs w:val="16"/>
              </w:rPr>
            </w:pPr>
            <w:r>
              <w:rPr>
                <w:sz w:val="16"/>
                <w:szCs w:val="16"/>
              </w:rPr>
              <w:t> </w:t>
            </w:r>
          </w:p>
        </w:tc>
        <w:tc>
          <w:tcPr>
            <w:tcW w:w="453" w:type="pct"/>
            <w:shd w:val="clear" w:color="auto" w:fill="auto"/>
            <w:noWrap/>
            <w:vAlign w:val="center"/>
            <w:hideMark/>
          </w:tcPr>
          <w:p w14:paraId="693C3A6F" w14:textId="77777777" w:rsidR="00DE711B" w:rsidRDefault="00DE711B">
            <w:pPr>
              <w:jc w:val="right"/>
              <w:rPr>
                <w:sz w:val="16"/>
                <w:szCs w:val="16"/>
              </w:rPr>
            </w:pPr>
            <w:r>
              <w:rPr>
                <w:sz w:val="16"/>
                <w:szCs w:val="16"/>
              </w:rPr>
              <w:t> </w:t>
            </w:r>
          </w:p>
        </w:tc>
        <w:tc>
          <w:tcPr>
            <w:tcW w:w="448" w:type="pct"/>
            <w:shd w:val="clear" w:color="auto" w:fill="auto"/>
            <w:noWrap/>
            <w:vAlign w:val="center"/>
            <w:hideMark/>
          </w:tcPr>
          <w:p w14:paraId="469AA145" w14:textId="77777777" w:rsidR="00DE711B" w:rsidRDefault="00DE711B">
            <w:pPr>
              <w:jc w:val="right"/>
              <w:rPr>
                <w:sz w:val="16"/>
                <w:szCs w:val="16"/>
              </w:rPr>
            </w:pPr>
            <w:r>
              <w:rPr>
                <w:sz w:val="16"/>
                <w:szCs w:val="16"/>
              </w:rPr>
              <w:t> </w:t>
            </w:r>
          </w:p>
        </w:tc>
      </w:tr>
      <w:tr w:rsidR="00DE711B" w14:paraId="6A1A0C3E" w14:textId="77777777" w:rsidTr="00FA2766">
        <w:trPr>
          <w:trHeight w:val="222"/>
          <w:jc w:val="center"/>
        </w:trPr>
        <w:tc>
          <w:tcPr>
            <w:tcW w:w="222" w:type="pct"/>
            <w:shd w:val="clear" w:color="000000" w:fill="E6E6E6"/>
            <w:noWrap/>
            <w:vAlign w:val="center"/>
            <w:hideMark/>
          </w:tcPr>
          <w:p w14:paraId="1B9CA7F9" w14:textId="77777777" w:rsidR="00DE711B" w:rsidRDefault="00DE711B">
            <w:pPr>
              <w:jc w:val="both"/>
              <w:rPr>
                <w:b/>
                <w:bCs/>
                <w:sz w:val="16"/>
                <w:szCs w:val="16"/>
              </w:rPr>
            </w:pPr>
            <w:r>
              <w:rPr>
                <w:b/>
                <w:bCs/>
                <w:sz w:val="16"/>
                <w:szCs w:val="16"/>
              </w:rPr>
              <w:t>ІІ.</w:t>
            </w:r>
          </w:p>
        </w:tc>
        <w:tc>
          <w:tcPr>
            <w:tcW w:w="3363" w:type="pct"/>
            <w:shd w:val="clear" w:color="000000" w:fill="E6E6E6"/>
            <w:noWrap/>
            <w:vAlign w:val="center"/>
            <w:hideMark/>
          </w:tcPr>
          <w:p w14:paraId="63E4B620" w14:textId="77777777" w:rsidR="00DE711B" w:rsidRDefault="00DE711B">
            <w:pPr>
              <w:rPr>
                <w:b/>
                <w:bCs/>
                <w:sz w:val="16"/>
                <w:szCs w:val="16"/>
              </w:rPr>
            </w:pPr>
            <w:r>
              <w:rPr>
                <w:b/>
                <w:bCs/>
                <w:sz w:val="16"/>
                <w:szCs w:val="16"/>
              </w:rPr>
              <w:t xml:space="preserve">Администрирани разходни параграфи по бюджета </w:t>
            </w:r>
          </w:p>
        </w:tc>
        <w:tc>
          <w:tcPr>
            <w:tcW w:w="514" w:type="pct"/>
            <w:shd w:val="clear" w:color="000000" w:fill="E6E6E6"/>
            <w:noWrap/>
            <w:vAlign w:val="center"/>
            <w:hideMark/>
          </w:tcPr>
          <w:p w14:paraId="582BCC14" w14:textId="77777777" w:rsidR="00DE711B" w:rsidRDefault="00DE711B">
            <w:pPr>
              <w:jc w:val="right"/>
              <w:rPr>
                <w:b/>
                <w:bCs/>
                <w:sz w:val="16"/>
                <w:szCs w:val="16"/>
              </w:rPr>
            </w:pPr>
            <w:r>
              <w:rPr>
                <w:b/>
                <w:bCs/>
                <w:sz w:val="16"/>
                <w:szCs w:val="16"/>
              </w:rPr>
              <w:t>0</w:t>
            </w:r>
          </w:p>
        </w:tc>
        <w:tc>
          <w:tcPr>
            <w:tcW w:w="453" w:type="pct"/>
            <w:shd w:val="clear" w:color="000000" w:fill="E6E6E6"/>
            <w:noWrap/>
            <w:vAlign w:val="center"/>
            <w:hideMark/>
          </w:tcPr>
          <w:p w14:paraId="23410F08" w14:textId="77777777" w:rsidR="00DE711B" w:rsidRDefault="00DE711B">
            <w:pPr>
              <w:jc w:val="right"/>
              <w:rPr>
                <w:b/>
                <w:bCs/>
                <w:sz w:val="16"/>
                <w:szCs w:val="16"/>
              </w:rPr>
            </w:pPr>
            <w:r>
              <w:rPr>
                <w:b/>
                <w:bCs/>
                <w:sz w:val="16"/>
                <w:szCs w:val="16"/>
              </w:rPr>
              <w:t>0</w:t>
            </w:r>
          </w:p>
        </w:tc>
        <w:tc>
          <w:tcPr>
            <w:tcW w:w="448" w:type="pct"/>
            <w:shd w:val="clear" w:color="000000" w:fill="E6E6E6"/>
            <w:noWrap/>
            <w:vAlign w:val="center"/>
            <w:hideMark/>
          </w:tcPr>
          <w:p w14:paraId="11EA71BD" w14:textId="77777777" w:rsidR="00DE711B" w:rsidRDefault="00DE711B">
            <w:pPr>
              <w:jc w:val="right"/>
              <w:rPr>
                <w:b/>
                <w:bCs/>
                <w:sz w:val="16"/>
                <w:szCs w:val="16"/>
              </w:rPr>
            </w:pPr>
            <w:r>
              <w:rPr>
                <w:b/>
                <w:bCs/>
                <w:sz w:val="16"/>
                <w:szCs w:val="16"/>
              </w:rPr>
              <w:t>0</w:t>
            </w:r>
          </w:p>
        </w:tc>
      </w:tr>
      <w:tr w:rsidR="00DE711B" w14:paraId="51A55F75" w14:textId="77777777" w:rsidTr="008E15BC">
        <w:trPr>
          <w:trHeight w:val="144"/>
          <w:jc w:val="center"/>
        </w:trPr>
        <w:tc>
          <w:tcPr>
            <w:tcW w:w="222" w:type="pct"/>
            <w:shd w:val="clear" w:color="auto" w:fill="auto"/>
            <w:noWrap/>
            <w:vAlign w:val="center"/>
            <w:hideMark/>
          </w:tcPr>
          <w:p w14:paraId="0454834A" w14:textId="77777777" w:rsidR="00DE711B" w:rsidRDefault="00DE711B">
            <w:pPr>
              <w:jc w:val="both"/>
              <w:rPr>
                <w:sz w:val="16"/>
                <w:szCs w:val="16"/>
              </w:rPr>
            </w:pPr>
            <w:r>
              <w:rPr>
                <w:sz w:val="16"/>
                <w:szCs w:val="16"/>
              </w:rPr>
              <w:t> </w:t>
            </w:r>
          </w:p>
        </w:tc>
        <w:tc>
          <w:tcPr>
            <w:tcW w:w="3363" w:type="pct"/>
            <w:shd w:val="clear" w:color="auto" w:fill="auto"/>
            <w:noWrap/>
            <w:vAlign w:val="center"/>
            <w:hideMark/>
          </w:tcPr>
          <w:p w14:paraId="393D5C6A" w14:textId="77777777" w:rsidR="00DE711B" w:rsidRDefault="00DE711B">
            <w:pPr>
              <w:ind w:firstLineChars="200" w:firstLine="320"/>
              <w:rPr>
                <w:sz w:val="16"/>
                <w:szCs w:val="16"/>
              </w:rPr>
            </w:pPr>
            <w:r>
              <w:rPr>
                <w:sz w:val="16"/>
                <w:szCs w:val="16"/>
              </w:rPr>
              <w:t> </w:t>
            </w:r>
          </w:p>
        </w:tc>
        <w:tc>
          <w:tcPr>
            <w:tcW w:w="514" w:type="pct"/>
            <w:shd w:val="clear" w:color="auto" w:fill="auto"/>
            <w:noWrap/>
            <w:vAlign w:val="center"/>
            <w:hideMark/>
          </w:tcPr>
          <w:p w14:paraId="020F20A2" w14:textId="77777777" w:rsidR="00DE711B" w:rsidRDefault="00DE711B">
            <w:pPr>
              <w:jc w:val="right"/>
              <w:rPr>
                <w:sz w:val="16"/>
                <w:szCs w:val="16"/>
              </w:rPr>
            </w:pPr>
            <w:r>
              <w:rPr>
                <w:sz w:val="16"/>
                <w:szCs w:val="16"/>
              </w:rPr>
              <w:t> </w:t>
            </w:r>
          </w:p>
        </w:tc>
        <w:tc>
          <w:tcPr>
            <w:tcW w:w="453" w:type="pct"/>
            <w:shd w:val="clear" w:color="auto" w:fill="auto"/>
            <w:noWrap/>
            <w:vAlign w:val="center"/>
            <w:hideMark/>
          </w:tcPr>
          <w:p w14:paraId="19639D54" w14:textId="77777777" w:rsidR="00DE711B" w:rsidRDefault="00DE711B">
            <w:pPr>
              <w:jc w:val="right"/>
              <w:rPr>
                <w:sz w:val="16"/>
                <w:szCs w:val="16"/>
              </w:rPr>
            </w:pPr>
            <w:r>
              <w:rPr>
                <w:sz w:val="16"/>
                <w:szCs w:val="16"/>
              </w:rPr>
              <w:t> </w:t>
            </w:r>
          </w:p>
        </w:tc>
        <w:tc>
          <w:tcPr>
            <w:tcW w:w="448" w:type="pct"/>
            <w:shd w:val="clear" w:color="auto" w:fill="auto"/>
            <w:noWrap/>
            <w:vAlign w:val="center"/>
            <w:hideMark/>
          </w:tcPr>
          <w:p w14:paraId="1D975505" w14:textId="77777777" w:rsidR="00DE711B" w:rsidRDefault="00DE711B">
            <w:pPr>
              <w:jc w:val="right"/>
              <w:rPr>
                <w:sz w:val="16"/>
                <w:szCs w:val="16"/>
              </w:rPr>
            </w:pPr>
            <w:r>
              <w:rPr>
                <w:sz w:val="16"/>
                <w:szCs w:val="16"/>
              </w:rPr>
              <w:t> </w:t>
            </w:r>
          </w:p>
        </w:tc>
      </w:tr>
      <w:tr w:rsidR="00DE711B" w14:paraId="2B80160D" w14:textId="77777777" w:rsidTr="008E15BC">
        <w:trPr>
          <w:trHeight w:val="217"/>
          <w:jc w:val="center"/>
        </w:trPr>
        <w:tc>
          <w:tcPr>
            <w:tcW w:w="222" w:type="pct"/>
            <w:shd w:val="clear" w:color="000000" w:fill="E6E6E6"/>
            <w:noWrap/>
            <w:vAlign w:val="center"/>
            <w:hideMark/>
          </w:tcPr>
          <w:p w14:paraId="504BDFA6" w14:textId="77777777" w:rsidR="00DE711B" w:rsidRDefault="00DE711B">
            <w:pPr>
              <w:jc w:val="both"/>
              <w:rPr>
                <w:b/>
                <w:bCs/>
                <w:sz w:val="16"/>
                <w:szCs w:val="16"/>
              </w:rPr>
            </w:pPr>
            <w:r>
              <w:rPr>
                <w:b/>
                <w:bCs/>
                <w:sz w:val="16"/>
                <w:szCs w:val="16"/>
              </w:rPr>
              <w:t>ІІІ.</w:t>
            </w:r>
          </w:p>
        </w:tc>
        <w:tc>
          <w:tcPr>
            <w:tcW w:w="3363" w:type="pct"/>
            <w:shd w:val="clear" w:color="000000" w:fill="E6E6E6"/>
            <w:noWrap/>
            <w:vAlign w:val="center"/>
            <w:hideMark/>
          </w:tcPr>
          <w:p w14:paraId="09CFBC79" w14:textId="77777777" w:rsidR="00DE711B" w:rsidRDefault="00DE711B">
            <w:pPr>
              <w:rPr>
                <w:b/>
                <w:bCs/>
                <w:sz w:val="16"/>
                <w:szCs w:val="16"/>
              </w:rPr>
            </w:pPr>
            <w:r>
              <w:rPr>
                <w:b/>
                <w:bCs/>
                <w:sz w:val="16"/>
                <w:szCs w:val="16"/>
              </w:rPr>
              <w:t>Администрирани разходни параграфи по други бюджети и сметки за средства от ЕС</w:t>
            </w:r>
          </w:p>
        </w:tc>
        <w:tc>
          <w:tcPr>
            <w:tcW w:w="514" w:type="pct"/>
            <w:shd w:val="clear" w:color="000000" w:fill="E6E6E6"/>
            <w:noWrap/>
            <w:vAlign w:val="center"/>
            <w:hideMark/>
          </w:tcPr>
          <w:p w14:paraId="017E2748" w14:textId="77777777" w:rsidR="00DE711B" w:rsidRDefault="00DE711B">
            <w:pPr>
              <w:jc w:val="right"/>
              <w:rPr>
                <w:b/>
                <w:bCs/>
                <w:sz w:val="16"/>
                <w:szCs w:val="16"/>
              </w:rPr>
            </w:pPr>
            <w:r>
              <w:rPr>
                <w:b/>
                <w:bCs/>
                <w:sz w:val="16"/>
                <w:szCs w:val="16"/>
              </w:rPr>
              <w:t>0</w:t>
            </w:r>
          </w:p>
        </w:tc>
        <w:tc>
          <w:tcPr>
            <w:tcW w:w="453" w:type="pct"/>
            <w:shd w:val="clear" w:color="000000" w:fill="E6E6E6"/>
            <w:noWrap/>
            <w:vAlign w:val="center"/>
            <w:hideMark/>
          </w:tcPr>
          <w:p w14:paraId="5FB5A6E8" w14:textId="77777777" w:rsidR="00DE711B" w:rsidRDefault="00DE711B">
            <w:pPr>
              <w:jc w:val="right"/>
              <w:rPr>
                <w:b/>
                <w:bCs/>
                <w:sz w:val="16"/>
                <w:szCs w:val="16"/>
              </w:rPr>
            </w:pPr>
            <w:r>
              <w:rPr>
                <w:b/>
                <w:bCs/>
                <w:sz w:val="16"/>
                <w:szCs w:val="16"/>
              </w:rPr>
              <w:t>0</w:t>
            </w:r>
          </w:p>
        </w:tc>
        <w:tc>
          <w:tcPr>
            <w:tcW w:w="448" w:type="pct"/>
            <w:shd w:val="clear" w:color="000000" w:fill="E6E6E6"/>
            <w:noWrap/>
            <w:vAlign w:val="center"/>
            <w:hideMark/>
          </w:tcPr>
          <w:p w14:paraId="56D1037F" w14:textId="77777777" w:rsidR="00DE711B" w:rsidRDefault="00DE711B">
            <w:pPr>
              <w:jc w:val="right"/>
              <w:rPr>
                <w:b/>
                <w:bCs/>
                <w:sz w:val="16"/>
                <w:szCs w:val="16"/>
              </w:rPr>
            </w:pPr>
            <w:r>
              <w:rPr>
                <w:b/>
                <w:bCs/>
                <w:sz w:val="16"/>
                <w:szCs w:val="16"/>
              </w:rPr>
              <w:t>0</w:t>
            </w:r>
          </w:p>
        </w:tc>
      </w:tr>
      <w:tr w:rsidR="00DE711B" w14:paraId="063F04CC" w14:textId="77777777" w:rsidTr="008E15BC">
        <w:trPr>
          <w:trHeight w:val="124"/>
          <w:jc w:val="center"/>
        </w:trPr>
        <w:tc>
          <w:tcPr>
            <w:tcW w:w="222" w:type="pct"/>
            <w:shd w:val="clear" w:color="auto" w:fill="auto"/>
            <w:noWrap/>
            <w:vAlign w:val="center"/>
            <w:hideMark/>
          </w:tcPr>
          <w:p w14:paraId="6BDAAE50" w14:textId="77777777" w:rsidR="00DE711B" w:rsidRDefault="00DE711B">
            <w:pPr>
              <w:jc w:val="both"/>
              <w:rPr>
                <w:sz w:val="16"/>
                <w:szCs w:val="16"/>
              </w:rPr>
            </w:pPr>
            <w:r>
              <w:rPr>
                <w:sz w:val="16"/>
                <w:szCs w:val="16"/>
              </w:rPr>
              <w:t> </w:t>
            </w:r>
          </w:p>
        </w:tc>
        <w:tc>
          <w:tcPr>
            <w:tcW w:w="3363" w:type="pct"/>
            <w:shd w:val="clear" w:color="auto" w:fill="auto"/>
            <w:noWrap/>
            <w:vAlign w:val="center"/>
            <w:hideMark/>
          </w:tcPr>
          <w:p w14:paraId="3F5E18BE" w14:textId="77777777" w:rsidR="00DE711B" w:rsidRDefault="00DE711B">
            <w:pPr>
              <w:ind w:firstLineChars="200" w:firstLine="320"/>
              <w:rPr>
                <w:sz w:val="16"/>
                <w:szCs w:val="16"/>
              </w:rPr>
            </w:pPr>
            <w:r>
              <w:rPr>
                <w:sz w:val="16"/>
                <w:szCs w:val="16"/>
              </w:rPr>
              <w:t> </w:t>
            </w:r>
          </w:p>
        </w:tc>
        <w:tc>
          <w:tcPr>
            <w:tcW w:w="514" w:type="pct"/>
            <w:shd w:val="clear" w:color="auto" w:fill="auto"/>
            <w:noWrap/>
            <w:vAlign w:val="center"/>
            <w:hideMark/>
          </w:tcPr>
          <w:p w14:paraId="17E7F73C" w14:textId="77777777" w:rsidR="00DE711B" w:rsidRDefault="00DE711B">
            <w:pPr>
              <w:jc w:val="right"/>
              <w:rPr>
                <w:sz w:val="16"/>
                <w:szCs w:val="16"/>
              </w:rPr>
            </w:pPr>
            <w:r>
              <w:rPr>
                <w:sz w:val="16"/>
                <w:szCs w:val="16"/>
              </w:rPr>
              <w:t> </w:t>
            </w:r>
          </w:p>
        </w:tc>
        <w:tc>
          <w:tcPr>
            <w:tcW w:w="453" w:type="pct"/>
            <w:shd w:val="clear" w:color="auto" w:fill="auto"/>
            <w:noWrap/>
            <w:vAlign w:val="center"/>
            <w:hideMark/>
          </w:tcPr>
          <w:p w14:paraId="390473D7" w14:textId="77777777" w:rsidR="00DE711B" w:rsidRDefault="00DE711B">
            <w:pPr>
              <w:jc w:val="right"/>
              <w:rPr>
                <w:sz w:val="16"/>
                <w:szCs w:val="16"/>
              </w:rPr>
            </w:pPr>
            <w:r>
              <w:rPr>
                <w:sz w:val="16"/>
                <w:szCs w:val="16"/>
              </w:rPr>
              <w:t> </w:t>
            </w:r>
          </w:p>
        </w:tc>
        <w:tc>
          <w:tcPr>
            <w:tcW w:w="448" w:type="pct"/>
            <w:shd w:val="clear" w:color="auto" w:fill="auto"/>
            <w:noWrap/>
            <w:vAlign w:val="center"/>
            <w:hideMark/>
          </w:tcPr>
          <w:p w14:paraId="7ADCDE09" w14:textId="77777777" w:rsidR="00DE711B" w:rsidRDefault="00DE711B">
            <w:pPr>
              <w:jc w:val="right"/>
              <w:rPr>
                <w:sz w:val="16"/>
                <w:szCs w:val="16"/>
              </w:rPr>
            </w:pPr>
            <w:r>
              <w:rPr>
                <w:sz w:val="16"/>
                <w:szCs w:val="16"/>
              </w:rPr>
              <w:t> </w:t>
            </w:r>
          </w:p>
        </w:tc>
      </w:tr>
      <w:tr w:rsidR="00DE711B" w14:paraId="50F71BEA" w14:textId="77777777" w:rsidTr="008E15BC">
        <w:trPr>
          <w:trHeight w:val="224"/>
          <w:jc w:val="center"/>
        </w:trPr>
        <w:tc>
          <w:tcPr>
            <w:tcW w:w="222" w:type="pct"/>
            <w:shd w:val="clear" w:color="000000" w:fill="E6E6E6"/>
            <w:noWrap/>
            <w:vAlign w:val="center"/>
            <w:hideMark/>
          </w:tcPr>
          <w:p w14:paraId="3AA7AD99" w14:textId="77777777" w:rsidR="00DE711B" w:rsidRDefault="00DE711B">
            <w:pPr>
              <w:jc w:val="both"/>
              <w:rPr>
                <w:b/>
                <w:bCs/>
                <w:sz w:val="16"/>
                <w:szCs w:val="16"/>
              </w:rPr>
            </w:pPr>
            <w:r>
              <w:rPr>
                <w:b/>
                <w:bCs/>
                <w:sz w:val="16"/>
                <w:szCs w:val="16"/>
              </w:rPr>
              <w:t> </w:t>
            </w:r>
          </w:p>
        </w:tc>
        <w:tc>
          <w:tcPr>
            <w:tcW w:w="3363" w:type="pct"/>
            <w:shd w:val="clear" w:color="000000" w:fill="E6E6E6"/>
            <w:noWrap/>
            <w:vAlign w:val="center"/>
            <w:hideMark/>
          </w:tcPr>
          <w:p w14:paraId="4DBB95DB" w14:textId="77777777" w:rsidR="00DE711B" w:rsidRDefault="00DE711B">
            <w:pPr>
              <w:rPr>
                <w:b/>
                <w:bCs/>
                <w:sz w:val="16"/>
                <w:szCs w:val="16"/>
              </w:rPr>
            </w:pPr>
            <w:r>
              <w:rPr>
                <w:b/>
                <w:bCs/>
                <w:sz w:val="16"/>
                <w:szCs w:val="16"/>
              </w:rPr>
              <w:t>Общо администрирани разходи (ІІ.+ІІІ.):</w:t>
            </w:r>
          </w:p>
        </w:tc>
        <w:tc>
          <w:tcPr>
            <w:tcW w:w="514" w:type="pct"/>
            <w:shd w:val="clear" w:color="000000" w:fill="E6E6E6"/>
            <w:noWrap/>
            <w:vAlign w:val="center"/>
            <w:hideMark/>
          </w:tcPr>
          <w:p w14:paraId="3070D324" w14:textId="77777777" w:rsidR="00DE711B" w:rsidRDefault="00DE711B">
            <w:pPr>
              <w:jc w:val="right"/>
              <w:rPr>
                <w:b/>
                <w:bCs/>
                <w:sz w:val="16"/>
                <w:szCs w:val="16"/>
              </w:rPr>
            </w:pPr>
            <w:r>
              <w:rPr>
                <w:b/>
                <w:bCs/>
                <w:sz w:val="16"/>
                <w:szCs w:val="16"/>
              </w:rPr>
              <w:t>0</w:t>
            </w:r>
          </w:p>
        </w:tc>
        <w:tc>
          <w:tcPr>
            <w:tcW w:w="453" w:type="pct"/>
            <w:shd w:val="clear" w:color="000000" w:fill="E6E6E6"/>
            <w:noWrap/>
            <w:vAlign w:val="center"/>
            <w:hideMark/>
          </w:tcPr>
          <w:p w14:paraId="7360EB16" w14:textId="77777777" w:rsidR="00DE711B" w:rsidRDefault="00DE711B">
            <w:pPr>
              <w:jc w:val="right"/>
              <w:rPr>
                <w:b/>
                <w:bCs/>
                <w:sz w:val="16"/>
                <w:szCs w:val="16"/>
              </w:rPr>
            </w:pPr>
            <w:r>
              <w:rPr>
                <w:b/>
                <w:bCs/>
                <w:sz w:val="16"/>
                <w:szCs w:val="16"/>
              </w:rPr>
              <w:t>0</w:t>
            </w:r>
          </w:p>
        </w:tc>
        <w:tc>
          <w:tcPr>
            <w:tcW w:w="448" w:type="pct"/>
            <w:shd w:val="clear" w:color="000000" w:fill="E6E6E6"/>
            <w:noWrap/>
            <w:vAlign w:val="center"/>
            <w:hideMark/>
          </w:tcPr>
          <w:p w14:paraId="6827911E" w14:textId="77777777" w:rsidR="00DE711B" w:rsidRDefault="00DE711B">
            <w:pPr>
              <w:jc w:val="right"/>
              <w:rPr>
                <w:b/>
                <w:bCs/>
                <w:sz w:val="16"/>
                <w:szCs w:val="16"/>
              </w:rPr>
            </w:pPr>
            <w:r>
              <w:rPr>
                <w:b/>
                <w:bCs/>
                <w:sz w:val="16"/>
                <w:szCs w:val="16"/>
              </w:rPr>
              <w:t>0</w:t>
            </w:r>
          </w:p>
        </w:tc>
      </w:tr>
      <w:tr w:rsidR="00DE711B" w14:paraId="2FCB556C" w14:textId="77777777" w:rsidTr="008E15BC">
        <w:trPr>
          <w:trHeight w:val="130"/>
          <w:jc w:val="center"/>
        </w:trPr>
        <w:tc>
          <w:tcPr>
            <w:tcW w:w="222" w:type="pct"/>
            <w:shd w:val="clear" w:color="auto" w:fill="auto"/>
            <w:noWrap/>
            <w:vAlign w:val="center"/>
            <w:hideMark/>
          </w:tcPr>
          <w:p w14:paraId="32F6CF0D" w14:textId="77777777" w:rsidR="00DE711B" w:rsidRDefault="00DE711B">
            <w:pPr>
              <w:jc w:val="both"/>
              <w:rPr>
                <w:sz w:val="16"/>
                <w:szCs w:val="16"/>
              </w:rPr>
            </w:pPr>
            <w:r>
              <w:rPr>
                <w:sz w:val="16"/>
                <w:szCs w:val="16"/>
              </w:rPr>
              <w:t> </w:t>
            </w:r>
          </w:p>
        </w:tc>
        <w:tc>
          <w:tcPr>
            <w:tcW w:w="3363" w:type="pct"/>
            <w:shd w:val="clear" w:color="auto" w:fill="auto"/>
            <w:noWrap/>
            <w:vAlign w:val="center"/>
            <w:hideMark/>
          </w:tcPr>
          <w:p w14:paraId="417206E8" w14:textId="77777777" w:rsidR="00DE711B" w:rsidRDefault="00DE711B">
            <w:pPr>
              <w:rPr>
                <w:sz w:val="16"/>
                <w:szCs w:val="16"/>
              </w:rPr>
            </w:pPr>
            <w:r>
              <w:rPr>
                <w:sz w:val="16"/>
                <w:szCs w:val="16"/>
              </w:rPr>
              <w:t> </w:t>
            </w:r>
          </w:p>
        </w:tc>
        <w:tc>
          <w:tcPr>
            <w:tcW w:w="514" w:type="pct"/>
            <w:shd w:val="clear" w:color="auto" w:fill="auto"/>
            <w:noWrap/>
            <w:vAlign w:val="center"/>
            <w:hideMark/>
          </w:tcPr>
          <w:p w14:paraId="4E7FBC4F" w14:textId="77777777" w:rsidR="00DE711B" w:rsidRDefault="00DE711B">
            <w:pPr>
              <w:jc w:val="right"/>
              <w:rPr>
                <w:sz w:val="16"/>
                <w:szCs w:val="16"/>
              </w:rPr>
            </w:pPr>
            <w:r>
              <w:rPr>
                <w:sz w:val="16"/>
                <w:szCs w:val="16"/>
              </w:rPr>
              <w:t> </w:t>
            </w:r>
          </w:p>
        </w:tc>
        <w:tc>
          <w:tcPr>
            <w:tcW w:w="453" w:type="pct"/>
            <w:shd w:val="clear" w:color="auto" w:fill="auto"/>
            <w:noWrap/>
            <w:vAlign w:val="center"/>
            <w:hideMark/>
          </w:tcPr>
          <w:p w14:paraId="15680E39" w14:textId="77777777" w:rsidR="00DE711B" w:rsidRDefault="00DE711B">
            <w:pPr>
              <w:jc w:val="right"/>
              <w:rPr>
                <w:sz w:val="16"/>
                <w:szCs w:val="16"/>
              </w:rPr>
            </w:pPr>
            <w:r>
              <w:rPr>
                <w:sz w:val="16"/>
                <w:szCs w:val="16"/>
              </w:rPr>
              <w:t> </w:t>
            </w:r>
          </w:p>
        </w:tc>
        <w:tc>
          <w:tcPr>
            <w:tcW w:w="448" w:type="pct"/>
            <w:shd w:val="clear" w:color="auto" w:fill="auto"/>
            <w:noWrap/>
            <w:vAlign w:val="center"/>
            <w:hideMark/>
          </w:tcPr>
          <w:p w14:paraId="53F66D48" w14:textId="77777777" w:rsidR="00DE711B" w:rsidRDefault="00DE711B">
            <w:pPr>
              <w:jc w:val="right"/>
              <w:rPr>
                <w:sz w:val="16"/>
                <w:szCs w:val="16"/>
              </w:rPr>
            </w:pPr>
            <w:r>
              <w:rPr>
                <w:sz w:val="16"/>
                <w:szCs w:val="16"/>
              </w:rPr>
              <w:t> </w:t>
            </w:r>
          </w:p>
        </w:tc>
      </w:tr>
      <w:tr w:rsidR="00DE711B" w14:paraId="1925BF60" w14:textId="77777777" w:rsidTr="008E15BC">
        <w:trPr>
          <w:trHeight w:val="230"/>
          <w:jc w:val="center"/>
        </w:trPr>
        <w:tc>
          <w:tcPr>
            <w:tcW w:w="222" w:type="pct"/>
            <w:shd w:val="clear" w:color="000000" w:fill="E6E6E6"/>
            <w:noWrap/>
            <w:vAlign w:val="center"/>
            <w:hideMark/>
          </w:tcPr>
          <w:p w14:paraId="2698EA26" w14:textId="77777777" w:rsidR="00DE711B" w:rsidRDefault="00DE711B">
            <w:pPr>
              <w:jc w:val="both"/>
              <w:rPr>
                <w:b/>
                <w:bCs/>
                <w:sz w:val="16"/>
                <w:szCs w:val="16"/>
              </w:rPr>
            </w:pPr>
            <w:r>
              <w:rPr>
                <w:b/>
                <w:bCs/>
                <w:sz w:val="16"/>
                <w:szCs w:val="16"/>
              </w:rPr>
              <w:t> </w:t>
            </w:r>
          </w:p>
        </w:tc>
        <w:tc>
          <w:tcPr>
            <w:tcW w:w="3363" w:type="pct"/>
            <w:shd w:val="clear" w:color="000000" w:fill="E6E6E6"/>
            <w:noWrap/>
            <w:vAlign w:val="center"/>
            <w:hideMark/>
          </w:tcPr>
          <w:p w14:paraId="535B8C72" w14:textId="77777777" w:rsidR="00DE711B" w:rsidRDefault="00DE711B">
            <w:pPr>
              <w:rPr>
                <w:b/>
                <w:bCs/>
                <w:sz w:val="16"/>
                <w:szCs w:val="16"/>
              </w:rPr>
            </w:pPr>
            <w:r>
              <w:rPr>
                <w:b/>
                <w:bCs/>
                <w:sz w:val="16"/>
                <w:szCs w:val="16"/>
              </w:rPr>
              <w:t>Общо разходи по бюджета (І.1+ІІ.):</w:t>
            </w:r>
          </w:p>
        </w:tc>
        <w:tc>
          <w:tcPr>
            <w:tcW w:w="514" w:type="pct"/>
            <w:shd w:val="clear" w:color="000000" w:fill="E6E6E6"/>
            <w:noWrap/>
            <w:vAlign w:val="center"/>
            <w:hideMark/>
          </w:tcPr>
          <w:p w14:paraId="7A27C6AE" w14:textId="77777777" w:rsidR="00DE711B" w:rsidRDefault="00DE711B">
            <w:pPr>
              <w:jc w:val="right"/>
              <w:rPr>
                <w:b/>
                <w:bCs/>
                <w:sz w:val="16"/>
                <w:szCs w:val="16"/>
              </w:rPr>
            </w:pPr>
            <w:r>
              <w:rPr>
                <w:b/>
                <w:bCs/>
                <w:sz w:val="16"/>
                <w:szCs w:val="16"/>
              </w:rPr>
              <w:t>11 679 000</w:t>
            </w:r>
          </w:p>
        </w:tc>
        <w:tc>
          <w:tcPr>
            <w:tcW w:w="453" w:type="pct"/>
            <w:shd w:val="clear" w:color="000000" w:fill="E6E6E6"/>
            <w:noWrap/>
            <w:vAlign w:val="center"/>
            <w:hideMark/>
          </w:tcPr>
          <w:p w14:paraId="62FDF62C" w14:textId="77777777" w:rsidR="00DE711B" w:rsidRDefault="00DE711B">
            <w:pPr>
              <w:jc w:val="right"/>
              <w:rPr>
                <w:b/>
                <w:bCs/>
                <w:sz w:val="16"/>
                <w:szCs w:val="16"/>
              </w:rPr>
            </w:pPr>
            <w:r>
              <w:rPr>
                <w:b/>
                <w:bCs/>
                <w:sz w:val="16"/>
                <w:szCs w:val="16"/>
              </w:rPr>
              <w:t>11 679 000</w:t>
            </w:r>
          </w:p>
        </w:tc>
        <w:tc>
          <w:tcPr>
            <w:tcW w:w="448" w:type="pct"/>
            <w:shd w:val="clear" w:color="000000" w:fill="E6E6E6"/>
            <w:noWrap/>
            <w:vAlign w:val="center"/>
            <w:hideMark/>
          </w:tcPr>
          <w:p w14:paraId="43D9E4A7" w14:textId="77777777" w:rsidR="00DE711B" w:rsidRDefault="00DE711B">
            <w:pPr>
              <w:jc w:val="right"/>
              <w:rPr>
                <w:b/>
                <w:bCs/>
                <w:sz w:val="16"/>
                <w:szCs w:val="16"/>
              </w:rPr>
            </w:pPr>
            <w:r>
              <w:rPr>
                <w:b/>
                <w:bCs/>
                <w:sz w:val="16"/>
                <w:szCs w:val="16"/>
              </w:rPr>
              <w:t>5 213 687</w:t>
            </w:r>
          </w:p>
        </w:tc>
      </w:tr>
      <w:tr w:rsidR="00DE711B" w14:paraId="59761F56" w14:textId="77777777" w:rsidTr="008E15BC">
        <w:trPr>
          <w:trHeight w:val="122"/>
          <w:jc w:val="center"/>
        </w:trPr>
        <w:tc>
          <w:tcPr>
            <w:tcW w:w="222" w:type="pct"/>
            <w:shd w:val="clear" w:color="auto" w:fill="auto"/>
            <w:noWrap/>
            <w:vAlign w:val="center"/>
            <w:hideMark/>
          </w:tcPr>
          <w:p w14:paraId="582B7E25" w14:textId="77777777" w:rsidR="00DE711B" w:rsidRDefault="00DE711B">
            <w:pPr>
              <w:jc w:val="both"/>
              <w:rPr>
                <w:sz w:val="16"/>
                <w:szCs w:val="16"/>
              </w:rPr>
            </w:pPr>
            <w:r>
              <w:rPr>
                <w:sz w:val="16"/>
                <w:szCs w:val="16"/>
              </w:rPr>
              <w:t> </w:t>
            </w:r>
          </w:p>
        </w:tc>
        <w:tc>
          <w:tcPr>
            <w:tcW w:w="3363" w:type="pct"/>
            <w:shd w:val="clear" w:color="auto" w:fill="auto"/>
            <w:noWrap/>
            <w:vAlign w:val="center"/>
            <w:hideMark/>
          </w:tcPr>
          <w:p w14:paraId="17933B18" w14:textId="77777777" w:rsidR="00DE711B" w:rsidRDefault="00DE711B">
            <w:pPr>
              <w:rPr>
                <w:sz w:val="16"/>
                <w:szCs w:val="16"/>
              </w:rPr>
            </w:pPr>
            <w:r>
              <w:rPr>
                <w:sz w:val="16"/>
                <w:szCs w:val="16"/>
              </w:rPr>
              <w:t> </w:t>
            </w:r>
          </w:p>
        </w:tc>
        <w:tc>
          <w:tcPr>
            <w:tcW w:w="514" w:type="pct"/>
            <w:shd w:val="clear" w:color="auto" w:fill="auto"/>
            <w:noWrap/>
            <w:vAlign w:val="center"/>
            <w:hideMark/>
          </w:tcPr>
          <w:p w14:paraId="064EBF8B" w14:textId="77777777" w:rsidR="00DE711B" w:rsidRDefault="00DE711B">
            <w:pPr>
              <w:jc w:val="right"/>
              <w:rPr>
                <w:sz w:val="16"/>
                <w:szCs w:val="16"/>
              </w:rPr>
            </w:pPr>
            <w:r>
              <w:rPr>
                <w:sz w:val="16"/>
                <w:szCs w:val="16"/>
              </w:rPr>
              <w:t> </w:t>
            </w:r>
          </w:p>
        </w:tc>
        <w:tc>
          <w:tcPr>
            <w:tcW w:w="453" w:type="pct"/>
            <w:shd w:val="clear" w:color="auto" w:fill="auto"/>
            <w:noWrap/>
            <w:vAlign w:val="center"/>
            <w:hideMark/>
          </w:tcPr>
          <w:p w14:paraId="1616F756" w14:textId="77777777" w:rsidR="00DE711B" w:rsidRDefault="00DE711B">
            <w:pPr>
              <w:jc w:val="right"/>
              <w:rPr>
                <w:sz w:val="16"/>
                <w:szCs w:val="16"/>
              </w:rPr>
            </w:pPr>
            <w:r>
              <w:rPr>
                <w:sz w:val="16"/>
                <w:szCs w:val="16"/>
              </w:rPr>
              <w:t> </w:t>
            </w:r>
          </w:p>
        </w:tc>
        <w:tc>
          <w:tcPr>
            <w:tcW w:w="448" w:type="pct"/>
            <w:shd w:val="clear" w:color="auto" w:fill="auto"/>
            <w:noWrap/>
            <w:vAlign w:val="center"/>
            <w:hideMark/>
          </w:tcPr>
          <w:p w14:paraId="0A1B6ECB" w14:textId="77777777" w:rsidR="00DE711B" w:rsidRDefault="00DE711B">
            <w:pPr>
              <w:jc w:val="right"/>
              <w:rPr>
                <w:sz w:val="16"/>
                <w:szCs w:val="16"/>
              </w:rPr>
            </w:pPr>
            <w:r>
              <w:rPr>
                <w:sz w:val="16"/>
                <w:szCs w:val="16"/>
              </w:rPr>
              <w:t> </w:t>
            </w:r>
          </w:p>
        </w:tc>
      </w:tr>
      <w:tr w:rsidR="00DE711B" w14:paraId="3427BFAA" w14:textId="77777777" w:rsidTr="008E15BC">
        <w:trPr>
          <w:trHeight w:val="224"/>
          <w:jc w:val="center"/>
        </w:trPr>
        <w:tc>
          <w:tcPr>
            <w:tcW w:w="222" w:type="pct"/>
            <w:shd w:val="clear" w:color="000000" w:fill="E6E6E6"/>
            <w:noWrap/>
            <w:vAlign w:val="center"/>
            <w:hideMark/>
          </w:tcPr>
          <w:p w14:paraId="239D0BEC" w14:textId="77777777" w:rsidR="00DE711B" w:rsidRDefault="00DE711B">
            <w:pPr>
              <w:jc w:val="both"/>
              <w:rPr>
                <w:b/>
                <w:bCs/>
                <w:sz w:val="16"/>
                <w:szCs w:val="16"/>
              </w:rPr>
            </w:pPr>
            <w:r>
              <w:rPr>
                <w:b/>
                <w:bCs/>
                <w:sz w:val="16"/>
                <w:szCs w:val="16"/>
              </w:rPr>
              <w:t> </w:t>
            </w:r>
          </w:p>
        </w:tc>
        <w:tc>
          <w:tcPr>
            <w:tcW w:w="3363" w:type="pct"/>
            <w:shd w:val="clear" w:color="000000" w:fill="E6E6E6"/>
            <w:noWrap/>
            <w:vAlign w:val="center"/>
            <w:hideMark/>
          </w:tcPr>
          <w:p w14:paraId="5ADF22DE" w14:textId="77777777" w:rsidR="00DE711B" w:rsidRDefault="00DE711B">
            <w:pPr>
              <w:rPr>
                <w:b/>
                <w:bCs/>
                <w:sz w:val="16"/>
                <w:szCs w:val="16"/>
              </w:rPr>
            </w:pPr>
            <w:r>
              <w:rPr>
                <w:b/>
                <w:bCs/>
                <w:sz w:val="16"/>
                <w:szCs w:val="16"/>
              </w:rPr>
              <w:t>Общо разходи (І.+ІІ.+ІІІ.):</w:t>
            </w:r>
          </w:p>
        </w:tc>
        <w:tc>
          <w:tcPr>
            <w:tcW w:w="514" w:type="pct"/>
            <w:shd w:val="clear" w:color="000000" w:fill="E6E6E6"/>
            <w:noWrap/>
            <w:vAlign w:val="center"/>
            <w:hideMark/>
          </w:tcPr>
          <w:p w14:paraId="3D497916" w14:textId="77777777" w:rsidR="00DE711B" w:rsidRDefault="00DE711B">
            <w:pPr>
              <w:jc w:val="right"/>
              <w:rPr>
                <w:b/>
                <w:bCs/>
                <w:sz w:val="16"/>
                <w:szCs w:val="16"/>
              </w:rPr>
            </w:pPr>
            <w:r>
              <w:rPr>
                <w:b/>
                <w:bCs/>
                <w:sz w:val="16"/>
                <w:szCs w:val="16"/>
              </w:rPr>
              <w:t>11 679 000</w:t>
            </w:r>
          </w:p>
        </w:tc>
        <w:tc>
          <w:tcPr>
            <w:tcW w:w="453" w:type="pct"/>
            <w:shd w:val="clear" w:color="000000" w:fill="E6E6E6"/>
            <w:noWrap/>
            <w:vAlign w:val="center"/>
            <w:hideMark/>
          </w:tcPr>
          <w:p w14:paraId="46B7240C" w14:textId="77777777" w:rsidR="00DE711B" w:rsidRDefault="00DE711B">
            <w:pPr>
              <w:jc w:val="right"/>
              <w:rPr>
                <w:b/>
                <w:bCs/>
                <w:sz w:val="16"/>
                <w:szCs w:val="16"/>
              </w:rPr>
            </w:pPr>
            <w:r>
              <w:rPr>
                <w:b/>
                <w:bCs/>
                <w:sz w:val="16"/>
                <w:szCs w:val="16"/>
              </w:rPr>
              <w:t>11 679 000</w:t>
            </w:r>
          </w:p>
        </w:tc>
        <w:tc>
          <w:tcPr>
            <w:tcW w:w="448" w:type="pct"/>
            <w:shd w:val="clear" w:color="000000" w:fill="E6E6E6"/>
            <w:noWrap/>
            <w:vAlign w:val="center"/>
            <w:hideMark/>
          </w:tcPr>
          <w:p w14:paraId="7AEEBF24" w14:textId="77777777" w:rsidR="00DE711B" w:rsidRDefault="00DE711B">
            <w:pPr>
              <w:jc w:val="right"/>
              <w:rPr>
                <w:b/>
                <w:bCs/>
                <w:sz w:val="16"/>
                <w:szCs w:val="16"/>
              </w:rPr>
            </w:pPr>
            <w:r>
              <w:rPr>
                <w:b/>
                <w:bCs/>
                <w:sz w:val="16"/>
                <w:szCs w:val="16"/>
              </w:rPr>
              <w:t>5 213 687</w:t>
            </w:r>
          </w:p>
        </w:tc>
      </w:tr>
      <w:tr w:rsidR="00DE711B" w14:paraId="2E64CFD0" w14:textId="77777777" w:rsidTr="008E15BC">
        <w:trPr>
          <w:trHeight w:val="127"/>
          <w:jc w:val="center"/>
        </w:trPr>
        <w:tc>
          <w:tcPr>
            <w:tcW w:w="222" w:type="pct"/>
            <w:shd w:val="clear" w:color="auto" w:fill="auto"/>
            <w:noWrap/>
            <w:vAlign w:val="center"/>
            <w:hideMark/>
          </w:tcPr>
          <w:p w14:paraId="73F0B2B3" w14:textId="77777777" w:rsidR="00DE711B" w:rsidRDefault="00DE711B">
            <w:pPr>
              <w:jc w:val="both"/>
              <w:rPr>
                <w:sz w:val="16"/>
                <w:szCs w:val="16"/>
              </w:rPr>
            </w:pPr>
            <w:r>
              <w:rPr>
                <w:sz w:val="16"/>
                <w:szCs w:val="16"/>
              </w:rPr>
              <w:t> </w:t>
            </w:r>
          </w:p>
        </w:tc>
        <w:tc>
          <w:tcPr>
            <w:tcW w:w="3363" w:type="pct"/>
            <w:shd w:val="clear" w:color="auto" w:fill="auto"/>
            <w:noWrap/>
            <w:vAlign w:val="center"/>
            <w:hideMark/>
          </w:tcPr>
          <w:p w14:paraId="740463FA" w14:textId="77777777" w:rsidR="00DE711B" w:rsidRDefault="00DE711B">
            <w:pPr>
              <w:rPr>
                <w:sz w:val="16"/>
                <w:szCs w:val="16"/>
              </w:rPr>
            </w:pPr>
            <w:r>
              <w:rPr>
                <w:sz w:val="16"/>
                <w:szCs w:val="16"/>
              </w:rPr>
              <w:t>Численост на щатния персонал</w:t>
            </w:r>
          </w:p>
        </w:tc>
        <w:tc>
          <w:tcPr>
            <w:tcW w:w="514" w:type="pct"/>
            <w:shd w:val="clear" w:color="auto" w:fill="auto"/>
            <w:noWrap/>
            <w:vAlign w:val="center"/>
            <w:hideMark/>
          </w:tcPr>
          <w:p w14:paraId="677C5DD6" w14:textId="77777777" w:rsidR="00DE711B" w:rsidRDefault="00DE711B">
            <w:pPr>
              <w:jc w:val="right"/>
              <w:rPr>
                <w:sz w:val="16"/>
                <w:szCs w:val="16"/>
              </w:rPr>
            </w:pPr>
            <w:r>
              <w:rPr>
                <w:sz w:val="16"/>
                <w:szCs w:val="16"/>
              </w:rPr>
              <w:t>132</w:t>
            </w:r>
          </w:p>
        </w:tc>
        <w:tc>
          <w:tcPr>
            <w:tcW w:w="453" w:type="pct"/>
            <w:shd w:val="clear" w:color="auto" w:fill="auto"/>
            <w:noWrap/>
            <w:vAlign w:val="center"/>
            <w:hideMark/>
          </w:tcPr>
          <w:p w14:paraId="2928C9DD" w14:textId="77777777" w:rsidR="00DE711B" w:rsidRDefault="00DE711B">
            <w:pPr>
              <w:jc w:val="right"/>
              <w:rPr>
                <w:sz w:val="16"/>
                <w:szCs w:val="16"/>
              </w:rPr>
            </w:pPr>
            <w:r>
              <w:rPr>
                <w:sz w:val="16"/>
                <w:szCs w:val="16"/>
              </w:rPr>
              <w:t>132</w:t>
            </w:r>
          </w:p>
        </w:tc>
        <w:tc>
          <w:tcPr>
            <w:tcW w:w="448" w:type="pct"/>
            <w:shd w:val="clear" w:color="auto" w:fill="auto"/>
            <w:noWrap/>
            <w:vAlign w:val="center"/>
            <w:hideMark/>
          </w:tcPr>
          <w:p w14:paraId="1CD4E513" w14:textId="77777777" w:rsidR="00DE711B" w:rsidRDefault="00DE711B">
            <w:pPr>
              <w:jc w:val="right"/>
              <w:rPr>
                <w:sz w:val="16"/>
                <w:szCs w:val="16"/>
              </w:rPr>
            </w:pPr>
            <w:r>
              <w:rPr>
                <w:sz w:val="16"/>
                <w:szCs w:val="16"/>
              </w:rPr>
              <w:t>113</w:t>
            </w:r>
          </w:p>
        </w:tc>
      </w:tr>
    </w:tbl>
    <w:p w14:paraId="0C5358C5" w14:textId="77777777" w:rsidR="00D069B9" w:rsidRPr="0056424C" w:rsidRDefault="00D069B9" w:rsidP="00F222C0">
      <w:pPr>
        <w:shd w:val="clear" w:color="auto" w:fill="FFFFFF" w:themeFill="background1"/>
        <w:spacing w:before="240"/>
        <w:ind w:firstLine="426"/>
        <w:rPr>
          <w:b/>
          <w:bCs/>
          <w:color w:val="215E99" w:themeColor="text2" w:themeTint="BF"/>
          <w:sz w:val="22"/>
          <w:szCs w:val="22"/>
        </w:rPr>
      </w:pPr>
      <w:r w:rsidRPr="0056424C">
        <w:rPr>
          <w:b/>
          <w:bCs/>
          <w:color w:val="215E99" w:themeColor="text2" w:themeTint="BF"/>
          <w:sz w:val="22"/>
          <w:szCs w:val="22"/>
        </w:rPr>
        <w:t>Отговорност за изпълнението на програмата</w:t>
      </w:r>
    </w:p>
    <w:p w14:paraId="7452501C" w14:textId="1EAFBECA" w:rsidR="00600160" w:rsidRDefault="003D0648" w:rsidP="00F222C0">
      <w:pPr>
        <w:shd w:val="clear" w:color="auto" w:fill="FFFFFF" w:themeFill="background1"/>
        <w:spacing w:after="240"/>
        <w:ind w:firstLine="426"/>
        <w:jc w:val="both"/>
        <w:rPr>
          <w:sz w:val="22"/>
          <w:szCs w:val="22"/>
        </w:rPr>
      </w:pPr>
      <w:r w:rsidRPr="00F6270B">
        <w:rPr>
          <w:sz w:val="22"/>
          <w:szCs w:val="22"/>
        </w:rPr>
        <w:t xml:space="preserve">Отговорността е на </w:t>
      </w:r>
      <w:r w:rsidR="00CD3DBB">
        <w:rPr>
          <w:sz w:val="22"/>
          <w:szCs w:val="22"/>
        </w:rPr>
        <w:t>д</w:t>
      </w:r>
      <w:r w:rsidR="00CD3DBB" w:rsidRPr="00CD3DBB">
        <w:rPr>
          <w:sz w:val="22"/>
          <w:szCs w:val="22"/>
        </w:rPr>
        <w:t xml:space="preserve">ирекция “Правна”, </w:t>
      </w:r>
      <w:r w:rsidR="00CD3DBB">
        <w:rPr>
          <w:sz w:val="22"/>
          <w:szCs w:val="22"/>
        </w:rPr>
        <w:t>д</w:t>
      </w:r>
      <w:r w:rsidR="00CD3DBB" w:rsidRPr="00CD3DBB">
        <w:rPr>
          <w:sz w:val="22"/>
          <w:szCs w:val="22"/>
        </w:rPr>
        <w:t xml:space="preserve">ирекция „Правителствена информационна служба“, </w:t>
      </w:r>
      <w:r w:rsidR="00CD3DBB">
        <w:rPr>
          <w:sz w:val="22"/>
          <w:szCs w:val="22"/>
        </w:rPr>
        <w:t>д</w:t>
      </w:r>
      <w:r w:rsidR="00CD3DBB" w:rsidRPr="00CD3DBB">
        <w:rPr>
          <w:sz w:val="22"/>
          <w:szCs w:val="22"/>
        </w:rPr>
        <w:t xml:space="preserve">ирекция “Правителствена канцелария”, </w:t>
      </w:r>
      <w:r w:rsidR="00CD3DBB">
        <w:rPr>
          <w:sz w:val="22"/>
          <w:szCs w:val="22"/>
        </w:rPr>
        <w:t>д</w:t>
      </w:r>
      <w:r w:rsidR="00CD3DBB" w:rsidRPr="00CD3DBB">
        <w:rPr>
          <w:sz w:val="22"/>
          <w:szCs w:val="22"/>
        </w:rPr>
        <w:t>ирекция “Правителствен протокол”</w:t>
      </w:r>
      <w:r w:rsidR="00CD3DBB">
        <w:rPr>
          <w:sz w:val="22"/>
          <w:szCs w:val="22"/>
        </w:rPr>
        <w:t xml:space="preserve"> и о</w:t>
      </w:r>
      <w:r w:rsidR="00CD3DBB" w:rsidRPr="00CD3DBB">
        <w:rPr>
          <w:sz w:val="22"/>
          <w:szCs w:val="22"/>
        </w:rPr>
        <w:t>тдел „Контрол по изпълнението на актовете и договорите“.</w:t>
      </w:r>
    </w:p>
    <w:p w14:paraId="6AC55055" w14:textId="2F07033C" w:rsidR="00E45625" w:rsidRPr="00447C3D" w:rsidRDefault="0018076D" w:rsidP="00FE5CDF">
      <w:pPr>
        <w:pStyle w:val="Heading1"/>
      </w:pPr>
      <w:r w:rsidRPr="00447C3D">
        <w:t>9</w:t>
      </w:r>
      <w:r w:rsidR="00E45625" w:rsidRPr="00447C3D">
        <w:t>.</w:t>
      </w:r>
      <w:r w:rsidR="00A92AEF" w:rsidRPr="00447C3D">
        <w:t>2</w:t>
      </w:r>
      <w:r w:rsidR="00E45625" w:rsidRPr="00447C3D">
        <w:t xml:space="preserve"> </w:t>
      </w:r>
      <w:r w:rsidR="006E35CA" w:rsidRPr="00447C3D">
        <w:t>Бюджетна п</w:t>
      </w:r>
      <w:r w:rsidR="00E45625" w:rsidRPr="00447C3D">
        <w:t>рограма</w:t>
      </w:r>
      <w:r w:rsidR="00597E5D" w:rsidRPr="00447C3D">
        <w:t xml:space="preserve"> </w:t>
      </w:r>
      <w:r w:rsidR="00EE7A55" w:rsidRPr="00447C3D">
        <w:t xml:space="preserve">0300.01.02 </w:t>
      </w:r>
      <w:r w:rsidR="00E45625" w:rsidRPr="00447C3D">
        <w:t>“</w:t>
      </w:r>
      <w:r w:rsidR="00A92AEF" w:rsidRPr="00447C3D">
        <w:t xml:space="preserve">Координация и </w:t>
      </w:r>
      <w:r w:rsidR="008F5E09" w:rsidRPr="00447C3D">
        <w:t>мониторинг</w:t>
      </w:r>
      <w:r w:rsidR="00A92AEF" w:rsidRPr="00447C3D">
        <w:t xml:space="preserve"> на </w:t>
      </w:r>
      <w:r w:rsidR="008F5E09" w:rsidRPr="00447C3D">
        <w:t xml:space="preserve">хоризонтални </w:t>
      </w:r>
      <w:r w:rsidR="00A92AEF" w:rsidRPr="00447C3D">
        <w:t>политики</w:t>
      </w:r>
      <w:r w:rsidR="00E45625" w:rsidRPr="00447C3D">
        <w:t>”</w:t>
      </w:r>
    </w:p>
    <w:p w14:paraId="2EA7C524" w14:textId="056CEDCD" w:rsidR="00D11255" w:rsidRPr="00D04ED4" w:rsidRDefault="00D11255" w:rsidP="00F222C0">
      <w:pPr>
        <w:widowControl w:val="0"/>
        <w:shd w:val="clear" w:color="auto" w:fill="FFFFFF" w:themeFill="background1"/>
        <w:ind w:firstLine="425"/>
        <w:jc w:val="both"/>
        <w:outlineLvl w:val="3"/>
        <w:rPr>
          <w:b/>
          <w:bCs/>
          <w:iCs/>
          <w:color w:val="215E99" w:themeColor="text2" w:themeTint="BF"/>
          <w:sz w:val="22"/>
          <w:szCs w:val="22"/>
          <w:lang w:eastAsia="en-US"/>
        </w:rPr>
      </w:pPr>
      <w:r w:rsidRPr="00D04ED4">
        <w:rPr>
          <w:b/>
          <w:bCs/>
          <w:iCs/>
          <w:color w:val="215E99" w:themeColor="text2" w:themeTint="BF"/>
          <w:sz w:val="22"/>
          <w:szCs w:val="22"/>
          <w:lang w:eastAsia="en-US"/>
        </w:rPr>
        <w:t>Описание на степента на изпълнение на заложените в програмата цели:</w:t>
      </w:r>
    </w:p>
    <w:p w14:paraId="320619F6" w14:textId="77777777" w:rsidR="002E0C5B" w:rsidRPr="00A819C0" w:rsidRDefault="002E0C5B" w:rsidP="00F222C0">
      <w:pPr>
        <w:numPr>
          <w:ilvl w:val="0"/>
          <w:numId w:val="15"/>
        </w:numPr>
        <w:shd w:val="clear" w:color="auto" w:fill="FFFFFF" w:themeFill="background1"/>
        <w:tabs>
          <w:tab w:val="clear" w:pos="360"/>
          <w:tab w:val="num" w:pos="709"/>
          <w:tab w:val="num" w:pos="851"/>
        </w:tabs>
        <w:autoSpaceDE w:val="0"/>
        <w:autoSpaceDN w:val="0"/>
        <w:adjustRightInd w:val="0"/>
        <w:ind w:left="426" w:hanging="1"/>
        <w:jc w:val="both"/>
        <w:rPr>
          <w:rFonts w:eastAsia="Batang"/>
          <w:sz w:val="22"/>
          <w:szCs w:val="22"/>
          <w:lang w:eastAsia="ko-KR"/>
        </w:rPr>
      </w:pPr>
      <w:r w:rsidRPr="00A819C0">
        <w:rPr>
          <w:rFonts w:eastAsia="Batang"/>
          <w:sz w:val="22"/>
          <w:szCs w:val="22"/>
          <w:lang w:eastAsia="ko-KR"/>
        </w:rPr>
        <w:t xml:space="preserve">Да ръководи и осъществява мониторинг на изпълнението на ключови хоризонтални политики. </w:t>
      </w:r>
    </w:p>
    <w:p w14:paraId="2F1EBDE5" w14:textId="77777777" w:rsidR="002E0C5B" w:rsidRPr="00A819C0" w:rsidRDefault="002E0C5B" w:rsidP="00F222C0">
      <w:pPr>
        <w:numPr>
          <w:ilvl w:val="0"/>
          <w:numId w:val="15"/>
        </w:numPr>
        <w:shd w:val="clear" w:color="auto" w:fill="FFFFFF" w:themeFill="background1"/>
        <w:tabs>
          <w:tab w:val="clear" w:pos="360"/>
          <w:tab w:val="num" w:pos="709"/>
          <w:tab w:val="num" w:pos="851"/>
        </w:tabs>
        <w:autoSpaceDE w:val="0"/>
        <w:autoSpaceDN w:val="0"/>
        <w:adjustRightInd w:val="0"/>
        <w:ind w:left="426" w:hanging="1"/>
        <w:jc w:val="both"/>
        <w:rPr>
          <w:rFonts w:eastAsia="Batang"/>
          <w:sz w:val="22"/>
          <w:szCs w:val="22"/>
          <w:lang w:eastAsia="ko-KR"/>
        </w:rPr>
      </w:pPr>
      <w:r w:rsidRPr="00A819C0">
        <w:rPr>
          <w:rFonts w:eastAsia="Batang"/>
          <w:sz w:val="22"/>
          <w:szCs w:val="22"/>
          <w:lang w:eastAsia="ko-KR"/>
        </w:rPr>
        <w:t>Да гарантира изпълнението на политиката на правителството, да подобрява взаимодействието и координацията между администрациите и улеснява процеса на вземане на колективни решения от Министерския съвет.</w:t>
      </w:r>
    </w:p>
    <w:p w14:paraId="4967D7A0" w14:textId="77777777" w:rsidR="002E0C5B" w:rsidRPr="00A819C0" w:rsidRDefault="002E0C5B" w:rsidP="00F222C0">
      <w:pPr>
        <w:numPr>
          <w:ilvl w:val="0"/>
          <w:numId w:val="15"/>
        </w:numPr>
        <w:shd w:val="clear" w:color="auto" w:fill="FFFFFF" w:themeFill="background1"/>
        <w:tabs>
          <w:tab w:val="clear" w:pos="360"/>
          <w:tab w:val="num" w:pos="709"/>
          <w:tab w:val="num" w:pos="851"/>
        </w:tabs>
        <w:autoSpaceDE w:val="0"/>
        <w:autoSpaceDN w:val="0"/>
        <w:adjustRightInd w:val="0"/>
        <w:ind w:left="426" w:hanging="1"/>
        <w:jc w:val="both"/>
        <w:rPr>
          <w:rFonts w:eastAsia="Batang"/>
          <w:sz w:val="22"/>
          <w:szCs w:val="22"/>
          <w:lang w:eastAsia="ko-KR"/>
        </w:rPr>
      </w:pPr>
      <w:r w:rsidRPr="00A819C0">
        <w:rPr>
          <w:rFonts w:eastAsia="Batang"/>
          <w:sz w:val="22"/>
          <w:szCs w:val="22"/>
          <w:lang w:eastAsia="ko-KR"/>
        </w:rPr>
        <w:t xml:space="preserve">Да осигурява ефективно и координирано участие на Република България в процеса на вземане на решения в ЕС, изпълнение на ангажиментите, произтичащи от членството на страната в ЕС и съдействие при разрешаването на </w:t>
      </w:r>
      <w:proofErr w:type="spellStart"/>
      <w:r w:rsidRPr="00A819C0">
        <w:rPr>
          <w:rFonts w:eastAsia="Batang"/>
          <w:sz w:val="22"/>
          <w:szCs w:val="22"/>
          <w:lang w:eastAsia="ko-KR"/>
        </w:rPr>
        <w:t>презгранични</w:t>
      </w:r>
      <w:proofErr w:type="spellEnd"/>
      <w:r w:rsidRPr="00A819C0">
        <w:rPr>
          <w:rFonts w:eastAsia="Batang"/>
          <w:sz w:val="22"/>
          <w:szCs w:val="22"/>
          <w:lang w:eastAsia="ko-KR"/>
        </w:rPr>
        <w:t xml:space="preserve"> проблеми в областта на вътрешния пазар на ЕС.</w:t>
      </w:r>
    </w:p>
    <w:p w14:paraId="2FC8025F" w14:textId="77777777" w:rsidR="002E0C5B" w:rsidRPr="00A819C0" w:rsidRDefault="002E0C5B" w:rsidP="00F222C0">
      <w:pPr>
        <w:numPr>
          <w:ilvl w:val="0"/>
          <w:numId w:val="15"/>
        </w:numPr>
        <w:shd w:val="clear" w:color="auto" w:fill="FFFFFF" w:themeFill="background1"/>
        <w:tabs>
          <w:tab w:val="clear" w:pos="360"/>
          <w:tab w:val="num" w:pos="709"/>
          <w:tab w:val="num" w:pos="851"/>
        </w:tabs>
        <w:autoSpaceDE w:val="0"/>
        <w:autoSpaceDN w:val="0"/>
        <w:adjustRightInd w:val="0"/>
        <w:ind w:left="426" w:hanging="1"/>
        <w:jc w:val="both"/>
        <w:rPr>
          <w:rFonts w:eastAsia="Batang"/>
          <w:sz w:val="22"/>
          <w:szCs w:val="22"/>
          <w:lang w:eastAsia="ko-KR"/>
        </w:rPr>
      </w:pPr>
      <w:r w:rsidRPr="00A819C0">
        <w:rPr>
          <w:rFonts w:eastAsia="Batang"/>
          <w:sz w:val="22"/>
          <w:szCs w:val="22"/>
          <w:lang w:eastAsia="ko-KR"/>
        </w:rPr>
        <w:t>Да осигурява ангажиментите на администрацията на Министерския съвет в организацията и координацията на процеса на разговори и подготвителни дейности за присъединяване на Република България към организацията за икономическо сътрудничество и развитие (ОИСР).</w:t>
      </w:r>
    </w:p>
    <w:p w14:paraId="24A952EF" w14:textId="7751CD83" w:rsidR="00F57E93" w:rsidRPr="00D04ED4" w:rsidRDefault="00F57E93" w:rsidP="00F222C0">
      <w:pPr>
        <w:widowControl w:val="0"/>
        <w:shd w:val="clear" w:color="auto" w:fill="FFFFFF" w:themeFill="background1"/>
        <w:spacing w:before="120"/>
        <w:ind w:firstLine="425"/>
        <w:jc w:val="both"/>
        <w:outlineLvl w:val="3"/>
        <w:rPr>
          <w:b/>
          <w:bCs/>
          <w:iCs/>
          <w:color w:val="215E99" w:themeColor="text2" w:themeTint="BF"/>
          <w:sz w:val="22"/>
          <w:szCs w:val="22"/>
          <w:lang w:eastAsia="en-US"/>
        </w:rPr>
      </w:pPr>
      <w:r w:rsidRPr="00D04ED4">
        <w:rPr>
          <w:b/>
          <w:bCs/>
          <w:iCs/>
          <w:color w:val="215E99" w:themeColor="text2" w:themeTint="BF"/>
          <w:sz w:val="22"/>
          <w:szCs w:val="22"/>
          <w:lang w:eastAsia="en-US"/>
        </w:rPr>
        <w:t>Външни фактори, които могат да окажат въздействие върху постигането на целите на програмата:</w:t>
      </w:r>
    </w:p>
    <w:p w14:paraId="0AD8B98C" w14:textId="77777777" w:rsidR="002E0C5B" w:rsidRPr="00132D53" w:rsidRDefault="002E0C5B" w:rsidP="00F222C0">
      <w:pPr>
        <w:pStyle w:val="ListParagraph"/>
        <w:numPr>
          <w:ilvl w:val="0"/>
          <w:numId w:val="26"/>
        </w:numPr>
        <w:shd w:val="clear" w:color="auto" w:fill="FFFFFF" w:themeFill="background1"/>
        <w:tabs>
          <w:tab w:val="num" w:pos="709"/>
        </w:tabs>
        <w:autoSpaceDE w:val="0"/>
        <w:autoSpaceDN w:val="0"/>
        <w:adjustRightInd w:val="0"/>
        <w:ind w:firstLine="66"/>
        <w:jc w:val="both"/>
        <w:rPr>
          <w:sz w:val="22"/>
          <w:szCs w:val="22"/>
        </w:rPr>
      </w:pPr>
      <w:r w:rsidRPr="00132D53">
        <w:rPr>
          <w:sz w:val="22"/>
          <w:szCs w:val="22"/>
        </w:rPr>
        <w:t>Рязка и неочаквана промяна в международните отношения и политиката за сигурност;</w:t>
      </w:r>
    </w:p>
    <w:p w14:paraId="3752DCE4" w14:textId="77777777" w:rsidR="002E0C5B" w:rsidRPr="002E0C5B" w:rsidRDefault="002E0C5B" w:rsidP="00F222C0">
      <w:pPr>
        <w:pStyle w:val="ListParagraph"/>
        <w:numPr>
          <w:ilvl w:val="0"/>
          <w:numId w:val="26"/>
        </w:numPr>
        <w:shd w:val="clear" w:color="auto" w:fill="FFFFFF" w:themeFill="background1"/>
        <w:tabs>
          <w:tab w:val="num" w:pos="709"/>
        </w:tabs>
        <w:autoSpaceDE w:val="0"/>
        <w:autoSpaceDN w:val="0"/>
        <w:adjustRightInd w:val="0"/>
        <w:ind w:firstLine="66"/>
        <w:jc w:val="both"/>
        <w:rPr>
          <w:sz w:val="22"/>
          <w:szCs w:val="22"/>
        </w:rPr>
      </w:pPr>
      <w:r w:rsidRPr="002E0C5B">
        <w:rPr>
          <w:sz w:val="22"/>
          <w:szCs w:val="22"/>
        </w:rPr>
        <w:t>Глобални катастрофи;</w:t>
      </w:r>
    </w:p>
    <w:p w14:paraId="00F0F70A" w14:textId="77777777" w:rsidR="002E0C5B" w:rsidRPr="002E0C5B" w:rsidRDefault="002E0C5B" w:rsidP="00F222C0">
      <w:pPr>
        <w:pStyle w:val="ListParagraph"/>
        <w:numPr>
          <w:ilvl w:val="0"/>
          <w:numId w:val="26"/>
        </w:numPr>
        <w:shd w:val="clear" w:color="auto" w:fill="FFFFFF" w:themeFill="background1"/>
        <w:tabs>
          <w:tab w:val="num" w:pos="709"/>
        </w:tabs>
        <w:autoSpaceDE w:val="0"/>
        <w:autoSpaceDN w:val="0"/>
        <w:adjustRightInd w:val="0"/>
        <w:ind w:firstLine="66"/>
        <w:jc w:val="both"/>
        <w:rPr>
          <w:sz w:val="22"/>
          <w:szCs w:val="22"/>
        </w:rPr>
      </w:pPr>
      <w:r w:rsidRPr="002E0C5B">
        <w:rPr>
          <w:sz w:val="22"/>
          <w:szCs w:val="22"/>
        </w:rPr>
        <w:lastRenderedPageBreak/>
        <w:t>Финансово обезпечаване, включително от европейските фондове;</w:t>
      </w:r>
    </w:p>
    <w:p w14:paraId="3741F6CD" w14:textId="77777777" w:rsidR="002E0C5B" w:rsidRPr="002E0C5B" w:rsidRDefault="002E0C5B" w:rsidP="00F222C0">
      <w:pPr>
        <w:pStyle w:val="ListParagraph"/>
        <w:numPr>
          <w:ilvl w:val="0"/>
          <w:numId w:val="26"/>
        </w:numPr>
        <w:shd w:val="clear" w:color="auto" w:fill="FFFFFF" w:themeFill="background1"/>
        <w:tabs>
          <w:tab w:val="num" w:pos="709"/>
        </w:tabs>
        <w:autoSpaceDE w:val="0"/>
        <w:autoSpaceDN w:val="0"/>
        <w:adjustRightInd w:val="0"/>
        <w:ind w:firstLine="66"/>
        <w:jc w:val="both"/>
        <w:rPr>
          <w:sz w:val="22"/>
          <w:szCs w:val="22"/>
        </w:rPr>
      </w:pPr>
      <w:r w:rsidRPr="002E0C5B">
        <w:rPr>
          <w:sz w:val="22"/>
          <w:szCs w:val="22"/>
        </w:rPr>
        <w:t>Промени в законодателството;</w:t>
      </w:r>
    </w:p>
    <w:p w14:paraId="78A5EAD7" w14:textId="77777777" w:rsidR="002E0C5B" w:rsidRPr="002E0C5B" w:rsidRDefault="002E0C5B" w:rsidP="00F222C0">
      <w:pPr>
        <w:pStyle w:val="ListParagraph"/>
        <w:numPr>
          <w:ilvl w:val="0"/>
          <w:numId w:val="26"/>
        </w:numPr>
        <w:shd w:val="clear" w:color="auto" w:fill="FFFFFF" w:themeFill="background1"/>
        <w:tabs>
          <w:tab w:val="num" w:pos="709"/>
        </w:tabs>
        <w:autoSpaceDE w:val="0"/>
        <w:autoSpaceDN w:val="0"/>
        <w:adjustRightInd w:val="0"/>
        <w:ind w:firstLine="66"/>
        <w:jc w:val="both"/>
        <w:rPr>
          <w:sz w:val="22"/>
          <w:szCs w:val="22"/>
        </w:rPr>
      </w:pPr>
      <w:r w:rsidRPr="002E0C5B">
        <w:rPr>
          <w:sz w:val="22"/>
          <w:szCs w:val="22"/>
        </w:rPr>
        <w:t>Преструктуриране на държавната администрация.</w:t>
      </w:r>
    </w:p>
    <w:p w14:paraId="102F33A4" w14:textId="77777777" w:rsidR="002E0C5B" w:rsidRPr="002E0C5B" w:rsidRDefault="002E0C5B" w:rsidP="00F222C0">
      <w:pPr>
        <w:pStyle w:val="ListParagraph"/>
        <w:numPr>
          <w:ilvl w:val="0"/>
          <w:numId w:val="26"/>
        </w:numPr>
        <w:shd w:val="clear" w:color="auto" w:fill="FFFFFF" w:themeFill="background1"/>
        <w:tabs>
          <w:tab w:val="clear" w:pos="360"/>
          <w:tab w:val="num" w:pos="709"/>
          <w:tab w:val="num" w:pos="851"/>
        </w:tabs>
        <w:autoSpaceDE w:val="0"/>
        <w:autoSpaceDN w:val="0"/>
        <w:adjustRightInd w:val="0"/>
        <w:ind w:left="709" w:hanging="283"/>
        <w:jc w:val="both"/>
        <w:rPr>
          <w:sz w:val="22"/>
          <w:szCs w:val="22"/>
        </w:rPr>
      </w:pPr>
      <w:r w:rsidRPr="002E0C5B">
        <w:rPr>
          <w:sz w:val="22"/>
          <w:szCs w:val="22"/>
        </w:rPr>
        <w:t>Успешното участие на България в процеса на вземане на решения и коректното изпълнение на задълженията й като държава-член на Европейския съюз, зависят от координацията между отделните административни структури, както и между политическото и експертното ниво. В този смисъл фактори, които биха оказали негативно въздействие върху изпълнението на програмата, са следните:</w:t>
      </w:r>
    </w:p>
    <w:p w14:paraId="7DDCE607" w14:textId="77777777" w:rsidR="002E0C5B" w:rsidRPr="002E0C5B" w:rsidRDefault="002E0C5B" w:rsidP="00F222C0">
      <w:pPr>
        <w:pStyle w:val="ListParagraph"/>
        <w:numPr>
          <w:ilvl w:val="0"/>
          <w:numId w:val="26"/>
        </w:numPr>
        <w:shd w:val="clear" w:color="auto" w:fill="FFFFFF" w:themeFill="background1"/>
        <w:tabs>
          <w:tab w:val="num" w:pos="709"/>
        </w:tabs>
        <w:autoSpaceDE w:val="0"/>
        <w:autoSpaceDN w:val="0"/>
        <w:adjustRightInd w:val="0"/>
        <w:ind w:firstLine="66"/>
        <w:jc w:val="both"/>
        <w:rPr>
          <w:sz w:val="22"/>
          <w:szCs w:val="22"/>
        </w:rPr>
      </w:pPr>
      <w:r w:rsidRPr="002E0C5B">
        <w:rPr>
          <w:sz w:val="22"/>
          <w:szCs w:val="22"/>
        </w:rPr>
        <w:t>Рязка и неочаквана промяна в политиките на Европейския съюз;</w:t>
      </w:r>
    </w:p>
    <w:p w14:paraId="1E719760" w14:textId="77777777" w:rsidR="002E0C5B" w:rsidRPr="002E0C5B" w:rsidRDefault="002E0C5B" w:rsidP="00F222C0">
      <w:pPr>
        <w:pStyle w:val="ListParagraph"/>
        <w:numPr>
          <w:ilvl w:val="0"/>
          <w:numId w:val="26"/>
        </w:numPr>
        <w:shd w:val="clear" w:color="auto" w:fill="FFFFFF" w:themeFill="background1"/>
        <w:tabs>
          <w:tab w:val="num" w:pos="709"/>
        </w:tabs>
        <w:autoSpaceDE w:val="0"/>
        <w:autoSpaceDN w:val="0"/>
        <w:adjustRightInd w:val="0"/>
        <w:ind w:firstLine="66"/>
        <w:jc w:val="both"/>
        <w:rPr>
          <w:sz w:val="22"/>
          <w:szCs w:val="22"/>
        </w:rPr>
      </w:pPr>
      <w:r w:rsidRPr="002E0C5B">
        <w:rPr>
          <w:sz w:val="22"/>
          <w:szCs w:val="22"/>
        </w:rPr>
        <w:t>Недостатъчен административен капацитет и текучество на кадри;</w:t>
      </w:r>
    </w:p>
    <w:p w14:paraId="06C90908" w14:textId="77777777" w:rsidR="002E0C5B" w:rsidRPr="002E0C5B" w:rsidRDefault="002E0C5B" w:rsidP="00F222C0">
      <w:pPr>
        <w:pStyle w:val="ListParagraph"/>
        <w:numPr>
          <w:ilvl w:val="0"/>
          <w:numId w:val="26"/>
        </w:numPr>
        <w:shd w:val="clear" w:color="auto" w:fill="FFFFFF" w:themeFill="background1"/>
        <w:tabs>
          <w:tab w:val="num" w:pos="709"/>
        </w:tabs>
        <w:autoSpaceDE w:val="0"/>
        <w:autoSpaceDN w:val="0"/>
        <w:adjustRightInd w:val="0"/>
        <w:ind w:firstLine="66"/>
        <w:jc w:val="both"/>
        <w:rPr>
          <w:sz w:val="22"/>
          <w:szCs w:val="22"/>
        </w:rPr>
      </w:pPr>
      <w:r w:rsidRPr="002E0C5B">
        <w:rPr>
          <w:sz w:val="22"/>
          <w:szCs w:val="22"/>
        </w:rPr>
        <w:t>Преструктуриране на държавната администрация;</w:t>
      </w:r>
    </w:p>
    <w:p w14:paraId="696C327F" w14:textId="77777777" w:rsidR="002E0C5B" w:rsidRPr="002E0C5B" w:rsidRDefault="002E0C5B" w:rsidP="00F222C0">
      <w:pPr>
        <w:pStyle w:val="ListParagraph"/>
        <w:numPr>
          <w:ilvl w:val="0"/>
          <w:numId w:val="26"/>
        </w:numPr>
        <w:shd w:val="clear" w:color="auto" w:fill="FFFFFF" w:themeFill="background1"/>
        <w:tabs>
          <w:tab w:val="num" w:pos="709"/>
        </w:tabs>
        <w:autoSpaceDE w:val="0"/>
        <w:autoSpaceDN w:val="0"/>
        <w:adjustRightInd w:val="0"/>
        <w:ind w:firstLine="66"/>
        <w:jc w:val="both"/>
        <w:rPr>
          <w:sz w:val="22"/>
          <w:szCs w:val="22"/>
        </w:rPr>
      </w:pPr>
      <w:r w:rsidRPr="002E0C5B">
        <w:rPr>
          <w:sz w:val="22"/>
          <w:szCs w:val="22"/>
        </w:rPr>
        <w:t>Отсъствие или недостатъчна подкрепа от страна на ръководствата в администрациите;</w:t>
      </w:r>
    </w:p>
    <w:p w14:paraId="76DA33FC" w14:textId="77777777" w:rsidR="002E0C5B" w:rsidRPr="002E0C5B" w:rsidRDefault="002E0C5B" w:rsidP="00F222C0">
      <w:pPr>
        <w:pStyle w:val="ListParagraph"/>
        <w:numPr>
          <w:ilvl w:val="0"/>
          <w:numId w:val="26"/>
        </w:numPr>
        <w:shd w:val="clear" w:color="auto" w:fill="FFFFFF" w:themeFill="background1"/>
        <w:tabs>
          <w:tab w:val="num" w:pos="709"/>
        </w:tabs>
        <w:autoSpaceDE w:val="0"/>
        <w:autoSpaceDN w:val="0"/>
        <w:adjustRightInd w:val="0"/>
        <w:spacing w:after="120"/>
        <w:ind w:firstLine="66"/>
        <w:jc w:val="both"/>
        <w:rPr>
          <w:sz w:val="22"/>
          <w:szCs w:val="22"/>
        </w:rPr>
      </w:pPr>
      <w:r w:rsidRPr="002E0C5B">
        <w:rPr>
          <w:sz w:val="22"/>
          <w:szCs w:val="22"/>
        </w:rPr>
        <w:t>Силно ограничен финансов ресурс.</w:t>
      </w:r>
    </w:p>
    <w:p w14:paraId="05CD0924" w14:textId="77777777" w:rsidR="00B14402" w:rsidRPr="00D04ED4" w:rsidRDefault="00B14402" w:rsidP="00460EE3">
      <w:pPr>
        <w:widowControl w:val="0"/>
        <w:shd w:val="clear" w:color="auto" w:fill="FFFFFF" w:themeFill="background1"/>
        <w:spacing w:after="120"/>
        <w:ind w:firstLine="426"/>
        <w:jc w:val="both"/>
        <w:outlineLvl w:val="3"/>
        <w:rPr>
          <w:b/>
          <w:bCs/>
          <w:iCs/>
          <w:color w:val="215E99" w:themeColor="text2" w:themeTint="BF"/>
          <w:sz w:val="22"/>
          <w:szCs w:val="22"/>
        </w:rPr>
      </w:pPr>
      <w:r w:rsidRPr="00D04ED4">
        <w:rPr>
          <w:b/>
          <w:bCs/>
          <w:iCs/>
          <w:color w:val="215E99" w:themeColor="text2" w:themeTint="BF"/>
          <w:sz w:val="22"/>
          <w:szCs w:val="22"/>
        </w:rPr>
        <w:t>Продукти/услуги предоставяни по програмата – описание на постигнатите резултати и изпълнените дейности за тяхното постигане</w:t>
      </w:r>
    </w:p>
    <w:p w14:paraId="46C8CC88" w14:textId="71CA6128" w:rsidR="00B14402" w:rsidRPr="00460EE3" w:rsidRDefault="00B14402" w:rsidP="00460EE3">
      <w:pPr>
        <w:pStyle w:val="ListParagraph"/>
        <w:widowControl w:val="0"/>
        <w:numPr>
          <w:ilvl w:val="0"/>
          <w:numId w:val="69"/>
        </w:numPr>
        <w:shd w:val="clear" w:color="auto" w:fill="FFFFFF" w:themeFill="background1"/>
        <w:ind w:left="0" w:firstLine="425"/>
        <w:jc w:val="both"/>
        <w:outlineLvl w:val="3"/>
        <w:rPr>
          <w:b/>
          <w:bCs/>
          <w:i/>
          <w:iCs/>
          <w:color w:val="215E99" w:themeColor="text2" w:themeTint="BF"/>
          <w:sz w:val="22"/>
          <w:szCs w:val="22"/>
        </w:rPr>
      </w:pPr>
      <w:r w:rsidRPr="00460EE3">
        <w:rPr>
          <w:b/>
          <w:bCs/>
          <w:i/>
          <w:iCs/>
          <w:color w:val="215E99" w:themeColor="text2" w:themeTint="BF"/>
          <w:sz w:val="22"/>
          <w:szCs w:val="22"/>
        </w:rPr>
        <w:t>Координация между централните органи на изпълнителната власт и областните управит</w:t>
      </w:r>
      <w:r w:rsidR="007E5A79" w:rsidRPr="00460EE3">
        <w:rPr>
          <w:b/>
          <w:bCs/>
          <w:i/>
          <w:iCs/>
          <w:color w:val="215E99" w:themeColor="text2" w:themeTint="BF"/>
          <w:sz w:val="22"/>
          <w:szCs w:val="22"/>
        </w:rPr>
        <w:t>ели – отдел „Р</w:t>
      </w:r>
      <w:r w:rsidRPr="00460EE3">
        <w:rPr>
          <w:b/>
          <w:bCs/>
          <w:i/>
          <w:iCs/>
          <w:color w:val="215E99" w:themeColor="text2" w:themeTint="BF"/>
          <w:sz w:val="22"/>
          <w:szCs w:val="22"/>
        </w:rPr>
        <w:t>егионална координация”</w:t>
      </w:r>
    </w:p>
    <w:p w14:paraId="205B5500" w14:textId="77777777" w:rsidR="00B14402" w:rsidRPr="00667B09" w:rsidRDefault="00B14402" w:rsidP="00460EE3">
      <w:pPr>
        <w:shd w:val="clear" w:color="auto" w:fill="FFFFFF" w:themeFill="background1"/>
        <w:ind w:firstLine="425"/>
        <w:jc w:val="both"/>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6AD8A170" w14:textId="77777777" w:rsidR="0001538B" w:rsidRPr="00667B09" w:rsidRDefault="0001538B" w:rsidP="00460EE3">
      <w:pPr>
        <w:shd w:val="clear" w:color="auto" w:fill="FFFFFF" w:themeFill="background1"/>
        <w:autoSpaceDE w:val="0"/>
        <w:autoSpaceDN w:val="0"/>
        <w:adjustRightInd w:val="0"/>
        <w:ind w:firstLine="426"/>
        <w:jc w:val="both"/>
        <w:rPr>
          <w:rFonts w:eastAsia="Batang"/>
          <w:i/>
          <w:sz w:val="22"/>
          <w:szCs w:val="22"/>
          <w:lang w:eastAsia="ko-KR"/>
        </w:rPr>
      </w:pPr>
      <w:r w:rsidRPr="00667B09">
        <w:rPr>
          <w:rFonts w:eastAsia="Batang"/>
          <w:i/>
          <w:sz w:val="22"/>
          <w:szCs w:val="22"/>
          <w:lang w:eastAsia="ko-KR"/>
        </w:rPr>
        <w:t>През отчетния период са постигнати заложените цели, свързани с:</w:t>
      </w:r>
    </w:p>
    <w:p w14:paraId="70E0792A" w14:textId="33DDA289" w:rsidR="0036429D" w:rsidRDefault="0036429D" w:rsidP="00460EE3">
      <w:pPr>
        <w:pStyle w:val="ListParagraph"/>
        <w:numPr>
          <w:ilvl w:val="0"/>
          <w:numId w:val="34"/>
        </w:numPr>
        <w:shd w:val="clear" w:color="auto" w:fill="FFFFFF" w:themeFill="background1"/>
        <w:autoSpaceDE w:val="0"/>
        <w:autoSpaceDN w:val="0"/>
        <w:adjustRightInd w:val="0"/>
        <w:ind w:left="0" w:firstLine="426"/>
        <w:jc w:val="both"/>
        <w:rPr>
          <w:sz w:val="22"/>
          <w:szCs w:val="22"/>
        </w:rPr>
      </w:pPr>
      <w:r w:rsidRPr="0036429D">
        <w:rPr>
          <w:sz w:val="22"/>
          <w:szCs w:val="22"/>
        </w:rPr>
        <w:t>Подпомагане на процеса за оптимизиране на функционалната компетентност на областните управители и подобряване на координацията и диалога между тях и централната и местната власт и неправителствения сектор;</w:t>
      </w:r>
    </w:p>
    <w:p w14:paraId="6E9528B5" w14:textId="2BB630FF" w:rsidR="0036429D" w:rsidRDefault="0036429D" w:rsidP="00460EE3">
      <w:pPr>
        <w:pStyle w:val="ListParagraph"/>
        <w:numPr>
          <w:ilvl w:val="0"/>
          <w:numId w:val="34"/>
        </w:numPr>
        <w:shd w:val="clear" w:color="auto" w:fill="FFFFFF" w:themeFill="background1"/>
        <w:autoSpaceDE w:val="0"/>
        <w:autoSpaceDN w:val="0"/>
        <w:adjustRightInd w:val="0"/>
        <w:ind w:left="0" w:firstLine="426"/>
        <w:jc w:val="both"/>
        <w:rPr>
          <w:sz w:val="22"/>
          <w:szCs w:val="22"/>
        </w:rPr>
      </w:pPr>
      <w:r w:rsidRPr="0036429D">
        <w:rPr>
          <w:sz w:val="22"/>
          <w:szCs w:val="22"/>
        </w:rPr>
        <w:t xml:space="preserve">Осигуряване на процеса по организационно-техническа подготовка и произвеждане на избори за държавни и местни органи на власт; </w:t>
      </w:r>
    </w:p>
    <w:p w14:paraId="241A9107" w14:textId="270DA5E5" w:rsidR="00534712" w:rsidRPr="0036429D" w:rsidRDefault="0036429D" w:rsidP="00460EE3">
      <w:pPr>
        <w:pStyle w:val="ListParagraph"/>
        <w:numPr>
          <w:ilvl w:val="0"/>
          <w:numId w:val="34"/>
        </w:numPr>
        <w:shd w:val="clear" w:color="auto" w:fill="FFFFFF" w:themeFill="background1"/>
        <w:autoSpaceDE w:val="0"/>
        <w:autoSpaceDN w:val="0"/>
        <w:adjustRightInd w:val="0"/>
        <w:ind w:left="0" w:firstLine="426"/>
        <w:jc w:val="both"/>
        <w:rPr>
          <w:sz w:val="22"/>
          <w:szCs w:val="22"/>
        </w:rPr>
      </w:pPr>
      <w:r w:rsidRPr="0036429D">
        <w:rPr>
          <w:sz w:val="22"/>
          <w:szCs w:val="22"/>
        </w:rPr>
        <w:t>Осигуряване на коректна и пълна информация за административните структури, административните услуги и конкурсите за нуждите на държавното управление.</w:t>
      </w:r>
    </w:p>
    <w:p w14:paraId="2A3A890B" w14:textId="77777777" w:rsidR="00534712" w:rsidRPr="00667B09" w:rsidRDefault="00534712" w:rsidP="00613682">
      <w:pPr>
        <w:shd w:val="clear" w:color="auto" w:fill="FFFFFF" w:themeFill="background1"/>
        <w:spacing w:before="120"/>
        <w:ind w:firstLine="426"/>
        <w:rPr>
          <w:b/>
          <w:i/>
          <w:color w:val="800000"/>
          <w:sz w:val="22"/>
          <w:szCs w:val="22"/>
        </w:rPr>
      </w:pPr>
      <w:r w:rsidRPr="00667B09">
        <w:rPr>
          <w:b/>
          <w:i/>
          <w:color w:val="800000"/>
          <w:sz w:val="22"/>
          <w:szCs w:val="22"/>
        </w:rPr>
        <w:t>Дейности за предоставяне на продукта/услугата:</w:t>
      </w:r>
    </w:p>
    <w:p w14:paraId="4B7F26BE" w14:textId="77777777" w:rsidR="002C678E" w:rsidRPr="00762DF6" w:rsidRDefault="002C678E" w:rsidP="00613682">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762DF6">
        <w:rPr>
          <w:sz w:val="22"/>
          <w:szCs w:val="22"/>
        </w:rPr>
        <w:t>Извършване на мониторинг на нормативните актове, възлагащи правомощия и функции на областните управители и предлагане механизми за изпълнението им съвместно с компетентните ведомства;</w:t>
      </w:r>
    </w:p>
    <w:p w14:paraId="67FE2714" w14:textId="77777777" w:rsidR="002C678E" w:rsidRPr="00762DF6" w:rsidRDefault="002C678E" w:rsidP="00613682">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762DF6">
        <w:rPr>
          <w:sz w:val="22"/>
          <w:szCs w:val="22"/>
        </w:rPr>
        <w:t>Изготвяне на анализи на нормативната уредба, отнасяща се до правомощията на областните управители и предложения за промени;</w:t>
      </w:r>
    </w:p>
    <w:p w14:paraId="1C2E253A" w14:textId="77777777" w:rsidR="002C678E" w:rsidRPr="00762DF6" w:rsidRDefault="002C678E" w:rsidP="00613682">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762DF6">
        <w:rPr>
          <w:sz w:val="22"/>
          <w:szCs w:val="22"/>
        </w:rPr>
        <w:t>Изготвяне на становища и предложения, свързани с правомощия и функции на областни управители и техните администрации;</w:t>
      </w:r>
    </w:p>
    <w:p w14:paraId="3156D852" w14:textId="77777777" w:rsidR="002C678E" w:rsidRPr="00762DF6" w:rsidRDefault="002C678E" w:rsidP="00613682">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762DF6">
        <w:rPr>
          <w:sz w:val="22"/>
          <w:szCs w:val="22"/>
        </w:rPr>
        <w:t>Организиране и участие в срещи на областните управители с министри и ръководители на други ведомства;</w:t>
      </w:r>
    </w:p>
    <w:p w14:paraId="6BB588BE" w14:textId="77777777" w:rsidR="002C678E" w:rsidRPr="00762DF6" w:rsidRDefault="002C678E" w:rsidP="00613682">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762DF6">
        <w:rPr>
          <w:sz w:val="22"/>
          <w:szCs w:val="22"/>
        </w:rPr>
        <w:t>Изготвяне на становища и предложения, свързани със структурни промени на областно ниво.</w:t>
      </w:r>
    </w:p>
    <w:p w14:paraId="34057780" w14:textId="77777777" w:rsidR="00B80AA2" w:rsidRPr="00667B09" w:rsidRDefault="00B80AA2" w:rsidP="00613682">
      <w:pPr>
        <w:shd w:val="clear" w:color="auto" w:fill="FFFFFF" w:themeFill="background1"/>
        <w:autoSpaceDE w:val="0"/>
        <w:autoSpaceDN w:val="0"/>
        <w:adjustRightInd w:val="0"/>
        <w:spacing w:before="120"/>
        <w:jc w:val="both"/>
        <w:rPr>
          <w:rFonts w:eastAsia="Batang"/>
          <w:i/>
          <w:sz w:val="22"/>
          <w:szCs w:val="22"/>
          <w:lang w:eastAsia="ko-KR"/>
        </w:rPr>
      </w:pPr>
      <w:r w:rsidRPr="00667B09">
        <w:rPr>
          <w:rFonts w:eastAsia="Batang"/>
          <w:i/>
          <w:sz w:val="22"/>
          <w:szCs w:val="22"/>
          <w:lang w:eastAsia="ko-KR"/>
        </w:rPr>
        <w:t>Изпълнението на дейностите за периода включва:</w:t>
      </w:r>
    </w:p>
    <w:p w14:paraId="500CEC8A" w14:textId="77777777" w:rsidR="000D1BAC" w:rsidRPr="00E37483" w:rsidRDefault="000D1BAC" w:rsidP="00613682">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Изготвени са отчетите за 2024 г. и полугодието на 2025 г. за степента на изпълнение на утвърдените политики и програми на областните управители по Програма „Осъществяване на държавната политика на областно ниво”, като част от Подробния отчет за изпълнението на програмния бюджет на Министерския съвет за 2024 г. и полугодието на 2025 г.;</w:t>
      </w:r>
    </w:p>
    <w:p w14:paraId="1ADB5A01" w14:textId="77777777" w:rsidR="000D1BAC" w:rsidRPr="00E37483" w:rsidRDefault="000D1BAC" w:rsidP="00613682">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Координиран е процесът по разработване на програмния бюджет за политиките и програмите на МС, вкл. тригодишната прогноза, в частта за областните администрации;</w:t>
      </w:r>
    </w:p>
    <w:p w14:paraId="6C18931B" w14:textId="77777777" w:rsidR="000D1BAC" w:rsidRPr="00E37483" w:rsidRDefault="000D1BAC" w:rsidP="00613682">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Изготвен е доклад за приоритетните въпроси и проблеми, свързани с правомощията на областните управители и техните администрации;</w:t>
      </w:r>
    </w:p>
    <w:p w14:paraId="05D05C3D" w14:textId="77777777" w:rsidR="000D1BAC" w:rsidRPr="00E37483" w:rsidRDefault="000D1BAC" w:rsidP="00613682">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 xml:space="preserve">Създадена е междуведомствена работна група, която е извършила анализ на констатираните от областните управители на областите Бургас, Варна и Добрич проблеми, свързани с прилагането на чл. 7, ал. 11 и ал. 12 във връзка с ал. 9 от Закона за устройството на Черноморското крайбрежие </w:t>
      </w:r>
      <w:r w:rsidRPr="00E37483">
        <w:rPr>
          <w:sz w:val="22"/>
          <w:szCs w:val="22"/>
        </w:rPr>
        <w:lastRenderedPageBreak/>
        <w:t>и чл. 46 от Закона за защитените територии. Работната група е изготвила и представила доклад с предложения за преодоляването им;</w:t>
      </w:r>
    </w:p>
    <w:p w14:paraId="256F3327" w14:textId="77777777" w:rsidR="000D1BAC" w:rsidRPr="00E37483" w:rsidRDefault="000D1BAC" w:rsidP="00613682">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Изготвени са становища/писма и други относно функции и задължения на областните управители;</w:t>
      </w:r>
    </w:p>
    <w:p w14:paraId="360A3257" w14:textId="77777777" w:rsidR="000D1BAC" w:rsidRPr="00E37483" w:rsidRDefault="000D1BAC" w:rsidP="00613682">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Служители от ОРК участват в работни групи и комисии при обсъждане на въпроси, засягащи правомощия на областните управители и функции на областните администрации, представители на отдела участват в комисията за преглед на предложенията на областните администрации за участие с проекти по национални и европейски програми и др.</w:t>
      </w:r>
    </w:p>
    <w:p w14:paraId="565A8F5D" w14:textId="1FFB66B7" w:rsidR="00B14402" w:rsidRPr="00613682" w:rsidRDefault="00B14402" w:rsidP="00CD1BD9">
      <w:pPr>
        <w:pStyle w:val="ListParagraph"/>
        <w:widowControl w:val="0"/>
        <w:numPr>
          <w:ilvl w:val="0"/>
          <w:numId w:val="69"/>
        </w:numPr>
        <w:shd w:val="clear" w:color="auto" w:fill="FFFFFF" w:themeFill="background1"/>
        <w:ind w:left="0" w:firstLine="425"/>
        <w:jc w:val="both"/>
        <w:outlineLvl w:val="3"/>
        <w:rPr>
          <w:b/>
          <w:bCs/>
          <w:i/>
          <w:iCs/>
          <w:color w:val="215E99" w:themeColor="text2" w:themeTint="BF"/>
          <w:sz w:val="22"/>
          <w:szCs w:val="22"/>
        </w:rPr>
      </w:pPr>
      <w:r w:rsidRPr="00613682">
        <w:rPr>
          <w:b/>
          <w:bCs/>
          <w:i/>
          <w:iCs/>
          <w:color w:val="215E99" w:themeColor="text2" w:themeTint="BF"/>
          <w:sz w:val="22"/>
          <w:szCs w:val="22"/>
        </w:rPr>
        <w:t xml:space="preserve">Осигуряване на организационно-техническата подготовка на избори за държавни и местни органи на власт и за членове на ЕП – отдел </w:t>
      </w:r>
      <w:r w:rsidR="00247420" w:rsidRPr="00613682">
        <w:rPr>
          <w:b/>
          <w:bCs/>
          <w:i/>
          <w:iCs/>
          <w:color w:val="215E99" w:themeColor="text2" w:themeTint="BF"/>
          <w:sz w:val="22"/>
          <w:szCs w:val="22"/>
        </w:rPr>
        <w:t>„Р</w:t>
      </w:r>
      <w:r w:rsidRPr="00613682">
        <w:rPr>
          <w:b/>
          <w:bCs/>
          <w:i/>
          <w:iCs/>
          <w:color w:val="215E99" w:themeColor="text2" w:themeTint="BF"/>
          <w:sz w:val="22"/>
          <w:szCs w:val="22"/>
        </w:rPr>
        <w:t>егионална координация”</w:t>
      </w:r>
    </w:p>
    <w:p w14:paraId="6B3AC90F" w14:textId="77777777" w:rsidR="00B14402" w:rsidRPr="00667B09" w:rsidRDefault="00B14402" w:rsidP="00CD1BD9">
      <w:pPr>
        <w:shd w:val="clear" w:color="auto" w:fill="FFFFFF" w:themeFill="background1"/>
        <w:ind w:firstLine="425"/>
        <w:jc w:val="both"/>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74E37023" w14:textId="77777777" w:rsidR="00EB1B59" w:rsidRPr="00E37483" w:rsidRDefault="00EB1B59"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Изготвяне на становища и участие в работни групи и комисии при разработване и обсъждане на нормативни актове, свързани с изборното законодателство, вкл. и за транспонирането на европейските директиви в тази област;</w:t>
      </w:r>
    </w:p>
    <w:p w14:paraId="5451DA16" w14:textId="77777777" w:rsidR="00EB1B59" w:rsidRPr="00E37483" w:rsidRDefault="00EB1B59" w:rsidP="00CD1BD9">
      <w:pPr>
        <w:pStyle w:val="ListParagraph"/>
        <w:numPr>
          <w:ilvl w:val="0"/>
          <w:numId w:val="26"/>
        </w:numPr>
        <w:shd w:val="clear" w:color="auto" w:fill="FFFFFF" w:themeFill="background1"/>
        <w:tabs>
          <w:tab w:val="num" w:pos="709"/>
        </w:tabs>
        <w:autoSpaceDE w:val="0"/>
        <w:autoSpaceDN w:val="0"/>
        <w:adjustRightInd w:val="0"/>
        <w:spacing w:after="120"/>
        <w:ind w:left="357" w:firstLine="69"/>
        <w:jc w:val="both"/>
        <w:rPr>
          <w:sz w:val="22"/>
          <w:szCs w:val="22"/>
        </w:rPr>
      </w:pPr>
      <w:r w:rsidRPr="00E37483">
        <w:rPr>
          <w:sz w:val="22"/>
          <w:szCs w:val="22"/>
        </w:rPr>
        <w:t>Участие в подготовката на проекти на актове, свързани с произвеждането на избори.</w:t>
      </w:r>
    </w:p>
    <w:p w14:paraId="1213BABB" w14:textId="77777777" w:rsidR="00247420" w:rsidRPr="00E37483" w:rsidRDefault="00247420" w:rsidP="00CD1BD9">
      <w:pPr>
        <w:shd w:val="clear" w:color="auto" w:fill="FFFFFF" w:themeFill="background1"/>
        <w:autoSpaceDE w:val="0"/>
        <w:autoSpaceDN w:val="0"/>
        <w:adjustRightInd w:val="0"/>
        <w:ind w:left="357" w:firstLine="69"/>
        <w:jc w:val="both"/>
        <w:rPr>
          <w:rFonts w:eastAsia="Batang"/>
          <w:i/>
          <w:sz w:val="22"/>
          <w:szCs w:val="22"/>
          <w:lang w:eastAsia="ko-KR"/>
        </w:rPr>
      </w:pPr>
      <w:r w:rsidRPr="00E37483">
        <w:rPr>
          <w:rFonts w:eastAsia="Batang"/>
          <w:i/>
          <w:sz w:val="22"/>
          <w:szCs w:val="22"/>
          <w:lang w:eastAsia="ko-KR"/>
        </w:rPr>
        <w:t>Изпълнението на дейностите за периода включва:</w:t>
      </w:r>
    </w:p>
    <w:p w14:paraId="0B754352" w14:textId="77777777" w:rsidR="00EB1B59" w:rsidRPr="00E37483" w:rsidRDefault="00EB1B59"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Направен е преглед на наличната информация и документация, свързана с възможностите техническите устройства за машинно гласуване да се съхраняват на подходящо място, отговарящо на общите условия за добра организация на подготовката, инсталирането, разпределението и транспортирането на машините, както и на специфичните изисквания за съхранението им.</w:t>
      </w:r>
    </w:p>
    <w:p w14:paraId="005DDE34" w14:textId="11569872" w:rsidR="00B14402" w:rsidRPr="00CD1BD9" w:rsidRDefault="00B14402" w:rsidP="00CD1BD9">
      <w:pPr>
        <w:pStyle w:val="ListParagraph"/>
        <w:widowControl w:val="0"/>
        <w:numPr>
          <w:ilvl w:val="0"/>
          <w:numId w:val="69"/>
        </w:numPr>
        <w:shd w:val="clear" w:color="auto" w:fill="FFFFFF" w:themeFill="background1"/>
        <w:ind w:left="0" w:firstLine="425"/>
        <w:jc w:val="both"/>
        <w:outlineLvl w:val="3"/>
        <w:rPr>
          <w:b/>
          <w:bCs/>
          <w:i/>
          <w:iCs/>
          <w:color w:val="215E99" w:themeColor="text2" w:themeTint="BF"/>
          <w:sz w:val="22"/>
          <w:szCs w:val="22"/>
        </w:rPr>
      </w:pPr>
      <w:r w:rsidRPr="00CD1BD9">
        <w:rPr>
          <w:b/>
          <w:bCs/>
          <w:i/>
          <w:iCs/>
          <w:color w:val="215E99" w:themeColor="text2" w:themeTint="BF"/>
          <w:sz w:val="22"/>
          <w:szCs w:val="22"/>
        </w:rPr>
        <w:t>Управление на информационни системи свързани с набиране на информация за нуждите на държавното управле</w:t>
      </w:r>
      <w:r w:rsidR="00BA021E" w:rsidRPr="00CD1BD9">
        <w:rPr>
          <w:b/>
          <w:bCs/>
          <w:i/>
          <w:iCs/>
          <w:color w:val="215E99" w:themeColor="text2" w:themeTint="BF"/>
          <w:sz w:val="22"/>
          <w:szCs w:val="22"/>
        </w:rPr>
        <w:t>ние – отдел „Р</w:t>
      </w:r>
      <w:r w:rsidRPr="00CD1BD9">
        <w:rPr>
          <w:b/>
          <w:bCs/>
          <w:i/>
          <w:iCs/>
          <w:color w:val="215E99" w:themeColor="text2" w:themeTint="BF"/>
          <w:sz w:val="22"/>
          <w:szCs w:val="22"/>
        </w:rPr>
        <w:t>егионална координация”</w:t>
      </w:r>
    </w:p>
    <w:p w14:paraId="2C223261" w14:textId="77777777" w:rsidR="00B14402" w:rsidRPr="00667B09" w:rsidRDefault="00BF5E06" w:rsidP="00CD1BD9">
      <w:pPr>
        <w:shd w:val="clear" w:color="auto" w:fill="FFFFFF" w:themeFill="background1"/>
        <w:ind w:firstLine="426"/>
        <w:rPr>
          <w:b/>
          <w:i/>
          <w:color w:val="800000"/>
          <w:sz w:val="22"/>
          <w:szCs w:val="22"/>
        </w:rPr>
      </w:pPr>
      <w:r w:rsidRPr="00667B09">
        <w:rPr>
          <w:b/>
          <w:i/>
          <w:color w:val="800000"/>
          <w:sz w:val="22"/>
          <w:szCs w:val="22"/>
        </w:rPr>
        <w:t>Дейности за предоставяне на продукта/услугата:</w:t>
      </w:r>
    </w:p>
    <w:p w14:paraId="66479EC2" w14:textId="77777777" w:rsidR="00645722" w:rsidRPr="00E37483" w:rsidRDefault="00645722"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Осигуряване на развитието и контрола на съдържанието на Интегрираната информационна система на държавната администрация (ИИСДА);</w:t>
      </w:r>
    </w:p>
    <w:p w14:paraId="64A2608D" w14:textId="77777777" w:rsidR="00645722" w:rsidRPr="00E37483" w:rsidRDefault="00645722"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Осигуряване на развитието и контрола на съдържанието на Единната информационна система за управление на човешките ресурси (ЕИСУЧРДА);</w:t>
      </w:r>
    </w:p>
    <w:p w14:paraId="445EE687" w14:textId="77777777" w:rsidR="00645722" w:rsidRPr="00E37483" w:rsidRDefault="00645722" w:rsidP="00CD1BD9">
      <w:pPr>
        <w:pStyle w:val="ListParagraph"/>
        <w:numPr>
          <w:ilvl w:val="0"/>
          <w:numId w:val="26"/>
        </w:numPr>
        <w:shd w:val="clear" w:color="auto" w:fill="FFFFFF" w:themeFill="background1"/>
        <w:tabs>
          <w:tab w:val="clear" w:pos="360"/>
          <w:tab w:val="num" w:pos="709"/>
        </w:tabs>
        <w:autoSpaceDE w:val="0"/>
        <w:autoSpaceDN w:val="0"/>
        <w:adjustRightInd w:val="0"/>
        <w:spacing w:after="120"/>
        <w:ind w:left="0" w:firstLine="426"/>
        <w:jc w:val="both"/>
        <w:rPr>
          <w:sz w:val="22"/>
          <w:szCs w:val="22"/>
        </w:rPr>
      </w:pPr>
      <w:r w:rsidRPr="00E37483">
        <w:rPr>
          <w:sz w:val="22"/>
          <w:szCs w:val="22"/>
        </w:rPr>
        <w:t>Осигуряване на развитието и контрола на съдържанието на Интегрираната система за легализация на документи.</w:t>
      </w:r>
    </w:p>
    <w:p w14:paraId="350EA5B5" w14:textId="77777777" w:rsidR="00645722" w:rsidRPr="00E37483" w:rsidRDefault="00645722" w:rsidP="00CD1BD9">
      <w:pPr>
        <w:shd w:val="clear" w:color="auto" w:fill="FFFFFF" w:themeFill="background1"/>
        <w:autoSpaceDE w:val="0"/>
        <w:autoSpaceDN w:val="0"/>
        <w:adjustRightInd w:val="0"/>
        <w:ind w:left="357" w:firstLine="69"/>
        <w:jc w:val="both"/>
        <w:rPr>
          <w:rFonts w:eastAsia="Batang"/>
          <w:i/>
          <w:sz w:val="22"/>
          <w:szCs w:val="22"/>
          <w:lang w:eastAsia="ko-KR"/>
        </w:rPr>
      </w:pPr>
      <w:r w:rsidRPr="00E37483">
        <w:rPr>
          <w:rFonts w:eastAsia="Batang"/>
          <w:i/>
          <w:sz w:val="22"/>
          <w:szCs w:val="22"/>
          <w:lang w:eastAsia="ko-KR"/>
        </w:rPr>
        <w:t>Изпълнението на дейностите за периода включва:</w:t>
      </w:r>
    </w:p>
    <w:p w14:paraId="0DF7F1F0" w14:textId="77777777" w:rsidR="00645722" w:rsidRPr="00E37483" w:rsidRDefault="00645722" w:rsidP="00CD1BD9">
      <w:pPr>
        <w:pStyle w:val="ListParagraph"/>
        <w:numPr>
          <w:ilvl w:val="0"/>
          <w:numId w:val="26"/>
        </w:numPr>
        <w:shd w:val="clear" w:color="auto" w:fill="FFFFFF" w:themeFill="background1"/>
        <w:tabs>
          <w:tab w:val="clear" w:pos="360"/>
          <w:tab w:val="num" w:pos="0"/>
          <w:tab w:val="num" w:pos="709"/>
        </w:tabs>
        <w:autoSpaceDE w:val="0"/>
        <w:autoSpaceDN w:val="0"/>
        <w:adjustRightInd w:val="0"/>
        <w:ind w:left="0" w:firstLine="426"/>
        <w:jc w:val="both"/>
        <w:rPr>
          <w:sz w:val="22"/>
          <w:szCs w:val="22"/>
        </w:rPr>
      </w:pPr>
      <w:r w:rsidRPr="00E37483">
        <w:rPr>
          <w:sz w:val="22"/>
          <w:szCs w:val="22"/>
        </w:rPr>
        <w:t>В изпълнение на чл. 62 от Закона за администрацията беше създадена организация за попълване на информацията за състоянието на администрациите за 2024 г. и беше осигурен процеса по координиране и подпомагане вписването на информация в модул „Годишен отчет“ на ИИСДА:</w:t>
      </w:r>
    </w:p>
    <w:p w14:paraId="7C094E37" w14:textId="0B9327D8" w:rsidR="00645722" w:rsidRPr="00E37483" w:rsidRDefault="00382FE0" w:rsidP="00CD1BD9">
      <w:pPr>
        <w:numPr>
          <w:ilvl w:val="0"/>
          <w:numId w:val="35"/>
        </w:numPr>
        <w:shd w:val="clear" w:color="auto" w:fill="FFFFFF" w:themeFill="background1"/>
        <w:tabs>
          <w:tab w:val="left" w:pos="993"/>
        </w:tabs>
        <w:autoSpaceDE w:val="0"/>
        <w:autoSpaceDN w:val="0"/>
        <w:adjustRightInd w:val="0"/>
        <w:ind w:left="567" w:hanging="141"/>
        <w:jc w:val="both"/>
        <w:rPr>
          <w:rFonts w:eastAsia="Batang"/>
          <w:sz w:val="22"/>
          <w:szCs w:val="22"/>
          <w:lang w:eastAsia="ko-KR"/>
        </w:rPr>
      </w:pPr>
      <w:r>
        <w:rPr>
          <w:rFonts w:eastAsia="Batang"/>
          <w:sz w:val="22"/>
          <w:szCs w:val="22"/>
          <w:lang w:eastAsia="ko-KR"/>
        </w:rPr>
        <w:t>В периода 02.01</w:t>
      </w:r>
      <w:r w:rsidR="00645722" w:rsidRPr="00E37483">
        <w:rPr>
          <w:rFonts w:eastAsia="Batang"/>
          <w:sz w:val="22"/>
          <w:szCs w:val="22"/>
          <w:lang w:eastAsia="ko-KR"/>
        </w:rPr>
        <w:t>-28.02.2025 г. в модул „Годишен отчет“ на ИИСДА са утвърдени отчетните данни на 588 администрации;</w:t>
      </w:r>
    </w:p>
    <w:p w14:paraId="0C0A7F82" w14:textId="77777777" w:rsidR="00645722" w:rsidRPr="00E37483" w:rsidRDefault="00645722" w:rsidP="00CD1BD9">
      <w:pPr>
        <w:numPr>
          <w:ilvl w:val="0"/>
          <w:numId w:val="35"/>
        </w:numPr>
        <w:shd w:val="clear" w:color="auto" w:fill="FFFFFF" w:themeFill="background1"/>
        <w:tabs>
          <w:tab w:val="left" w:pos="993"/>
        </w:tabs>
        <w:autoSpaceDE w:val="0"/>
        <w:autoSpaceDN w:val="0"/>
        <w:adjustRightInd w:val="0"/>
        <w:ind w:left="567" w:hanging="141"/>
        <w:jc w:val="both"/>
        <w:rPr>
          <w:rFonts w:eastAsia="Batang"/>
          <w:sz w:val="22"/>
          <w:szCs w:val="22"/>
          <w:lang w:eastAsia="ko-KR"/>
        </w:rPr>
      </w:pPr>
      <w:r w:rsidRPr="00E37483">
        <w:rPr>
          <w:rFonts w:eastAsia="Batang"/>
          <w:sz w:val="22"/>
          <w:szCs w:val="22"/>
          <w:lang w:eastAsia="ko-KR"/>
        </w:rPr>
        <w:t xml:space="preserve">Докладът за състоянието на администрациите за 2024 г. е приет с Решение № 310 на Министерския съвет от 14.05.2025 г., като е представен за сведение на Народното събрание и е публикуван в </w:t>
      </w:r>
      <w:hyperlink r:id="rId15" w:history="1">
        <w:r w:rsidRPr="001270E5">
          <w:rPr>
            <w:rFonts w:eastAsia="Batang"/>
            <w:color w:val="4C94D8" w:themeColor="text2" w:themeTint="80"/>
            <w:sz w:val="22"/>
            <w:szCs w:val="22"/>
            <w:u w:val="single"/>
            <w:lang w:eastAsia="ko-KR"/>
          </w:rPr>
          <w:t>интернет страницата на МС</w:t>
        </w:r>
      </w:hyperlink>
      <w:r w:rsidRPr="00E37483">
        <w:rPr>
          <w:rFonts w:eastAsia="Batang"/>
          <w:sz w:val="22"/>
          <w:szCs w:val="22"/>
          <w:lang w:eastAsia="ko-KR"/>
        </w:rPr>
        <w:t xml:space="preserve"> и в </w:t>
      </w:r>
      <w:hyperlink r:id="rId16" w:history="1">
        <w:r w:rsidRPr="001270E5">
          <w:rPr>
            <w:rFonts w:eastAsia="Batang"/>
            <w:color w:val="4C94D8" w:themeColor="text2" w:themeTint="80"/>
            <w:sz w:val="22"/>
            <w:szCs w:val="22"/>
            <w:u w:val="single"/>
            <w:lang w:eastAsia="ko-KR"/>
          </w:rPr>
          <w:t>Публичния портал на Административния регистър</w:t>
        </w:r>
      </w:hyperlink>
      <w:r w:rsidRPr="00E37483">
        <w:rPr>
          <w:rFonts w:eastAsia="Batang"/>
          <w:sz w:val="22"/>
          <w:szCs w:val="22"/>
          <w:lang w:eastAsia="ko-KR"/>
        </w:rPr>
        <w:t>.</w:t>
      </w:r>
    </w:p>
    <w:p w14:paraId="09CA4485" w14:textId="77777777" w:rsidR="00645722" w:rsidRPr="00E37483" w:rsidRDefault="00645722" w:rsidP="00CD1BD9">
      <w:pPr>
        <w:pStyle w:val="ListParagraph"/>
        <w:numPr>
          <w:ilvl w:val="0"/>
          <w:numId w:val="26"/>
        </w:numPr>
        <w:shd w:val="clear" w:color="auto" w:fill="FFFFFF" w:themeFill="background1"/>
        <w:tabs>
          <w:tab w:val="clear" w:pos="360"/>
          <w:tab w:val="num" w:pos="0"/>
          <w:tab w:val="num" w:pos="709"/>
        </w:tabs>
        <w:autoSpaceDE w:val="0"/>
        <w:autoSpaceDN w:val="0"/>
        <w:adjustRightInd w:val="0"/>
        <w:ind w:left="0" w:firstLine="426"/>
        <w:jc w:val="both"/>
        <w:rPr>
          <w:sz w:val="22"/>
          <w:szCs w:val="22"/>
        </w:rPr>
      </w:pPr>
      <w:r w:rsidRPr="00E37483">
        <w:rPr>
          <w:sz w:val="22"/>
          <w:szCs w:val="22"/>
        </w:rPr>
        <w:t>В изпълнение на чл. 34 от Наредбата за Административния регистър е извършен преглед за изпълнение на задълженията на администрациите по Наредбата за Административния регистър за периода 02.12.2024 г. – 02.06.2025 г. Резултатите от направения преглед са обобщени в доклад, който e предоставен на главния секретар на Министерския съвет. Докладът е публикуван в ИИСДА. С Писмо № 02.19-12/13.06.2025 г. на главния секретар на МС от администрациите, включени в съдържанието на приложенията към Доклада, е изискан отчет относно предприети действия по отстраняване на констатираните пропуски и по мерките и действията, предприети от администрациите за недопускане на бъдещи пропуски и грешки при водене и поддържане на данните в ИИСДА. Получена е обратна информация от 203 администрации, като отговорите им са проследени в ИИСДА.</w:t>
      </w:r>
    </w:p>
    <w:p w14:paraId="2FB34ED3" w14:textId="77777777" w:rsidR="00645722" w:rsidRPr="00E37483" w:rsidRDefault="00645722" w:rsidP="00CD1BD9">
      <w:pPr>
        <w:pStyle w:val="ListParagraph"/>
        <w:numPr>
          <w:ilvl w:val="0"/>
          <w:numId w:val="26"/>
        </w:numPr>
        <w:shd w:val="clear" w:color="auto" w:fill="FFFFFF" w:themeFill="background1"/>
        <w:tabs>
          <w:tab w:val="clear" w:pos="360"/>
          <w:tab w:val="num" w:pos="0"/>
          <w:tab w:val="num" w:pos="709"/>
        </w:tabs>
        <w:autoSpaceDE w:val="0"/>
        <w:autoSpaceDN w:val="0"/>
        <w:adjustRightInd w:val="0"/>
        <w:ind w:left="0" w:firstLine="426"/>
        <w:jc w:val="both"/>
        <w:rPr>
          <w:sz w:val="22"/>
          <w:szCs w:val="22"/>
        </w:rPr>
      </w:pPr>
      <w:r w:rsidRPr="00E37483">
        <w:rPr>
          <w:sz w:val="22"/>
          <w:szCs w:val="22"/>
        </w:rPr>
        <w:t>В изпълнение на Рамков договор № МС-117 от 09.10.2024 г., сключен между администрацията на Министерския съвет и „Информационно обслужване“ АД:</w:t>
      </w:r>
    </w:p>
    <w:p w14:paraId="0CE3CA73" w14:textId="77777777" w:rsidR="00645722" w:rsidRPr="00E37483" w:rsidRDefault="00645722" w:rsidP="00CD1BD9">
      <w:pPr>
        <w:numPr>
          <w:ilvl w:val="0"/>
          <w:numId w:val="35"/>
        </w:numPr>
        <w:shd w:val="clear" w:color="auto" w:fill="FFFFFF" w:themeFill="background1"/>
        <w:tabs>
          <w:tab w:val="left" w:pos="993"/>
        </w:tabs>
        <w:autoSpaceDE w:val="0"/>
        <w:autoSpaceDN w:val="0"/>
        <w:adjustRightInd w:val="0"/>
        <w:ind w:left="567" w:hanging="141"/>
        <w:jc w:val="both"/>
        <w:rPr>
          <w:rFonts w:eastAsia="Batang"/>
          <w:sz w:val="22"/>
          <w:szCs w:val="22"/>
          <w:lang w:eastAsia="ko-KR"/>
        </w:rPr>
      </w:pPr>
      <w:r w:rsidRPr="00E37483">
        <w:rPr>
          <w:rFonts w:eastAsia="Batang"/>
          <w:sz w:val="22"/>
          <w:szCs w:val="22"/>
          <w:lang w:eastAsia="ko-KR"/>
        </w:rPr>
        <w:lastRenderedPageBreak/>
        <w:t>Изпълнява се заявка „Адаптиране на Интегрираната информационна система на държавната администрация (ИИСДА) във връзка с изменение на нормативна уредба (Закон за еврото)“ по ред 2.3. в подписания План-график за 2024 г. към Рамковия договор; назначена е комисия, която да осъществява контрол, проследяване и проверка на изпълнението на изискванията, заложени в Заявката и техническите параметри към нея, както и да следи за изпълнението на графика за изпълнение на Заявката, предоставен от Изпълнителя;</w:t>
      </w:r>
    </w:p>
    <w:p w14:paraId="19DA506E" w14:textId="77777777" w:rsidR="00645722" w:rsidRPr="00E37483" w:rsidRDefault="00645722" w:rsidP="00CD1BD9">
      <w:pPr>
        <w:numPr>
          <w:ilvl w:val="0"/>
          <w:numId w:val="35"/>
        </w:numPr>
        <w:shd w:val="clear" w:color="auto" w:fill="FFFFFF" w:themeFill="background1"/>
        <w:tabs>
          <w:tab w:val="left" w:pos="993"/>
        </w:tabs>
        <w:autoSpaceDE w:val="0"/>
        <w:autoSpaceDN w:val="0"/>
        <w:adjustRightInd w:val="0"/>
        <w:ind w:left="567" w:hanging="141"/>
        <w:jc w:val="both"/>
        <w:rPr>
          <w:rFonts w:eastAsia="Batang"/>
          <w:sz w:val="22"/>
          <w:szCs w:val="22"/>
          <w:lang w:eastAsia="ko-KR"/>
        </w:rPr>
      </w:pPr>
      <w:r w:rsidRPr="00E37483">
        <w:rPr>
          <w:rFonts w:eastAsia="Batang"/>
          <w:sz w:val="22"/>
          <w:szCs w:val="22"/>
          <w:lang w:eastAsia="ko-KR"/>
        </w:rPr>
        <w:t>Изпълнява се заявка „Осигуряване на извънгаранционна базова поддръжка и надграждане на специализирания софтуер на Интегрираната информационна система на държавната администрация (ИИСДА)“ по ред 2.2. в подписания План-график за 2024 г. към Рамковия договор;</w:t>
      </w:r>
    </w:p>
    <w:p w14:paraId="674C5DB5" w14:textId="77777777" w:rsidR="00645722" w:rsidRPr="00E37483" w:rsidRDefault="00645722" w:rsidP="00CD1BD9">
      <w:pPr>
        <w:numPr>
          <w:ilvl w:val="0"/>
          <w:numId w:val="35"/>
        </w:numPr>
        <w:shd w:val="clear" w:color="auto" w:fill="FFFFFF" w:themeFill="background1"/>
        <w:tabs>
          <w:tab w:val="left" w:pos="993"/>
        </w:tabs>
        <w:autoSpaceDE w:val="0"/>
        <w:autoSpaceDN w:val="0"/>
        <w:adjustRightInd w:val="0"/>
        <w:ind w:left="567" w:hanging="141"/>
        <w:jc w:val="both"/>
        <w:rPr>
          <w:rFonts w:eastAsia="Batang"/>
          <w:sz w:val="22"/>
          <w:szCs w:val="22"/>
          <w:lang w:eastAsia="ko-KR"/>
        </w:rPr>
      </w:pPr>
      <w:r w:rsidRPr="00E37483">
        <w:rPr>
          <w:rFonts w:eastAsia="Batang"/>
          <w:sz w:val="22"/>
          <w:szCs w:val="22"/>
          <w:lang w:eastAsia="ko-KR"/>
        </w:rPr>
        <w:t>Изпълнява се заявка „Осигуряване на извънгаранционна базова поддръжка на специализирания софтуер на Единната информационна система за управление на човешките ресурси в държавната администрация (ЕИСУЧРДА)“ по ред 2.6. в подписания План-график за 2025 г. към Рамковия договор.</w:t>
      </w:r>
    </w:p>
    <w:p w14:paraId="77B3C91C" w14:textId="77777777" w:rsidR="00645722" w:rsidRPr="00E37483" w:rsidRDefault="00645722"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 xml:space="preserve">Изграден е механизъм за оказване на методическа помощ на администрациите във връзка с работата, използването и поддържане на актуална информация в ИИСДА и ЕИСУЧРДА: </w:t>
      </w:r>
    </w:p>
    <w:p w14:paraId="473727A4" w14:textId="05A67DF7" w:rsidR="00645722" w:rsidRPr="00E37483" w:rsidRDefault="00645722" w:rsidP="00CD1BD9">
      <w:pPr>
        <w:numPr>
          <w:ilvl w:val="0"/>
          <w:numId w:val="35"/>
        </w:numPr>
        <w:shd w:val="clear" w:color="auto" w:fill="FFFFFF" w:themeFill="background1"/>
        <w:tabs>
          <w:tab w:val="left" w:pos="993"/>
        </w:tabs>
        <w:autoSpaceDE w:val="0"/>
        <w:autoSpaceDN w:val="0"/>
        <w:adjustRightInd w:val="0"/>
        <w:ind w:left="567" w:hanging="141"/>
        <w:jc w:val="both"/>
        <w:rPr>
          <w:rFonts w:eastAsia="Batang"/>
          <w:sz w:val="22"/>
          <w:szCs w:val="22"/>
          <w:lang w:eastAsia="ko-KR"/>
        </w:rPr>
      </w:pPr>
      <w:r w:rsidRPr="00E37483">
        <w:rPr>
          <w:rFonts w:eastAsia="Batang"/>
          <w:sz w:val="22"/>
          <w:szCs w:val="22"/>
          <w:lang w:eastAsia="ko-KR"/>
        </w:rPr>
        <w:t>В Регист</w:t>
      </w:r>
      <w:r w:rsidR="00724A78">
        <w:rPr>
          <w:rFonts w:eastAsia="Batang"/>
          <w:sz w:val="22"/>
          <w:szCs w:val="22"/>
          <w:lang w:eastAsia="ko-KR"/>
        </w:rPr>
        <w:t xml:space="preserve">ъра на услугите са получени 82 </w:t>
      </w:r>
      <w:r w:rsidRPr="00E37483">
        <w:rPr>
          <w:rFonts w:eastAsia="Batang"/>
          <w:sz w:val="22"/>
          <w:szCs w:val="22"/>
          <w:lang w:eastAsia="ko-KR"/>
        </w:rPr>
        <w:t>заявки за административни услуги, както следва: заявки за вписване на нова административна услуга – 32, заявки за промени в обстоятелствата за административна услуга – 41 и заявки за заличаване на административна услуга – 9;</w:t>
      </w:r>
    </w:p>
    <w:p w14:paraId="29F88AC8" w14:textId="77777777" w:rsidR="00645722" w:rsidRPr="00E37483" w:rsidRDefault="00645722" w:rsidP="00CD1BD9">
      <w:pPr>
        <w:numPr>
          <w:ilvl w:val="0"/>
          <w:numId w:val="35"/>
        </w:numPr>
        <w:shd w:val="clear" w:color="auto" w:fill="FFFFFF" w:themeFill="background1"/>
        <w:tabs>
          <w:tab w:val="left" w:pos="993"/>
        </w:tabs>
        <w:autoSpaceDE w:val="0"/>
        <w:autoSpaceDN w:val="0"/>
        <w:adjustRightInd w:val="0"/>
        <w:ind w:left="567" w:hanging="141"/>
        <w:jc w:val="both"/>
        <w:rPr>
          <w:rFonts w:eastAsia="Batang"/>
          <w:sz w:val="22"/>
          <w:szCs w:val="22"/>
          <w:lang w:eastAsia="ko-KR"/>
        </w:rPr>
      </w:pPr>
      <w:r w:rsidRPr="00E37483">
        <w:rPr>
          <w:rFonts w:eastAsia="Batang"/>
          <w:sz w:val="22"/>
          <w:szCs w:val="22"/>
          <w:lang w:eastAsia="ko-KR"/>
        </w:rPr>
        <w:t>Отговорено е на 134 въпроса на потребители на ИИСДА, зададени в системата;</w:t>
      </w:r>
    </w:p>
    <w:p w14:paraId="3EF0EA15" w14:textId="77777777" w:rsidR="00645722" w:rsidRPr="00E37483" w:rsidRDefault="00645722" w:rsidP="00CD1BD9">
      <w:pPr>
        <w:numPr>
          <w:ilvl w:val="0"/>
          <w:numId w:val="35"/>
        </w:numPr>
        <w:shd w:val="clear" w:color="auto" w:fill="FFFFFF" w:themeFill="background1"/>
        <w:tabs>
          <w:tab w:val="left" w:pos="993"/>
        </w:tabs>
        <w:autoSpaceDE w:val="0"/>
        <w:autoSpaceDN w:val="0"/>
        <w:adjustRightInd w:val="0"/>
        <w:ind w:left="567" w:hanging="141"/>
        <w:jc w:val="both"/>
        <w:rPr>
          <w:rFonts w:eastAsia="Batang"/>
          <w:sz w:val="22"/>
          <w:szCs w:val="22"/>
          <w:lang w:eastAsia="ko-KR"/>
        </w:rPr>
      </w:pPr>
      <w:r w:rsidRPr="00E37483">
        <w:rPr>
          <w:rFonts w:eastAsia="Batang"/>
          <w:sz w:val="22"/>
          <w:szCs w:val="22"/>
          <w:lang w:eastAsia="ko-KR"/>
        </w:rPr>
        <w:t>Изпратени са 65 системни съобщения до потребителите на ИИСДА за всички модули на системата, свързани с водене и поддържане на данните;</w:t>
      </w:r>
    </w:p>
    <w:p w14:paraId="4D9A8A70" w14:textId="77777777" w:rsidR="00645722" w:rsidRPr="00E37483" w:rsidRDefault="00645722" w:rsidP="00CD1BD9">
      <w:pPr>
        <w:numPr>
          <w:ilvl w:val="0"/>
          <w:numId w:val="35"/>
        </w:numPr>
        <w:shd w:val="clear" w:color="auto" w:fill="FFFFFF" w:themeFill="background1"/>
        <w:tabs>
          <w:tab w:val="left" w:pos="993"/>
        </w:tabs>
        <w:autoSpaceDE w:val="0"/>
        <w:autoSpaceDN w:val="0"/>
        <w:adjustRightInd w:val="0"/>
        <w:ind w:left="567" w:hanging="141"/>
        <w:jc w:val="both"/>
        <w:rPr>
          <w:rFonts w:eastAsia="Batang"/>
          <w:sz w:val="22"/>
          <w:szCs w:val="22"/>
          <w:lang w:eastAsia="ko-KR"/>
        </w:rPr>
      </w:pPr>
      <w:r w:rsidRPr="00E37483">
        <w:rPr>
          <w:rFonts w:eastAsia="Batang"/>
          <w:sz w:val="22"/>
          <w:szCs w:val="22"/>
          <w:lang w:eastAsia="ko-KR"/>
        </w:rPr>
        <w:t>Изпратени са 74 писмени отговора по електронна поща на въпроси на потребители на ЕИСУЧРДА, свързани с водене на данните в системата, както и с интеграцията на ЕИСУЧРДА с ИИСДА;</w:t>
      </w:r>
    </w:p>
    <w:p w14:paraId="3CBDD3E3" w14:textId="77777777" w:rsidR="00645722" w:rsidRPr="00E37483" w:rsidRDefault="00645722" w:rsidP="00CD1BD9">
      <w:pPr>
        <w:numPr>
          <w:ilvl w:val="0"/>
          <w:numId w:val="35"/>
        </w:numPr>
        <w:shd w:val="clear" w:color="auto" w:fill="FFFFFF" w:themeFill="background1"/>
        <w:tabs>
          <w:tab w:val="left" w:pos="993"/>
        </w:tabs>
        <w:autoSpaceDE w:val="0"/>
        <w:autoSpaceDN w:val="0"/>
        <w:adjustRightInd w:val="0"/>
        <w:ind w:left="567" w:hanging="141"/>
        <w:jc w:val="both"/>
        <w:rPr>
          <w:rFonts w:eastAsia="Batang"/>
          <w:sz w:val="22"/>
          <w:szCs w:val="22"/>
          <w:lang w:eastAsia="ko-KR"/>
        </w:rPr>
      </w:pPr>
      <w:r w:rsidRPr="00E37483">
        <w:rPr>
          <w:rFonts w:eastAsia="Batang"/>
          <w:sz w:val="22"/>
          <w:szCs w:val="22"/>
          <w:lang w:eastAsia="ko-KR"/>
        </w:rPr>
        <w:t>Изготвени са 366 имейла до потребители на ИИСДА с указания относно поддръжката на информация в системата за всички нейни модули;</w:t>
      </w:r>
    </w:p>
    <w:p w14:paraId="59768634" w14:textId="77777777" w:rsidR="00645722" w:rsidRPr="00E37483" w:rsidRDefault="00645722" w:rsidP="00CD1BD9">
      <w:pPr>
        <w:numPr>
          <w:ilvl w:val="0"/>
          <w:numId w:val="35"/>
        </w:numPr>
        <w:shd w:val="clear" w:color="auto" w:fill="FFFFFF" w:themeFill="background1"/>
        <w:tabs>
          <w:tab w:val="left" w:pos="993"/>
        </w:tabs>
        <w:autoSpaceDE w:val="0"/>
        <w:autoSpaceDN w:val="0"/>
        <w:adjustRightInd w:val="0"/>
        <w:ind w:left="567" w:hanging="141"/>
        <w:jc w:val="both"/>
        <w:rPr>
          <w:rFonts w:eastAsia="Batang"/>
          <w:sz w:val="22"/>
          <w:szCs w:val="22"/>
          <w:lang w:eastAsia="ko-KR"/>
        </w:rPr>
      </w:pPr>
      <w:r w:rsidRPr="00E37483">
        <w:rPr>
          <w:rFonts w:eastAsia="Batang"/>
          <w:sz w:val="22"/>
          <w:szCs w:val="22"/>
          <w:lang w:eastAsia="ko-KR"/>
        </w:rPr>
        <w:t>Обработени са 2 056 заявки за регистрация, промяна/подновяване/прекратяване на достъп на потребители на ИИСДА.</w:t>
      </w:r>
    </w:p>
    <w:p w14:paraId="33075175" w14:textId="77777777" w:rsidR="00645722" w:rsidRPr="00E37483" w:rsidRDefault="00645722"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 xml:space="preserve">Проследяват се промените в нормативните актове, свързани с държавната служба и се предприемат действия за промени в софтуера на ЕИСУЧРДА и ИИСДА. </w:t>
      </w:r>
    </w:p>
    <w:p w14:paraId="3ACCC3CE" w14:textId="77777777" w:rsidR="00645722" w:rsidRPr="00E37483" w:rsidRDefault="00645722"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Продължава работата по проверка и синхронизация на структурите на администрациите в ИИСДА и ЕИСУЧРДА.</w:t>
      </w:r>
    </w:p>
    <w:p w14:paraId="5C80888E" w14:textId="77777777" w:rsidR="00645722" w:rsidRPr="00E37483" w:rsidRDefault="00645722"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Осигурява се дейността на Интегрираната система за легализация на документи, в която се поддържа централен регистър на спесимените на подписите на кметовете и оправомощените длъжностни лица от общинските администрации и се управляват  профилите на служителите от областите.</w:t>
      </w:r>
    </w:p>
    <w:p w14:paraId="32A230B0" w14:textId="20D92D2B" w:rsidR="008445D0" w:rsidRPr="00CD1BD9" w:rsidRDefault="008445D0" w:rsidP="00CD1BD9">
      <w:pPr>
        <w:pStyle w:val="ListParagraph"/>
        <w:widowControl w:val="0"/>
        <w:numPr>
          <w:ilvl w:val="0"/>
          <w:numId w:val="69"/>
        </w:numPr>
        <w:shd w:val="clear" w:color="auto" w:fill="FFFFFF" w:themeFill="background1"/>
        <w:ind w:left="0" w:firstLine="425"/>
        <w:jc w:val="both"/>
        <w:outlineLvl w:val="3"/>
        <w:rPr>
          <w:b/>
          <w:bCs/>
          <w:i/>
          <w:iCs/>
          <w:color w:val="215E99" w:themeColor="text2" w:themeTint="BF"/>
          <w:sz w:val="22"/>
          <w:szCs w:val="22"/>
        </w:rPr>
      </w:pPr>
      <w:r w:rsidRPr="00CD1BD9">
        <w:rPr>
          <w:b/>
          <w:bCs/>
          <w:i/>
          <w:iCs/>
          <w:color w:val="215E99" w:themeColor="text2" w:themeTint="BF"/>
          <w:sz w:val="22"/>
          <w:szCs w:val="22"/>
        </w:rPr>
        <w:t xml:space="preserve">Подпомагане служителя по сигурността на информацията при изпълнение на възложените му със </w:t>
      </w:r>
      <w:hyperlink r:id="rId17" w:history="1">
        <w:r w:rsidRPr="00CD1BD9">
          <w:rPr>
            <w:b/>
            <w:bCs/>
            <w:i/>
            <w:iCs/>
            <w:color w:val="215E99" w:themeColor="text2" w:themeTint="BF"/>
            <w:sz w:val="22"/>
            <w:szCs w:val="22"/>
          </w:rPr>
          <w:t>Закона за защита на класифицираната информация</w:t>
        </w:r>
      </w:hyperlink>
      <w:r w:rsidRPr="00CD1BD9">
        <w:rPr>
          <w:b/>
          <w:bCs/>
          <w:i/>
          <w:iCs/>
          <w:color w:val="215E99" w:themeColor="text2" w:themeTint="BF"/>
          <w:sz w:val="22"/>
          <w:szCs w:val="22"/>
        </w:rPr>
        <w:t xml:space="preserve"> задачи </w:t>
      </w:r>
      <w:r w:rsidR="001270E5" w:rsidRPr="00CD1BD9">
        <w:rPr>
          <w:b/>
          <w:bCs/>
          <w:i/>
          <w:iCs/>
          <w:color w:val="215E99" w:themeColor="text2" w:themeTint="BF"/>
          <w:sz w:val="22"/>
          <w:szCs w:val="22"/>
        </w:rPr>
        <w:t>– о</w:t>
      </w:r>
      <w:r w:rsidRPr="00CD1BD9">
        <w:rPr>
          <w:b/>
          <w:bCs/>
          <w:i/>
          <w:iCs/>
          <w:color w:val="215E99" w:themeColor="text2" w:themeTint="BF"/>
          <w:sz w:val="22"/>
          <w:szCs w:val="22"/>
        </w:rPr>
        <w:t>тдел „Сигурност на информацията“</w:t>
      </w:r>
    </w:p>
    <w:p w14:paraId="1332AB5A" w14:textId="77777777" w:rsidR="008445D0" w:rsidRPr="001270E5" w:rsidRDefault="008445D0" w:rsidP="00CD1BD9">
      <w:pPr>
        <w:shd w:val="clear" w:color="auto" w:fill="FFFFFF" w:themeFill="background1"/>
        <w:ind w:firstLine="425"/>
        <w:jc w:val="both"/>
        <w:rPr>
          <w:b/>
          <w:i/>
          <w:color w:val="800000"/>
          <w:sz w:val="22"/>
          <w:szCs w:val="22"/>
        </w:rPr>
      </w:pPr>
      <w:r w:rsidRPr="001270E5">
        <w:rPr>
          <w:b/>
          <w:i/>
          <w:color w:val="800000"/>
          <w:sz w:val="22"/>
          <w:szCs w:val="22"/>
        </w:rPr>
        <w:t>Описание на постигнатите резултати и изпълнените дейности за тяхното предоставяне</w:t>
      </w:r>
    </w:p>
    <w:p w14:paraId="78FD9E11" w14:textId="09C47FAD" w:rsidR="009A7E41" w:rsidRPr="00E37483" w:rsidRDefault="0006193F"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Pr>
          <w:sz w:val="22"/>
          <w:szCs w:val="22"/>
        </w:rPr>
        <w:t>С цел п</w:t>
      </w:r>
      <w:r w:rsidR="009A7E41" w:rsidRPr="00E37483">
        <w:rPr>
          <w:sz w:val="22"/>
          <w:szCs w:val="22"/>
        </w:rPr>
        <w:t xml:space="preserve">одобряване дейностите на регистратурите за класифицирана информация – национална, НАТО и ЕС чрез въвеждане на технологии за споделена работа бе стартирана услуга </w:t>
      </w:r>
      <w:r w:rsidR="00F7138A">
        <w:rPr>
          <w:sz w:val="22"/>
          <w:szCs w:val="22"/>
        </w:rPr>
        <w:t xml:space="preserve">– </w:t>
      </w:r>
      <w:r w:rsidR="009A7E41" w:rsidRPr="00E37483">
        <w:rPr>
          <w:sz w:val="22"/>
          <w:szCs w:val="22"/>
        </w:rPr>
        <w:t>„Закупуване</w:t>
      </w:r>
      <w:r w:rsidR="00F7138A">
        <w:rPr>
          <w:sz w:val="22"/>
          <w:szCs w:val="22"/>
        </w:rPr>
        <w:t xml:space="preserve"> </w:t>
      </w:r>
      <w:r w:rsidR="009A7E41" w:rsidRPr="00E37483">
        <w:rPr>
          <w:sz w:val="22"/>
          <w:szCs w:val="22"/>
        </w:rPr>
        <w:t xml:space="preserve">на 2 броя ТЕМПЕСТ компютри за отдел "Сигурност на информацията" от План-графика за 2025 </w:t>
      </w:r>
      <w:r w:rsidR="00093CE9">
        <w:rPr>
          <w:sz w:val="22"/>
          <w:szCs w:val="22"/>
        </w:rPr>
        <w:t xml:space="preserve">г. </w:t>
      </w:r>
      <w:r w:rsidR="009A7E41" w:rsidRPr="00E37483">
        <w:rPr>
          <w:sz w:val="22"/>
          <w:szCs w:val="22"/>
        </w:rPr>
        <w:t>по Рамков договор МС-117/09.10.2024 г. Срокът за изпъ</w:t>
      </w:r>
      <w:r w:rsidR="00E74E0D">
        <w:rPr>
          <w:sz w:val="22"/>
          <w:szCs w:val="22"/>
        </w:rPr>
        <w:t>лнение на доставката е 9 месеца;</w:t>
      </w:r>
    </w:p>
    <w:p w14:paraId="34A5E591" w14:textId="46B55069" w:rsidR="009A7E41" w:rsidRPr="00E37483" w:rsidRDefault="009A7E41"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 xml:space="preserve">Прилагане на автоматизирана информационна система (АИСКИ) за управление на документи съдържащи класифицирана информация за трите регистратури – национална, </w:t>
      </w:r>
      <w:r w:rsidR="00CD1BD9">
        <w:rPr>
          <w:sz w:val="22"/>
          <w:szCs w:val="22"/>
        </w:rPr>
        <w:br/>
      </w:r>
      <w:r w:rsidRPr="00E37483">
        <w:rPr>
          <w:sz w:val="22"/>
          <w:szCs w:val="22"/>
        </w:rPr>
        <w:t>НАТО и ЕС;</w:t>
      </w:r>
    </w:p>
    <w:p w14:paraId="5B64BB06" w14:textId="6C419625" w:rsidR="009A7E41" w:rsidRPr="00E37483" w:rsidRDefault="009A7E41"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Обработен брой входящи писма съдържащи класифицирана информация – 1</w:t>
      </w:r>
      <w:r w:rsidR="00093CE9">
        <w:rPr>
          <w:sz w:val="22"/>
          <w:szCs w:val="22"/>
        </w:rPr>
        <w:t xml:space="preserve"> </w:t>
      </w:r>
      <w:r w:rsidRPr="00E37483">
        <w:rPr>
          <w:sz w:val="22"/>
          <w:szCs w:val="22"/>
        </w:rPr>
        <w:t>808</w:t>
      </w:r>
      <w:r w:rsidRPr="005F5C72">
        <w:rPr>
          <w:sz w:val="22"/>
          <w:szCs w:val="22"/>
        </w:rPr>
        <w:t>;</w:t>
      </w:r>
      <w:r w:rsidRPr="00E37483">
        <w:rPr>
          <w:sz w:val="22"/>
          <w:szCs w:val="22"/>
        </w:rPr>
        <w:t xml:space="preserve"> </w:t>
      </w:r>
    </w:p>
    <w:p w14:paraId="4267BCBB" w14:textId="369DBBD7" w:rsidR="00AD44CC" w:rsidRDefault="009A7E41"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Изготвени 287 писма съдържащи класифицирана информация и 51 явни.</w:t>
      </w:r>
    </w:p>
    <w:p w14:paraId="5C3BF840" w14:textId="77777777" w:rsidR="00AD44CC" w:rsidRDefault="00AD44CC">
      <w:pPr>
        <w:rPr>
          <w:rFonts w:eastAsia="Batang"/>
          <w:sz w:val="22"/>
          <w:szCs w:val="22"/>
          <w:lang w:val="x-none" w:eastAsia="ko-KR"/>
        </w:rPr>
      </w:pPr>
      <w:r>
        <w:rPr>
          <w:sz w:val="22"/>
          <w:szCs w:val="22"/>
        </w:rPr>
        <w:br w:type="page"/>
      </w:r>
    </w:p>
    <w:p w14:paraId="7B9BE3CD" w14:textId="06EE48BA" w:rsidR="009A7E41" w:rsidRPr="00CD1BD9" w:rsidRDefault="009A7E41" w:rsidP="00CD1BD9">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CD1BD9">
        <w:rPr>
          <w:b/>
          <w:bCs/>
          <w:i/>
          <w:iCs/>
          <w:color w:val="215E99" w:themeColor="text2" w:themeTint="BF"/>
          <w:sz w:val="22"/>
          <w:szCs w:val="22"/>
        </w:rPr>
        <w:lastRenderedPageBreak/>
        <w:t xml:space="preserve">Осигуряване изпълнението на функциите по </w:t>
      </w:r>
      <w:hyperlink r:id="rId18" w:history="1">
        <w:r w:rsidRPr="00CD1BD9">
          <w:rPr>
            <w:b/>
            <w:bCs/>
            <w:i/>
            <w:iCs/>
            <w:color w:val="215E99" w:themeColor="text2" w:themeTint="BF"/>
            <w:sz w:val="22"/>
            <w:szCs w:val="22"/>
          </w:rPr>
          <w:t>чл. 9 от Наредбата за сигурността на комуникационните и информационните системи</w:t>
        </w:r>
      </w:hyperlink>
      <w:r w:rsidRPr="00CD1BD9">
        <w:rPr>
          <w:b/>
          <w:bCs/>
          <w:i/>
          <w:iCs/>
          <w:color w:val="215E99" w:themeColor="text2" w:themeTint="BF"/>
          <w:sz w:val="22"/>
          <w:szCs w:val="22"/>
        </w:rPr>
        <w:t xml:space="preserve">, приета с </w:t>
      </w:r>
      <w:hyperlink r:id="rId19" w:history="1">
        <w:r w:rsidRPr="00CD1BD9">
          <w:rPr>
            <w:b/>
            <w:bCs/>
            <w:i/>
            <w:iCs/>
            <w:color w:val="215E99" w:themeColor="text2" w:themeTint="BF"/>
            <w:sz w:val="22"/>
            <w:szCs w:val="22"/>
          </w:rPr>
          <w:t>Постановление № 28 на Министерския съвет от 2020 г.</w:t>
        </w:r>
      </w:hyperlink>
      <w:r w:rsidRPr="00CD1BD9">
        <w:rPr>
          <w:b/>
          <w:bCs/>
          <w:i/>
          <w:iCs/>
          <w:color w:val="215E99" w:themeColor="text2" w:themeTint="BF"/>
          <w:sz w:val="22"/>
          <w:szCs w:val="22"/>
        </w:rPr>
        <w:t xml:space="preserve"> (ДВ, бр. 18 от 2020 г.) </w:t>
      </w:r>
      <w:r w:rsidR="00F7138A" w:rsidRPr="00CD1BD9">
        <w:rPr>
          <w:b/>
          <w:bCs/>
          <w:i/>
          <w:iCs/>
          <w:color w:val="215E99" w:themeColor="text2" w:themeTint="BF"/>
          <w:sz w:val="22"/>
          <w:szCs w:val="22"/>
        </w:rPr>
        <w:t>–</w:t>
      </w:r>
      <w:r w:rsidRPr="00CD1BD9">
        <w:rPr>
          <w:b/>
          <w:bCs/>
          <w:i/>
          <w:iCs/>
          <w:color w:val="215E99" w:themeColor="text2" w:themeTint="BF"/>
          <w:sz w:val="22"/>
          <w:szCs w:val="22"/>
        </w:rPr>
        <w:t xml:space="preserve"> отдел „Сигурност на информацията“</w:t>
      </w:r>
    </w:p>
    <w:p w14:paraId="77607CA9" w14:textId="77777777" w:rsidR="009A7E41" w:rsidRPr="00E37483" w:rsidRDefault="009A7E41" w:rsidP="00CD1BD9">
      <w:pPr>
        <w:shd w:val="clear" w:color="auto" w:fill="FFFFFF" w:themeFill="background1"/>
        <w:ind w:firstLine="426"/>
        <w:jc w:val="both"/>
        <w:rPr>
          <w:b/>
          <w:i/>
          <w:color w:val="800000"/>
          <w:sz w:val="22"/>
          <w:szCs w:val="22"/>
        </w:rPr>
      </w:pPr>
      <w:r w:rsidRPr="00E37483">
        <w:rPr>
          <w:b/>
          <w:i/>
          <w:color w:val="800000"/>
          <w:sz w:val="22"/>
          <w:szCs w:val="22"/>
        </w:rPr>
        <w:t>Описание на постигнатите резултати и изпълнените дейности за тяхното предоставяне</w:t>
      </w:r>
    </w:p>
    <w:p w14:paraId="4B9B4BBE" w14:textId="0E556925" w:rsidR="009A7E41" w:rsidRPr="00E37483" w:rsidRDefault="009A7E41"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Осигуряване сигурността на комуникационните и информационни системи (КИС) на АМС за съхраняване и обмен на класифицирана информация в еле</w:t>
      </w:r>
      <w:r w:rsidR="00E74E0D">
        <w:rPr>
          <w:sz w:val="22"/>
          <w:szCs w:val="22"/>
        </w:rPr>
        <w:t>ктронна форма;</w:t>
      </w:r>
    </w:p>
    <w:p w14:paraId="1FB584AD" w14:textId="10F2A81C" w:rsidR="009A7E41" w:rsidRPr="00E37483" w:rsidRDefault="009A7E41"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Доставена техника за точката на присъствие по проект „Сигурна видеоконферентна връзка“ на Генералния съвет на ЕС (</w:t>
      </w:r>
      <w:r w:rsidRPr="0064771C">
        <w:rPr>
          <w:sz w:val="22"/>
          <w:szCs w:val="22"/>
        </w:rPr>
        <w:t>sVTC</w:t>
      </w:r>
      <w:r w:rsidR="00E74E0D">
        <w:rPr>
          <w:sz w:val="22"/>
          <w:szCs w:val="22"/>
        </w:rPr>
        <w:t>);</w:t>
      </w:r>
    </w:p>
    <w:p w14:paraId="11AFB3B9" w14:textId="77777777" w:rsidR="009A7E41" w:rsidRPr="00E37483" w:rsidRDefault="009A7E41"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 xml:space="preserve">Стартиране на процедура по акредитиране на точката на присъствие на системата за защита на видеоконферентната връзка </w:t>
      </w:r>
      <w:r w:rsidRPr="00F7138A">
        <w:rPr>
          <w:sz w:val="22"/>
          <w:szCs w:val="22"/>
          <w:lang w:val="en-US"/>
        </w:rPr>
        <w:t>„Secure Videoconferencing System for the European Council and the Council“ (</w:t>
      </w:r>
      <w:proofErr w:type="spellStart"/>
      <w:r w:rsidRPr="00F7138A">
        <w:rPr>
          <w:sz w:val="22"/>
          <w:szCs w:val="22"/>
          <w:lang w:val="en-US"/>
        </w:rPr>
        <w:t>sVTC</w:t>
      </w:r>
      <w:proofErr w:type="spellEnd"/>
      <w:r w:rsidRPr="00F7138A">
        <w:rPr>
          <w:sz w:val="22"/>
          <w:szCs w:val="22"/>
          <w:lang w:val="en-US"/>
        </w:rPr>
        <w:t>)</w:t>
      </w:r>
      <w:r w:rsidRPr="00E37483">
        <w:rPr>
          <w:sz w:val="22"/>
          <w:szCs w:val="22"/>
        </w:rPr>
        <w:t xml:space="preserve"> </w:t>
      </w:r>
      <w:proofErr w:type="spellStart"/>
      <w:r w:rsidRPr="00E37483">
        <w:rPr>
          <w:sz w:val="22"/>
          <w:szCs w:val="22"/>
        </w:rPr>
        <w:t>на</w:t>
      </w:r>
      <w:proofErr w:type="spellEnd"/>
      <w:r w:rsidRPr="00E37483">
        <w:rPr>
          <w:sz w:val="22"/>
          <w:szCs w:val="22"/>
        </w:rPr>
        <w:t xml:space="preserve"> EC в МС от ДКСИ.</w:t>
      </w:r>
    </w:p>
    <w:p w14:paraId="64CC3E2E" w14:textId="06DDF867" w:rsidR="009A7E41" w:rsidRPr="00CD1BD9" w:rsidRDefault="009A7E41" w:rsidP="00CD1BD9">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CD1BD9">
        <w:rPr>
          <w:b/>
          <w:bCs/>
          <w:i/>
          <w:iCs/>
          <w:color w:val="215E99" w:themeColor="text2" w:themeTint="BF"/>
          <w:sz w:val="22"/>
          <w:szCs w:val="22"/>
        </w:rPr>
        <w:t>Осигуряване на дейностите, свързани с изграждане на Автоматизираната система за управление на Министерския съвет</w:t>
      </w:r>
      <w:r w:rsidR="006E3A77" w:rsidRPr="00CD1BD9">
        <w:rPr>
          <w:b/>
          <w:bCs/>
          <w:i/>
          <w:iCs/>
          <w:color w:val="215E99" w:themeColor="text2" w:themeTint="BF"/>
          <w:sz w:val="22"/>
          <w:szCs w:val="22"/>
        </w:rPr>
        <w:t xml:space="preserve"> </w:t>
      </w:r>
      <w:r w:rsidRPr="00CD1BD9">
        <w:rPr>
          <w:b/>
          <w:bCs/>
          <w:i/>
          <w:iCs/>
          <w:color w:val="215E99" w:themeColor="text2" w:themeTint="BF"/>
          <w:sz w:val="22"/>
          <w:szCs w:val="22"/>
        </w:rPr>
        <w:t>(АСУ-МС), като подсистема на Комплексната автоматизирана система</w:t>
      </w:r>
      <w:r w:rsidR="006E3A77" w:rsidRPr="00CD1BD9">
        <w:rPr>
          <w:b/>
          <w:bCs/>
          <w:i/>
          <w:iCs/>
          <w:color w:val="215E99" w:themeColor="text2" w:themeTint="BF"/>
          <w:sz w:val="22"/>
          <w:szCs w:val="22"/>
        </w:rPr>
        <w:t xml:space="preserve"> </w:t>
      </w:r>
      <w:r w:rsidRPr="00CD1BD9">
        <w:rPr>
          <w:b/>
          <w:bCs/>
          <w:i/>
          <w:iCs/>
          <w:color w:val="215E99" w:themeColor="text2" w:themeTint="BF"/>
          <w:sz w:val="22"/>
          <w:szCs w:val="22"/>
        </w:rPr>
        <w:t xml:space="preserve">(КАС) за управление на страната </w:t>
      </w:r>
      <w:r w:rsidR="006E3A77" w:rsidRPr="00CD1BD9">
        <w:rPr>
          <w:b/>
          <w:bCs/>
          <w:i/>
          <w:iCs/>
          <w:color w:val="215E99" w:themeColor="text2" w:themeTint="BF"/>
          <w:sz w:val="22"/>
          <w:szCs w:val="22"/>
        </w:rPr>
        <w:t>–</w:t>
      </w:r>
      <w:r w:rsidRPr="00CD1BD9">
        <w:rPr>
          <w:b/>
          <w:bCs/>
          <w:i/>
          <w:iCs/>
          <w:color w:val="215E99" w:themeColor="text2" w:themeTint="BF"/>
          <w:sz w:val="22"/>
          <w:szCs w:val="22"/>
        </w:rPr>
        <w:t xml:space="preserve"> отдел „Сигурност на информацията“</w:t>
      </w:r>
    </w:p>
    <w:p w14:paraId="109EBBA5" w14:textId="77777777" w:rsidR="009A7E41" w:rsidRPr="00E37483" w:rsidRDefault="009A7E41" w:rsidP="00CD1BD9">
      <w:pPr>
        <w:shd w:val="clear" w:color="auto" w:fill="FFFFFF" w:themeFill="background1"/>
        <w:ind w:firstLine="426"/>
        <w:jc w:val="both"/>
        <w:rPr>
          <w:b/>
          <w:i/>
          <w:color w:val="800000"/>
          <w:sz w:val="22"/>
          <w:szCs w:val="22"/>
        </w:rPr>
      </w:pPr>
      <w:r w:rsidRPr="00E37483">
        <w:rPr>
          <w:b/>
          <w:i/>
          <w:color w:val="800000"/>
          <w:sz w:val="22"/>
          <w:szCs w:val="22"/>
        </w:rPr>
        <w:t>Описание на постигнатите резултати и изпълнените дейности за тяхното предоставяне</w:t>
      </w:r>
    </w:p>
    <w:p w14:paraId="34917512" w14:textId="72249C70" w:rsidR="009A7E41" w:rsidRPr="00E37483" w:rsidRDefault="009A7E41"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Изготвяне и изпращане до председателя на Междуведомствения съвет по КАС на отчет за дейностите, извършени през 2</w:t>
      </w:r>
      <w:r w:rsidR="00E74E0D">
        <w:rPr>
          <w:sz w:val="22"/>
          <w:szCs w:val="22"/>
        </w:rPr>
        <w:t>024 г. по подобряване на АСУ-МС;</w:t>
      </w:r>
    </w:p>
    <w:p w14:paraId="4B44FBFF" w14:textId="150B225A" w:rsidR="009A7E41" w:rsidRPr="00E37483" w:rsidRDefault="009A7E41"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 xml:space="preserve">Изпращане на заявка за необходимите финансови средства за изграждане на </w:t>
      </w:r>
      <w:r w:rsidR="00093CE9">
        <w:rPr>
          <w:sz w:val="22"/>
          <w:szCs w:val="22"/>
        </w:rPr>
        <w:t xml:space="preserve">КАС за </w:t>
      </w:r>
      <w:r w:rsidR="00CD1BD9">
        <w:rPr>
          <w:sz w:val="22"/>
          <w:szCs w:val="22"/>
        </w:rPr>
        <w:br/>
      </w:r>
      <w:r w:rsidR="00093CE9">
        <w:rPr>
          <w:sz w:val="22"/>
          <w:szCs w:val="22"/>
        </w:rPr>
        <w:t>периода 2025-2026 г.</w:t>
      </w:r>
      <w:r w:rsidR="00E74E0D">
        <w:rPr>
          <w:sz w:val="22"/>
          <w:szCs w:val="22"/>
        </w:rPr>
        <w:t>;</w:t>
      </w:r>
    </w:p>
    <w:p w14:paraId="308431EA" w14:textId="1BE9BD89" w:rsidR="009A7E41" w:rsidRPr="00E37483" w:rsidRDefault="009A7E41"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Организиране на взаимодействие с Изпълнителна агенция „Инфраструктура на електронното управление“ за усвояване на отпуснатите с решение №</w:t>
      </w:r>
      <w:r w:rsidR="00CD1BD9">
        <w:rPr>
          <w:sz w:val="22"/>
          <w:szCs w:val="22"/>
          <w:lang w:val="bg-BG"/>
        </w:rPr>
        <w:t xml:space="preserve"> </w:t>
      </w:r>
      <w:r w:rsidRPr="00E37483">
        <w:rPr>
          <w:sz w:val="22"/>
          <w:szCs w:val="22"/>
        </w:rPr>
        <w:t xml:space="preserve">28 на Междуведомствения съвет по КАС финансови средства за подобряване на АСУ-МС за </w:t>
      </w:r>
      <w:r w:rsidR="00093CE9">
        <w:rPr>
          <w:sz w:val="22"/>
          <w:szCs w:val="22"/>
        </w:rPr>
        <w:t>финансовата 2025 г</w:t>
      </w:r>
      <w:r w:rsidRPr="00E37483">
        <w:rPr>
          <w:sz w:val="22"/>
          <w:szCs w:val="22"/>
        </w:rPr>
        <w:t>.</w:t>
      </w:r>
    </w:p>
    <w:p w14:paraId="4EF31448" w14:textId="4AD11C1B" w:rsidR="009A7E41" w:rsidRPr="00CD1BD9" w:rsidRDefault="009A7E41" w:rsidP="00CD1BD9">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CD1BD9">
        <w:rPr>
          <w:b/>
          <w:bCs/>
          <w:i/>
          <w:iCs/>
          <w:color w:val="215E99" w:themeColor="text2" w:themeTint="BF"/>
          <w:sz w:val="22"/>
          <w:szCs w:val="22"/>
        </w:rPr>
        <w:t xml:space="preserve">Осигуряване на дейностите, свързани с Наредбата за дейностите и задачите по отбранително-мобилизационна подготовка и условията и реда за тяхното осъществяване, които държавните органи провеждат отбранително-мобилизационна подготовка(ОМП) като част от подготовката на страната за отбрана </w:t>
      </w:r>
      <w:r w:rsidR="00A10D64" w:rsidRPr="00CD1BD9">
        <w:rPr>
          <w:b/>
          <w:bCs/>
          <w:i/>
          <w:iCs/>
          <w:color w:val="215E99" w:themeColor="text2" w:themeTint="BF"/>
          <w:sz w:val="22"/>
          <w:szCs w:val="22"/>
        </w:rPr>
        <w:t>–</w:t>
      </w:r>
      <w:r w:rsidRPr="00CD1BD9">
        <w:rPr>
          <w:b/>
          <w:bCs/>
          <w:i/>
          <w:iCs/>
          <w:color w:val="215E99" w:themeColor="text2" w:themeTint="BF"/>
          <w:sz w:val="22"/>
          <w:szCs w:val="22"/>
        </w:rPr>
        <w:t xml:space="preserve"> отдел „Сигурност на информацията“</w:t>
      </w:r>
    </w:p>
    <w:p w14:paraId="550702E2" w14:textId="77777777" w:rsidR="009A7E41" w:rsidRPr="00E37483" w:rsidRDefault="009A7E41" w:rsidP="00CD1BD9">
      <w:pPr>
        <w:shd w:val="clear" w:color="auto" w:fill="FFFFFF" w:themeFill="background1"/>
        <w:ind w:firstLine="426"/>
        <w:jc w:val="both"/>
        <w:rPr>
          <w:b/>
          <w:i/>
          <w:color w:val="800000"/>
          <w:sz w:val="22"/>
          <w:szCs w:val="22"/>
        </w:rPr>
      </w:pPr>
      <w:r w:rsidRPr="00E37483">
        <w:rPr>
          <w:b/>
          <w:i/>
          <w:color w:val="800000"/>
          <w:sz w:val="22"/>
          <w:szCs w:val="22"/>
        </w:rPr>
        <w:t>Описание на постигнатите резултати и изпълнените дейности за тяхното предоставяне</w:t>
      </w:r>
    </w:p>
    <w:p w14:paraId="09067F35" w14:textId="34312CF6" w:rsidR="009A7E41" w:rsidRPr="00E37483" w:rsidRDefault="00A10D64"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Pr>
          <w:sz w:val="22"/>
          <w:szCs w:val="22"/>
        </w:rPr>
        <w:t>Изготвяне и изпращане до м</w:t>
      </w:r>
      <w:r w:rsidR="009A7E41" w:rsidRPr="00E37483">
        <w:rPr>
          <w:sz w:val="22"/>
          <w:szCs w:val="22"/>
        </w:rPr>
        <w:t>инистъра на отбраната на отчет за дейностите през 2024 г., свързани с изпълнението задачите по провежда</w:t>
      </w:r>
      <w:r w:rsidR="00E74E0D">
        <w:rPr>
          <w:sz w:val="22"/>
          <w:szCs w:val="22"/>
        </w:rPr>
        <w:t>нето на ОМП в Министерски съвет;</w:t>
      </w:r>
    </w:p>
    <w:p w14:paraId="594AC555" w14:textId="544C83C9" w:rsidR="009A7E41" w:rsidRPr="00E37483" w:rsidRDefault="009A7E41"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Изпращане на заявка за необходимите финансови средства за осигуряване на дейностите по ОМП в Министерски съвет и организиране на денонощно оперативно дежурство за оповестяване при привеждане в готовност за работа въ</w:t>
      </w:r>
      <w:r w:rsidR="00E74E0D">
        <w:rPr>
          <w:sz w:val="22"/>
          <w:szCs w:val="22"/>
        </w:rPr>
        <w:t>в военно време през 2025 година;</w:t>
      </w:r>
    </w:p>
    <w:p w14:paraId="7A4433C3" w14:textId="4E5E9D09" w:rsidR="009A7E41" w:rsidRPr="00CD1BD9" w:rsidRDefault="009A7E41" w:rsidP="00CD1BD9">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CD1BD9">
        <w:rPr>
          <w:b/>
          <w:bCs/>
          <w:i/>
          <w:iCs/>
          <w:color w:val="215E99" w:themeColor="text2" w:themeTint="BF"/>
          <w:sz w:val="22"/>
          <w:szCs w:val="22"/>
        </w:rPr>
        <w:t xml:space="preserve">Прилагане на пропускателния режим в администрацията на Министерския съвет и координация с Националната служба за охрана </w:t>
      </w:r>
      <w:r w:rsidR="00BC20D3" w:rsidRPr="00CD1BD9">
        <w:rPr>
          <w:b/>
          <w:bCs/>
          <w:i/>
          <w:iCs/>
          <w:color w:val="215E99" w:themeColor="text2" w:themeTint="BF"/>
          <w:sz w:val="22"/>
          <w:szCs w:val="22"/>
        </w:rPr>
        <w:t>–</w:t>
      </w:r>
      <w:r w:rsidRPr="00CD1BD9">
        <w:rPr>
          <w:b/>
          <w:bCs/>
          <w:i/>
          <w:iCs/>
          <w:color w:val="215E99" w:themeColor="text2" w:themeTint="BF"/>
          <w:sz w:val="22"/>
          <w:szCs w:val="22"/>
        </w:rPr>
        <w:t xml:space="preserve"> отдел „Сигурност на информацията“</w:t>
      </w:r>
    </w:p>
    <w:p w14:paraId="2195D432" w14:textId="77777777" w:rsidR="009A7E41" w:rsidRPr="00E37483" w:rsidRDefault="009A7E41" w:rsidP="00CD1BD9">
      <w:pPr>
        <w:shd w:val="clear" w:color="auto" w:fill="FFFFFF" w:themeFill="background1"/>
        <w:ind w:firstLine="426"/>
        <w:jc w:val="both"/>
        <w:rPr>
          <w:b/>
          <w:i/>
          <w:color w:val="800000"/>
          <w:sz w:val="22"/>
          <w:szCs w:val="22"/>
        </w:rPr>
      </w:pPr>
      <w:r w:rsidRPr="00E37483">
        <w:rPr>
          <w:b/>
          <w:i/>
          <w:color w:val="800000"/>
          <w:sz w:val="22"/>
          <w:szCs w:val="22"/>
        </w:rPr>
        <w:t>Описание на постигнатите резултати и изпълнените дейности за тяхното предоставяне</w:t>
      </w:r>
    </w:p>
    <w:p w14:paraId="0BFA5470" w14:textId="714E8E90" w:rsidR="009A7E41" w:rsidRPr="00E37483" w:rsidRDefault="00BC20D3"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Pr>
          <w:sz w:val="22"/>
          <w:szCs w:val="22"/>
        </w:rPr>
        <w:t>Приемане на</w:t>
      </w:r>
      <w:r w:rsidR="009A7E41" w:rsidRPr="00E37483">
        <w:rPr>
          <w:sz w:val="22"/>
          <w:szCs w:val="22"/>
        </w:rPr>
        <w:t xml:space="preserve"> заявки от служители на Министерския съвет, които със заповед на главния секретар са упълномощени да дават достъп до</w:t>
      </w:r>
      <w:r w:rsidR="00E74E0D">
        <w:rPr>
          <w:sz w:val="22"/>
          <w:szCs w:val="22"/>
        </w:rPr>
        <w:t xml:space="preserve"> сградата на Министерския съвет;</w:t>
      </w:r>
    </w:p>
    <w:p w14:paraId="1D861119" w14:textId="24267932" w:rsidR="009A7E41" w:rsidRPr="00E37483" w:rsidRDefault="009A7E41"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Издаване на временни, дневни пропуски за влизане на външни лица в</w:t>
      </w:r>
      <w:r w:rsidR="00E74E0D">
        <w:rPr>
          <w:sz w:val="22"/>
          <w:szCs w:val="22"/>
        </w:rPr>
        <w:t xml:space="preserve"> сградата на Министерския съвет;</w:t>
      </w:r>
    </w:p>
    <w:p w14:paraId="3B4ABFB4" w14:textId="22FEC91C" w:rsidR="009A7E41" w:rsidRPr="00E37483" w:rsidRDefault="009A7E41"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Събиране на обратно вър</w:t>
      </w:r>
      <w:r w:rsidR="00E74E0D">
        <w:rPr>
          <w:sz w:val="22"/>
          <w:szCs w:val="22"/>
        </w:rPr>
        <w:t>натите от посетителите пропуски;</w:t>
      </w:r>
    </w:p>
    <w:p w14:paraId="3DA92B24" w14:textId="77777777" w:rsidR="009A7E41" w:rsidRPr="00E37483" w:rsidRDefault="009A7E41" w:rsidP="00CD1BD9">
      <w:pPr>
        <w:pStyle w:val="ListParagraph"/>
        <w:numPr>
          <w:ilvl w:val="0"/>
          <w:numId w:val="26"/>
        </w:numPr>
        <w:shd w:val="clear" w:color="auto" w:fill="FFFFFF" w:themeFill="background1"/>
        <w:tabs>
          <w:tab w:val="clear" w:pos="360"/>
          <w:tab w:val="num" w:pos="709"/>
        </w:tabs>
        <w:autoSpaceDE w:val="0"/>
        <w:autoSpaceDN w:val="0"/>
        <w:adjustRightInd w:val="0"/>
        <w:ind w:left="0" w:firstLine="426"/>
        <w:jc w:val="both"/>
        <w:rPr>
          <w:sz w:val="22"/>
          <w:szCs w:val="22"/>
        </w:rPr>
      </w:pPr>
      <w:r w:rsidRPr="00E37483">
        <w:rPr>
          <w:sz w:val="22"/>
          <w:szCs w:val="22"/>
        </w:rPr>
        <w:t>Обработени общо 641 пропуска на посетители за АМС и за Конституционния съд на РБ.</w:t>
      </w:r>
    </w:p>
    <w:p w14:paraId="0957A743" w14:textId="00BCE68D" w:rsidR="003F7EC4" w:rsidRPr="00CD1BD9" w:rsidRDefault="003F7EC4" w:rsidP="00CD1BD9">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CD1BD9">
        <w:rPr>
          <w:b/>
          <w:bCs/>
          <w:i/>
          <w:iCs/>
          <w:color w:val="215E99" w:themeColor="text2" w:themeTint="BF"/>
          <w:sz w:val="22"/>
          <w:szCs w:val="22"/>
        </w:rPr>
        <w:t>Разработване, координация и мониторинг на политики за развитие на държав</w:t>
      </w:r>
      <w:r w:rsidR="00D04ED4" w:rsidRPr="00CD1BD9">
        <w:rPr>
          <w:b/>
          <w:bCs/>
          <w:i/>
          <w:iCs/>
          <w:color w:val="215E99" w:themeColor="text2" w:themeTint="BF"/>
          <w:sz w:val="22"/>
          <w:szCs w:val="22"/>
        </w:rPr>
        <w:t>ната администрация – дирекция „Координация и м</w:t>
      </w:r>
      <w:r w:rsidRPr="00CD1BD9">
        <w:rPr>
          <w:b/>
          <w:bCs/>
          <w:i/>
          <w:iCs/>
          <w:color w:val="215E99" w:themeColor="text2" w:themeTint="BF"/>
          <w:sz w:val="22"/>
          <w:szCs w:val="22"/>
        </w:rPr>
        <w:t xml:space="preserve">одернизация на администрацията“ </w:t>
      </w:r>
    </w:p>
    <w:p w14:paraId="02B86D9D" w14:textId="77777777" w:rsidR="00D24145" w:rsidRPr="00D04ED4" w:rsidRDefault="006F0FBD" w:rsidP="0000435A">
      <w:pPr>
        <w:shd w:val="clear" w:color="auto" w:fill="FFFFFF" w:themeFill="background1"/>
        <w:ind w:firstLine="425"/>
        <w:jc w:val="both"/>
        <w:rPr>
          <w:b/>
          <w:i/>
          <w:color w:val="800000"/>
          <w:sz w:val="22"/>
          <w:szCs w:val="22"/>
        </w:rPr>
      </w:pPr>
      <w:r w:rsidRPr="00232AFD">
        <w:rPr>
          <w:b/>
          <w:i/>
          <w:color w:val="800000"/>
          <w:sz w:val="22"/>
          <w:szCs w:val="22"/>
        </w:rPr>
        <w:t>Дейности за предоставянето на продукта/услугата:</w:t>
      </w:r>
    </w:p>
    <w:p w14:paraId="49C336E2" w14:textId="77777777" w:rsidR="00D04ED4" w:rsidRPr="0000435A" w:rsidRDefault="00D04ED4" w:rsidP="0000435A">
      <w:pPr>
        <w:shd w:val="clear" w:color="auto" w:fill="FFFFFF" w:themeFill="background1"/>
        <w:tabs>
          <w:tab w:val="left" w:pos="993"/>
        </w:tabs>
        <w:autoSpaceDE w:val="0"/>
        <w:autoSpaceDN w:val="0"/>
        <w:adjustRightInd w:val="0"/>
        <w:ind w:firstLine="426"/>
        <w:jc w:val="both"/>
        <w:rPr>
          <w:rFonts w:eastAsia="Batang"/>
          <w:b/>
          <w:bCs/>
          <w:i/>
          <w:color w:val="215E99" w:themeColor="text2" w:themeTint="BF"/>
          <w:sz w:val="22"/>
          <w:szCs w:val="22"/>
          <w:lang w:eastAsia="ko-KR"/>
        </w:rPr>
      </w:pPr>
      <w:r w:rsidRPr="0000435A">
        <w:rPr>
          <w:rFonts w:eastAsia="Batang"/>
          <w:b/>
          <w:bCs/>
          <w:i/>
          <w:color w:val="215E99" w:themeColor="text2" w:themeTint="BF"/>
          <w:sz w:val="22"/>
          <w:szCs w:val="22"/>
          <w:lang w:eastAsia="ko-KR"/>
        </w:rPr>
        <w:t>Административно структуриране и организационно развитие</w:t>
      </w:r>
    </w:p>
    <w:p w14:paraId="490EEDF5" w14:textId="0147DE0A" w:rsidR="008F6162" w:rsidRPr="00DF3FF4" w:rsidRDefault="008F6162" w:rsidP="0000435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DF3FF4">
        <w:rPr>
          <w:rFonts w:eastAsia="Batang"/>
          <w:b/>
          <w:bCs/>
          <w:sz w:val="22"/>
          <w:szCs w:val="22"/>
          <w:lang w:eastAsia="ko-KR"/>
        </w:rPr>
        <w:lastRenderedPageBreak/>
        <w:t xml:space="preserve">Предлага инициативи и мерки за оптимизация, създаване, преобразуване и закриване на административни структури: </w:t>
      </w:r>
    </w:p>
    <w:p w14:paraId="5CCBABF1" w14:textId="4A11A1A3" w:rsidR="008F6162" w:rsidRPr="008F6162" w:rsidRDefault="008F6162"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8F6162">
        <w:rPr>
          <w:rFonts w:eastAsia="Batang"/>
          <w:sz w:val="22"/>
          <w:szCs w:val="22"/>
          <w:lang w:eastAsia="ko-KR"/>
        </w:rPr>
        <w:t xml:space="preserve">През отчетния период са предоставени становища по предложения за оптимизация на областните администрации и е взето участие в изготвянето на обобщен доклад до министър-председателя </w:t>
      </w:r>
      <w:r>
        <w:rPr>
          <w:rFonts w:eastAsia="Batang"/>
          <w:sz w:val="22"/>
          <w:szCs w:val="22"/>
          <w:lang w:eastAsia="ko-KR"/>
        </w:rPr>
        <w:t>по темата;</w:t>
      </w:r>
    </w:p>
    <w:p w14:paraId="0C901186" w14:textId="2FF3F48E" w:rsidR="008F6162" w:rsidRPr="008F6162" w:rsidRDefault="008F6162"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8F6162">
        <w:rPr>
          <w:rFonts w:eastAsia="Batang"/>
          <w:sz w:val="22"/>
          <w:szCs w:val="22"/>
          <w:lang w:eastAsia="ko-KR"/>
        </w:rPr>
        <w:t xml:space="preserve">Обобщени са данните и са изготвени следните раздели на Доклада за състоянието на администрацията през 2024 г. </w:t>
      </w:r>
      <w:r>
        <w:rPr>
          <w:rFonts w:eastAsia="Batang"/>
          <w:sz w:val="22"/>
          <w:szCs w:val="22"/>
          <w:lang w:eastAsia="ko-KR"/>
        </w:rPr>
        <w:t>–</w:t>
      </w:r>
      <w:r w:rsidRPr="008F6162">
        <w:rPr>
          <w:rFonts w:eastAsia="Batang"/>
          <w:sz w:val="22"/>
          <w:szCs w:val="22"/>
          <w:lang w:eastAsia="ko-KR"/>
        </w:rPr>
        <w:t xml:space="preserve"> „Развитие и оптимизиране на административните структури“, „Условия за осъществяване дейността на администрацията“ – в частта управление на качеството, „Държавна служба“, „Достъп до обществена информация“. Докладът е приет с Решение № 310 на Министерския съвет от 14.05.2025 г.</w:t>
      </w:r>
    </w:p>
    <w:p w14:paraId="4A1679F9" w14:textId="77777777" w:rsidR="008F6162" w:rsidRPr="00DF3FF4" w:rsidRDefault="008F6162" w:rsidP="0000435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DF3FF4">
        <w:rPr>
          <w:rFonts w:eastAsia="Batang"/>
          <w:b/>
          <w:bCs/>
          <w:sz w:val="22"/>
          <w:szCs w:val="22"/>
          <w:lang w:eastAsia="ko-KR"/>
        </w:rPr>
        <w:t>Изразява становища по вътрешното структуриране, функциите и числеността на административните структури:</w:t>
      </w:r>
    </w:p>
    <w:p w14:paraId="5B52310D" w14:textId="77777777" w:rsidR="008F6162" w:rsidRPr="008F6162" w:rsidRDefault="008F6162"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8F6162">
        <w:rPr>
          <w:rFonts w:eastAsia="Batang"/>
          <w:sz w:val="22"/>
          <w:szCs w:val="22"/>
          <w:lang w:eastAsia="ko-KR"/>
        </w:rPr>
        <w:t>През отчетния период са изготвени становища по проекти на нормативни актове, засягащи структурата, функциите и числеността на административните структури, в това число на Агенцията за устойчиво енергийно развитие, Националния иновационен фонд, Агенция „Пътна инфраструктура“, Министерство на енергетиката, Фонд „Научни изследвания“, областните администрации, Изпълнителна агенция „Военни клубове и военнопочивно дело“, Дирекция за национален строителен контрол и др.</w:t>
      </w:r>
    </w:p>
    <w:p w14:paraId="59C2B58B" w14:textId="77777777" w:rsidR="008B2BBB" w:rsidRPr="0000435A" w:rsidRDefault="008B2BBB" w:rsidP="0000435A">
      <w:pPr>
        <w:shd w:val="clear" w:color="auto" w:fill="FFFFFF" w:themeFill="background1"/>
        <w:tabs>
          <w:tab w:val="left" w:pos="993"/>
        </w:tabs>
        <w:autoSpaceDE w:val="0"/>
        <w:autoSpaceDN w:val="0"/>
        <w:adjustRightInd w:val="0"/>
        <w:ind w:firstLine="426"/>
        <w:jc w:val="both"/>
        <w:rPr>
          <w:rFonts w:eastAsia="Batang"/>
          <w:b/>
          <w:bCs/>
          <w:i/>
          <w:color w:val="215E99" w:themeColor="text2" w:themeTint="BF"/>
          <w:sz w:val="22"/>
          <w:szCs w:val="22"/>
          <w:lang w:eastAsia="ko-KR"/>
        </w:rPr>
      </w:pPr>
      <w:r w:rsidRPr="0000435A">
        <w:rPr>
          <w:rFonts w:eastAsia="Batang"/>
          <w:b/>
          <w:bCs/>
          <w:i/>
          <w:color w:val="215E99" w:themeColor="text2" w:themeTint="BF"/>
          <w:sz w:val="22"/>
          <w:szCs w:val="22"/>
          <w:lang w:eastAsia="ko-KR"/>
        </w:rPr>
        <w:t>Човешки ресурси в държавната администрация</w:t>
      </w:r>
    </w:p>
    <w:p w14:paraId="1DBB81D8" w14:textId="77777777" w:rsidR="008B2BBB" w:rsidRPr="00DF3FF4" w:rsidRDefault="008B2BBB" w:rsidP="0000435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DF3FF4">
        <w:rPr>
          <w:rFonts w:eastAsia="Batang"/>
          <w:b/>
          <w:bCs/>
          <w:sz w:val="22"/>
          <w:szCs w:val="22"/>
          <w:lang w:eastAsia="ko-KR"/>
        </w:rPr>
        <w:t>Предлага инициативи и мерки, свързани с управлението на човешките ресурси в държавната администрация, в т. ч. свързани със статута на държавния служител, назначаването, освобождаването, длъжностите, подбора, кариерното развитие, оценяването и заплащането на служителите в държавната администрация:</w:t>
      </w:r>
    </w:p>
    <w:p w14:paraId="3D7107F9" w14:textId="326C3E58" w:rsidR="008B2BBB" w:rsidRPr="008B2BBB" w:rsidRDefault="008B2BBB"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8B2BBB">
        <w:rPr>
          <w:rFonts w:eastAsia="Batang"/>
          <w:sz w:val="22"/>
          <w:szCs w:val="22"/>
          <w:lang w:eastAsia="ko-KR"/>
        </w:rPr>
        <w:t>През отчетния период приключи изпълнението на Компонент 2 „Подкрепа за стратегическо управление на човешките ресурси“ по проект „Укрепване на стратегическия подход и иновациите в държавната администрация“, финансиран чрез Инструмента за техническа подкрепа (TSI) на ЕК, с бенефициент администрацията на Министерския съвет. Компонентът има за цел изграждането на механизъм за стратегическо планиране и прогнозиране на човешките ресурси в държавната администрация, включващ: методологическа рамка, процеси и инструменти и развитие на методология за оценка на позициите. Постоянно е оказвано съдействие на изпълнителите в процеса на разработка на материалите по проекта и са давани бележки и предложения. Изготвени са: Доклад за добри практики, Методология за планиране и прогнозиране на човешките ресурси в публичната администрация, Методология за оценка на длъжностите, Методология за оценка на работното натоварване в публичната администрация, като последните две методологии са одобрени от Съвета за административната реформа на заседание, проведено на 11.06.2025 г.</w:t>
      </w:r>
      <w:r>
        <w:rPr>
          <w:rFonts w:eastAsia="Batang"/>
          <w:sz w:val="22"/>
          <w:szCs w:val="22"/>
          <w:lang w:eastAsia="ko-KR"/>
        </w:rPr>
        <w:t>;</w:t>
      </w:r>
    </w:p>
    <w:p w14:paraId="344BA064" w14:textId="78D0C7FE" w:rsidR="008B2BBB" w:rsidRPr="008B2BBB" w:rsidRDefault="008B2BBB"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8B2BBB">
        <w:rPr>
          <w:rFonts w:eastAsia="Batang"/>
          <w:sz w:val="22"/>
          <w:szCs w:val="22"/>
          <w:lang w:eastAsia="ko-KR"/>
        </w:rPr>
        <w:t>През отчетния период приключи и изпълнението на дейностите по проект MCP-23LU02 „Проучване на държавните служители в централната администрация в Европейския съюз: Укрепване на основани на доказателства политики и реформи за управление на хора“, финансиран чрез Инструмента на ЕК за техническа подкрепа, с бенефициент администрацията на Министерския съвет. През периода е обобщена информацията от изпратения въпросник за събирането на информация от служителите, която да подпомогне ръководителите на администрациите да вземат по-добри решения относно политиките за управление на хора. От страна на ОИСР са обобщени данните от над 11 000 отговора на служители от общо 96 структури, като са предоставени агрегирани данни и инфографики за българската администрация, съдържащи общи стойности за страната като цяло, данни за резултатите по всеки поставен въпрос за всяка отделна администрация и данни за средните стойности за участвалите страни</w:t>
      </w:r>
      <w:r>
        <w:rPr>
          <w:rFonts w:eastAsia="Batang"/>
          <w:sz w:val="22"/>
          <w:szCs w:val="22"/>
          <w:lang w:eastAsia="ko-KR"/>
        </w:rPr>
        <w:t>;</w:t>
      </w:r>
    </w:p>
    <w:p w14:paraId="7AB8FE59" w14:textId="1CAC0747" w:rsidR="00D04ED4" w:rsidRPr="008B2BBB" w:rsidRDefault="008B2BBB"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8B2BBB">
        <w:rPr>
          <w:rFonts w:eastAsia="Batang"/>
          <w:sz w:val="22"/>
          <w:szCs w:val="22"/>
          <w:lang w:eastAsia="ko-KR"/>
        </w:rPr>
        <w:t>През отчетния период представители на дирекцията са участвали по компетентност като членове в три междуведомствени работни групи към министъра на труда и социалната политика във връзка с транспонирането на Директива 2022/2041 на Европейския парламент и н</w:t>
      </w:r>
      <w:r w:rsidR="00093CE9">
        <w:rPr>
          <w:rFonts w:eastAsia="Batang"/>
          <w:sz w:val="22"/>
          <w:szCs w:val="22"/>
          <w:lang w:eastAsia="ko-KR"/>
        </w:rPr>
        <w:t>а Съвета от 19.10.</w:t>
      </w:r>
      <w:r w:rsidRPr="008B2BBB">
        <w:rPr>
          <w:rFonts w:eastAsia="Batang"/>
          <w:sz w:val="22"/>
          <w:szCs w:val="22"/>
          <w:lang w:eastAsia="ko-KR"/>
        </w:rPr>
        <w:t>2022 г. относно адекватните минимални работни заплати в Европейския съюз: относно механизма за определяне на минималната работна заплата в страната; относно колективното договаряне; за изготвяне на проект на национален План за насърчаване на колективното договаряне.</w:t>
      </w:r>
    </w:p>
    <w:p w14:paraId="75251AE1" w14:textId="416CF9C7" w:rsidR="008B2BBB" w:rsidRPr="00511332" w:rsidRDefault="008B2BBB" w:rsidP="0000435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511332">
        <w:rPr>
          <w:rFonts w:eastAsia="Batang"/>
          <w:b/>
          <w:bCs/>
          <w:sz w:val="22"/>
          <w:szCs w:val="22"/>
          <w:lang w:eastAsia="ko-KR"/>
        </w:rPr>
        <w:lastRenderedPageBreak/>
        <w:t>Дава становища по принципни въпроси, свързани с прилагането на Закона за държавния служител и на подзаконовите актове по неговото прилагане:</w:t>
      </w:r>
    </w:p>
    <w:p w14:paraId="2B8529DE" w14:textId="77777777" w:rsidR="008B2BBB" w:rsidRPr="008B2BBB" w:rsidRDefault="008B2BBB"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8B2BBB">
        <w:rPr>
          <w:rFonts w:eastAsia="Batang"/>
          <w:sz w:val="22"/>
          <w:szCs w:val="22"/>
          <w:lang w:eastAsia="ko-KR"/>
        </w:rPr>
        <w:t xml:space="preserve">През първото полугодие на 2025 г. дирекцията е изготвила общо 45 становища/отговора по постъпили запитвания от физически (28 бр.) и юридически лица (17 бр.) относно прилагането на нормативната уредба на държавната служба, основно по темите: възнаграждения, оценяване, действително отработено време, отпуски, обезщетения и мобилност в администрацията. </w:t>
      </w:r>
    </w:p>
    <w:p w14:paraId="2EA3F481" w14:textId="77777777" w:rsidR="008B2BBB" w:rsidRPr="00511332" w:rsidRDefault="008B2BBB" w:rsidP="0000435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511332">
        <w:rPr>
          <w:rFonts w:eastAsia="Batang"/>
          <w:b/>
          <w:bCs/>
          <w:sz w:val="22"/>
          <w:szCs w:val="22"/>
          <w:lang w:eastAsia="ko-KR"/>
        </w:rPr>
        <w:t>Участва в съгласуването на програмите за обучение на Института по публична администрация;</w:t>
      </w:r>
    </w:p>
    <w:p w14:paraId="62E7BDF2" w14:textId="77777777" w:rsidR="008B2BBB" w:rsidRPr="00511332" w:rsidRDefault="008B2BBB" w:rsidP="0000435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511332">
        <w:rPr>
          <w:rFonts w:eastAsia="Batang"/>
          <w:b/>
          <w:bCs/>
          <w:sz w:val="22"/>
          <w:szCs w:val="22"/>
          <w:lang w:eastAsia="ko-KR"/>
        </w:rPr>
        <w:t xml:space="preserve">Осъществява управлението и координацията на </w:t>
      </w:r>
      <w:proofErr w:type="spellStart"/>
      <w:r w:rsidRPr="00511332">
        <w:rPr>
          <w:rFonts w:eastAsia="Batang"/>
          <w:b/>
          <w:bCs/>
          <w:sz w:val="22"/>
          <w:szCs w:val="22"/>
          <w:lang w:eastAsia="ko-KR"/>
        </w:rPr>
        <w:t>стипендиантската</w:t>
      </w:r>
      <w:proofErr w:type="spellEnd"/>
      <w:r w:rsidRPr="00511332">
        <w:rPr>
          <w:rFonts w:eastAsia="Batang"/>
          <w:b/>
          <w:bCs/>
          <w:sz w:val="22"/>
          <w:szCs w:val="22"/>
          <w:lang w:eastAsia="ko-KR"/>
        </w:rPr>
        <w:t xml:space="preserve"> програма в държавната администрация:</w:t>
      </w:r>
    </w:p>
    <w:p w14:paraId="6F6ED8E2" w14:textId="77777777" w:rsidR="008B2BBB" w:rsidRPr="007F1938" w:rsidRDefault="008B2BBB"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7F1938">
        <w:rPr>
          <w:rFonts w:eastAsia="Batang"/>
          <w:sz w:val="22"/>
          <w:szCs w:val="22"/>
          <w:lang w:eastAsia="ko-KR"/>
        </w:rPr>
        <w:t xml:space="preserve">През отчетния период, в изпълнение на Наредбата за </w:t>
      </w:r>
      <w:proofErr w:type="spellStart"/>
      <w:r w:rsidRPr="007F1938">
        <w:rPr>
          <w:rFonts w:eastAsia="Batang"/>
          <w:sz w:val="22"/>
          <w:szCs w:val="22"/>
          <w:lang w:eastAsia="ko-KR"/>
        </w:rPr>
        <w:t>стипендиантската</w:t>
      </w:r>
      <w:proofErr w:type="spellEnd"/>
      <w:r w:rsidRPr="007F1938">
        <w:rPr>
          <w:rFonts w:eastAsia="Batang"/>
          <w:sz w:val="22"/>
          <w:szCs w:val="22"/>
          <w:lang w:eastAsia="ko-KR"/>
        </w:rPr>
        <w:t xml:space="preserve"> програма в държавната администрация, е подготвено за изпращане писмо до всички администрации за предоставяне на мотивирано предложение по образец за специалностите, за които се наблюдава недостиг на експерти.</w:t>
      </w:r>
    </w:p>
    <w:p w14:paraId="0A834C7E" w14:textId="77777777" w:rsidR="008B2BBB" w:rsidRPr="00511332" w:rsidRDefault="008B2BBB" w:rsidP="0000435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511332">
        <w:rPr>
          <w:rFonts w:eastAsia="Batang"/>
          <w:b/>
          <w:bCs/>
          <w:sz w:val="22"/>
          <w:szCs w:val="22"/>
          <w:lang w:eastAsia="ko-KR"/>
        </w:rPr>
        <w:t>Развива Портала за работа в държавната администрация:</w:t>
      </w:r>
    </w:p>
    <w:p w14:paraId="6A1A30F2" w14:textId="692A2614" w:rsidR="008B2BBB" w:rsidRPr="00523928" w:rsidRDefault="008B2BBB"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523928">
        <w:rPr>
          <w:rFonts w:eastAsia="Batang"/>
          <w:sz w:val="22"/>
          <w:szCs w:val="22"/>
          <w:lang w:eastAsia="ko-KR"/>
        </w:rPr>
        <w:t>През отчетния период на портала са регистрирани общо 258 вътрешни потребители от различни администрации, както и 1</w:t>
      </w:r>
      <w:r w:rsidR="00960662">
        <w:rPr>
          <w:rFonts w:eastAsia="Batang"/>
          <w:sz w:val="22"/>
          <w:szCs w:val="22"/>
          <w:lang w:eastAsia="ko-KR"/>
        </w:rPr>
        <w:t xml:space="preserve"> </w:t>
      </w:r>
      <w:r w:rsidRPr="00523928">
        <w:rPr>
          <w:rFonts w:eastAsia="Batang"/>
          <w:sz w:val="22"/>
          <w:szCs w:val="22"/>
          <w:lang w:eastAsia="ko-KR"/>
        </w:rPr>
        <w:t>129 външни потребители. Публикувани са 526 обяви за мобилност и 434 обяви за стажове.</w:t>
      </w:r>
    </w:p>
    <w:p w14:paraId="09D4B671" w14:textId="77777777" w:rsidR="008B2BBB" w:rsidRPr="00511332" w:rsidRDefault="008B2BBB" w:rsidP="0000435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511332">
        <w:rPr>
          <w:rFonts w:eastAsia="Batang"/>
          <w:b/>
          <w:bCs/>
          <w:sz w:val="22"/>
          <w:szCs w:val="22"/>
          <w:lang w:eastAsia="ko-KR"/>
        </w:rPr>
        <w:t>Осъществява управлението и координацията на програмата за студентски стажове в държавната администрация:</w:t>
      </w:r>
    </w:p>
    <w:p w14:paraId="4067D090" w14:textId="5B31AE62" w:rsidR="008B2BBB" w:rsidRPr="00523928" w:rsidRDefault="008B2BBB"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523928">
        <w:rPr>
          <w:rFonts w:eastAsia="Batang"/>
          <w:sz w:val="22"/>
          <w:szCs w:val="22"/>
          <w:lang w:eastAsia="ko-KR"/>
        </w:rPr>
        <w:t xml:space="preserve">От </w:t>
      </w:r>
      <w:r w:rsidR="00523928">
        <w:rPr>
          <w:rFonts w:eastAsia="Batang"/>
          <w:sz w:val="22"/>
          <w:szCs w:val="22"/>
          <w:lang w:eastAsia="ko-KR"/>
        </w:rPr>
        <w:t>0</w:t>
      </w:r>
      <w:r w:rsidRPr="00523928">
        <w:rPr>
          <w:rFonts w:eastAsia="Batang"/>
          <w:sz w:val="22"/>
          <w:szCs w:val="22"/>
          <w:lang w:eastAsia="ko-KR"/>
        </w:rPr>
        <w:t>1.01.2024 г. влязоха в сила измененията и допълненията на Наредбата за студентските стажове в държавната администрация, чрез които възможностите за стаж на студентите в държавната администрация бяха разширени, а специализиран модул на Портала за работа в държавната администрация вече събира на едно място</w:t>
      </w:r>
      <w:r w:rsidR="005840A3">
        <w:rPr>
          <w:rFonts w:eastAsia="Batang"/>
          <w:sz w:val="22"/>
          <w:szCs w:val="22"/>
          <w:lang w:eastAsia="ko-KR"/>
        </w:rPr>
        <w:t xml:space="preserve"> информацията за стаж и работа;</w:t>
      </w:r>
    </w:p>
    <w:p w14:paraId="2750BF62" w14:textId="24A766E6" w:rsidR="00D04ED4" w:rsidRPr="00523928" w:rsidRDefault="008B2BBB"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523928">
        <w:rPr>
          <w:rFonts w:eastAsia="Batang"/>
          <w:sz w:val="22"/>
          <w:szCs w:val="22"/>
          <w:lang w:eastAsia="ko-KR"/>
        </w:rPr>
        <w:t xml:space="preserve">През отчетния период за втора поредна година студентските стажове се обявяват на Портала за работа </w:t>
      </w:r>
      <w:r w:rsidR="008254F8">
        <w:rPr>
          <w:rFonts w:eastAsia="Batang"/>
          <w:sz w:val="22"/>
          <w:szCs w:val="22"/>
          <w:lang w:eastAsia="ko-KR"/>
        </w:rPr>
        <w:t>в държавната администрация. И</w:t>
      </w:r>
      <w:r w:rsidRPr="00523928">
        <w:rPr>
          <w:rFonts w:eastAsia="Batang"/>
          <w:sz w:val="22"/>
          <w:szCs w:val="22"/>
          <w:lang w:eastAsia="ko-KR"/>
        </w:rPr>
        <w:t>звършена е подготовка на централизираната кампания за стажовете и е осъществявана всекидневна комуникация с представителите на администрациите, които предоставят стажове – изготвен е график на кампанията и са изпратени писма до администрациите. Оказвана е методическа помощ на администрациите, които са проявили желание да се включат в централизираната кампания или да публикуват обяви за стажантски позиции чрез портала. Отговаряно е на въпроси, отправени от студенти относно реда и процедурата за кандидатстване за стаж. В рамките на централизираната кампания за летните студентски стажове от администрациите са обявени 584 позиции, за които са кандидатствали общо 178 студенти. През шестмесечието извън централизираната кампания са обявени 99 позиции, за които са кандидатствали 134 студенти.</w:t>
      </w:r>
    </w:p>
    <w:p w14:paraId="1F0B8843" w14:textId="77777777" w:rsidR="00E80ACA" w:rsidRPr="0000435A" w:rsidRDefault="00E80ACA" w:rsidP="0000435A">
      <w:pPr>
        <w:shd w:val="clear" w:color="auto" w:fill="FFFFFF" w:themeFill="background1"/>
        <w:tabs>
          <w:tab w:val="left" w:pos="993"/>
        </w:tabs>
        <w:autoSpaceDE w:val="0"/>
        <w:autoSpaceDN w:val="0"/>
        <w:adjustRightInd w:val="0"/>
        <w:ind w:firstLine="426"/>
        <w:jc w:val="both"/>
        <w:rPr>
          <w:rFonts w:eastAsia="Batang"/>
          <w:b/>
          <w:bCs/>
          <w:i/>
          <w:color w:val="215E99" w:themeColor="text2" w:themeTint="BF"/>
          <w:sz w:val="22"/>
          <w:szCs w:val="22"/>
          <w:lang w:eastAsia="ko-KR"/>
        </w:rPr>
      </w:pPr>
      <w:r w:rsidRPr="0000435A">
        <w:rPr>
          <w:rFonts w:eastAsia="Batang"/>
          <w:b/>
          <w:bCs/>
          <w:i/>
          <w:color w:val="215E99" w:themeColor="text2" w:themeTint="BF"/>
          <w:sz w:val="22"/>
          <w:szCs w:val="22"/>
          <w:lang w:eastAsia="ko-KR"/>
        </w:rPr>
        <w:t>Административно обслужване и развитие на държавната администрация</w:t>
      </w:r>
    </w:p>
    <w:p w14:paraId="1877401E" w14:textId="77777777" w:rsidR="00E80ACA" w:rsidRPr="00511332" w:rsidRDefault="00E80ACA" w:rsidP="0000435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511332">
        <w:rPr>
          <w:rFonts w:eastAsia="Batang"/>
          <w:b/>
          <w:bCs/>
          <w:sz w:val="22"/>
          <w:szCs w:val="22"/>
          <w:lang w:eastAsia="ko-KR"/>
        </w:rPr>
        <w:t>Предлага инициативи и мерки за подобряване на административното обслужване и координацията между административните структури при предоставяне на услуги:</w:t>
      </w:r>
    </w:p>
    <w:p w14:paraId="31E38735" w14:textId="77777777" w:rsidR="00E80ACA" w:rsidRPr="00E80ACA" w:rsidRDefault="00E80ACA"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E80ACA">
        <w:rPr>
          <w:rFonts w:eastAsia="Batang"/>
          <w:sz w:val="22"/>
          <w:szCs w:val="22"/>
          <w:lang w:eastAsia="ko-KR"/>
        </w:rPr>
        <w:t xml:space="preserve">С Решение № 176 на Министерския съвет от 21.03.2025 г. е приет План за действие за внедряване на административни услуги на принципа „епизод от живота“. </w:t>
      </w:r>
    </w:p>
    <w:p w14:paraId="00C6BA99" w14:textId="29643D89" w:rsidR="00E80ACA" w:rsidRPr="00E80ACA" w:rsidRDefault="00E80ACA"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E80ACA">
        <w:rPr>
          <w:rFonts w:eastAsia="Batang"/>
          <w:sz w:val="22"/>
          <w:szCs w:val="22"/>
          <w:lang w:eastAsia="ko-KR"/>
        </w:rPr>
        <w:t>Планът е съобразен с Препоръката на ОИСР от 2024 г. за административно обслужване, поставящо хората в центъра на предоставянето на административни услуги. Препоръката предвижда да се приоритизират бизнес процесите и предоставянето на услуги от гледна точка на потребителя и да се улесни взаимодействието с публичния сектор при житейски и бизнес събития (напр. раждане на дете, смърт на роднина, стартиран</w:t>
      </w:r>
      <w:r w:rsidR="005840A3">
        <w:rPr>
          <w:rFonts w:eastAsia="Batang"/>
          <w:sz w:val="22"/>
          <w:szCs w:val="22"/>
          <w:lang w:eastAsia="ko-KR"/>
        </w:rPr>
        <w:t>е или затваряне на фирма) и др.;</w:t>
      </w:r>
    </w:p>
    <w:p w14:paraId="5EA6C600" w14:textId="62F137DA" w:rsidR="00D04ED4" w:rsidRPr="00E80ACA" w:rsidRDefault="00E80ACA"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E80ACA">
        <w:rPr>
          <w:rFonts w:eastAsia="Batang"/>
          <w:sz w:val="22"/>
          <w:szCs w:val="22"/>
          <w:lang w:eastAsia="ko-KR"/>
        </w:rPr>
        <w:t>Планът за внедряване на административни услуги на принципа „епизод от живота“ е и в изпълнение на приоритетните препоръки на Комитета за регулаторна политика на ОИСР, отправени към България. Комитетът препоръча приемането на План за въвеждане на услуги от типа „епизоди от живота“ и предприемането на конкретни стъпки за изпълнението му.</w:t>
      </w:r>
    </w:p>
    <w:p w14:paraId="5B050354" w14:textId="035D5C9B" w:rsidR="00D04ED4" w:rsidRPr="00511332" w:rsidRDefault="00F71B14" w:rsidP="0000435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511332">
        <w:rPr>
          <w:rFonts w:eastAsia="Batang"/>
          <w:b/>
          <w:bCs/>
          <w:sz w:val="22"/>
          <w:szCs w:val="22"/>
          <w:lang w:eastAsia="ko-KR"/>
        </w:rPr>
        <w:t>Предлага стандарти за качество на административното обслужване в централната и териториалната администрация:</w:t>
      </w:r>
    </w:p>
    <w:p w14:paraId="01EFBDD3" w14:textId="0F093474" w:rsidR="00F71B14" w:rsidRPr="00953B69" w:rsidRDefault="00F71B14" w:rsidP="0000435A">
      <w:pPr>
        <w:pStyle w:val="ListParagraph"/>
        <w:numPr>
          <w:ilvl w:val="0"/>
          <w:numId w:val="58"/>
        </w:numPr>
        <w:shd w:val="clear" w:color="auto" w:fill="FFFFFF" w:themeFill="background1"/>
        <w:tabs>
          <w:tab w:val="left" w:pos="993"/>
        </w:tabs>
        <w:autoSpaceDE w:val="0"/>
        <w:autoSpaceDN w:val="0"/>
        <w:adjustRightInd w:val="0"/>
        <w:ind w:left="709" w:hanging="283"/>
        <w:jc w:val="both"/>
        <w:rPr>
          <w:sz w:val="22"/>
          <w:szCs w:val="22"/>
        </w:rPr>
      </w:pPr>
      <w:r w:rsidRPr="00953B69">
        <w:rPr>
          <w:sz w:val="22"/>
          <w:szCs w:val="22"/>
        </w:rPr>
        <w:t>Концепция за развитие на регулаторната политика</w:t>
      </w:r>
    </w:p>
    <w:p w14:paraId="6551F535" w14:textId="77777777" w:rsidR="00F71B14" w:rsidRPr="00F71B14" w:rsidRDefault="00F71B14"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F71B14">
        <w:rPr>
          <w:rFonts w:eastAsia="Batang"/>
          <w:sz w:val="22"/>
          <w:szCs w:val="22"/>
          <w:lang w:eastAsia="ko-KR"/>
        </w:rPr>
        <w:lastRenderedPageBreak/>
        <w:t>С Решение № 175 на Министерския съвет от 21.03.2025 г. е приета Концепция за развитие на регулаторната политика на Република България 2025-2027 г. Концепцията представя визията на Министерския съвет за подобряване на регулаторната политика в страната, разработена е въз основа на извършена оценка на текущото състояние на политиката, официални препоръки, отправени към страната и установени добри практики в различни области. Концепцията е изготвена в изпълнение на:</w:t>
      </w:r>
    </w:p>
    <w:p w14:paraId="1438DCE2" w14:textId="77777777" w:rsidR="00F71B14" w:rsidRPr="00F71B14" w:rsidRDefault="00F71B14" w:rsidP="0000435A">
      <w:pPr>
        <w:pStyle w:val="ListParagraph"/>
        <w:numPr>
          <w:ilvl w:val="0"/>
          <w:numId w:val="25"/>
        </w:numPr>
        <w:shd w:val="clear" w:color="auto" w:fill="FFFFFF" w:themeFill="background1"/>
        <w:ind w:left="709" w:hanging="283"/>
        <w:jc w:val="both"/>
        <w:rPr>
          <w:sz w:val="22"/>
          <w:szCs w:val="22"/>
        </w:rPr>
      </w:pPr>
      <w:r w:rsidRPr="00F71B14">
        <w:rPr>
          <w:sz w:val="22"/>
          <w:szCs w:val="22"/>
        </w:rPr>
        <w:t>Официалните препоръки на Комитета за регулаторна политика (получени в отчетния период);</w:t>
      </w:r>
    </w:p>
    <w:p w14:paraId="647E806C" w14:textId="77777777" w:rsidR="00F71B14" w:rsidRPr="00F71B14" w:rsidRDefault="00F71B14" w:rsidP="0000435A">
      <w:pPr>
        <w:pStyle w:val="ListParagraph"/>
        <w:numPr>
          <w:ilvl w:val="0"/>
          <w:numId w:val="25"/>
        </w:numPr>
        <w:shd w:val="clear" w:color="auto" w:fill="FFFFFF" w:themeFill="background1"/>
        <w:ind w:left="709" w:hanging="283"/>
        <w:jc w:val="both"/>
        <w:rPr>
          <w:sz w:val="22"/>
          <w:szCs w:val="22"/>
        </w:rPr>
      </w:pPr>
      <w:r w:rsidRPr="00F71B14">
        <w:rPr>
          <w:sz w:val="22"/>
          <w:szCs w:val="22"/>
        </w:rPr>
        <w:t>Мярка № 1 „Правителствен документ за регулаторната политика: принципи, водещи институции, правила“ от Приоритет 10 „Институционална рамка“, Подприоритет 10.2 „Регулаторна политика в полза на икономическото развитие“, Област на въздействие 10.2.А „Интелигентна регулаторна политика“ от Плана за действие за изпълнението на Националната програма за развитие България 2030 през периода 2024-2026 година (приет с РМС 154/07.03.2024 г.).</w:t>
      </w:r>
    </w:p>
    <w:p w14:paraId="6411A385" w14:textId="50E60EF8" w:rsidR="00F71B14" w:rsidRPr="00F71B14" w:rsidRDefault="00F71B14" w:rsidP="0000435A">
      <w:pPr>
        <w:pStyle w:val="ListParagraph"/>
        <w:numPr>
          <w:ilvl w:val="0"/>
          <w:numId w:val="25"/>
        </w:numPr>
        <w:shd w:val="clear" w:color="auto" w:fill="FFFFFF" w:themeFill="background1"/>
        <w:ind w:left="709" w:hanging="283"/>
        <w:jc w:val="both"/>
        <w:rPr>
          <w:sz w:val="22"/>
          <w:szCs w:val="22"/>
        </w:rPr>
      </w:pPr>
      <w:r w:rsidRPr="00F71B14">
        <w:rPr>
          <w:sz w:val="22"/>
          <w:szCs w:val="22"/>
        </w:rPr>
        <w:t>Националната пътна карта с дейности по сътрудничество с ОИСР за тригодишния период от 2023 г. до 2025 г. (РМС №</w:t>
      </w:r>
      <w:r w:rsidR="00546BCB">
        <w:rPr>
          <w:sz w:val="22"/>
          <w:szCs w:val="22"/>
          <w:lang w:val="bg-BG"/>
        </w:rPr>
        <w:t xml:space="preserve"> </w:t>
      </w:r>
      <w:r w:rsidRPr="00F71B14">
        <w:rPr>
          <w:sz w:val="22"/>
          <w:szCs w:val="22"/>
        </w:rPr>
        <w:t>301/2023</w:t>
      </w:r>
      <w:r w:rsidR="00546BCB">
        <w:rPr>
          <w:sz w:val="22"/>
          <w:szCs w:val="22"/>
          <w:lang w:val="bg-BG"/>
        </w:rPr>
        <w:t xml:space="preserve"> г.</w:t>
      </w:r>
      <w:r w:rsidRPr="00F71B14">
        <w:rPr>
          <w:sz w:val="22"/>
          <w:szCs w:val="22"/>
        </w:rPr>
        <w:t xml:space="preserve">, изменено с </w:t>
      </w:r>
      <w:r w:rsidR="00546BCB">
        <w:rPr>
          <w:sz w:val="22"/>
          <w:szCs w:val="22"/>
          <w:lang w:val="bg-BG"/>
        </w:rPr>
        <w:t xml:space="preserve">РМС </w:t>
      </w:r>
      <w:r w:rsidRPr="00F71B14">
        <w:rPr>
          <w:sz w:val="22"/>
          <w:szCs w:val="22"/>
        </w:rPr>
        <w:t>№</w:t>
      </w:r>
      <w:r w:rsidR="00546BCB">
        <w:rPr>
          <w:sz w:val="22"/>
          <w:szCs w:val="22"/>
          <w:lang w:val="bg-BG"/>
        </w:rPr>
        <w:t xml:space="preserve"> </w:t>
      </w:r>
      <w:r w:rsidRPr="00F71B14">
        <w:rPr>
          <w:sz w:val="22"/>
          <w:szCs w:val="22"/>
        </w:rPr>
        <w:t>78/2024</w:t>
      </w:r>
      <w:r w:rsidR="00546BCB">
        <w:rPr>
          <w:sz w:val="22"/>
          <w:szCs w:val="22"/>
          <w:lang w:val="bg-BG"/>
        </w:rPr>
        <w:t xml:space="preserve"> г.</w:t>
      </w:r>
      <w:r w:rsidRPr="00F71B14">
        <w:rPr>
          <w:sz w:val="22"/>
          <w:szCs w:val="22"/>
        </w:rPr>
        <w:t>).</w:t>
      </w:r>
    </w:p>
    <w:p w14:paraId="13BB21ED" w14:textId="2098954D" w:rsidR="00F71B14" w:rsidRPr="00F71B14" w:rsidRDefault="00F71B14" w:rsidP="0000435A">
      <w:pPr>
        <w:pStyle w:val="ListParagraph"/>
        <w:shd w:val="clear" w:color="auto" w:fill="FFFFFF" w:themeFill="background1"/>
        <w:ind w:left="709"/>
        <w:jc w:val="both"/>
        <w:rPr>
          <w:sz w:val="22"/>
          <w:szCs w:val="22"/>
        </w:rPr>
      </w:pPr>
      <w:r w:rsidRPr="00F71B14">
        <w:rPr>
          <w:sz w:val="22"/>
          <w:szCs w:val="22"/>
        </w:rPr>
        <w:t>Основните цели на концепцията са:</w:t>
      </w:r>
    </w:p>
    <w:p w14:paraId="0D113733" w14:textId="77777777" w:rsidR="00F71B14" w:rsidRPr="00F71B14" w:rsidRDefault="00F71B14" w:rsidP="0000435A">
      <w:pPr>
        <w:pStyle w:val="ListParagraph"/>
        <w:numPr>
          <w:ilvl w:val="0"/>
          <w:numId w:val="25"/>
        </w:numPr>
        <w:shd w:val="clear" w:color="auto" w:fill="FFFFFF" w:themeFill="background1"/>
        <w:ind w:left="709" w:hanging="283"/>
        <w:jc w:val="both"/>
        <w:rPr>
          <w:sz w:val="22"/>
          <w:szCs w:val="22"/>
        </w:rPr>
      </w:pPr>
      <w:r w:rsidRPr="00F71B14">
        <w:rPr>
          <w:sz w:val="22"/>
          <w:szCs w:val="22"/>
        </w:rPr>
        <w:t>Подобряване на нормотворческия процес;</w:t>
      </w:r>
    </w:p>
    <w:p w14:paraId="687F588C" w14:textId="77777777" w:rsidR="00F71B14" w:rsidRPr="00F71B14" w:rsidRDefault="00F71B14" w:rsidP="0000435A">
      <w:pPr>
        <w:pStyle w:val="ListParagraph"/>
        <w:numPr>
          <w:ilvl w:val="0"/>
          <w:numId w:val="25"/>
        </w:numPr>
        <w:shd w:val="clear" w:color="auto" w:fill="FFFFFF" w:themeFill="background1"/>
        <w:ind w:left="709" w:hanging="283"/>
        <w:jc w:val="both"/>
        <w:rPr>
          <w:sz w:val="22"/>
          <w:szCs w:val="22"/>
        </w:rPr>
      </w:pPr>
      <w:r w:rsidRPr="00F71B14">
        <w:rPr>
          <w:sz w:val="22"/>
          <w:szCs w:val="22"/>
        </w:rPr>
        <w:t>Намаляване на административната тежест и подобряване на административното обслужване;</w:t>
      </w:r>
    </w:p>
    <w:p w14:paraId="7874D576" w14:textId="77777777" w:rsidR="00F71B14" w:rsidRPr="00F71B14" w:rsidRDefault="00F71B14" w:rsidP="0000435A">
      <w:pPr>
        <w:pStyle w:val="ListParagraph"/>
        <w:numPr>
          <w:ilvl w:val="0"/>
          <w:numId w:val="25"/>
        </w:numPr>
        <w:shd w:val="clear" w:color="auto" w:fill="FFFFFF" w:themeFill="background1"/>
        <w:ind w:left="709" w:hanging="283"/>
        <w:jc w:val="both"/>
        <w:rPr>
          <w:sz w:val="22"/>
          <w:szCs w:val="22"/>
        </w:rPr>
      </w:pPr>
      <w:r w:rsidRPr="00F71B14">
        <w:rPr>
          <w:sz w:val="22"/>
          <w:szCs w:val="22"/>
        </w:rPr>
        <w:t>Насърчаване използването на алтернативни и гъвкави регулаторни подходи;</w:t>
      </w:r>
    </w:p>
    <w:p w14:paraId="352E1192" w14:textId="77777777" w:rsidR="00F71B14" w:rsidRPr="00F71B14" w:rsidRDefault="00F71B14" w:rsidP="0000435A">
      <w:pPr>
        <w:pStyle w:val="ListParagraph"/>
        <w:numPr>
          <w:ilvl w:val="0"/>
          <w:numId w:val="25"/>
        </w:numPr>
        <w:shd w:val="clear" w:color="auto" w:fill="FFFFFF" w:themeFill="background1"/>
        <w:ind w:left="709" w:hanging="283"/>
        <w:jc w:val="both"/>
        <w:rPr>
          <w:sz w:val="22"/>
          <w:szCs w:val="22"/>
        </w:rPr>
      </w:pPr>
      <w:r w:rsidRPr="00F71B14">
        <w:rPr>
          <w:sz w:val="22"/>
          <w:szCs w:val="22"/>
        </w:rPr>
        <w:t>Подобряване на правоприлагането и административния контрол;</w:t>
      </w:r>
    </w:p>
    <w:p w14:paraId="4364D1B3" w14:textId="77777777" w:rsidR="00F71B14" w:rsidRPr="00F71B14" w:rsidRDefault="00F71B14" w:rsidP="0000435A">
      <w:pPr>
        <w:pStyle w:val="ListParagraph"/>
        <w:numPr>
          <w:ilvl w:val="0"/>
          <w:numId w:val="25"/>
        </w:numPr>
        <w:shd w:val="clear" w:color="auto" w:fill="FFFFFF" w:themeFill="background1"/>
        <w:ind w:left="709" w:hanging="283"/>
        <w:jc w:val="both"/>
        <w:rPr>
          <w:sz w:val="22"/>
          <w:szCs w:val="22"/>
        </w:rPr>
      </w:pPr>
      <w:r w:rsidRPr="00F71B14">
        <w:rPr>
          <w:sz w:val="22"/>
          <w:szCs w:val="22"/>
        </w:rPr>
        <w:t>Повишаване на административния капацитет.</w:t>
      </w:r>
    </w:p>
    <w:p w14:paraId="29D5438C" w14:textId="0DCD9AB2" w:rsidR="00D04ED4" w:rsidRPr="00546BCB" w:rsidRDefault="00F71B14"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546BCB">
        <w:rPr>
          <w:rFonts w:eastAsia="Batang"/>
          <w:sz w:val="22"/>
          <w:szCs w:val="22"/>
          <w:lang w:eastAsia="ko-KR"/>
        </w:rPr>
        <w:t>С приемането на концепцията се осигурява ясна правителствена визия за развитието на регулаторната политика, както и са приоритизирани конкретни мерки, които да допринесат за изпълнението на заложените цели.</w:t>
      </w:r>
    </w:p>
    <w:p w14:paraId="6A158939" w14:textId="77777777" w:rsidR="00546BCB" w:rsidRPr="00815083" w:rsidRDefault="00546BCB" w:rsidP="0000435A">
      <w:pPr>
        <w:pStyle w:val="ListParagraph"/>
        <w:numPr>
          <w:ilvl w:val="0"/>
          <w:numId w:val="58"/>
        </w:numPr>
        <w:shd w:val="clear" w:color="auto" w:fill="FFFFFF" w:themeFill="background1"/>
        <w:autoSpaceDE w:val="0"/>
        <w:autoSpaceDN w:val="0"/>
        <w:adjustRightInd w:val="0"/>
        <w:ind w:left="0" w:firstLine="426"/>
        <w:jc w:val="both"/>
        <w:rPr>
          <w:sz w:val="22"/>
          <w:szCs w:val="22"/>
        </w:rPr>
      </w:pPr>
      <w:r w:rsidRPr="00815083">
        <w:rPr>
          <w:sz w:val="22"/>
          <w:szCs w:val="22"/>
        </w:rPr>
        <w:t xml:space="preserve">Разработен е проект на Постановление за изменение и допълнение на Наредбата за административното обслужване (НАО). </w:t>
      </w:r>
    </w:p>
    <w:p w14:paraId="573E44AB" w14:textId="77777777" w:rsidR="00546BCB" w:rsidRPr="00E75F8F" w:rsidRDefault="00546BCB" w:rsidP="0000435A">
      <w:pPr>
        <w:shd w:val="clear" w:color="auto" w:fill="FFFFFF" w:themeFill="background1"/>
        <w:tabs>
          <w:tab w:val="left" w:pos="993"/>
        </w:tabs>
        <w:autoSpaceDE w:val="0"/>
        <w:autoSpaceDN w:val="0"/>
        <w:adjustRightInd w:val="0"/>
        <w:ind w:left="426"/>
        <w:jc w:val="both"/>
        <w:rPr>
          <w:rFonts w:eastAsia="Batang"/>
          <w:sz w:val="22"/>
          <w:szCs w:val="22"/>
          <w:lang w:eastAsia="ko-KR"/>
        </w:rPr>
      </w:pPr>
      <w:r w:rsidRPr="00E75F8F">
        <w:rPr>
          <w:rFonts w:eastAsia="Batang"/>
          <w:sz w:val="22"/>
          <w:szCs w:val="22"/>
          <w:lang w:eastAsia="ko-KR"/>
        </w:rPr>
        <w:t>Очаквани резултати от предложените промени в проекта на наредба:</w:t>
      </w:r>
    </w:p>
    <w:p w14:paraId="0ADD42B8" w14:textId="77777777" w:rsidR="00546BCB" w:rsidRPr="00546BCB" w:rsidRDefault="00546BCB" w:rsidP="0000435A">
      <w:pPr>
        <w:pStyle w:val="ListParagraph"/>
        <w:numPr>
          <w:ilvl w:val="0"/>
          <w:numId w:val="25"/>
        </w:numPr>
        <w:shd w:val="clear" w:color="auto" w:fill="FFFFFF" w:themeFill="background1"/>
        <w:ind w:left="709" w:hanging="283"/>
        <w:jc w:val="both"/>
        <w:rPr>
          <w:sz w:val="22"/>
          <w:szCs w:val="22"/>
        </w:rPr>
      </w:pPr>
      <w:r w:rsidRPr="00546BCB">
        <w:rPr>
          <w:sz w:val="22"/>
          <w:szCs w:val="22"/>
        </w:rPr>
        <w:t>Съобразяване на образците в НАО с АПК и ЗМДТ;</w:t>
      </w:r>
    </w:p>
    <w:p w14:paraId="65554437" w14:textId="77777777" w:rsidR="00546BCB" w:rsidRPr="00546BCB" w:rsidRDefault="00546BCB" w:rsidP="0000435A">
      <w:pPr>
        <w:pStyle w:val="ListParagraph"/>
        <w:numPr>
          <w:ilvl w:val="0"/>
          <w:numId w:val="25"/>
        </w:numPr>
        <w:shd w:val="clear" w:color="auto" w:fill="FFFFFF" w:themeFill="background1"/>
        <w:ind w:left="709" w:hanging="283"/>
        <w:jc w:val="both"/>
        <w:rPr>
          <w:sz w:val="22"/>
          <w:szCs w:val="22"/>
        </w:rPr>
      </w:pPr>
      <w:r w:rsidRPr="00546BCB">
        <w:rPr>
          <w:sz w:val="22"/>
          <w:szCs w:val="22"/>
        </w:rPr>
        <w:t>Привеждане на НАО в съответствие със законовата делегация за приемането на наредбата;</w:t>
      </w:r>
    </w:p>
    <w:p w14:paraId="1326D4BD" w14:textId="77777777" w:rsidR="00546BCB" w:rsidRPr="00546BCB" w:rsidRDefault="00546BCB" w:rsidP="0000435A">
      <w:pPr>
        <w:pStyle w:val="ListParagraph"/>
        <w:numPr>
          <w:ilvl w:val="0"/>
          <w:numId w:val="25"/>
        </w:numPr>
        <w:shd w:val="clear" w:color="auto" w:fill="FFFFFF" w:themeFill="background1"/>
        <w:ind w:left="709" w:hanging="283"/>
        <w:jc w:val="both"/>
        <w:rPr>
          <w:sz w:val="22"/>
          <w:szCs w:val="22"/>
        </w:rPr>
      </w:pPr>
      <w:r w:rsidRPr="00546BCB">
        <w:rPr>
          <w:sz w:val="22"/>
          <w:szCs w:val="22"/>
        </w:rPr>
        <w:t>Предоставяне на по-пълна и качествена информация за административните услуги на интернет страниците на отделните администрации;</w:t>
      </w:r>
    </w:p>
    <w:p w14:paraId="53BC1992" w14:textId="77777777" w:rsidR="00546BCB" w:rsidRPr="00546BCB" w:rsidRDefault="00546BCB" w:rsidP="0000435A">
      <w:pPr>
        <w:pStyle w:val="ListParagraph"/>
        <w:numPr>
          <w:ilvl w:val="0"/>
          <w:numId w:val="25"/>
        </w:numPr>
        <w:shd w:val="clear" w:color="auto" w:fill="FFFFFF" w:themeFill="background1"/>
        <w:ind w:left="709" w:hanging="283"/>
        <w:jc w:val="both"/>
        <w:rPr>
          <w:sz w:val="22"/>
          <w:szCs w:val="22"/>
        </w:rPr>
      </w:pPr>
      <w:r w:rsidRPr="00546BCB">
        <w:rPr>
          <w:sz w:val="22"/>
          <w:szCs w:val="22"/>
        </w:rPr>
        <w:t>Създаден общ нормативно определен ред за утвърждаване на образци на документи, свързани с административното обслужване, като това предоставя възможност, както за стандартизиране на процедурите, така и за актуализиране на съответните образци при промени в нормативните изисквания.</w:t>
      </w:r>
    </w:p>
    <w:p w14:paraId="722DD7BE" w14:textId="77777777" w:rsidR="00546BCB" w:rsidRPr="007878D9" w:rsidRDefault="00546BCB"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7878D9">
        <w:rPr>
          <w:rFonts w:eastAsia="Batang"/>
          <w:sz w:val="22"/>
          <w:szCs w:val="22"/>
          <w:lang w:eastAsia="ko-KR"/>
        </w:rPr>
        <w:t>Изготвеният проект на постановление за изменение и допълнение на наредбата е изпратен за предварително съгласуване.</w:t>
      </w:r>
    </w:p>
    <w:p w14:paraId="4D18EE6C" w14:textId="77777777" w:rsidR="0063735E" w:rsidRPr="00511332" w:rsidRDefault="0063735E" w:rsidP="0000435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511332">
        <w:rPr>
          <w:rFonts w:eastAsia="Batang"/>
          <w:b/>
          <w:bCs/>
          <w:sz w:val="22"/>
          <w:szCs w:val="22"/>
          <w:lang w:eastAsia="ko-KR"/>
        </w:rPr>
        <w:t>Предлага насоки и осъществява методическа помощ на институциите за подобряване на административното обслужване:</w:t>
      </w:r>
    </w:p>
    <w:p w14:paraId="507F8A03" w14:textId="77777777" w:rsidR="0063735E" w:rsidRPr="0063735E" w:rsidRDefault="0063735E"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63735E">
        <w:rPr>
          <w:rFonts w:eastAsia="Batang"/>
          <w:sz w:val="22"/>
          <w:szCs w:val="22"/>
          <w:lang w:eastAsia="ko-KR"/>
        </w:rPr>
        <w:t xml:space="preserve">С Решение № 7 от 11.06.2025 г. Съветът за административната реформа прие Доклад за несъответствия на вписаната информация за административните услуги в Административния регистър и интернет страниците на администрациите, предоставящи административни услуги. </w:t>
      </w:r>
    </w:p>
    <w:p w14:paraId="47DE7AB1" w14:textId="77777777" w:rsidR="0063735E" w:rsidRPr="0063735E" w:rsidRDefault="0063735E"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63735E">
        <w:rPr>
          <w:rFonts w:eastAsia="Batang"/>
          <w:sz w:val="22"/>
          <w:szCs w:val="22"/>
          <w:lang w:eastAsia="ko-KR"/>
        </w:rPr>
        <w:t>Констатираните несъответствия са в следните насоки:</w:t>
      </w:r>
    </w:p>
    <w:p w14:paraId="3D15BDD4" w14:textId="1E9DEE5D" w:rsidR="0063735E" w:rsidRPr="0063735E" w:rsidRDefault="0063735E" w:rsidP="0000435A">
      <w:pPr>
        <w:pStyle w:val="ListParagraph"/>
        <w:numPr>
          <w:ilvl w:val="0"/>
          <w:numId w:val="25"/>
        </w:numPr>
        <w:shd w:val="clear" w:color="auto" w:fill="FFFFFF" w:themeFill="background1"/>
        <w:ind w:left="709" w:hanging="283"/>
        <w:jc w:val="both"/>
        <w:rPr>
          <w:sz w:val="22"/>
          <w:szCs w:val="22"/>
        </w:rPr>
      </w:pPr>
      <w:r w:rsidRPr="0063735E">
        <w:rPr>
          <w:sz w:val="22"/>
          <w:szCs w:val="22"/>
        </w:rPr>
        <w:t>вписаната информация за административните услуги в Административния регистър н</w:t>
      </w:r>
      <w:r w:rsidR="008153EA">
        <w:rPr>
          <w:sz w:val="22"/>
          <w:szCs w:val="22"/>
        </w:rPr>
        <w:t xml:space="preserve">е отговаря на изискванията на </w:t>
      </w:r>
      <w:r w:rsidR="008153EA">
        <w:rPr>
          <w:sz w:val="22"/>
          <w:szCs w:val="22"/>
          <w:lang w:val="bg-BG"/>
        </w:rPr>
        <w:t>АПК</w:t>
      </w:r>
      <w:r w:rsidRPr="0063735E">
        <w:rPr>
          <w:sz w:val="22"/>
          <w:szCs w:val="22"/>
        </w:rPr>
        <w:t xml:space="preserve"> и чл. 25 от Наредбата за Административния регистър;</w:t>
      </w:r>
    </w:p>
    <w:p w14:paraId="06204C94" w14:textId="77777777" w:rsidR="0063735E" w:rsidRPr="0063735E" w:rsidRDefault="0063735E" w:rsidP="0000435A">
      <w:pPr>
        <w:pStyle w:val="ListParagraph"/>
        <w:numPr>
          <w:ilvl w:val="0"/>
          <w:numId w:val="25"/>
        </w:numPr>
        <w:shd w:val="clear" w:color="auto" w:fill="FFFFFF" w:themeFill="background1"/>
        <w:ind w:left="709" w:hanging="283"/>
        <w:jc w:val="both"/>
        <w:rPr>
          <w:sz w:val="22"/>
          <w:szCs w:val="22"/>
        </w:rPr>
      </w:pPr>
      <w:r w:rsidRPr="0063735E">
        <w:rPr>
          <w:sz w:val="22"/>
          <w:szCs w:val="22"/>
        </w:rPr>
        <w:t>образците на заявления, вписани в Административния регистър и/или публикувани на интернет страниците, не са в съответствие с АПК и НАО;</w:t>
      </w:r>
    </w:p>
    <w:p w14:paraId="20268616" w14:textId="77777777" w:rsidR="0063735E" w:rsidRPr="0063735E" w:rsidRDefault="0063735E" w:rsidP="0000435A">
      <w:pPr>
        <w:pStyle w:val="ListParagraph"/>
        <w:numPr>
          <w:ilvl w:val="0"/>
          <w:numId w:val="25"/>
        </w:numPr>
        <w:shd w:val="clear" w:color="auto" w:fill="FFFFFF" w:themeFill="background1"/>
        <w:ind w:left="709" w:hanging="283"/>
        <w:jc w:val="both"/>
        <w:rPr>
          <w:sz w:val="22"/>
          <w:szCs w:val="22"/>
        </w:rPr>
      </w:pPr>
      <w:r w:rsidRPr="0063735E">
        <w:rPr>
          <w:sz w:val="22"/>
          <w:szCs w:val="22"/>
        </w:rPr>
        <w:t>в образците на заявления на общинските администрации и специализираните териториални администрации, вписани в Административния регистър и/или публикувани на интернет страниците, за които с нормативен акт са въведени елементи на стандартизация, в съответствие с АПК и НАО;</w:t>
      </w:r>
    </w:p>
    <w:p w14:paraId="00F2B5F0" w14:textId="77777777" w:rsidR="0063735E" w:rsidRPr="0063735E" w:rsidRDefault="0063735E" w:rsidP="0000435A">
      <w:pPr>
        <w:pStyle w:val="ListParagraph"/>
        <w:numPr>
          <w:ilvl w:val="0"/>
          <w:numId w:val="25"/>
        </w:numPr>
        <w:shd w:val="clear" w:color="auto" w:fill="FFFFFF" w:themeFill="background1"/>
        <w:ind w:left="709" w:hanging="283"/>
        <w:jc w:val="both"/>
        <w:rPr>
          <w:sz w:val="22"/>
          <w:szCs w:val="22"/>
        </w:rPr>
      </w:pPr>
      <w:r w:rsidRPr="0063735E">
        <w:rPr>
          <w:sz w:val="22"/>
          <w:szCs w:val="22"/>
        </w:rPr>
        <w:lastRenderedPageBreak/>
        <w:t>образците на заявления на общинските администрации не са в съответствие със стандартизираните образци, определени в Приложение № 5 към чл. 5а, ал. 2 от НAO;</w:t>
      </w:r>
    </w:p>
    <w:p w14:paraId="7A3A77A6" w14:textId="77777777" w:rsidR="0063735E" w:rsidRPr="0063735E" w:rsidRDefault="0063735E" w:rsidP="0000435A">
      <w:pPr>
        <w:pStyle w:val="ListParagraph"/>
        <w:numPr>
          <w:ilvl w:val="0"/>
          <w:numId w:val="25"/>
        </w:numPr>
        <w:shd w:val="clear" w:color="auto" w:fill="FFFFFF" w:themeFill="background1"/>
        <w:ind w:left="709" w:hanging="283"/>
        <w:jc w:val="both"/>
        <w:rPr>
          <w:sz w:val="22"/>
          <w:szCs w:val="22"/>
        </w:rPr>
      </w:pPr>
      <w:r w:rsidRPr="0063735E">
        <w:rPr>
          <w:sz w:val="22"/>
          <w:szCs w:val="22"/>
        </w:rPr>
        <w:t>информацията на интернет страниците на администрациите не е съобразена с изискванията на Правилата за институционална идентичност на интернет страниците и порталите на държавната администрация (рубрика „Административно обслужване“).</w:t>
      </w:r>
    </w:p>
    <w:p w14:paraId="300D15BD" w14:textId="671015F5" w:rsidR="0063735E" w:rsidRPr="0063735E" w:rsidRDefault="0063735E"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63735E">
        <w:rPr>
          <w:rFonts w:eastAsia="Batang"/>
          <w:sz w:val="22"/>
          <w:szCs w:val="22"/>
          <w:lang w:eastAsia="ko-KR"/>
        </w:rPr>
        <w:t>Докладът е изпратен на съответните органи на изпълнителната власт, с указание за осигуряване на вписването на липсващата ин</w:t>
      </w:r>
      <w:r>
        <w:rPr>
          <w:rFonts w:eastAsia="Batang"/>
          <w:sz w:val="22"/>
          <w:szCs w:val="22"/>
          <w:lang w:eastAsia="ko-KR"/>
        </w:rPr>
        <w:t>формация, в срок до 31.10.</w:t>
      </w:r>
      <w:r w:rsidRPr="0063735E">
        <w:rPr>
          <w:rFonts w:eastAsia="Batang"/>
          <w:sz w:val="22"/>
          <w:szCs w:val="22"/>
          <w:lang w:eastAsia="ko-KR"/>
        </w:rPr>
        <w:t>2025 г. Предоставя се методическа помощ на администрациите при отразяване на препоръките в доклада.</w:t>
      </w:r>
    </w:p>
    <w:p w14:paraId="0107D166" w14:textId="77777777" w:rsidR="0063735E" w:rsidRPr="00511332" w:rsidRDefault="0063735E" w:rsidP="0000435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511332">
        <w:rPr>
          <w:rFonts w:eastAsia="Batang"/>
          <w:b/>
          <w:bCs/>
          <w:sz w:val="22"/>
          <w:szCs w:val="22"/>
          <w:lang w:eastAsia="ko-KR"/>
        </w:rPr>
        <w:t>Предлага инициативи и мерки за въвеждане на системи за управление на качеството в администрацията.</w:t>
      </w:r>
    </w:p>
    <w:p w14:paraId="583C5CC5" w14:textId="77777777" w:rsidR="00551BD8" w:rsidRPr="0000435A" w:rsidRDefault="00551BD8" w:rsidP="0000435A">
      <w:pPr>
        <w:shd w:val="clear" w:color="auto" w:fill="FFFFFF" w:themeFill="background1"/>
        <w:tabs>
          <w:tab w:val="left" w:pos="993"/>
        </w:tabs>
        <w:autoSpaceDE w:val="0"/>
        <w:autoSpaceDN w:val="0"/>
        <w:adjustRightInd w:val="0"/>
        <w:ind w:firstLine="426"/>
        <w:jc w:val="both"/>
        <w:rPr>
          <w:rFonts w:eastAsia="Batang"/>
          <w:b/>
          <w:bCs/>
          <w:i/>
          <w:color w:val="215E99" w:themeColor="text2" w:themeTint="BF"/>
          <w:sz w:val="22"/>
          <w:szCs w:val="22"/>
          <w:lang w:eastAsia="ko-KR"/>
        </w:rPr>
      </w:pPr>
      <w:r w:rsidRPr="0000435A">
        <w:rPr>
          <w:rFonts w:eastAsia="Batang"/>
          <w:b/>
          <w:bCs/>
          <w:i/>
          <w:color w:val="215E99" w:themeColor="text2" w:themeTint="BF"/>
          <w:sz w:val="22"/>
          <w:szCs w:val="22"/>
          <w:lang w:eastAsia="ko-KR"/>
        </w:rPr>
        <w:t>Прозрачност в дейността на държавната администрация</w:t>
      </w:r>
    </w:p>
    <w:p w14:paraId="1EBFD3A6" w14:textId="77777777" w:rsidR="00551BD8" w:rsidRPr="00511332" w:rsidRDefault="00551BD8" w:rsidP="0000435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511332">
        <w:rPr>
          <w:rFonts w:eastAsia="Batang"/>
          <w:b/>
          <w:bCs/>
          <w:sz w:val="22"/>
          <w:szCs w:val="22"/>
          <w:lang w:eastAsia="ko-KR"/>
        </w:rPr>
        <w:t>Предлага инициативи и мерки за повишаване на прозрачността и публичността в дейността на държавната администрация;</w:t>
      </w:r>
    </w:p>
    <w:p w14:paraId="4027583A" w14:textId="77777777" w:rsidR="00551BD8" w:rsidRPr="00511332" w:rsidRDefault="00551BD8" w:rsidP="0000435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511332">
        <w:rPr>
          <w:rFonts w:eastAsia="Batang"/>
          <w:b/>
          <w:bCs/>
          <w:sz w:val="22"/>
          <w:szCs w:val="22"/>
          <w:lang w:eastAsia="ko-KR"/>
        </w:rPr>
        <w:t>Предлага инициативи и мерки за подобряване на достъпа до обществена информация и администрира и развива Платформата за достъп до обществена информация:</w:t>
      </w:r>
    </w:p>
    <w:p w14:paraId="40708981" w14:textId="19823365" w:rsidR="00551BD8" w:rsidRPr="00551BD8" w:rsidRDefault="00551BD8"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551BD8">
        <w:rPr>
          <w:rFonts w:eastAsia="Batang"/>
          <w:sz w:val="22"/>
          <w:szCs w:val="22"/>
          <w:lang w:eastAsia="ko-KR"/>
        </w:rPr>
        <w:t>За периода януари – юни 2025 г. на Платформата за достъп до обществена информация са постъпили общо 2</w:t>
      </w:r>
      <w:r w:rsidR="00C0276E">
        <w:rPr>
          <w:rFonts w:eastAsia="Batang"/>
          <w:sz w:val="22"/>
          <w:szCs w:val="22"/>
          <w:lang w:eastAsia="ko-KR"/>
        </w:rPr>
        <w:t xml:space="preserve"> </w:t>
      </w:r>
      <w:r w:rsidRPr="00551BD8">
        <w:rPr>
          <w:rFonts w:eastAsia="Batang"/>
          <w:sz w:val="22"/>
          <w:szCs w:val="22"/>
          <w:lang w:eastAsia="ko-KR"/>
        </w:rPr>
        <w:t>479 заявления, като 2</w:t>
      </w:r>
      <w:r w:rsidR="00C0276E">
        <w:rPr>
          <w:rFonts w:eastAsia="Batang"/>
          <w:sz w:val="22"/>
          <w:szCs w:val="22"/>
          <w:lang w:eastAsia="ko-KR"/>
        </w:rPr>
        <w:t xml:space="preserve"> </w:t>
      </w:r>
      <w:r w:rsidRPr="00551BD8">
        <w:rPr>
          <w:rFonts w:eastAsia="Batang"/>
          <w:sz w:val="22"/>
          <w:szCs w:val="22"/>
          <w:lang w:eastAsia="ko-KR"/>
        </w:rPr>
        <w:t>157 са от физически лица и 322 са от юридически лица. От администраторите на платформата е оказвана методическа подкрепа на представители на задължени субекти и на външни потребители на платформата, свързана с публикуване на информация, промяна на потребителски профил и др.</w:t>
      </w:r>
      <w:r>
        <w:rPr>
          <w:rFonts w:eastAsia="Batang"/>
          <w:sz w:val="22"/>
          <w:szCs w:val="22"/>
          <w:lang w:eastAsia="ko-KR"/>
        </w:rPr>
        <w:t>;</w:t>
      </w:r>
    </w:p>
    <w:p w14:paraId="3857EAF0" w14:textId="77777777" w:rsidR="00551BD8" w:rsidRPr="00551BD8" w:rsidRDefault="00551BD8"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551BD8">
        <w:rPr>
          <w:rFonts w:eastAsia="Batang"/>
          <w:sz w:val="22"/>
          <w:szCs w:val="22"/>
          <w:lang w:eastAsia="ko-KR"/>
        </w:rPr>
        <w:t>През отчетния период нормалното функциониране на Платформата е затруднено поради липсата на техническа поддръжка, водеща до невъзможност или забавено отстраняване на технически проблеми, за които администраторите на Платформата са сигнализирани многократно.</w:t>
      </w:r>
    </w:p>
    <w:p w14:paraId="1FDCC132" w14:textId="77777777" w:rsidR="00551BD8" w:rsidRPr="00511332" w:rsidRDefault="00551BD8" w:rsidP="0000435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511332">
        <w:rPr>
          <w:rFonts w:eastAsia="Batang"/>
          <w:b/>
          <w:bCs/>
          <w:sz w:val="22"/>
          <w:szCs w:val="22"/>
          <w:lang w:eastAsia="ko-KR"/>
        </w:rPr>
        <w:t>Предлага инициативи и мерки за подобряване на взаимодействието между държавната администрация и юридическите лица с нестопанска цел;</w:t>
      </w:r>
    </w:p>
    <w:p w14:paraId="72EC63FE" w14:textId="77777777" w:rsidR="00551BD8" w:rsidRPr="00511332" w:rsidRDefault="00551BD8" w:rsidP="0000435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511332">
        <w:rPr>
          <w:rFonts w:eastAsia="Batang"/>
          <w:b/>
          <w:bCs/>
          <w:sz w:val="22"/>
          <w:szCs w:val="22"/>
          <w:lang w:eastAsia="ko-KR"/>
        </w:rPr>
        <w:t>Координира инициативата „Партньорство за открито управление“, като осигурява дейността на Съвета за координация на участието на Република България в нея.</w:t>
      </w:r>
    </w:p>
    <w:p w14:paraId="3B0F5BA3" w14:textId="08A3C349" w:rsidR="00D04ED4" w:rsidRPr="00027916" w:rsidRDefault="00551BD8"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027916">
        <w:rPr>
          <w:rFonts w:eastAsia="Batang"/>
          <w:sz w:val="22"/>
          <w:szCs w:val="22"/>
          <w:lang w:eastAsia="ko-KR"/>
        </w:rPr>
        <w:t>По правилата на инициативата в началото на 2025 г. е осъществена сесия за събиране на предложения от администрации и граждански организации за мерки за Петия национален план. Постъпиха 15 предложения. Във връзка с определянето от правителството на нов национален координатор за участието на България в инициативата „Партньорство за открито управление“ (РМС № 300/12.</w:t>
      </w:r>
      <w:r w:rsidR="00027916">
        <w:rPr>
          <w:rFonts w:eastAsia="Batang"/>
          <w:sz w:val="22"/>
          <w:szCs w:val="22"/>
          <w:lang w:eastAsia="ko-KR"/>
        </w:rPr>
        <w:t>0</w:t>
      </w:r>
      <w:r w:rsidRPr="00027916">
        <w:rPr>
          <w:rFonts w:eastAsia="Batang"/>
          <w:sz w:val="22"/>
          <w:szCs w:val="22"/>
          <w:lang w:eastAsia="ko-KR"/>
        </w:rPr>
        <w:t>5.2025</w:t>
      </w:r>
      <w:r w:rsidR="00027916">
        <w:rPr>
          <w:rFonts w:eastAsia="Batang"/>
          <w:sz w:val="22"/>
          <w:szCs w:val="22"/>
          <w:lang w:eastAsia="ko-KR"/>
        </w:rPr>
        <w:t xml:space="preserve"> г.</w:t>
      </w:r>
      <w:r w:rsidRPr="00027916">
        <w:rPr>
          <w:rFonts w:eastAsia="Batang"/>
          <w:sz w:val="22"/>
          <w:szCs w:val="22"/>
          <w:lang w:eastAsia="ko-KR"/>
        </w:rPr>
        <w:t>) и на базата на изводите от работата на първия Съвет за координация, с който е изпълнен Четвъртият национален план, е изготвен проект на ПМС за качествено усъвършенстване на координацията по инициативата. С проекта се укрепва и нивото на представителство на органите на власт в Съвета. На националния координатор се предлага отварянето на нова сесия за събиране на предложения за Петия национален план, като процедурата по подготовката и приемането му да приключи до края на 2025 г.</w:t>
      </w:r>
    </w:p>
    <w:p w14:paraId="5984A65E" w14:textId="77777777" w:rsidR="00D63B4D" w:rsidRPr="0000435A" w:rsidRDefault="00D63B4D" w:rsidP="0000435A">
      <w:pPr>
        <w:shd w:val="clear" w:color="auto" w:fill="FFFFFF" w:themeFill="background1"/>
        <w:tabs>
          <w:tab w:val="left" w:pos="993"/>
        </w:tabs>
        <w:autoSpaceDE w:val="0"/>
        <w:autoSpaceDN w:val="0"/>
        <w:adjustRightInd w:val="0"/>
        <w:ind w:firstLine="426"/>
        <w:jc w:val="both"/>
        <w:rPr>
          <w:rFonts w:eastAsia="Batang"/>
          <w:b/>
          <w:bCs/>
          <w:i/>
          <w:color w:val="215E99" w:themeColor="text2" w:themeTint="BF"/>
          <w:sz w:val="22"/>
          <w:szCs w:val="22"/>
          <w:lang w:eastAsia="ko-KR"/>
        </w:rPr>
      </w:pPr>
      <w:r w:rsidRPr="0000435A">
        <w:rPr>
          <w:rFonts w:eastAsia="Batang"/>
          <w:b/>
          <w:bCs/>
          <w:i/>
          <w:color w:val="215E99" w:themeColor="text2" w:themeTint="BF"/>
          <w:sz w:val="22"/>
          <w:szCs w:val="22"/>
          <w:lang w:eastAsia="ko-KR"/>
        </w:rPr>
        <w:t>Иновации в дейността на администрацията</w:t>
      </w:r>
    </w:p>
    <w:p w14:paraId="50EF5331" w14:textId="77777777" w:rsidR="00D63B4D" w:rsidRPr="00511332" w:rsidRDefault="00D63B4D" w:rsidP="0000435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511332">
        <w:rPr>
          <w:rFonts w:eastAsia="Batang"/>
          <w:b/>
          <w:bCs/>
          <w:sz w:val="22"/>
          <w:szCs w:val="22"/>
          <w:lang w:eastAsia="ko-KR"/>
        </w:rPr>
        <w:t>Предлага инициативи и мерки за развитие на иновационни процеси.</w:t>
      </w:r>
    </w:p>
    <w:p w14:paraId="08575FFD" w14:textId="77777777" w:rsidR="00D63B4D" w:rsidRPr="00D63B4D" w:rsidRDefault="00D63B4D"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D63B4D">
        <w:rPr>
          <w:rFonts w:eastAsia="Batang"/>
          <w:sz w:val="22"/>
          <w:szCs w:val="22"/>
          <w:lang w:eastAsia="ko-KR"/>
        </w:rPr>
        <w:t>През отчетния период са изготвени предложения за възможни подходи за осъществяване на визията и плана за действие за иновациите в публичния сектор, разработени от ОИСР в изпълнение на дейности по Компонент 3 „Иновации в публичния сектор“ по проект 23BG02 „Укрепване на стратегическия подход и иновациите в държавната администрация“, финансиран от Инструмента за техническа подкрепа на Европейската комисия. Изготвени са и предложения за възможни подходи за прилагане на предложени от ОИСР мерки, които са от компетентността на Института по публична администрация.</w:t>
      </w:r>
    </w:p>
    <w:p w14:paraId="1B0A1094" w14:textId="77777777" w:rsidR="00D63B4D" w:rsidRPr="0000435A" w:rsidRDefault="00D63B4D" w:rsidP="0000435A">
      <w:pPr>
        <w:shd w:val="clear" w:color="auto" w:fill="FFFFFF" w:themeFill="background1"/>
        <w:tabs>
          <w:tab w:val="left" w:pos="993"/>
        </w:tabs>
        <w:autoSpaceDE w:val="0"/>
        <w:autoSpaceDN w:val="0"/>
        <w:adjustRightInd w:val="0"/>
        <w:ind w:firstLine="426"/>
        <w:jc w:val="both"/>
        <w:rPr>
          <w:rFonts w:eastAsia="Batang"/>
          <w:b/>
          <w:bCs/>
          <w:i/>
          <w:color w:val="215E99" w:themeColor="text2" w:themeTint="BF"/>
          <w:sz w:val="22"/>
          <w:szCs w:val="22"/>
          <w:lang w:eastAsia="ko-KR"/>
        </w:rPr>
      </w:pPr>
      <w:r w:rsidRPr="0000435A">
        <w:rPr>
          <w:rFonts w:eastAsia="Batang"/>
          <w:b/>
          <w:bCs/>
          <w:i/>
          <w:color w:val="215E99" w:themeColor="text2" w:themeTint="BF"/>
          <w:sz w:val="22"/>
          <w:szCs w:val="22"/>
          <w:lang w:eastAsia="ko-KR"/>
        </w:rPr>
        <w:t>Подобряване на регулирането в действащото законодателство</w:t>
      </w:r>
    </w:p>
    <w:p w14:paraId="6C2AC2EC" w14:textId="52A0B6FE" w:rsidR="00D63B4D" w:rsidRPr="00F06EA1" w:rsidRDefault="00D63B4D" w:rsidP="0000435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F06EA1">
        <w:rPr>
          <w:rFonts w:eastAsia="Batang"/>
          <w:b/>
          <w:bCs/>
          <w:sz w:val="22"/>
          <w:szCs w:val="22"/>
          <w:lang w:eastAsia="ko-KR"/>
        </w:rPr>
        <w:t>Предлага инициативи и мерки за намаляване на административната тежест и административния ко</w:t>
      </w:r>
      <w:r w:rsidR="004A3F8B" w:rsidRPr="00F06EA1">
        <w:rPr>
          <w:rFonts w:eastAsia="Batang"/>
          <w:b/>
          <w:bCs/>
          <w:sz w:val="22"/>
          <w:szCs w:val="22"/>
          <w:lang w:eastAsia="ko-KR"/>
        </w:rPr>
        <w:t>нтрол върху стопанската дейност:</w:t>
      </w:r>
    </w:p>
    <w:p w14:paraId="3F84CAAD" w14:textId="48441DFD" w:rsidR="00D63B4D" w:rsidRPr="00E80D08" w:rsidRDefault="00D63B4D" w:rsidP="0000435A">
      <w:pPr>
        <w:pStyle w:val="ListParagraph"/>
        <w:numPr>
          <w:ilvl w:val="0"/>
          <w:numId w:val="59"/>
        </w:numPr>
        <w:shd w:val="clear" w:color="auto" w:fill="FFFFFF" w:themeFill="background1"/>
        <w:tabs>
          <w:tab w:val="left" w:pos="426"/>
        </w:tabs>
        <w:autoSpaceDE w:val="0"/>
        <w:autoSpaceDN w:val="0"/>
        <w:adjustRightInd w:val="0"/>
        <w:ind w:left="0" w:firstLine="426"/>
        <w:jc w:val="both"/>
        <w:rPr>
          <w:sz w:val="22"/>
          <w:szCs w:val="22"/>
        </w:rPr>
      </w:pPr>
      <w:r w:rsidRPr="00E80D08">
        <w:rPr>
          <w:sz w:val="22"/>
          <w:szCs w:val="22"/>
        </w:rPr>
        <w:t>През отчетния период продължава изпълнението на Плана за намаляване на административната тежест (приет с Решение № 233 на Министерския съвет от 2024 г.). Планът съдържа 235 мерки, за чието изпълнение са необходими промени в 91 закона. Мерките са разпределени в следните основни направления:</w:t>
      </w:r>
    </w:p>
    <w:p w14:paraId="64601AE6" w14:textId="492DEC5B" w:rsidR="00D63B4D" w:rsidRPr="00613280" w:rsidRDefault="00D63B4D" w:rsidP="0000435A">
      <w:pPr>
        <w:pStyle w:val="ListParagraph"/>
        <w:numPr>
          <w:ilvl w:val="0"/>
          <w:numId w:val="35"/>
        </w:numPr>
        <w:shd w:val="clear" w:color="auto" w:fill="FFFFFF" w:themeFill="background1"/>
        <w:ind w:hanging="471"/>
        <w:jc w:val="both"/>
        <w:rPr>
          <w:sz w:val="22"/>
          <w:szCs w:val="22"/>
        </w:rPr>
      </w:pPr>
      <w:r w:rsidRPr="00613280">
        <w:rPr>
          <w:sz w:val="22"/>
          <w:szCs w:val="22"/>
        </w:rPr>
        <w:lastRenderedPageBreak/>
        <w:t>отпадане на изискуеми документи;</w:t>
      </w:r>
    </w:p>
    <w:p w14:paraId="55F4D167" w14:textId="77777777" w:rsidR="00D63B4D" w:rsidRPr="00D63B4D" w:rsidRDefault="00D63B4D" w:rsidP="0000435A">
      <w:pPr>
        <w:pStyle w:val="ListParagraph"/>
        <w:numPr>
          <w:ilvl w:val="0"/>
          <w:numId w:val="35"/>
        </w:numPr>
        <w:shd w:val="clear" w:color="auto" w:fill="FFFFFF" w:themeFill="background1"/>
        <w:ind w:hanging="471"/>
        <w:jc w:val="both"/>
        <w:rPr>
          <w:sz w:val="22"/>
          <w:szCs w:val="22"/>
        </w:rPr>
      </w:pPr>
      <w:r w:rsidRPr="00D63B4D">
        <w:rPr>
          <w:sz w:val="22"/>
          <w:szCs w:val="22"/>
        </w:rPr>
        <w:t>служебно събиране на информация;</w:t>
      </w:r>
    </w:p>
    <w:p w14:paraId="2C12532E" w14:textId="77777777" w:rsidR="00D63B4D" w:rsidRPr="00D63B4D" w:rsidRDefault="00D63B4D" w:rsidP="0000435A">
      <w:pPr>
        <w:pStyle w:val="ListParagraph"/>
        <w:numPr>
          <w:ilvl w:val="0"/>
          <w:numId w:val="35"/>
        </w:numPr>
        <w:shd w:val="clear" w:color="auto" w:fill="FFFFFF" w:themeFill="background1"/>
        <w:ind w:hanging="471"/>
        <w:jc w:val="both"/>
        <w:rPr>
          <w:sz w:val="22"/>
          <w:szCs w:val="22"/>
        </w:rPr>
      </w:pPr>
      <w:r w:rsidRPr="00D63B4D">
        <w:rPr>
          <w:sz w:val="22"/>
          <w:szCs w:val="22"/>
        </w:rPr>
        <w:t>установяване на процедурите по предоставянето на услуги в закон;</w:t>
      </w:r>
    </w:p>
    <w:p w14:paraId="560DE1BA" w14:textId="77777777" w:rsidR="00D63B4D" w:rsidRPr="00D63B4D" w:rsidRDefault="00D63B4D" w:rsidP="0000435A">
      <w:pPr>
        <w:pStyle w:val="ListParagraph"/>
        <w:numPr>
          <w:ilvl w:val="0"/>
          <w:numId w:val="35"/>
        </w:numPr>
        <w:shd w:val="clear" w:color="auto" w:fill="FFFFFF" w:themeFill="background1"/>
        <w:ind w:hanging="471"/>
        <w:jc w:val="both"/>
        <w:rPr>
          <w:sz w:val="22"/>
          <w:szCs w:val="22"/>
        </w:rPr>
      </w:pPr>
      <w:r w:rsidRPr="00D63B4D">
        <w:rPr>
          <w:sz w:val="22"/>
          <w:szCs w:val="22"/>
        </w:rPr>
        <w:t>намаляване на срокове;</w:t>
      </w:r>
    </w:p>
    <w:p w14:paraId="6D998A7D" w14:textId="77777777" w:rsidR="00D63B4D" w:rsidRPr="00D63B4D" w:rsidRDefault="00D63B4D" w:rsidP="0000435A">
      <w:pPr>
        <w:pStyle w:val="ListParagraph"/>
        <w:numPr>
          <w:ilvl w:val="0"/>
          <w:numId w:val="35"/>
        </w:numPr>
        <w:shd w:val="clear" w:color="auto" w:fill="FFFFFF" w:themeFill="background1"/>
        <w:ind w:left="567" w:hanging="141"/>
        <w:jc w:val="both"/>
        <w:rPr>
          <w:sz w:val="22"/>
          <w:szCs w:val="22"/>
        </w:rPr>
      </w:pPr>
      <w:r w:rsidRPr="00D63B4D">
        <w:rPr>
          <w:sz w:val="22"/>
          <w:szCs w:val="22"/>
        </w:rPr>
        <w:t>подобряване на дейностите по администриране на регистри и разширяване на тяхната използваемост в административните производства.</w:t>
      </w:r>
    </w:p>
    <w:p w14:paraId="3662C928" w14:textId="77777777" w:rsidR="00D63B4D" w:rsidRPr="003C6234" w:rsidRDefault="00D63B4D"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3C6234">
        <w:rPr>
          <w:rFonts w:eastAsia="Batang"/>
          <w:sz w:val="22"/>
          <w:szCs w:val="22"/>
          <w:lang w:eastAsia="ko-KR"/>
        </w:rPr>
        <w:t>В плана се съдържат хоризонтални мерки за разширяване използваемостта на изградени регистри, законовото установяване на които ще промени значителен брой административни производства и за заявителите на услугите ще отпадне изискването за представяне на:</w:t>
      </w:r>
    </w:p>
    <w:p w14:paraId="06CBE52B" w14:textId="0A792C8E" w:rsidR="00D63B4D" w:rsidRPr="00D63B4D" w:rsidRDefault="00D63B4D" w:rsidP="0000435A">
      <w:pPr>
        <w:pStyle w:val="ListParagraph"/>
        <w:numPr>
          <w:ilvl w:val="0"/>
          <w:numId w:val="35"/>
        </w:numPr>
        <w:shd w:val="clear" w:color="auto" w:fill="FFFFFF" w:themeFill="background1"/>
        <w:ind w:hanging="471"/>
        <w:jc w:val="both"/>
        <w:rPr>
          <w:sz w:val="22"/>
          <w:szCs w:val="22"/>
        </w:rPr>
      </w:pPr>
      <w:r w:rsidRPr="00D63B4D">
        <w:rPr>
          <w:sz w:val="22"/>
          <w:szCs w:val="22"/>
        </w:rPr>
        <w:t>копия от скици и други кадастрални данни;</w:t>
      </w:r>
    </w:p>
    <w:p w14:paraId="572349BC" w14:textId="7E3E3B9C" w:rsidR="00D63B4D" w:rsidRPr="00D63B4D" w:rsidRDefault="00D63B4D" w:rsidP="0000435A">
      <w:pPr>
        <w:pStyle w:val="ListParagraph"/>
        <w:numPr>
          <w:ilvl w:val="0"/>
          <w:numId w:val="35"/>
        </w:numPr>
        <w:shd w:val="clear" w:color="auto" w:fill="FFFFFF" w:themeFill="background1"/>
        <w:ind w:hanging="471"/>
        <w:jc w:val="both"/>
        <w:rPr>
          <w:sz w:val="22"/>
          <w:szCs w:val="22"/>
        </w:rPr>
      </w:pPr>
      <w:r w:rsidRPr="00D63B4D">
        <w:rPr>
          <w:sz w:val="22"/>
          <w:szCs w:val="22"/>
        </w:rPr>
        <w:t xml:space="preserve">документ, доказващ трудовото правоотношение; </w:t>
      </w:r>
    </w:p>
    <w:p w14:paraId="7FD08417" w14:textId="23E55267" w:rsidR="00D63B4D" w:rsidRPr="00D63B4D" w:rsidRDefault="00D63B4D" w:rsidP="0000435A">
      <w:pPr>
        <w:pStyle w:val="ListParagraph"/>
        <w:numPr>
          <w:ilvl w:val="0"/>
          <w:numId w:val="35"/>
        </w:numPr>
        <w:shd w:val="clear" w:color="auto" w:fill="FFFFFF" w:themeFill="background1"/>
        <w:ind w:hanging="471"/>
        <w:jc w:val="both"/>
        <w:rPr>
          <w:sz w:val="22"/>
          <w:szCs w:val="22"/>
        </w:rPr>
      </w:pPr>
      <w:r w:rsidRPr="00D63B4D">
        <w:rPr>
          <w:sz w:val="22"/>
          <w:szCs w:val="22"/>
        </w:rPr>
        <w:t xml:space="preserve">документ, доказващ юридическата правоспособност; </w:t>
      </w:r>
    </w:p>
    <w:p w14:paraId="7D685B8A" w14:textId="36176D90" w:rsidR="00D63B4D" w:rsidRPr="00D63B4D" w:rsidRDefault="00D63B4D" w:rsidP="0000435A">
      <w:pPr>
        <w:pStyle w:val="ListParagraph"/>
        <w:numPr>
          <w:ilvl w:val="0"/>
          <w:numId w:val="35"/>
        </w:numPr>
        <w:shd w:val="clear" w:color="auto" w:fill="FFFFFF" w:themeFill="background1"/>
        <w:ind w:left="567" w:hanging="141"/>
        <w:jc w:val="both"/>
        <w:rPr>
          <w:sz w:val="22"/>
          <w:szCs w:val="22"/>
        </w:rPr>
      </w:pPr>
      <w:r w:rsidRPr="00D63B4D">
        <w:rPr>
          <w:sz w:val="22"/>
          <w:szCs w:val="22"/>
        </w:rPr>
        <w:t>информация за наличие или липса на наказателно производство/повдигнато обвинение/</w:t>
      </w:r>
      <w:r w:rsidR="003C6234" w:rsidRPr="00413869">
        <w:rPr>
          <w:sz w:val="22"/>
          <w:szCs w:val="22"/>
        </w:rPr>
        <w:t xml:space="preserve"> </w:t>
      </w:r>
      <w:r w:rsidRPr="00D63B4D">
        <w:rPr>
          <w:sz w:val="22"/>
          <w:szCs w:val="22"/>
        </w:rPr>
        <w:t xml:space="preserve">статут на подсъдим. </w:t>
      </w:r>
    </w:p>
    <w:p w14:paraId="278CC0A2" w14:textId="785AE5EC" w:rsidR="00D63B4D" w:rsidRPr="003C6234" w:rsidRDefault="00D63B4D" w:rsidP="0000435A">
      <w:pPr>
        <w:pStyle w:val="ListParagraph"/>
        <w:numPr>
          <w:ilvl w:val="0"/>
          <w:numId w:val="59"/>
        </w:numPr>
        <w:shd w:val="clear" w:color="auto" w:fill="FFFFFF" w:themeFill="background1"/>
        <w:tabs>
          <w:tab w:val="left" w:pos="426"/>
        </w:tabs>
        <w:autoSpaceDE w:val="0"/>
        <w:autoSpaceDN w:val="0"/>
        <w:adjustRightInd w:val="0"/>
        <w:ind w:left="0" w:firstLine="426"/>
        <w:jc w:val="both"/>
        <w:rPr>
          <w:sz w:val="22"/>
          <w:szCs w:val="22"/>
        </w:rPr>
      </w:pPr>
      <w:r w:rsidRPr="003C6234">
        <w:rPr>
          <w:sz w:val="22"/>
          <w:szCs w:val="22"/>
        </w:rPr>
        <w:t>С Решение № 176 н</w:t>
      </w:r>
      <w:r w:rsidR="003C6234">
        <w:rPr>
          <w:sz w:val="22"/>
          <w:szCs w:val="22"/>
        </w:rPr>
        <w:t>а Министерския съвет от 21.03.</w:t>
      </w:r>
      <w:r w:rsidRPr="003C6234">
        <w:rPr>
          <w:sz w:val="22"/>
          <w:szCs w:val="22"/>
        </w:rPr>
        <w:t xml:space="preserve">2025 г. е приет План за действие за внедряване на административни услуги на принципа „епизод от живота“. </w:t>
      </w:r>
    </w:p>
    <w:p w14:paraId="5DC6D84C" w14:textId="77777777" w:rsidR="00D63B4D" w:rsidRPr="0077479C" w:rsidRDefault="00D63B4D" w:rsidP="0000435A">
      <w:pPr>
        <w:shd w:val="clear" w:color="auto" w:fill="FFFFFF" w:themeFill="background1"/>
        <w:tabs>
          <w:tab w:val="left" w:pos="993"/>
        </w:tabs>
        <w:autoSpaceDE w:val="0"/>
        <w:autoSpaceDN w:val="0"/>
        <w:adjustRightInd w:val="0"/>
        <w:ind w:left="426"/>
        <w:jc w:val="both"/>
        <w:rPr>
          <w:rFonts w:eastAsia="Batang"/>
          <w:sz w:val="22"/>
          <w:szCs w:val="22"/>
          <w:lang w:eastAsia="ko-KR"/>
        </w:rPr>
      </w:pPr>
      <w:r w:rsidRPr="0077479C">
        <w:rPr>
          <w:rFonts w:eastAsia="Batang"/>
          <w:sz w:val="22"/>
          <w:szCs w:val="22"/>
          <w:lang w:eastAsia="ko-KR"/>
        </w:rPr>
        <w:t>Включените в плана епизоди от живота са:</w:t>
      </w:r>
    </w:p>
    <w:p w14:paraId="3064C675" w14:textId="6FD25C60" w:rsidR="00D63B4D" w:rsidRPr="00D63B4D" w:rsidRDefault="00D63B4D" w:rsidP="0000435A">
      <w:pPr>
        <w:pStyle w:val="ListParagraph"/>
        <w:numPr>
          <w:ilvl w:val="0"/>
          <w:numId w:val="25"/>
        </w:numPr>
        <w:shd w:val="clear" w:color="auto" w:fill="FFFFFF" w:themeFill="background1"/>
        <w:ind w:left="709" w:hanging="283"/>
        <w:jc w:val="both"/>
        <w:rPr>
          <w:sz w:val="22"/>
          <w:szCs w:val="22"/>
        </w:rPr>
      </w:pPr>
      <w:r w:rsidRPr="00D63B4D">
        <w:rPr>
          <w:sz w:val="22"/>
          <w:szCs w:val="22"/>
        </w:rPr>
        <w:t xml:space="preserve">„Раждане на дете“ </w:t>
      </w:r>
    </w:p>
    <w:p w14:paraId="251E5118" w14:textId="40A06E0F" w:rsidR="00D63B4D" w:rsidRPr="00D63B4D" w:rsidRDefault="00D63B4D" w:rsidP="0000435A">
      <w:pPr>
        <w:pStyle w:val="ListParagraph"/>
        <w:numPr>
          <w:ilvl w:val="0"/>
          <w:numId w:val="25"/>
        </w:numPr>
        <w:shd w:val="clear" w:color="auto" w:fill="FFFFFF" w:themeFill="background1"/>
        <w:ind w:left="709" w:hanging="283"/>
        <w:jc w:val="both"/>
        <w:rPr>
          <w:sz w:val="22"/>
          <w:szCs w:val="22"/>
        </w:rPr>
      </w:pPr>
      <w:r w:rsidRPr="00D63B4D">
        <w:rPr>
          <w:sz w:val="22"/>
          <w:szCs w:val="22"/>
        </w:rPr>
        <w:t>„Преместване в рамките на страната“</w:t>
      </w:r>
    </w:p>
    <w:p w14:paraId="1719D05A" w14:textId="3A78BF66" w:rsidR="00D63B4D" w:rsidRPr="00D63B4D" w:rsidRDefault="00D63B4D" w:rsidP="0000435A">
      <w:pPr>
        <w:pStyle w:val="ListParagraph"/>
        <w:numPr>
          <w:ilvl w:val="0"/>
          <w:numId w:val="25"/>
        </w:numPr>
        <w:shd w:val="clear" w:color="auto" w:fill="FFFFFF" w:themeFill="background1"/>
        <w:ind w:left="709" w:hanging="283"/>
        <w:jc w:val="both"/>
        <w:rPr>
          <w:sz w:val="22"/>
          <w:szCs w:val="22"/>
        </w:rPr>
      </w:pPr>
      <w:r w:rsidRPr="00D63B4D">
        <w:rPr>
          <w:sz w:val="22"/>
          <w:szCs w:val="22"/>
        </w:rPr>
        <w:t>„Придобиване и подмяна на свидетелство за управление на моторно превозно средство“</w:t>
      </w:r>
    </w:p>
    <w:p w14:paraId="545ABCE0" w14:textId="467BD0AC" w:rsidR="00D63B4D" w:rsidRPr="00D63B4D" w:rsidRDefault="00D63B4D" w:rsidP="0000435A">
      <w:pPr>
        <w:pStyle w:val="ListParagraph"/>
        <w:numPr>
          <w:ilvl w:val="0"/>
          <w:numId w:val="25"/>
        </w:numPr>
        <w:shd w:val="clear" w:color="auto" w:fill="FFFFFF" w:themeFill="background1"/>
        <w:ind w:left="709" w:hanging="283"/>
        <w:jc w:val="both"/>
        <w:rPr>
          <w:sz w:val="22"/>
          <w:szCs w:val="22"/>
        </w:rPr>
      </w:pPr>
      <w:r w:rsidRPr="00D63B4D">
        <w:rPr>
          <w:sz w:val="22"/>
          <w:szCs w:val="22"/>
        </w:rPr>
        <w:t>„Покупка и продажба на моторно превозно средство“</w:t>
      </w:r>
    </w:p>
    <w:p w14:paraId="380CAF59" w14:textId="3C1145ED" w:rsidR="00D63B4D" w:rsidRPr="00D63B4D" w:rsidRDefault="00D63B4D" w:rsidP="0000435A">
      <w:pPr>
        <w:pStyle w:val="ListParagraph"/>
        <w:numPr>
          <w:ilvl w:val="0"/>
          <w:numId w:val="25"/>
        </w:numPr>
        <w:shd w:val="clear" w:color="auto" w:fill="FFFFFF" w:themeFill="background1"/>
        <w:ind w:left="709" w:hanging="283"/>
        <w:jc w:val="both"/>
        <w:rPr>
          <w:sz w:val="22"/>
          <w:szCs w:val="22"/>
        </w:rPr>
      </w:pPr>
      <w:r w:rsidRPr="00D63B4D">
        <w:rPr>
          <w:sz w:val="22"/>
          <w:szCs w:val="22"/>
        </w:rPr>
        <w:t>„Покупка и продажба на недвижим имот“</w:t>
      </w:r>
    </w:p>
    <w:p w14:paraId="59AFB83B" w14:textId="3AAC8CD9" w:rsidR="00D63B4D" w:rsidRPr="00D63B4D" w:rsidRDefault="00D63B4D" w:rsidP="0000435A">
      <w:pPr>
        <w:pStyle w:val="ListParagraph"/>
        <w:numPr>
          <w:ilvl w:val="0"/>
          <w:numId w:val="25"/>
        </w:numPr>
        <w:shd w:val="clear" w:color="auto" w:fill="FFFFFF" w:themeFill="background1"/>
        <w:ind w:left="709" w:hanging="283"/>
        <w:jc w:val="both"/>
        <w:rPr>
          <w:sz w:val="22"/>
          <w:szCs w:val="22"/>
        </w:rPr>
      </w:pPr>
      <w:r w:rsidRPr="00D63B4D">
        <w:rPr>
          <w:sz w:val="22"/>
          <w:szCs w:val="22"/>
        </w:rPr>
        <w:t>„Наемане на служител“</w:t>
      </w:r>
    </w:p>
    <w:p w14:paraId="453B938A" w14:textId="113531C1" w:rsidR="00D63B4D" w:rsidRPr="00D63B4D" w:rsidRDefault="00D63B4D" w:rsidP="0000435A">
      <w:pPr>
        <w:pStyle w:val="ListParagraph"/>
        <w:numPr>
          <w:ilvl w:val="0"/>
          <w:numId w:val="25"/>
        </w:numPr>
        <w:shd w:val="clear" w:color="auto" w:fill="FFFFFF" w:themeFill="background1"/>
        <w:ind w:left="709" w:hanging="283"/>
        <w:jc w:val="both"/>
        <w:rPr>
          <w:sz w:val="22"/>
          <w:szCs w:val="22"/>
        </w:rPr>
      </w:pPr>
      <w:r w:rsidRPr="00D63B4D">
        <w:rPr>
          <w:sz w:val="22"/>
          <w:szCs w:val="22"/>
        </w:rPr>
        <w:t>„Загуба на работно място“</w:t>
      </w:r>
    </w:p>
    <w:p w14:paraId="1997E263" w14:textId="29411136" w:rsidR="00D63B4D" w:rsidRPr="00D63B4D" w:rsidRDefault="00D63B4D" w:rsidP="0000435A">
      <w:pPr>
        <w:pStyle w:val="ListParagraph"/>
        <w:numPr>
          <w:ilvl w:val="0"/>
          <w:numId w:val="25"/>
        </w:numPr>
        <w:shd w:val="clear" w:color="auto" w:fill="FFFFFF" w:themeFill="background1"/>
        <w:ind w:left="709" w:hanging="283"/>
        <w:jc w:val="both"/>
        <w:rPr>
          <w:sz w:val="22"/>
          <w:szCs w:val="22"/>
        </w:rPr>
      </w:pPr>
      <w:r w:rsidRPr="00D63B4D">
        <w:rPr>
          <w:sz w:val="22"/>
          <w:szCs w:val="22"/>
        </w:rPr>
        <w:t>„Стартиране на бизнес“</w:t>
      </w:r>
    </w:p>
    <w:p w14:paraId="72D4ADDA" w14:textId="2CBB8DC9" w:rsidR="00D63B4D" w:rsidRPr="00D63B4D" w:rsidRDefault="00D63B4D" w:rsidP="0000435A">
      <w:pPr>
        <w:pStyle w:val="ListParagraph"/>
        <w:numPr>
          <w:ilvl w:val="0"/>
          <w:numId w:val="25"/>
        </w:numPr>
        <w:shd w:val="clear" w:color="auto" w:fill="FFFFFF" w:themeFill="background1"/>
        <w:ind w:left="709" w:hanging="283"/>
        <w:jc w:val="both"/>
        <w:rPr>
          <w:sz w:val="22"/>
          <w:szCs w:val="22"/>
        </w:rPr>
      </w:pPr>
      <w:r w:rsidRPr="00D63B4D">
        <w:rPr>
          <w:sz w:val="22"/>
          <w:szCs w:val="22"/>
        </w:rPr>
        <w:t>„Закриване на бизнес“</w:t>
      </w:r>
    </w:p>
    <w:p w14:paraId="641E85BF" w14:textId="7F9C22EF" w:rsidR="00D63B4D" w:rsidRPr="00D63B4D" w:rsidRDefault="00D63B4D" w:rsidP="0000435A">
      <w:pPr>
        <w:pStyle w:val="ListParagraph"/>
        <w:numPr>
          <w:ilvl w:val="0"/>
          <w:numId w:val="25"/>
        </w:numPr>
        <w:shd w:val="clear" w:color="auto" w:fill="FFFFFF" w:themeFill="background1"/>
        <w:ind w:left="709" w:hanging="283"/>
        <w:jc w:val="both"/>
        <w:rPr>
          <w:sz w:val="22"/>
          <w:szCs w:val="22"/>
        </w:rPr>
      </w:pPr>
      <w:r w:rsidRPr="00D63B4D">
        <w:rPr>
          <w:sz w:val="22"/>
          <w:szCs w:val="22"/>
        </w:rPr>
        <w:t>„Встъпване в брак“</w:t>
      </w:r>
    </w:p>
    <w:p w14:paraId="01FDCC7A" w14:textId="457673AF" w:rsidR="00D63B4D" w:rsidRPr="00D63B4D" w:rsidRDefault="00D63B4D" w:rsidP="0000435A">
      <w:pPr>
        <w:pStyle w:val="ListParagraph"/>
        <w:numPr>
          <w:ilvl w:val="0"/>
          <w:numId w:val="25"/>
        </w:numPr>
        <w:shd w:val="clear" w:color="auto" w:fill="FFFFFF" w:themeFill="background1"/>
        <w:ind w:left="709" w:hanging="283"/>
        <w:jc w:val="both"/>
        <w:rPr>
          <w:sz w:val="22"/>
          <w:szCs w:val="22"/>
        </w:rPr>
      </w:pPr>
      <w:r w:rsidRPr="00D63B4D">
        <w:rPr>
          <w:sz w:val="22"/>
          <w:szCs w:val="22"/>
        </w:rPr>
        <w:t>„Настъпване на смърт“</w:t>
      </w:r>
    </w:p>
    <w:p w14:paraId="009A20DE" w14:textId="77777777" w:rsidR="00D63B4D" w:rsidRPr="0077479C" w:rsidRDefault="00D63B4D"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77479C">
        <w:rPr>
          <w:rFonts w:eastAsia="Batang"/>
          <w:sz w:val="22"/>
          <w:szCs w:val="22"/>
          <w:lang w:eastAsia="ko-KR"/>
        </w:rPr>
        <w:t>За изпълнение на включените в плана стъпки са предвидени 93 мерки в следните направления: 59 мерки, свързани с нормативни промени; 31 – с технологични действия; 3 – с организационни промени.</w:t>
      </w:r>
    </w:p>
    <w:p w14:paraId="33EB8F23" w14:textId="3539102F" w:rsidR="00D63B4D" w:rsidRPr="00F06EA1" w:rsidRDefault="00D63B4D" w:rsidP="0000435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F06EA1">
        <w:rPr>
          <w:rFonts w:eastAsia="Batang"/>
          <w:b/>
          <w:bCs/>
          <w:sz w:val="22"/>
          <w:szCs w:val="22"/>
          <w:lang w:eastAsia="ko-KR"/>
        </w:rPr>
        <w:t xml:space="preserve">Извършва периодични секторни прегледи на административното регулиране, административния контрол на стопанската дейност </w:t>
      </w:r>
      <w:r w:rsidR="00095A5C" w:rsidRPr="00F06EA1">
        <w:rPr>
          <w:rFonts w:eastAsia="Batang"/>
          <w:b/>
          <w:bCs/>
          <w:sz w:val="22"/>
          <w:szCs w:val="22"/>
          <w:lang w:eastAsia="ko-KR"/>
        </w:rPr>
        <w:t>и системата на държавните такси:</w:t>
      </w:r>
    </w:p>
    <w:p w14:paraId="6EDEFBCF" w14:textId="77777777" w:rsidR="00D63B4D" w:rsidRPr="00095A5C" w:rsidRDefault="00D63B4D"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095A5C">
        <w:rPr>
          <w:rFonts w:eastAsia="Batang"/>
          <w:sz w:val="22"/>
          <w:szCs w:val="22"/>
          <w:lang w:eastAsia="ko-KR"/>
        </w:rPr>
        <w:t xml:space="preserve">В приетата с Решение № 175 на Министерския съвет от 21 март 2025 г. Концепция за развитие на регулаторната политика е включена мярка „Извършване на секторни прегледи и конкретни предложения за намаляване на административната тежест в съответните сектори“. Мярката предвижда: </w:t>
      </w:r>
    </w:p>
    <w:p w14:paraId="7B6F39E8" w14:textId="4060BC77" w:rsidR="00D63B4D" w:rsidRPr="00985135" w:rsidRDefault="00D63B4D" w:rsidP="0000435A">
      <w:pPr>
        <w:pStyle w:val="ListParagraph"/>
        <w:numPr>
          <w:ilvl w:val="0"/>
          <w:numId w:val="60"/>
        </w:numPr>
        <w:shd w:val="clear" w:color="auto" w:fill="FFFFFF" w:themeFill="background1"/>
        <w:tabs>
          <w:tab w:val="left" w:pos="426"/>
        </w:tabs>
        <w:autoSpaceDE w:val="0"/>
        <w:autoSpaceDN w:val="0"/>
        <w:adjustRightInd w:val="0"/>
        <w:ind w:left="709" w:hanging="283"/>
        <w:jc w:val="both"/>
        <w:rPr>
          <w:sz w:val="22"/>
          <w:szCs w:val="22"/>
        </w:rPr>
      </w:pPr>
      <w:r w:rsidRPr="00985135">
        <w:rPr>
          <w:sz w:val="22"/>
          <w:szCs w:val="22"/>
        </w:rPr>
        <w:t>Да се изготви и приеме от САР методология за извършване на секторни прегледи;</w:t>
      </w:r>
    </w:p>
    <w:p w14:paraId="750D6BB2" w14:textId="77E1F01F" w:rsidR="00D63B4D" w:rsidRPr="00D63B4D" w:rsidRDefault="00D63B4D" w:rsidP="0000435A">
      <w:pPr>
        <w:pStyle w:val="ListParagraph"/>
        <w:numPr>
          <w:ilvl w:val="0"/>
          <w:numId w:val="60"/>
        </w:numPr>
        <w:shd w:val="clear" w:color="auto" w:fill="FFFFFF" w:themeFill="background1"/>
        <w:tabs>
          <w:tab w:val="left" w:pos="426"/>
        </w:tabs>
        <w:autoSpaceDE w:val="0"/>
        <w:autoSpaceDN w:val="0"/>
        <w:adjustRightInd w:val="0"/>
        <w:ind w:left="0" w:firstLine="426"/>
        <w:jc w:val="both"/>
        <w:rPr>
          <w:sz w:val="22"/>
          <w:szCs w:val="22"/>
        </w:rPr>
      </w:pPr>
      <w:r w:rsidRPr="00D63B4D">
        <w:rPr>
          <w:sz w:val="22"/>
          <w:szCs w:val="22"/>
        </w:rPr>
        <w:t>От САР да бъдат и</w:t>
      </w:r>
      <w:r w:rsidR="00095A5C">
        <w:rPr>
          <w:sz w:val="22"/>
          <w:szCs w:val="22"/>
        </w:rPr>
        <w:t>збрани два сектора за прегледи</w:t>
      </w:r>
      <w:r w:rsidR="00095A5C" w:rsidRPr="00985135">
        <w:rPr>
          <w:sz w:val="22"/>
          <w:szCs w:val="22"/>
        </w:rPr>
        <w:t>;</w:t>
      </w:r>
    </w:p>
    <w:p w14:paraId="1EE97398" w14:textId="14014786" w:rsidR="00D63B4D" w:rsidRPr="00D63B4D" w:rsidRDefault="00D63B4D" w:rsidP="0000435A">
      <w:pPr>
        <w:pStyle w:val="ListParagraph"/>
        <w:numPr>
          <w:ilvl w:val="0"/>
          <w:numId w:val="60"/>
        </w:numPr>
        <w:shd w:val="clear" w:color="auto" w:fill="FFFFFF" w:themeFill="background1"/>
        <w:tabs>
          <w:tab w:val="left" w:pos="426"/>
        </w:tabs>
        <w:autoSpaceDE w:val="0"/>
        <w:autoSpaceDN w:val="0"/>
        <w:adjustRightInd w:val="0"/>
        <w:ind w:left="0" w:firstLine="426"/>
        <w:jc w:val="both"/>
        <w:rPr>
          <w:sz w:val="22"/>
          <w:szCs w:val="22"/>
        </w:rPr>
      </w:pPr>
      <w:r w:rsidRPr="00D63B4D">
        <w:rPr>
          <w:sz w:val="22"/>
          <w:szCs w:val="22"/>
        </w:rPr>
        <w:t xml:space="preserve">Да се одобрят от Министерския съвет два секторни прегледа с конкретни предложения за нормативни промени. </w:t>
      </w:r>
    </w:p>
    <w:p w14:paraId="26FD1F7A" w14:textId="77581B8D" w:rsidR="00D63B4D" w:rsidRPr="00095A5C" w:rsidRDefault="00D63B4D"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095A5C">
        <w:rPr>
          <w:rFonts w:eastAsia="Batang"/>
          <w:sz w:val="22"/>
          <w:szCs w:val="22"/>
          <w:lang w:eastAsia="ko-KR"/>
        </w:rPr>
        <w:t>В рамките на прегледите ще бъде направена оценка дали съществуващите регулаторни режими и административни процедури са все още необходими, има ли възможност за скъсяване на сроковете, в които администрацията следва да се произнесе, възможно ли е служебно събиране на информация, осигурена ли е възможност за електронно подаване на заявления, необходимо ли е заплащане на административна такса, възможно ли е издаването на административния акт в електронна форма и др.</w:t>
      </w:r>
      <w:r w:rsidR="00346927">
        <w:rPr>
          <w:rFonts w:eastAsia="Batang"/>
          <w:sz w:val="22"/>
          <w:szCs w:val="22"/>
          <w:lang w:eastAsia="ko-KR"/>
        </w:rPr>
        <w:t xml:space="preserve"> </w:t>
      </w:r>
      <w:r w:rsidRPr="00095A5C">
        <w:rPr>
          <w:rFonts w:eastAsia="Batang"/>
          <w:sz w:val="22"/>
          <w:szCs w:val="22"/>
          <w:lang w:eastAsia="ko-KR"/>
        </w:rPr>
        <w:t>Срокът за изпълнение е 2027 г. Отговорните институции са АМС и заинтересовани страни (в зависимост от избора на сектори).</w:t>
      </w:r>
    </w:p>
    <w:p w14:paraId="57AD4F47" w14:textId="3BB3D3AC" w:rsidR="00D63B4D" w:rsidRPr="00706993" w:rsidRDefault="00D63B4D" w:rsidP="0000435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706993">
        <w:rPr>
          <w:rFonts w:eastAsia="Batang"/>
          <w:b/>
          <w:bCs/>
          <w:sz w:val="22"/>
          <w:szCs w:val="22"/>
          <w:lang w:eastAsia="ko-KR"/>
        </w:rPr>
        <w:t>Извършва периодичен преглед и контрол върху изпълнението на приетите от Министерския съвет мерки за намаляване на администр</w:t>
      </w:r>
      <w:r w:rsidR="00095A5C" w:rsidRPr="00706993">
        <w:rPr>
          <w:rFonts w:eastAsia="Batang"/>
          <w:b/>
          <w:bCs/>
          <w:sz w:val="22"/>
          <w:szCs w:val="22"/>
          <w:lang w:eastAsia="ko-KR"/>
        </w:rPr>
        <w:t>ативната и регулаторната тежест:</w:t>
      </w:r>
    </w:p>
    <w:p w14:paraId="2EC74D55" w14:textId="3F993FD6" w:rsidR="00D63B4D" w:rsidRPr="00DD08C9" w:rsidRDefault="00D63B4D" w:rsidP="0000435A">
      <w:pPr>
        <w:pStyle w:val="ListParagraph"/>
        <w:numPr>
          <w:ilvl w:val="0"/>
          <w:numId w:val="61"/>
        </w:numPr>
        <w:shd w:val="clear" w:color="auto" w:fill="FFFFFF" w:themeFill="background1"/>
        <w:tabs>
          <w:tab w:val="left" w:pos="426"/>
        </w:tabs>
        <w:autoSpaceDE w:val="0"/>
        <w:autoSpaceDN w:val="0"/>
        <w:adjustRightInd w:val="0"/>
        <w:ind w:left="0" w:firstLine="426"/>
        <w:jc w:val="both"/>
        <w:rPr>
          <w:sz w:val="22"/>
          <w:szCs w:val="22"/>
        </w:rPr>
      </w:pPr>
      <w:r w:rsidRPr="00DD08C9">
        <w:rPr>
          <w:sz w:val="22"/>
          <w:szCs w:val="22"/>
        </w:rPr>
        <w:t xml:space="preserve">С Решение № 136 на Министерския съвет от 12 март 2025 г. е одобрен Доклад за изпълнението към 31 декември 2024 г. на Решение № 233 на Министерския съвет от 2024 г. за приемане на План за намаляване на административната тежест. </w:t>
      </w:r>
    </w:p>
    <w:p w14:paraId="2EEE76FE" w14:textId="77777777" w:rsidR="00D63B4D" w:rsidRPr="00346927" w:rsidRDefault="00D63B4D" w:rsidP="0000435A">
      <w:pPr>
        <w:shd w:val="clear" w:color="auto" w:fill="FFFFFF" w:themeFill="background1"/>
        <w:tabs>
          <w:tab w:val="left" w:pos="993"/>
        </w:tabs>
        <w:autoSpaceDE w:val="0"/>
        <w:autoSpaceDN w:val="0"/>
        <w:adjustRightInd w:val="0"/>
        <w:ind w:left="426"/>
        <w:jc w:val="both"/>
        <w:rPr>
          <w:rFonts w:eastAsia="Batang"/>
          <w:sz w:val="22"/>
          <w:szCs w:val="22"/>
          <w:lang w:eastAsia="ko-KR"/>
        </w:rPr>
      </w:pPr>
      <w:r w:rsidRPr="00346927">
        <w:rPr>
          <w:rFonts w:eastAsia="Batang"/>
          <w:sz w:val="22"/>
          <w:szCs w:val="22"/>
          <w:lang w:eastAsia="ko-KR"/>
        </w:rPr>
        <w:lastRenderedPageBreak/>
        <w:t xml:space="preserve">Към 31.12.2024 г. статусът на изпълнение на мерките е както следва: </w:t>
      </w:r>
    </w:p>
    <w:p w14:paraId="0D57C232" w14:textId="6756FFB7" w:rsidR="00D63B4D" w:rsidRPr="00D63B4D" w:rsidRDefault="00346927" w:rsidP="0000435A">
      <w:pPr>
        <w:pStyle w:val="ListParagraph"/>
        <w:numPr>
          <w:ilvl w:val="0"/>
          <w:numId w:val="25"/>
        </w:numPr>
        <w:shd w:val="clear" w:color="auto" w:fill="FFFFFF" w:themeFill="background1"/>
        <w:ind w:left="709" w:hanging="283"/>
        <w:jc w:val="both"/>
        <w:rPr>
          <w:sz w:val="22"/>
          <w:szCs w:val="22"/>
        </w:rPr>
      </w:pPr>
      <w:r>
        <w:rPr>
          <w:sz w:val="22"/>
          <w:szCs w:val="22"/>
        </w:rPr>
        <w:t>Изпълнението не е започнало</w:t>
      </w:r>
      <w:r w:rsidR="00D63B4D" w:rsidRPr="00D63B4D">
        <w:rPr>
          <w:sz w:val="22"/>
          <w:szCs w:val="22"/>
        </w:rPr>
        <w:t xml:space="preserve"> </w:t>
      </w:r>
      <w:r>
        <w:rPr>
          <w:sz w:val="22"/>
          <w:szCs w:val="22"/>
          <w:lang w:val="bg-BG"/>
        </w:rPr>
        <w:t xml:space="preserve">– </w:t>
      </w:r>
      <w:r>
        <w:rPr>
          <w:sz w:val="22"/>
          <w:szCs w:val="22"/>
        </w:rPr>
        <w:t>71 мерки</w:t>
      </w:r>
      <w:r>
        <w:rPr>
          <w:sz w:val="22"/>
          <w:szCs w:val="22"/>
          <w:lang w:val="bg-BG"/>
        </w:rPr>
        <w:t>;</w:t>
      </w:r>
    </w:p>
    <w:p w14:paraId="7AC1BC6C" w14:textId="0E38387A" w:rsidR="00D63B4D" w:rsidRPr="00D63B4D" w:rsidRDefault="00D63B4D" w:rsidP="0000435A">
      <w:pPr>
        <w:pStyle w:val="ListParagraph"/>
        <w:numPr>
          <w:ilvl w:val="0"/>
          <w:numId w:val="25"/>
        </w:numPr>
        <w:shd w:val="clear" w:color="auto" w:fill="FFFFFF" w:themeFill="background1"/>
        <w:ind w:left="709" w:hanging="283"/>
        <w:jc w:val="both"/>
        <w:rPr>
          <w:sz w:val="22"/>
          <w:szCs w:val="22"/>
        </w:rPr>
      </w:pPr>
      <w:r w:rsidRPr="00D63B4D">
        <w:rPr>
          <w:sz w:val="22"/>
          <w:szCs w:val="22"/>
        </w:rPr>
        <w:t>Законопро</w:t>
      </w:r>
      <w:r w:rsidR="00346927">
        <w:rPr>
          <w:sz w:val="22"/>
          <w:szCs w:val="22"/>
        </w:rPr>
        <w:t>ектът е в процес на изработване</w:t>
      </w:r>
      <w:r w:rsidRPr="00D63B4D">
        <w:rPr>
          <w:sz w:val="22"/>
          <w:szCs w:val="22"/>
        </w:rPr>
        <w:t xml:space="preserve"> </w:t>
      </w:r>
      <w:r w:rsidR="00346927">
        <w:rPr>
          <w:sz w:val="22"/>
          <w:szCs w:val="22"/>
          <w:lang w:val="bg-BG"/>
        </w:rPr>
        <w:t xml:space="preserve">– </w:t>
      </w:r>
      <w:r w:rsidR="00346927">
        <w:rPr>
          <w:sz w:val="22"/>
          <w:szCs w:val="22"/>
        </w:rPr>
        <w:t>126 мерки</w:t>
      </w:r>
      <w:r w:rsidR="00346927">
        <w:rPr>
          <w:sz w:val="22"/>
          <w:szCs w:val="22"/>
          <w:lang w:val="bg-BG"/>
        </w:rPr>
        <w:t>;</w:t>
      </w:r>
    </w:p>
    <w:p w14:paraId="75666747" w14:textId="6A5953A6" w:rsidR="00D63B4D" w:rsidRPr="00D63B4D" w:rsidRDefault="00D63B4D" w:rsidP="0000435A">
      <w:pPr>
        <w:pStyle w:val="ListParagraph"/>
        <w:numPr>
          <w:ilvl w:val="0"/>
          <w:numId w:val="25"/>
        </w:numPr>
        <w:shd w:val="clear" w:color="auto" w:fill="FFFFFF" w:themeFill="background1"/>
        <w:ind w:left="709" w:hanging="283"/>
        <w:jc w:val="both"/>
        <w:rPr>
          <w:sz w:val="22"/>
          <w:szCs w:val="22"/>
        </w:rPr>
      </w:pPr>
      <w:r w:rsidRPr="00D63B4D">
        <w:rPr>
          <w:sz w:val="22"/>
          <w:szCs w:val="22"/>
        </w:rPr>
        <w:t>Законопроектът е внесен в 51-ото Наро</w:t>
      </w:r>
      <w:r w:rsidR="00346927">
        <w:rPr>
          <w:sz w:val="22"/>
          <w:szCs w:val="22"/>
        </w:rPr>
        <w:t>дно събрание</w:t>
      </w:r>
      <w:r w:rsidRPr="00D63B4D">
        <w:rPr>
          <w:sz w:val="22"/>
          <w:szCs w:val="22"/>
        </w:rPr>
        <w:t xml:space="preserve"> </w:t>
      </w:r>
      <w:r w:rsidR="00346927">
        <w:rPr>
          <w:sz w:val="22"/>
          <w:szCs w:val="22"/>
          <w:lang w:val="bg-BG"/>
        </w:rPr>
        <w:t xml:space="preserve">– </w:t>
      </w:r>
      <w:r w:rsidR="00346927">
        <w:rPr>
          <w:sz w:val="22"/>
          <w:szCs w:val="22"/>
        </w:rPr>
        <w:t>24 мерки</w:t>
      </w:r>
      <w:r w:rsidR="00346927">
        <w:rPr>
          <w:sz w:val="22"/>
          <w:szCs w:val="22"/>
          <w:lang w:val="bg-BG"/>
        </w:rPr>
        <w:t>;</w:t>
      </w:r>
    </w:p>
    <w:p w14:paraId="74950C4C" w14:textId="6A84D024" w:rsidR="00D63B4D" w:rsidRPr="00D63B4D" w:rsidRDefault="00D63B4D" w:rsidP="0000435A">
      <w:pPr>
        <w:pStyle w:val="ListParagraph"/>
        <w:numPr>
          <w:ilvl w:val="0"/>
          <w:numId w:val="25"/>
        </w:numPr>
        <w:shd w:val="clear" w:color="auto" w:fill="FFFFFF" w:themeFill="background1"/>
        <w:ind w:left="709" w:hanging="283"/>
        <w:jc w:val="both"/>
        <w:rPr>
          <w:sz w:val="22"/>
          <w:szCs w:val="22"/>
        </w:rPr>
      </w:pPr>
      <w:r w:rsidRPr="00D63B4D">
        <w:rPr>
          <w:sz w:val="22"/>
          <w:szCs w:val="22"/>
        </w:rPr>
        <w:t>Мярката е изпълнена (законопроектът е</w:t>
      </w:r>
      <w:r w:rsidR="00346927">
        <w:rPr>
          <w:sz w:val="22"/>
          <w:szCs w:val="22"/>
        </w:rPr>
        <w:t xml:space="preserve"> обнародван в Държавен вестник)</w:t>
      </w:r>
      <w:r w:rsidRPr="00D63B4D">
        <w:rPr>
          <w:sz w:val="22"/>
          <w:szCs w:val="22"/>
        </w:rPr>
        <w:t xml:space="preserve"> </w:t>
      </w:r>
      <w:r w:rsidR="00346927">
        <w:rPr>
          <w:sz w:val="22"/>
          <w:szCs w:val="22"/>
          <w:lang w:val="bg-BG"/>
        </w:rPr>
        <w:t xml:space="preserve">– </w:t>
      </w:r>
      <w:r w:rsidRPr="00D63B4D">
        <w:rPr>
          <w:sz w:val="22"/>
          <w:szCs w:val="22"/>
        </w:rPr>
        <w:t xml:space="preserve">14 мерки. </w:t>
      </w:r>
    </w:p>
    <w:p w14:paraId="1505A30B" w14:textId="5709CFFF" w:rsidR="00D63B4D" w:rsidRPr="00361C27" w:rsidRDefault="00361C27"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Pr>
          <w:rFonts w:eastAsia="Batang"/>
          <w:sz w:val="22"/>
          <w:szCs w:val="22"/>
          <w:lang w:eastAsia="ko-KR"/>
        </w:rPr>
        <w:t>Съгласно т. 2 от Р</w:t>
      </w:r>
      <w:r w:rsidR="00D63B4D" w:rsidRPr="00361C27">
        <w:rPr>
          <w:rFonts w:eastAsia="Batang"/>
          <w:sz w:val="22"/>
          <w:szCs w:val="22"/>
          <w:lang w:eastAsia="ko-KR"/>
        </w:rPr>
        <w:t>ешението</w:t>
      </w:r>
      <w:r>
        <w:rPr>
          <w:rFonts w:eastAsia="Batang"/>
          <w:sz w:val="22"/>
          <w:szCs w:val="22"/>
          <w:lang w:eastAsia="ko-KR"/>
        </w:rPr>
        <w:t>,</w:t>
      </w:r>
      <w:r w:rsidR="00D63B4D" w:rsidRPr="00361C27">
        <w:rPr>
          <w:rFonts w:eastAsia="Batang"/>
          <w:sz w:val="22"/>
          <w:szCs w:val="22"/>
          <w:lang w:eastAsia="ko-KR"/>
        </w:rPr>
        <w:t xml:space="preserve"> министър-председателят следва да внесе за разглеждане от Министерския съвет до</w:t>
      </w:r>
      <w:r>
        <w:rPr>
          <w:rFonts w:eastAsia="Batang"/>
          <w:sz w:val="22"/>
          <w:szCs w:val="22"/>
          <w:lang w:eastAsia="ko-KR"/>
        </w:rPr>
        <w:t>клад за изпълнението към 30.06.</w:t>
      </w:r>
      <w:r w:rsidR="00D63B4D" w:rsidRPr="00361C27">
        <w:rPr>
          <w:rFonts w:eastAsia="Batang"/>
          <w:sz w:val="22"/>
          <w:szCs w:val="22"/>
          <w:lang w:eastAsia="ko-KR"/>
        </w:rPr>
        <w:t xml:space="preserve">2025 г. Изпратено е писмо до администрациите за отчет на мерките от тяхната компетентност и предстои провеждането на междуведомствена съгласувателна процедура по чл. 32 от УПМСНА на Проект на Решение на Министерския съвет за одобряване на доклада. </w:t>
      </w:r>
    </w:p>
    <w:p w14:paraId="144C91F9" w14:textId="092B5604" w:rsidR="00D63B4D" w:rsidRPr="00346927" w:rsidRDefault="00D63B4D" w:rsidP="0000435A">
      <w:pPr>
        <w:pStyle w:val="ListParagraph"/>
        <w:numPr>
          <w:ilvl w:val="0"/>
          <w:numId w:val="61"/>
        </w:numPr>
        <w:shd w:val="clear" w:color="auto" w:fill="FFFFFF" w:themeFill="background1"/>
        <w:tabs>
          <w:tab w:val="left" w:pos="426"/>
        </w:tabs>
        <w:autoSpaceDE w:val="0"/>
        <w:autoSpaceDN w:val="0"/>
        <w:adjustRightInd w:val="0"/>
        <w:ind w:left="0" w:firstLine="426"/>
        <w:jc w:val="both"/>
        <w:rPr>
          <w:sz w:val="22"/>
          <w:szCs w:val="22"/>
        </w:rPr>
      </w:pPr>
      <w:r w:rsidRPr="00346927">
        <w:rPr>
          <w:sz w:val="22"/>
          <w:szCs w:val="22"/>
        </w:rPr>
        <w:t>През периода март – юни 2025 г. се осъществява мониторинг на изпълнението на Плана за действие за внедряване на административни услуги на принципа „епизод от живота“. През месец май е изпратено писмо (Рег.</w:t>
      </w:r>
      <w:r w:rsidR="00F2640A">
        <w:rPr>
          <w:sz w:val="22"/>
          <w:szCs w:val="22"/>
        </w:rPr>
        <w:t xml:space="preserve"> </w:t>
      </w:r>
      <w:r w:rsidRPr="00346927">
        <w:rPr>
          <w:sz w:val="22"/>
          <w:szCs w:val="22"/>
        </w:rPr>
        <w:t>№ 02.04-164/22.05.2025 г.) до институции, в чиято компетентност са мерки от плана с краен срок 30</w:t>
      </w:r>
      <w:r w:rsidR="006A5DE9">
        <w:rPr>
          <w:sz w:val="22"/>
          <w:szCs w:val="22"/>
        </w:rPr>
        <w:t>.06.</w:t>
      </w:r>
      <w:r w:rsidRPr="00346927">
        <w:rPr>
          <w:sz w:val="22"/>
          <w:szCs w:val="22"/>
        </w:rPr>
        <w:t>2025 г. (общо 14 мерки), като с писмото се напомня за изтичането на крайния срок за изпълнението им и се предлага съдействие от страна на администрацията на Министерския съвет за тяхното изпълнение, в случай че такова е необходимо.</w:t>
      </w:r>
    </w:p>
    <w:p w14:paraId="5888C10B" w14:textId="77777777" w:rsidR="00D63B4D" w:rsidRPr="002F563C" w:rsidRDefault="00D63B4D" w:rsidP="0000435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2F563C">
        <w:rPr>
          <w:rFonts w:eastAsia="Batang"/>
          <w:b/>
          <w:bCs/>
          <w:sz w:val="22"/>
          <w:szCs w:val="22"/>
          <w:lang w:eastAsia="ko-KR"/>
        </w:rPr>
        <w:t>Дава становища за необходимостта, вида и обхвата на предложени за въвеждане с проекти на нормативни актове регулаторни режими по смисъла на чл. 4, ал. 1 от Закона за ограничаване на административното регулиране и административния контрол върху стопанската дейност.</w:t>
      </w:r>
    </w:p>
    <w:p w14:paraId="116296B2" w14:textId="67D470AE" w:rsidR="00D63B4D" w:rsidRDefault="00D63B4D"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2F563C">
        <w:rPr>
          <w:rFonts w:eastAsia="Batang"/>
          <w:sz w:val="22"/>
          <w:szCs w:val="22"/>
          <w:lang w:eastAsia="ko-KR"/>
        </w:rPr>
        <w:t xml:space="preserve">Становищата са включени в предоставените такива в рамките на </w:t>
      </w:r>
      <w:proofErr w:type="spellStart"/>
      <w:r w:rsidRPr="002F563C">
        <w:rPr>
          <w:rFonts w:eastAsia="Batang"/>
          <w:sz w:val="22"/>
          <w:szCs w:val="22"/>
          <w:lang w:eastAsia="ko-KR"/>
        </w:rPr>
        <w:t>съгласувателните</w:t>
      </w:r>
      <w:proofErr w:type="spellEnd"/>
      <w:r w:rsidRPr="002F563C">
        <w:rPr>
          <w:rFonts w:eastAsia="Batang"/>
          <w:sz w:val="22"/>
          <w:szCs w:val="22"/>
          <w:lang w:eastAsia="ko-KR"/>
        </w:rPr>
        <w:t xml:space="preserve"> процедури по чл. 30б, чл. 30в и чл. 32 от </w:t>
      </w:r>
      <w:r w:rsidR="008153EA" w:rsidRPr="002F563C">
        <w:rPr>
          <w:rFonts w:eastAsia="Batang"/>
          <w:sz w:val="22"/>
          <w:szCs w:val="22"/>
          <w:lang w:eastAsia="ko-KR"/>
        </w:rPr>
        <w:t>УПМСНА</w:t>
      </w:r>
      <w:r w:rsidRPr="002F563C">
        <w:rPr>
          <w:rFonts w:eastAsia="Batang"/>
          <w:sz w:val="22"/>
          <w:szCs w:val="22"/>
          <w:lang w:eastAsia="ko-KR"/>
        </w:rPr>
        <w:t>.</w:t>
      </w:r>
    </w:p>
    <w:p w14:paraId="5BF3AC1C" w14:textId="77777777" w:rsidR="0000435A" w:rsidRPr="002F563C" w:rsidRDefault="0000435A" w:rsidP="0000435A">
      <w:pPr>
        <w:shd w:val="clear" w:color="auto" w:fill="FFFFFF" w:themeFill="background1"/>
        <w:tabs>
          <w:tab w:val="left" w:pos="993"/>
        </w:tabs>
        <w:autoSpaceDE w:val="0"/>
        <w:autoSpaceDN w:val="0"/>
        <w:adjustRightInd w:val="0"/>
        <w:ind w:firstLine="426"/>
        <w:jc w:val="both"/>
        <w:rPr>
          <w:rFonts w:eastAsia="Batang"/>
          <w:sz w:val="22"/>
          <w:szCs w:val="22"/>
          <w:lang w:eastAsia="ko-KR"/>
        </w:rPr>
      </w:pPr>
    </w:p>
    <w:p w14:paraId="6791F54E" w14:textId="77777777" w:rsidR="008153EA" w:rsidRPr="0000435A" w:rsidRDefault="008153EA" w:rsidP="0000435A">
      <w:pPr>
        <w:shd w:val="clear" w:color="auto" w:fill="FFFFFF" w:themeFill="background1"/>
        <w:tabs>
          <w:tab w:val="left" w:pos="993"/>
        </w:tabs>
        <w:autoSpaceDE w:val="0"/>
        <w:autoSpaceDN w:val="0"/>
        <w:adjustRightInd w:val="0"/>
        <w:ind w:firstLine="426"/>
        <w:jc w:val="both"/>
        <w:rPr>
          <w:rFonts w:eastAsia="Batang"/>
          <w:b/>
          <w:bCs/>
          <w:i/>
          <w:color w:val="215E99" w:themeColor="text2" w:themeTint="BF"/>
          <w:sz w:val="22"/>
          <w:szCs w:val="22"/>
          <w:lang w:eastAsia="ko-KR"/>
        </w:rPr>
      </w:pPr>
      <w:r w:rsidRPr="0000435A">
        <w:rPr>
          <w:rFonts w:eastAsia="Batang"/>
          <w:b/>
          <w:bCs/>
          <w:i/>
          <w:color w:val="215E99" w:themeColor="text2" w:themeTint="BF"/>
          <w:sz w:val="22"/>
          <w:szCs w:val="22"/>
          <w:lang w:eastAsia="ko-KR"/>
        </w:rPr>
        <w:t xml:space="preserve">Планиране на </w:t>
      </w:r>
      <w:proofErr w:type="spellStart"/>
      <w:r w:rsidRPr="0000435A">
        <w:rPr>
          <w:rFonts w:eastAsia="Batang"/>
          <w:b/>
          <w:bCs/>
          <w:i/>
          <w:color w:val="215E99" w:themeColor="text2" w:themeTint="BF"/>
          <w:sz w:val="22"/>
          <w:szCs w:val="22"/>
          <w:lang w:eastAsia="ko-KR"/>
        </w:rPr>
        <w:t>нормотворческата</w:t>
      </w:r>
      <w:proofErr w:type="spellEnd"/>
      <w:r w:rsidRPr="0000435A">
        <w:rPr>
          <w:rFonts w:eastAsia="Batang"/>
          <w:b/>
          <w:bCs/>
          <w:i/>
          <w:color w:val="215E99" w:themeColor="text2" w:themeTint="BF"/>
          <w:sz w:val="22"/>
          <w:szCs w:val="22"/>
          <w:lang w:eastAsia="ko-KR"/>
        </w:rPr>
        <w:t xml:space="preserve"> дейност на Министерския съвет</w:t>
      </w:r>
    </w:p>
    <w:p w14:paraId="657C9656" w14:textId="6C883885" w:rsidR="008153EA" w:rsidRPr="002F563C" w:rsidRDefault="008153EA" w:rsidP="001D54A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2F563C">
        <w:rPr>
          <w:rFonts w:eastAsia="Batang"/>
          <w:b/>
          <w:bCs/>
          <w:sz w:val="22"/>
          <w:szCs w:val="22"/>
          <w:lang w:eastAsia="ko-KR"/>
        </w:rPr>
        <w:t>Координира процеса по изработване на законодателната и оперативната програма на Министерския съвет:</w:t>
      </w:r>
    </w:p>
    <w:p w14:paraId="77A05BBF" w14:textId="78AF8498" w:rsidR="008153EA" w:rsidRPr="008153EA" w:rsidRDefault="008153EA" w:rsidP="001D54A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8153EA">
        <w:rPr>
          <w:rFonts w:eastAsia="Batang"/>
          <w:sz w:val="22"/>
          <w:szCs w:val="22"/>
          <w:lang w:eastAsia="ko-KR"/>
        </w:rPr>
        <w:t xml:space="preserve">През отчетния период са изготвени и приети Законодателната програма (приета с Решение </w:t>
      </w:r>
      <w:r>
        <w:rPr>
          <w:rFonts w:eastAsia="Batang"/>
          <w:sz w:val="22"/>
          <w:szCs w:val="22"/>
          <w:lang w:eastAsia="ko-KR"/>
        </w:rPr>
        <w:br/>
      </w:r>
      <w:r w:rsidRPr="008153EA">
        <w:rPr>
          <w:rFonts w:eastAsia="Batang"/>
          <w:sz w:val="22"/>
          <w:szCs w:val="22"/>
          <w:lang w:eastAsia="ko-KR"/>
        </w:rPr>
        <w:t>№ 260 на</w:t>
      </w:r>
      <w:r>
        <w:rPr>
          <w:rFonts w:eastAsia="Batang"/>
          <w:sz w:val="22"/>
          <w:szCs w:val="22"/>
          <w:lang w:eastAsia="ko-KR"/>
        </w:rPr>
        <w:t xml:space="preserve"> Министерския съвет от 29.04.</w:t>
      </w:r>
      <w:r w:rsidRPr="008153EA">
        <w:rPr>
          <w:rFonts w:eastAsia="Batang"/>
          <w:sz w:val="22"/>
          <w:szCs w:val="22"/>
          <w:lang w:eastAsia="ko-KR"/>
        </w:rPr>
        <w:t xml:space="preserve">2025 г.) на Министерския съвет за периода април </w:t>
      </w:r>
      <w:r>
        <w:rPr>
          <w:rFonts w:eastAsia="Batang"/>
          <w:sz w:val="22"/>
          <w:szCs w:val="22"/>
          <w:lang w:eastAsia="ko-KR"/>
        </w:rPr>
        <w:t>–</w:t>
      </w:r>
      <w:r w:rsidRPr="008153EA">
        <w:rPr>
          <w:rFonts w:eastAsia="Batang"/>
          <w:sz w:val="22"/>
          <w:szCs w:val="22"/>
          <w:lang w:eastAsia="ko-KR"/>
        </w:rPr>
        <w:t xml:space="preserve"> юни 2025 г. и Оперативната програма на Министерския съвет (приета с Решение № 261 на</w:t>
      </w:r>
      <w:r>
        <w:rPr>
          <w:rFonts w:eastAsia="Batang"/>
          <w:sz w:val="22"/>
          <w:szCs w:val="22"/>
          <w:lang w:eastAsia="ko-KR"/>
        </w:rPr>
        <w:t xml:space="preserve"> Министерския съвет от 29.04.</w:t>
      </w:r>
      <w:r w:rsidRPr="008153EA">
        <w:rPr>
          <w:rFonts w:eastAsia="Batang"/>
          <w:sz w:val="22"/>
          <w:szCs w:val="22"/>
          <w:lang w:eastAsia="ko-KR"/>
        </w:rPr>
        <w:t xml:space="preserve">2025 г.) за периода  април </w:t>
      </w:r>
      <w:r>
        <w:rPr>
          <w:rFonts w:eastAsia="Batang"/>
          <w:sz w:val="22"/>
          <w:szCs w:val="22"/>
          <w:lang w:eastAsia="ko-KR"/>
        </w:rPr>
        <w:t>–</w:t>
      </w:r>
      <w:r w:rsidRPr="008153EA">
        <w:rPr>
          <w:rFonts w:eastAsia="Batang"/>
          <w:sz w:val="22"/>
          <w:szCs w:val="22"/>
          <w:lang w:eastAsia="ko-KR"/>
        </w:rPr>
        <w:t xml:space="preserve"> юни 2025 г. </w:t>
      </w:r>
    </w:p>
    <w:p w14:paraId="5DECADEA" w14:textId="294B3A75" w:rsidR="008153EA" w:rsidRPr="00B17929" w:rsidRDefault="008153EA" w:rsidP="001D54A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8153EA">
        <w:rPr>
          <w:rFonts w:eastAsia="Batang"/>
          <w:sz w:val="22"/>
          <w:szCs w:val="22"/>
          <w:lang w:eastAsia="ko-KR"/>
        </w:rPr>
        <w:t xml:space="preserve">През периода стартира и подготовката за приемане на Законодателната и Оперативната програма на Министерския съвет за втората половина на 2025 г. При изготвянето на законодателните програми, в изпълнение на чл. 30, ал. 2 от </w:t>
      </w:r>
      <w:r w:rsidRPr="00361C27">
        <w:rPr>
          <w:rFonts w:eastAsia="Batang"/>
          <w:sz w:val="22"/>
          <w:szCs w:val="22"/>
          <w:lang w:eastAsia="ko-KR"/>
        </w:rPr>
        <w:t>УПМСНА</w:t>
      </w:r>
      <w:r w:rsidRPr="008153EA">
        <w:rPr>
          <w:rFonts w:eastAsia="Batang"/>
          <w:sz w:val="22"/>
          <w:szCs w:val="22"/>
          <w:lang w:eastAsia="ko-KR"/>
        </w:rPr>
        <w:t xml:space="preserve">, </w:t>
      </w:r>
      <w:r w:rsidR="00126494">
        <w:rPr>
          <w:rFonts w:eastAsia="Batang"/>
          <w:sz w:val="22"/>
          <w:szCs w:val="22"/>
          <w:lang w:eastAsia="ko-KR"/>
        </w:rPr>
        <w:t xml:space="preserve">(доп. </w:t>
      </w:r>
      <w:r w:rsidRPr="008153EA">
        <w:rPr>
          <w:rFonts w:eastAsia="Batang"/>
          <w:sz w:val="22"/>
          <w:szCs w:val="22"/>
          <w:lang w:eastAsia="ko-KR"/>
        </w:rPr>
        <w:t xml:space="preserve">ДВ, бр. 19 от </w:t>
      </w:r>
      <w:r w:rsidR="00126494">
        <w:rPr>
          <w:rFonts w:eastAsia="Batang"/>
          <w:sz w:val="22"/>
          <w:szCs w:val="22"/>
          <w:lang w:eastAsia="ko-KR"/>
        </w:rPr>
        <w:br/>
      </w:r>
      <w:r w:rsidRPr="008153EA">
        <w:rPr>
          <w:rFonts w:eastAsia="Batang"/>
          <w:sz w:val="22"/>
          <w:szCs w:val="22"/>
          <w:lang w:eastAsia="ko-KR"/>
        </w:rPr>
        <w:t>2025 г., в сила от 14.03.2025 г.</w:t>
      </w:r>
      <w:r w:rsidR="00126494">
        <w:rPr>
          <w:rFonts w:eastAsia="Batang"/>
          <w:sz w:val="22"/>
          <w:szCs w:val="22"/>
          <w:lang w:eastAsia="ko-KR"/>
        </w:rPr>
        <w:t>)</w:t>
      </w:r>
      <w:r w:rsidRPr="008153EA">
        <w:rPr>
          <w:rFonts w:eastAsia="Batang"/>
          <w:sz w:val="22"/>
          <w:szCs w:val="22"/>
          <w:lang w:eastAsia="ko-KR"/>
        </w:rPr>
        <w:t xml:space="preserve"> в програмите задължително се включват законопроектите, предвидени за съответния шестмесечен период в Плана за действие с мерките, произтичащи от членството на Република България в Европейския съюз. В изпълнение на чл. 30, ал. 3 от УПМСНА се прилага и подход за планиране на т. нар. „единни“ законодателни инициативи, съгласно който, възможно най-много политики или проблеми да бъдат решени с един законопроект. С оглед подобряване на качеството и ефективността на планирането на </w:t>
      </w:r>
      <w:proofErr w:type="spellStart"/>
      <w:r w:rsidRPr="008153EA">
        <w:rPr>
          <w:rFonts w:eastAsia="Batang"/>
          <w:sz w:val="22"/>
          <w:szCs w:val="22"/>
          <w:lang w:eastAsia="ko-KR"/>
        </w:rPr>
        <w:t>нормотворческата</w:t>
      </w:r>
      <w:proofErr w:type="spellEnd"/>
      <w:r w:rsidRPr="008153EA">
        <w:rPr>
          <w:rFonts w:eastAsia="Batang"/>
          <w:sz w:val="22"/>
          <w:szCs w:val="22"/>
          <w:lang w:eastAsia="ko-KR"/>
        </w:rPr>
        <w:t xml:space="preserve"> дейност на Министерския съвет, при изготвянето на двете програми задължително се вземат предвид и действащите стратегически документи, в които са предвидени мерки, съдърж</w:t>
      </w:r>
      <w:r w:rsidRPr="00B17929">
        <w:rPr>
          <w:rFonts w:eastAsia="Batang"/>
          <w:sz w:val="22"/>
          <w:szCs w:val="22"/>
          <w:lang w:eastAsia="ko-KR"/>
        </w:rPr>
        <w:t>ащи нормативни промени за съответния период.</w:t>
      </w:r>
    </w:p>
    <w:p w14:paraId="5BD8C9D7" w14:textId="12EE53FD" w:rsidR="008153EA" w:rsidRPr="00B17929" w:rsidRDefault="008153EA" w:rsidP="001D54A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B17929">
        <w:rPr>
          <w:rFonts w:eastAsia="Batang"/>
          <w:b/>
          <w:bCs/>
          <w:sz w:val="22"/>
          <w:szCs w:val="22"/>
          <w:lang w:eastAsia="ko-KR"/>
        </w:rPr>
        <w:t>Съгласува предварителните оценки на въздейс</w:t>
      </w:r>
      <w:r w:rsidR="00126494" w:rsidRPr="00B17929">
        <w:rPr>
          <w:rFonts w:eastAsia="Batang"/>
          <w:b/>
          <w:bCs/>
          <w:sz w:val="22"/>
          <w:szCs w:val="22"/>
          <w:lang w:eastAsia="ko-KR"/>
        </w:rPr>
        <w:t>твието по реда на чл. 30б и 30в:</w:t>
      </w:r>
    </w:p>
    <w:p w14:paraId="26C42329" w14:textId="77777777" w:rsidR="008153EA" w:rsidRPr="00126494" w:rsidRDefault="008153EA" w:rsidP="001D54A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126494">
        <w:rPr>
          <w:rFonts w:eastAsia="Batang"/>
          <w:sz w:val="22"/>
          <w:szCs w:val="22"/>
          <w:lang w:eastAsia="ko-KR"/>
        </w:rPr>
        <w:t>През отчетния период са съгласувани общо 125 предварителни оценки на въздействието, от които 40 са на законопроекти и 85 на проекти на подзаконови нормативни актове на Министерския съвет.</w:t>
      </w:r>
    </w:p>
    <w:p w14:paraId="4D859E81" w14:textId="7B1FE1E6" w:rsidR="008153EA" w:rsidRPr="00B17929" w:rsidRDefault="008153EA" w:rsidP="001D54A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B17929">
        <w:rPr>
          <w:rFonts w:eastAsia="Batang"/>
          <w:b/>
          <w:bCs/>
          <w:sz w:val="22"/>
          <w:szCs w:val="22"/>
          <w:lang w:eastAsia="ko-KR"/>
        </w:rPr>
        <w:t>Осигурява методическа помощ на органите на изпълнителната власт и на администрациите, които ги подпомагат, при извършването на предварителна и пос</w:t>
      </w:r>
      <w:r w:rsidR="00126494" w:rsidRPr="00B17929">
        <w:rPr>
          <w:rFonts w:eastAsia="Batang"/>
          <w:b/>
          <w:bCs/>
          <w:sz w:val="22"/>
          <w:szCs w:val="22"/>
          <w:lang w:eastAsia="ko-KR"/>
        </w:rPr>
        <w:t>ледваща оценка на въздействието:</w:t>
      </w:r>
    </w:p>
    <w:p w14:paraId="1A1EA710" w14:textId="77777777" w:rsidR="008153EA" w:rsidRPr="00126494" w:rsidRDefault="008153EA" w:rsidP="001D54A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126494">
        <w:rPr>
          <w:rFonts w:eastAsia="Batang"/>
          <w:sz w:val="22"/>
          <w:szCs w:val="22"/>
          <w:lang w:eastAsia="ko-KR"/>
        </w:rPr>
        <w:t>Предоставени са писмени и устни указания и насоки в процеса по изготвяне на предварителни и последващи оценки на въздействието, при заявена необходимост от органите на изпълнителната власт и на администрациите, които ги извършват.</w:t>
      </w:r>
    </w:p>
    <w:p w14:paraId="24FBCF61" w14:textId="04A3C72C" w:rsidR="008153EA" w:rsidRPr="008F6C09" w:rsidRDefault="008153EA" w:rsidP="001D54A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8F6C09">
        <w:rPr>
          <w:rFonts w:eastAsia="Batang"/>
          <w:b/>
          <w:bCs/>
          <w:sz w:val="22"/>
          <w:szCs w:val="22"/>
          <w:lang w:eastAsia="ko-KR"/>
        </w:rPr>
        <w:t>Изготвя годишен доклад за извършва</w:t>
      </w:r>
      <w:r w:rsidR="00126494" w:rsidRPr="008F6C09">
        <w:rPr>
          <w:rFonts w:eastAsia="Batang"/>
          <w:b/>
          <w:bCs/>
          <w:sz w:val="22"/>
          <w:szCs w:val="22"/>
          <w:lang w:eastAsia="ko-KR"/>
        </w:rPr>
        <w:t>нето на оценка на въздействието:</w:t>
      </w:r>
    </w:p>
    <w:p w14:paraId="6B4F8969" w14:textId="047FCCB4" w:rsidR="008153EA" w:rsidRPr="00CF3CD5" w:rsidRDefault="008153EA" w:rsidP="001D54A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CF3CD5">
        <w:rPr>
          <w:rFonts w:eastAsia="Batang"/>
          <w:sz w:val="22"/>
          <w:szCs w:val="22"/>
          <w:lang w:eastAsia="ko-KR"/>
        </w:rPr>
        <w:lastRenderedPageBreak/>
        <w:t>Изготвен е Годишният доклад за регулаторна политика за 2024 г. Обхватът на доклада е разширен. Променена е методологията за неговото изготвяне, като структурата му е максимално адаптирана към практиките на ОИСР. Докладът е одобрен с Решение</w:t>
      </w:r>
      <w:r w:rsidR="00CF3CD5">
        <w:rPr>
          <w:rFonts w:eastAsia="Batang"/>
          <w:sz w:val="22"/>
          <w:szCs w:val="22"/>
          <w:lang w:eastAsia="ko-KR"/>
        </w:rPr>
        <w:t xml:space="preserve"> № 6 по Протокол № 93 от 11.06.</w:t>
      </w:r>
      <w:r w:rsidRPr="00CF3CD5">
        <w:rPr>
          <w:rFonts w:eastAsia="Batang"/>
          <w:sz w:val="22"/>
          <w:szCs w:val="22"/>
          <w:lang w:eastAsia="ko-KR"/>
        </w:rPr>
        <w:t xml:space="preserve">2025 г. на Съвета за административната реформа. В доклада се проследява напредъкът в изпълнението на ключови аспекти от регулаторната политика, като планиране на </w:t>
      </w:r>
      <w:proofErr w:type="spellStart"/>
      <w:r w:rsidRPr="00CF3CD5">
        <w:rPr>
          <w:rFonts w:eastAsia="Batang"/>
          <w:sz w:val="22"/>
          <w:szCs w:val="22"/>
          <w:lang w:eastAsia="ko-KR"/>
        </w:rPr>
        <w:t>нормотворческата</w:t>
      </w:r>
      <w:proofErr w:type="spellEnd"/>
      <w:r w:rsidRPr="00CF3CD5">
        <w:rPr>
          <w:rFonts w:eastAsia="Batang"/>
          <w:sz w:val="22"/>
          <w:szCs w:val="22"/>
          <w:lang w:eastAsia="ko-KR"/>
        </w:rPr>
        <w:t xml:space="preserve"> дейност, оценки на въздействието, обществени консултации, намаляване на административната тежест, подобряване на административния капацитет и др. С оглед констатираните в доклада отклонения от нормативните изисквания при провеждането на обществени консултации на проекти на нормативни актове, е изпратено писмо до всички министри за тяхното своевременно преустановяване.</w:t>
      </w:r>
    </w:p>
    <w:p w14:paraId="655784CB" w14:textId="0798A7A5" w:rsidR="008153EA" w:rsidRPr="00F319DC" w:rsidRDefault="008153EA" w:rsidP="001D54A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F319DC">
        <w:rPr>
          <w:rFonts w:eastAsia="Batang"/>
          <w:b/>
          <w:bCs/>
          <w:sz w:val="22"/>
          <w:szCs w:val="22"/>
          <w:lang w:eastAsia="ko-KR"/>
        </w:rPr>
        <w:t>Предлага инициативи и мерки за подобряване на системата за оценка на въздейс</w:t>
      </w:r>
      <w:r w:rsidR="00CF6E63" w:rsidRPr="00F319DC">
        <w:rPr>
          <w:rFonts w:eastAsia="Batang"/>
          <w:b/>
          <w:bCs/>
          <w:sz w:val="22"/>
          <w:szCs w:val="22"/>
          <w:lang w:eastAsia="ko-KR"/>
        </w:rPr>
        <w:t>твието и обществени консултации:</w:t>
      </w:r>
    </w:p>
    <w:p w14:paraId="698E3F21" w14:textId="77777777" w:rsidR="008153EA" w:rsidRPr="00CF6E63" w:rsidRDefault="008153EA" w:rsidP="001D54A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CF6E63">
        <w:rPr>
          <w:rFonts w:eastAsia="Batang"/>
          <w:sz w:val="22"/>
          <w:szCs w:val="22"/>
          <w:lang w:eastAsia="ko-KR"/>
        </w:rPr>
        <w:t xml:space="preserve">В Концепцията за развитие на регулаторната политика на Република България 2025-2027 г. е включена мярка № 7 относно въвеждане на по-облекчени и по-задълбочени предварителни оценки на въздействието. Изпълнението предвижда изготвяне на анализ на добри практики и разработване на критерии, които да отчитат степента на въздействие. При необходимост, ще бъде подготвено изменение на Наредбата за обхвата и методологията за извършване на оценки на въздействието, Ръководството за извършване на предварителна оценка на въздействието и образеца за частична предварителна оценка на въздействието. </w:t>
      </w:r>
    </w:p>
    <w:p w14:paraId="1118B799" w14:textId="37E0FAD3" w:rsidR="008153EA" w:rsidRPr="00F319DC" w:rsidRDefault="008153EA" w:rsidP="001D54A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F319DC">
        <w:rPr>
          <w:rFonts w:eastAsia="Batang"/>
          <w:b/>
          <w:bCs/>
          <w:sz w:val="22"/>
          <w:szCs w:val="22"/>
          <w:lang w:eastAsia="ko-KR"/>
        </w:rPr>
        <w:t>Развива и надгражда Портала за обществени консултации, като към него се включват и следните информационни системи – Системата за правна информация на Министерския съвет (Раздел „Актове на Министерския съвет в новия портал), Портала за Консултативните съвети (Раздел „Консулт</w:t>
      </w:r>
      <w:r w:rsidR="00CF6E63" w:rsidRPr="00F319DC">
        <w:rPr>
          <w:rFonts w:eastAsia="Batang"/>
          <w:b/>
          <w:bCs/>
          <w:sz w:val="22"/>
          <w:szCs w:val="22"/>
          <w:lang w:eastAsia="ko-KR"/>
        </w:rPr>
        <w:t>ативни съвети“ в новия портал):</w:t>
      </w:r>
    </w:p>
    <w:p w14:paraId="7C481D8E" w14:textId="54D62DAD" w:rsidR="008153EA" w:rsidRPr="00CF6E63" w:rsidRDefault="008153EA" w:rsidP="001D54A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CF6E63">
        <w:rPr>
          <w:rFonts w:eastAsia="Batang"/>
          <w:sz w:val="22"/>
          <w:szCs w:val="22"/>
          <w:lang w:eastAsia="ko-KR"/>
        </w:rPr>
        <w:t>От администраторите на Портала за обществени консултации продължава предоставянето на методическа подкрепа на представители на администрациите, външни потребители на портала и заинтересовани страни, свързана с публикуване на информация в портала, промяна или създаване на потреби</w:t>
      </w:r>
      <w:r w:rsidR="00CF6E63">
        <w:rPr>
          <w:rFonts w:eastAsia="Batang"/>
          <w:sz w:val="22"/>
          <w:szCs w:val="22"/>
          <w:lang w:eastAsia="ko-KR"/>
        </w:rPr>
        <w:t>телски профили и други дейности;</w:t>
      </w:r>
    </w:p>
    <w:p w14:paraId="75A2BA88" w14:textId="65F32A3E" w:rsidR="008153EA" w:rsidRPr="00CF6E63" w:rsidRDefault="008153EA" w:rsidP="001D54A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CF6E63">
        <w:rPr>
          <w:rFonts w:eastAsia="Batang"/>
          <w:sz w:val="22"/>
          <w:szCs w:val="22"/>
          <w:lang w:eastAsia="ko-KR"/>
        </w:rPr>
        <w:t>През отчетния период продължава изпълнението на дейностите по договор № МС-61/09.06.2023 г. за надграждане на Портала за обществени консултации. Извършени са необходи</w:t>
      </w:r>
      <w:r w:rsidR="00CF6E63">
        <w:rPr>
          <w:rFonts w:eastAsia="Batang"/>
          <w:sz w:val="22"/>
          <w:szCs w:val="22"/>
          <w:lang w:eastAsia="ko-KR"/>
        </w:rPr>
        <w:t>мите тестове на новата система;</w:t>
      </w:r>
    </w:p>
    <w:p w14:paraId="7EDAED9C" w14:textId="77777777" w:rsidR="008153EA" w:rsidRPr="00CF6E63" w:rsidRDefault="008153EA" w:rsidP="001D54A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CF6E63">
        <w:rPr>
          <w:rFonts w:eastAsia="Batang"/>
          <w:sz w:val="22"/>
          <w:szCs w:val="22"/>
          <w:lang w:eastAsia="ko-KR"/>
        </w:rPr>
        <w:t>През месец юни 2025 г. порталът е прехвърлен от Държавния хибриден частен облак, поддържан от Изпълнителна агенция „Инфраструктура на електронното управление“, на сървъри на Министерския съвет. Целта е да се създаде технологична възможност документите от вид „заповеди“ да бъдат видими само от IP-адрес на Министерския съвет и достъпвани със служебен квалифициран електронен подпис от служители на Министерския съвет, с оглед осигуряване на защита на документи със съдържание от чувствителен характер, каквато е осигурена в действащата към момента Правно-информационна система на Министерския съвет.</w:t>
      </w:r>
    </w:p>
    <w:p w14:paraId="2FDA83C4" w14:textId="59BC838B" w:rsidR="008153EA" w:rsidRPr="00A61918" w:rsidRDefault="008153EA" w:rsidP="001D54A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A61918">
        <w:rPr>
          <w:rFonts w:eastAsia="Batang"/>
          <w:b/>
          <w:bCs/>
          <w:sz w:val="22"/>
          <w:szCs w:val="22"/>
          <w:lang w:eastAsia="ko-KR"/>
        </w:rPr>
        <w:t>Изготвя експертни становища, анализи и предложения, изработва проекти на нормативни актове и стратегически докуме</w:t>
      </w:r>
      <w:r w:rsidR="003B3B4B" w:rsidRPr="00A61918">
        <w:rPr>
          <w:rFonts w:eastAsia="Batang"/>
          <w:b/>
          <w:bCs/>
          <w:sz w:val="22"/>
          <w:szCs w:val="22"/>
          <w:lang w:eastAsia="ko-KR"/>
        </w:rPr>
        <w:t>нти и изследва добрите практики:</w:t>
      </w:r>
    </w:p>
    <w:p w14:paraId="6CFDC70C" w14:textId="41D41CE9" w:rsidR="008153EA" w:rsidRPr="003B3B4B" w:rsidRDefault="008153EA" w:rsidP="001D54A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3B3B4B">
        <w:rPr>
          <w:rFonts w:eastAsia="Batang"/>
          <w:sz w:val="22"/>
          <w:szCs w:val="22"/>
          <w:lang w:eastAsia="ko-KR"/>
        </w:rPr>
        <w:t>През отчетния период стартира подготовката на промени в Класификатора на длъжностите в администрацията (КДА), във връзка с въвеждането на електронния трудов запис за държавните служители, като част от регистъра на за</w:t>
      </w:r>
      <w:r w:rsidR="003B3B4B">
        <w:rPr>
          <w:rFonts w:eastAsia="Batang"/>
          <w:sz w:val="22"/>
          <w:szCs w:val="22"/>
          <w:lang w:eastAsia="ko-KR"/>
        </w:rPr>
        <w:t xml:space="preserve">етостта, който влиза в сила от </w:t>
      </w:r>
      <w:r w:rsidRPr="003B3B4B">
        <w:rPr>
          <w:rFonts w:eastAsia="Batang"/>
          <w:sz w:val="22"/>
          <w:szCs w:val="22"/>
          <w:lang w:eastAsia="ko-KR"/>
        </w:rPr>
        <w:t>01.06.2026 г. Създадени са кодове на длъжностите по КДА, съгласно изискванията на чл. 112, ал. 1 т. 10 от</w:t>
      </w:r>
      <w:r w:rsidR="003B3B4B">
        <w:rPr>
          <w:rFonts w:eastAsia="Batang"/>
          <w:sz w:val="22"/>
          <w:szCs w:val="22"/>
          <w:lang w:eastAsia="ko-KR"/>
        </w:rPr>
        <w:t xml:space="preserve"> Закона за държавния служител. </w:t>
      </w:r>
      <w:r w:rsidRPr="003B3B4B">
        <w:rPr>
          <w:rFonts w:eastAsia="Batang"/>
          <w:sz w:val="22"/>
          <w:szCs w:val="22"/>
          <w:lang w:eastAsia="ko-KR"/>
        </w:rPr>
        <w:t xml:space="preserve">В тази връзка са изготвени предложения за нормативни текстове в </w:t>
      </w:r>
      <w:r w:rsidR="003B3B4B">
        <w:rPr>
          <w:rFonts w:eastAsia="Batang"/>
          <w:sz w:val="22"/>
          <w:szCs w:val="22"/>
          <w:lang w:eastAsia="ko-KR"/>
        </w:rPr>
        <w:t>наредбата за прилагане на КДА.</w:t>
      </w:r>
    </w:p>
    <w:p w14:paraId="5ECA172F" w14:textId="27374F7A" w:rsidR="008153EA" w:rsidRPr="008621A6" w:rsidRDefault="008153EA" w:rsidP="001D54AA">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8621A6">
        <w:rPr>
          <w:rFonts w:eastAsia="Batang"/>
          <w:b/>
          <w:bCs/>
          <w:sz w:val="22"/>
          <w:szCs w:val="22"/>
          <w:lang w:eastAsia="ko-KR"/>
        </w:rPr>
        <w:t>Изпълнява функциите на секретариат на Съвета за админ</w:t>
      </w:r>
      <w:r w:rsidR="00BE217E" w:rsidRPr="008621A6">
        <w:rPr>
          <w:rFonts w:eastAsia="Batang"/>
          <w:b/>
          <w:bCs/>
          <w:sz w:val="22"/>
          <w:szCs w:val="22"/>
          <w:lang w:eastAsia="ko-KR"/>
        </w:rPr>
        <w:t>истративната реформа:</w:t>
      </w:r>
    </w:p>
    <w:p w14:paraId="09E861C9" w14:textId="780B9AB3" w:rsidR="008153EA" w:rsidRPr="00BE217E" w:rsidRDefault="008153EA" w:rsidP="001D54A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BE217E">
        <w:rPr>
          <w:rFonts w:eastAsia="Batang"/>
          <w:sz w:val="22"/>
          <w:szCs w:val="22"/>
          <w:lang w:eastAsia="ko-KR"/>
        </w:rPr>
        <w:t>През отчетния период е приет Доклад за дейността на Съвета за административната реформа (САР) през 2024 г., приет с протоколно решение на заседание на Министерски</w:t>
      </w:r>
      <w:r w:rsidR="00BE217E">
        <w:rPr>
          <w:rFonts w:eastAsia="Batang"/>
          <w:sz w:val="22"/>
          <w:szCs w:val="22"/>
          <w:lang w:eastAsia="ko-KR"/>
        </w:rPr>
        <w:t>я съвет, проведено на 15.01.</w:t>
      </w:r>
      <w:r w:rsidRPr="00BE217E">
        <w:rPr>
          <w:rFonts w:eastAsia="Batang"/>
          <w:sz w:val="22"/>
          <w:szCs w:val="22"/>
          <w:lang w:eastAsia="ko-KR"/>
        </w:rPr>
        <w:t>2025 г. Проведена е една процедура за неприсъствено вземане на решение на Съвета чрез протокол (на основание чл. 12, ал. 2 от Правилника за организацията на дейността на съвета). Приетите решения включват одобряване на: внесени предложения за определяне на размери на индивидуални основни месечни заплати на органи на власт (в съответствие с Постановление № 67 на Министерския съвет от 2010 г. за заплатите в бюджетните организации и дейности).</w:t>
      </w:r>
    </w:p>
    <w:p w14:paraId="32FC0B3A" w14:textId="25F80A76" w:rsidR="008153EA" w:rsidRPr="00BE217E" w:rsidRDefault="008153EA" w:rsidP="001D54A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BE217E">
        <w:rPr>
          <w:rFonts w:eastAsia="Batang"/>
          <w:sz w:val="22"/>
          <w:szCs w:val="22"/>
          <w:lang w:eastAsia="ko-KR"/>
        </w:rPr>
        <w:lastRenderedPageBreak/>
        <w:t xml:space="preserve">През първото шестмесечие е подготвено и проведено (на 11.06.2025 г.) първото присъствено заседание на САР от 2023 г. насам. На заседанието са приети: Работна програма на САР за </w:t>
      </w:r>
      <w:r w:rsidR="00BE217E">
        <w:rPr>
          <w:rFonts w:eastAsia="Batang"/>
          <w:sz w:val="22"/>
          <w:szCs w:val="22"/>
          <w:lang w:eastAsia="ko-KR"/>
        </w:rPr>
        <w:br/>
      </w:r>
      <w:r w:rsidRPr="00BE217E">
        <w:rPr>
          <w:rFonts w:eastAsia="Batang"/>
          <w:sz w:val="22"/>
          <w:szCs w:val="22"/>
          <w:lang w:eastAsia="ko-KR"/>
        </w:rPr>
        <w:t>2025 г.; Методология за планиране на човешките ресурси в държавната администрация и Методология за оценка на работното натоварване; Доклад за несъответствия на вписаната информация за административните услуги в Административния регистър и интернет страниците на администрациите, предоставящи административни услуги, и предложение на министъра на външните работи за изменение на Класификатора на длъжностите в администрацията (КДА). Одобрени са също и внесени предложения за определяне на размери на индивидуални основни месечни заплати на органи на власт (в съответствие с Постановление № 67 на Министерския съвет от 2010 г. за заплатите в бюд</w:t>
      </w:r>
      <w:r w:rsidR="00BE217E">
        <w:rPr>
          <w:rFonts w:eastAsia="Batang"/>
          <w:sz w:val="22"/>
          <w:szCs w:val="22"/>
          <w:lang w:eastAsia="ko-KR"/>
        </w:rPr>
        <w:t>жетните организации и дейности);</w:t>
      </w:r>
    </w:p>
    <w:p w14:paraId="0A47742F" w14:textId="1F5DBBD6" w:rsidR="008153EA" w:rsidRPr="00BE217E" w:rsidRDefault="008153EA" w:rsidP="001D54A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BE217E">
        <w:rPr>
          <w:rFonts w:eastAsia="Batang"/>
          <w:sz w:val="22"/>
          <w:szCs w:val="22"/>
          <w:lang w:eastAsia="ko-KR"/>
        </w:rPr>
        <w:t>На заседанието със свои решения съветът възложи: на Институ</w:t>
      </w:r>
      <w:r w:rsidR="00BE217E">
        <w:rPr>
          <w:rFonts w:eastAsia="Batang"/>
          <w:sz w:val="22"/>
          <w:szCs w:val="22"/>
          <w:lang w:eastAsia="ko-KR"/>
        </w:rPr>
        <w:t xml:space="preserve">та по публична </w:t>
      </w:r>
      <w:r w:rsidR="007403EC">
        <w:rPr>
          <w:rFonts w:eastAsia="Batang"/>
          <w:sz w:val="22"/>
          <w:szCs w:val="22"/>
          <w:lang w:val="en-US" w:eastAsia="ko-KR"/>
        </w:rPr>
        <w:br/>
      </w:r>
      <w:r w:rsidR="00BE217E">
        <w:rPr>
          <w:rFonts w:eastAsia="Batang"/>
          <w:sz w:val="22"/>
          <w:szCs w:val="22"/>
          <w:lang w:eastAsia="ko-KR"/>
        </w:rPr>
        <w:t xml:space="preserve">администрация – </w:t>
      </w:r>
      <w:r w:rsidRPr="00BE217E">
        <w:rPr>
          <w:rFonts w:eastAsia="Batang"/>
          <w:sz w:val="22"/>
          <w:szCs w:val="22"/>
          <w:lang w:eastAsia="ko-KR"/>
        </w:rPr>
        <w:t>изработването и включването в Каталог 2026 на обучителен курс по прилаг</w:t>
      </w:r>
      <w:r w:rsidR="00BE217E">
        <w:rPr>
          <w:rFonts w:eastAsia="Batang"/>
          <w:sz w:val="22"/>
          <w:szCs w:val="22"/>
          <w:lang w:eastAsia="ko-KR"/>
        </w:rPr>
        <w:t xml:space="preserve">ането на приетите методологии; </w:t>
      </w:r>
      <w:r w:rsidRPr="00BE217E">
        <w:rPr>
          <w:rFonts w:eastAsia="Batang"/>
          <w:sz w:val="22"/>
          <w:szCs w:val="22"/>
          <w:lang w:eastAsia="ko-KR"/>
        </w:rPr>
        <w:t xml:space="preserve">на постоянната Работна група за развитие на човешките ресурси към </w:t>
      </w:r>
      <w:r w:rsidR="00003B92">
        <w:rPr>
          <w:rFonts w:eastAsia="Batang"/>
          <w:sz w:val="22"/>
          <w:szCs w:val="22"/>
          <w:lang w:val="en-US" w:eastAsia="ko-KR"/>
        </w:rPr>
        <w:br/>
      </w:r>
      <w:r w:rsidRPr="00BE217E">
        <w:rPr>
          <w:rFonts w:eastAsia="Batang"/>
          <w:sz w:val="22"/>
          <w:szCs w:val="22"/>
          <w:lang w:eastAsia="ko-KR"/>
        </w:rPr>
        <w:t>САР – изготвянето на експертно предложение за промяна на реда за определяне на основните месечни заплати на органи на изпълнителната власт, уреден в Постановление № 67 на Министерския съвет от 2010 г. за заплатите в бюджетните организации и дейности, както и изготвянето на експертно предложение за промяна в размера на основните месечни заплати на членовете на политическите кабинети, уреден в Постановление № 67 на Министерския съвет от 2010 г. за заплатите в бюдж</w:t>
      </w:r>
      <w:r w:rsidR="00BE217E">
        <w:rPr>
          <w:rFonts w:eastAsia="Batang"/>
          <w:sz w:val="22"/>
          <w:szCs w:val="22"/>
          <w:lang w:eastAsia="ko-KR"/>
        </w:rPr>
        <w:t>етните организации и дейности;</w:t>
      </w:r>
    </w:p>
    <w:p w14:paraId="77942266" w14:textId="7240E6D1" w:rsidR="00D04ED4" w:rsidRPr="00BE217E" w:rsidRDefault="008153EA" w:rsidP="001D54AA">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BE217E">
        <w:rPr>
          <w:rFonts w:eastAsia="Batang"/>
          <w:sz w:val="22"/>
          <w:szCs w:val="22"/>
          <w:lang w:eastAsia="ko-KR"/>
        </w:rPr>
        <w:t>САР разгледа и предложение на министъра на отбраната за изменение и допълнение на Закона за държавния служител, като се взе решение членовете на съвета да представят данни по отношение на ръководените от тях администрации и да извършат анализ на положителните и отрицателните въздействия при евентуалното прилагане на предложените промени. Данните и анализът ще бъдат обсъдени на следващо заседание на САР.</w:t>
      </w:r>
    </w:p>
    <w:p w14:paraId="01760547" w14:textId="14015DD0" w:rsidR="00A60D1D" w:rsidRPr="001D54AA" w:rsidRDefault="00A60D1D" w:rsidP="001D54AA">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1D54AA">
        <w:rPr>
          <w:b/>
          <w:bCs/>
          <w:i/>
          <w:iCs/>
          <w:color w:val="215E99" w:themeColor="text2" w:themeTint="BF"/>
          <w:sz w:val="22"/>
          <w:szCs w:val="22"/>
        </w:rPr>
        <w:t>Организация и координация на процеса на присъединяване на Република България към ОИСР от компетентността на Комитета за публично управление и Комитета за регулаторна политика – дирекция „Координация и модернизация на администрацията”</w:t>
      </w:r>
    </w:p>
    <w:p w14:paraId="27B5341C" w14:textId="77777777" w:rsidR="00A60D1D" w:rsidRPr="00A60D1D" w:rsidRDefault="00A60D1D" w:rsidP="00B13D46">
      <w:pPr>
        <w:shd w:val="clear" w:color="auto" w:fill="FFFFFF" w:themeFill="background1"/>
        <w:ind w:firstLine="425"/>
        <w:jc w:val="both"/>
        <w:rPr>
          <w:b/>
          <w:i/>
          <w:color w:val="800000"/>
          <w:sz w:val="22"/>
          <w:szCs w:val="22"/>
        </w:rPr>
      </w:pPr>
      <w:r w:rsidRPr="00A60D1D">
        <w:rPr>
          <w:b/>
          <w:i/>
          <w:color w:val="800000"/>
          <w:sz w:val="22"/>
          <w:szCs w:val="22"/>
        </w:rPr>
        <w:t>Дейности за предоставяне на продукта/услугата:</w:t>
      </w:r>
    </w:p>
    <w:p w14:paraId="6D9CDC4E" w14:textId="77777777" w:rsidR="00A60D1D" w:rsidRPr="00B835EB" w:rsidRDefault="00A60D1D" w:rsidP="00B13D46">
      <w:pPr>
        <w:shd w:val="clear" w:color="auto" w:fill="FFFFFF" w:themeFill="background1"/>
        <w:tabs>
          <w:tab w:val="left" w:pos="993"/>
        </w:tabs>
        <w:autoSpaceDE w:val="0"/>
        <w:autoSpaceDN w:val="0"/>
        <w:adjustRightInd w:val="0"/>
        <w:ind w:firstLine="425"/>
        <w:jc w:val="both"/>
        <w:rPr>
          <w:rFonts w:eastAsia="Batang"/>
          <w:b/>
          <w:bCs/>
          <w:sz w:val="22"/>
          <w:szCs w:val="22"/>
          <w:lang w:eastAsia="ko-KR"/>
        </w:rPr>
      </w:pPr>
      <w:r w:rsidRPr="00B835EB">
        <w:rPr>
          <w:rFonts w:eastAsia="Batang"/>
          <w:b/>
          <w:bCs/>
          <w:sz w:val="22"/>
          <w:szCs w:val="22"/>
          <w:lang w:eastAsia="ko-KR"/>
        </w:rPr>
        <w:t>Осигурява организацията и координацията на техническите прегледи и процеса на изпълнение на препоръките от компетентността на Комитета за публично управление (КПУ) и Комитета за регулаторна политика (КРП) на ОИСР;</w:t>
      </w:r>
    </w:p>
    <w:p w14:paraId="35BC8247" w14:textId="77777777" w:rsidR="00A60D1D" w:rsidRPr="00B835EB" w:rsidRDefault="00A60D1D" w:rsidP="00B13D46">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B835EB">
        <w:rPr>
          <w:rFonts w:eastAsia="Batang"/>
          <w:b/>
          <w:bCs/>
          <w:sz w:val="22"/>
          <w:szCs w:val="22"/>
          <w:lang w:eastAsia="ko-KR"/>
        </w:rPr>
        <w:t>Осигурява съдействие на представителите на двата комитета и секретариатите им във връзка с осъществяване на техническите прегледи и работни срещи;</w:t>
      </w:r>
    </w:p>
    <w:p w14:paraId="1BDEA940" w14:textId="1431D369" w:rsidR="00A60D1D" w:rsidRPr="00A415E7" w:rsidRDefault="00A60D1D" w:rsidP="00B13D46">
      <w:pPr>
        <w:pStyle w:val="ListParagraph"/>
        <w:numPr>
          <w:ilvl w:val="0"/>
          <w:numId w:val="62"/>
        </w:numPr>
        <w:shd w:val="clear" w:color="auto" w:fill="FFFFFF" w:themeFill="background1"/>
        <w:tabs>
          <w:tab w:val="left" w:pos="426"/>
        </w:tabs>
        <w:autoSpaceDE w:val="0"/>
        <w:autoSpaceDN w:val="0"/>
        <w:adjustRightInd w:val="0"/>
        <w:ind w:left="709" w:hanging="283"/>
        <w:jc w:val="both"/>
        <w:rPr>
          <w:sz w:val="22"/>
          <w:szCs w:val="22"/>
        </w:rPr>
      </w:pPr>
      <w:r w:rsidRPr="00A415E7">
        <w:rPr>
          <w:sz w:val="22"/>
          <w:szCs w:val="22"/>
        </w:rPr>
        <w:t>Относно К</w:t>
      </w:r>
      <w:r w:rsidR="00A47610" w:rsidRPr="00A415E7">
        <w:rPr>
          <w:sz w:val="22"/>
          <w:szCs w:val="22"/>
        </w:rPr>
        <w:t>омитета за регулаторна политика:</w:t>
      </w:r>
    </w:p>
    <w:p w14:paraId="480FAC5B" w14:textId="77777777" w:rsidR="00A60D1D" w:rsidRPr="00A47610" w:rsidRDefault="00A60D1D" w:rsidP="00B13D46">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A47610">
        <w:rPr>
          <w:rFonts w:eastAsia="Batang"/>
          <w:sz w:val="22"/>
          <w:szCs w:val="22"/>
          <w:lang w:eastAsia="ko-KR"/>
        </w:rPr>
        <w:t xml:space="preserve">През отчетния период е създадена необходимата организация и координация на техническия преглед и процеса на изпълнение на приоритетните препоръки, отправени от КРП. С оглед на тяхното изпълнение е предприето следното: </w:t>
      </w:r>
    </w:p>
    <w:p w14:paraId="1C53EA10" w14:textId="567687EC" w:rsidR="00A60D1D" w:rsidRPr="00A60D1D" w:rsidRDefault="00A60D1D" w:rsidP="00B13D46">
      <w:pPr>
        <w:pStyle w:val="ListParagraph"/>
        <w:numPr>
          <w:ilvl w:val="0"/>
          <w:numId w:val="25"/>
        </w:numPr>
        <w:shd w:val="clear" w:color="auto" w:fill="FFFFFF" w:themeFill="background1"/>
        <w:ind w:left="709" w:hanging="283"/>
        <w:jc w:val="both"/>
        <w:rPr>
          <w:sz w:val="22"/>
          <w:szCs w:val="22"/>
        </w:rPr>
      </w:pPr>
      <w:r w:rsidRPr="00A60D1D">
        <w:rPr>
          <w:sz w:val="22"/>
          <w:szCs w:val="22"/>
        </w:rPr>
        <w:t>С Решение № 175 н</w:t>
      </w:r>
      <w:r w:rsidR="006C4AED">
        <w:rPr>
          <w:sz w:val="22"/>
          <w:szCs w:val="22"/>
        </w:rPr>
        <w:t>а Министерския съвет от 21</w:t>
      </w:r>
      <w:r w:rsidR="006C4AED">
        <w:rPr>
          <w:sz w:val="22"/>
          <w:szCs w:val="22"/>
          <w:lang w:val="bg-BG"/>
        </w:rPr>
        <w:t>.03.</w:t>
      </w:r>
      <w:r w:rsidRPr="00A60D1D">
        <w:rPr>
          <w:sz w:val="22"/>
          <w:szCs w:val="22"/>
        </w:rPr>
        <w:t>2025 г. е приета Концепция за развитие на регулаторната поли</w:t>
      </w:r>
      <w:r w:rsidR="006C4AED">
        <w:rPr>
          <w:sz w:val="22"/>
          <w:szCs w:val="22"/>
        </w:rPr>
        <w:t xml:space="preserve">тика за периода 2025-2027 г. В </w:t>
      </w:r>
      <w:r w:rsidR="006C4AED">
        <w:rPr>
          <w:sz w:val="22"/>
          <w:szCs w:val="22"/>
          <w:lang w:val="bg-BG"/>
        </w:rPr>
        <w:t>Концепцията</w:t>
      </w:r>
      <w:r w:rsidRPr="00A60D1D">
        <w:rPr>
          <w:sz w:val="22"/>
          <w:szCs w:val="22"/>
        </w:rPr>
        <w:t xml:space="preserve"> са заложени мерки, свързани с изпъл</w:t>
      </w:r>
      <w:r w:rsidR="006C4AED">
        <w:rPr>
          <w:sz w:val="22"/>
          <w:szCs w:val="22"/>
        </w:rPr>
        <w:t>нението на част от препоръките</w:t>
      </w:r>
      <w:r w:rsidR="006C4AED">
        <w:rPr>
          <w:sz w:val="22"/>
          <w:szCs w:val="22"/>
          <w:lang w:val="bg-BG"/>
        </w:rPr>
        <w:t>;</w:t>
      </w:r>
    </w:p>
    <w:p w14:paraId="5A473AD5" w14:textId="1B03FEBE" w:rsidR="00A60D1D" w:rsidRPr="00A60D1D" w:rsidRDefault="00A60D1D" w:rsidP="00B13D46">
      <w:pPr>
        <w:pStyle w:val="ListParagraph"/>
        <w:numPr>
          <w:ilvl w:val="0"/>
          <w:numId w:val="25"/>
        </w:numPr>
        <w:shd w:val="clear" w:color="auto" w:fill="FFFFFF" w:themeFill="background1"/>
        <w:ind w:left="709" w:hanging="283"/>
        <w:jc w:val="both"/>
        <w:rPr>
          <w:sz w:val="22"/>
          <w:szCs w:val="22"/>
        </w:rPr>
      </w:pPr>
      <w:r w:rsidRPr="00A60D1D">
        <w:rPr>
          <w:sz w:val="22"/>
          <w:szCs w:val="22"/>
        </w:rPr>
        <w:t>С Решение № 176 н</w:t>
      </w:r>
      <w:r w:rsidR="006C4AED">
        <w:rPr>
          <w:sz w:val="22"/>
          <w:szCs w:val="22"/>
        </w:rPr>
        <w:t>а Министерския съвет от 21</w:t>
      </w:r>
      <w:r w:rsidR="006C4AED">
        <w:rPr>
          <w:sz w:val="22"/>
          <w:szCs w:val="22"/>
          <w:lang w:val="bg-BG"/>
        </w:rPr>
        <w:t>.03.</w:t>
      </w:r>
      <w:r w:rsidRPr="00A60D1D">
        <w:rPr>
          <w:sz w:val="22"/>
          <w:szCs w:val="22"/>
        </w:rPr>
        <w:t>2025 г. е приет План за действие за внедряване на административни услуги на принципа „епизод от живота“.</w:t>
      </w:r>
    </w:p>
    <w:p w14:paraId="79A8E11B" w14:textId="5396BB09" w:rsidR="00A60D1D" w:rsidRPr="006C4AED" w:rsidRDefault="00A60D1D" w:rsidP="00B13D46">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6C4AED">
        <w:rPr>
          <w:rFonts w:eastAsia="Batang"/>
          <w:sz w:val="22"/>
          <w:szCs w:val="22"/>
          <w:lang w:eastAsia="ko-KR"/>
        </w:rPr>
        <w:t>В изпълнение на приоритетна препоръка на КРП са направени промени в Устройствения правилник на Министерския съвет и на</w:t>
      </w:r>
      <w:r w:rsidR="006C4AED">
        <w:rPr>
          <w:rFonts w:eastAsia="Batang"/>
          <w:sz w:val="22"/>
          <w:szCs w:val="22"/>
          <w:lang w:eastAsia="ko-KR"/>
        </w:rPr>
        <w:t xml:space="preserve"> неговата администрация (доп. </w:t>
      </w:r>
      <w:r w:rsidRPr="006C4AED">
        <w:rPr>
          <w:rFonts w:eastAsia="Batang"/>
          <w:sz w:val="22"/>
          <w:szCs w:val="22"/>
          <w:lang w:eastAsia="ko-KR"/>
        </w:rPr>
        <w:t>ДВ, бр. 19 от 2025 г., в сила от 14.03.2025 г.), съгласно които в законодателната и оперативната програма на Министерския съвет задължително се включват законопроектите и подзаконовите нормативни актове, предвидени в Плана за действие с мерките, произтичащи от членството на Република България в Европейския съюз за</w:t>
      </w:r>
      <w:r w:rsidR="006C4AED">
        <w:rPr>
          <w:rFonts w:eastAsia="Batang"/>
          <w:sz w:val="22"/>
          <w:szCs w:val="22"/>
          <w:lang w:eastAsia="ko-KR"/>
        </w:rPr>
        <w:t xml:space="preserve"> съответния шестмесечен период;</w:t>
      </w:r>
    </w:p>
    <w:p w14:paraId="5ED0BFF1" w14:textId="1B6A8B58" w:rsidR="00A60D1D" w:rsidRPr="006C4AED" w:rsidRDefault="00A60D1D" w:rsidP="00B13D46">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6C4AED">
        <w:rPr>
          <w:rFonts w:eastAsia="Batang"/>
          <w:sz w:val="22"/>
          <w:szCs w:val="22"/>
          <w:lang w:eastAsia="ko-KR"/>
        </w:rPr>
        <w:t>Националната позиция във връзка с прегледа на присъединяването към КРП е одобрена с Решение № 228 на</w:t>
      </w:r>
      <w:r w:rsidR="006C4AED">
        <w:rPr>
          <w:rFonts w:eastAsia="Batang"/>
          <w:sz w:val="22"/>
          <w:szCs w:val="22"/>
          <w:lang w:eastAsia="ko-KR"/>
        </w:rPr>
        <w:t xml:space="preserve"> Министерския съвет от 10.04.2025 г. и е представена пред К</w:t>
      </w:r>
      <w:r w:rsidRPr="006C4AED">
        <w:rPr>
          <w:rFonts w:eastAsia="Batang"/>
          <w:sz w:val="22"/>
          <w:szCs w:val="22"/>
          <w:lang w:eastAsia="ko-KR"/>
        </w:rPr>
        <w:t xml:space="preserve">омитета на същата дата от упълномощения от правителството представител. </w:t>
      </w:r>
    </w:p>
    <w:p w14:paraId="09607990" w14:textId="18E93133" w:rsidR="00A60D1D" w:rsidRPr="006C4AED" w:rsidRDefault="00A60D1D" w:rsidP="00B13D46">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6C4AED">
        <w:rPr>
          <w:rFonts w:eastAsia="Batang"/>
          <w:sz w:val="22"/>
          <w:szCs w:val="22"/>
          <w:lang w:eastAsia="ko-KR"/>
        </w:rPr>
        <w:lastRenderedPageBreak/>
        <w:t>Прегледът на България от КРП на</w:t>
      </w:r>
      <w:r w:rsidR="006C4AED">
        <w:rPr>
          <w:rFonts w:eastAsia="Batang"/>
          <w:sz w:val="22"/>
          <w:szCs w:val="22"/>
          <w:lang w:eastAsia="ko-KR"/>
        </w:rPr>
        <w:t xml:space="preserve"> ОИСР приключи успешно. На 27.06.</w:t>
      </w:r>
      <w:r w:rsidRPr="006C4AED">
        <w:rPr>
          <w:rFonts w:eastAsia="Batang"/>
          <w:sz w:val="22"/>
          <w:szCs w:val="22"/>
          <w:lang w:eastAsia="ko-KR"/>
        </w:rPr>
        <w:t>2025 г. беше получено офиц</w:t>
      </w:r>
      <w:r w:rsidR="006C4AED">
        <w:rPr>
          <w:rFonts w:eastAsia="Batang"/>
          <w:sz w:val="22"/>
          <w:szCs w:val="22"/>
          <w:lang w:eastAsia="ko-KR"/>
        </w:rPr>
        <w:t>иално писмо от председателя на К</w:t>
      </w:r>
      <w:r w:rsidRPr="006C4AED">
        <w:rPr>
          <w:rFonts w:eastAsia="Batang"/>
          <w:sz w:val="22"/>
          <w:szCs w:val="22"/>
          <w:lang w:eastAsia="ko-KR"/>
        </w:rPr>
        <w:t>омитета, с което информира за основните резултати от прегледа и за неговото приключване.</w:t>
      </w:r>
    </w:p>
    <w:p w14:paraId="55244A33" w14:textId="2C5A9130" w:rsidR="00A60D1D" w:rsidRPr="00855CFB" w:rsidRDefault="00A60D1D" w:rsidP="00B13D46">
      <w:pPr>
        <w:pStyle w:val="ListParagraph"/>
        <w:numPr>
          <w:ilvl w:val="0"/>
          <w:numId w:val="62"/>
        </w:numPr>
        <w:shd w:val="clear" w:color="auto" w:fill="FFFFFF" w:themeFill="background1"/>
        <w:tabs>
          <w:tab w:val="left" w:pos="426"/>
        </w:tabs>
        <w:autoSpaceDE w:val="0"/>
        <w:autoSpaceDN w:val="0"/>
        <w:adjustRightInd w:val="0"/>
        <w:ind w:left="709" w:hanging="283"/>
        <w:jc w:val="both"/>
        <w:rPr>
          <w:sz w:val="22"/>
          <w:szCs w:val="22"/>
        </w:rPr>
      </w:pPr>
      <w:r w:rsidRPr="00855CFB">
        <w:rPr>
          <w:sz w:val="22"/>
          <w:szCs w:val="22"/>
        </w:rPr>
        <w:t xml:space="preserve">Относно </w:t>
      </w:r>
      <w:r w:rsidR="00855CFB">
        <w:rPr>
          <w:sz w:val="22"/>
          <w:szCs w:val="22"/>
        </w:rPr>
        <w:t>Комитета за публично управление:</w:t>
      </w:r>
    </w:p>
    <w:p w14:paraId="6C3F6BE7" w14:textId="741FE145" w:rsidR="00A60D1D" w:rsidRPr="00855CFB" w:rsidRDefault="00855CFB" w:rsidP="00B13D46">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Pr>
          <w:rFonts w:eastAsia="Batang"/>
          <w:sz w:val="22"/>
          <w:szCs w:val="22"/>
          <w:lang w:eastAsia="ko-KR"/>
        </w:rPr>
        <w:t>На 19.03.</w:t>
      </w:r>
      <w:r w:rsidR="00A60D1D" w:rsidRPr="00855CFB">
        <w:rPr>
          <w:rFonts w:eastAsia="Batang"/>
          <w:sz w:val="22"/>
          <w:szCs w:val="22"/>
          <w:lang w:eastAsia="ko-KR"/>
        </w:rPr>
        <w:t xml:space="preserve">2025 г. са получени препоръките на Комитета за публично управление на ОИСР въз основа на техническия преглед на страната. За изпълнение на препоръките започна процесът по подготовка на националната позиция и план за действие по приоритетните препоръки. Създадена е необходимата организация и координация за събиране на информация от компетентните институции относно напредъка по изпълнението на препоръките и за подготовка на документите. В отговор на приоритетна Препоръка 1, която е от компетентността на АМС, е изготвен проект на ЗИД на ЗДСл и е в процес на разработване Концепция за развитие на ИПА, които да бъдат предложени за разглеждане. </w:t>
      </w:r>
    </w:p>
    <w:p w14:paraId="581B73E7" w14:textId="77777777" w:rsidR="00A60D1D" w:rsidRPr="00CB2770" w:rsidRDefault="00A60D1D" w:rsidP="00B13D46">
      <w:pPr>
        <w:pStyle w:val="ListParagraph"/>
        <w:numPr>
          <w:ilvl w:val="0"/>
          <w:numId w:val="62"/>
        </w:numPr>
        <w:shd w:val="clear" w:color="auto" w:fill="FFFFFF" w:themeFill="background1"/>
        <w:autoSpaceDE w:val="0"/>
        <w:autoSpaceDN w:val="0"/>
        <w:adjustRightInd w:val="0"/>
        <w:ind w:left="0" w:firstLine="426"/>
        <w:jc w:val="both"/>
        <w:rPr>
          <w:sz w:val="22"/>
          <w:szCs w:val="22"/>
        </w:rPr>
      </w:pPr>
      <w:r w:rsidRPr="00CB2770">
        <w:rPr>
          <w:sz w:val="22"/>
          <w:szCs w:val="22"/>
        </w:rPr>
        <w:t>Относно Работната група за публичен интегритет и антикорупция към Комитета за публично управление (PIAC)</w:t>
      </w:r>
    </w:p>
    <w:p w14:paraId="303A4FD8" w14:textId="3827CB54" w:rsidR="00A60D1D" w:rsidRPr="00B85F20" w:rsidRDefault="00A60D1D" w:rsidP="00B13D46">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B85F20">
        <w:rPr>
          <w:rFonts w:eastAsia="Batang"/>
          <w:sz w:val="22"/>
          <w:szCs w:val="22"/>
          <w:lang w:eastAsia="ko-KR"/>
        </w:rPr>
        <w:t xml:space="preserve">През първото полугодие е поставен акцент върху събирането на информация за попълване на въпросниците на ОИСР, свързани с Принцип 3 „Стратегическа рамка“ и Принцип 13 „Отчетност“. Тази дейност се извърши чрез определените като лица за контакт, служители в администрацията на Министерския съвет от страна на Главния инспекторат и от дирекция „Координация и модернизация на администрацията“. Въз основа на събраната информация е оценено от екип на ОИСР съответствие на индикаторите за интегритет по принцип 3 „Стратегическа рамка“ и на индикаторите, включени в принцип 13 „Отчетност“. </w:t>
      </w:r>
    </w:p>
    <w:p w14:paraId="4815CCA9" w14:textId="77777777" w:rsidR="00A60D1D" w:rsidRPr="00B85F20" w:rsidRDefault="00A60D1D" w:rsidP="00B13D46">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B85F20">
        <w:rPr>
          <w:rFonts w:eastAsia="Batang"/>
          <w:sz w:val="22"/>
          <w:szCs w:val="22"/>
          <w:lang w:eastAsia="ko-KR"/>
        </w:rPr>
        <w:t xml:space="preserve">През периода е създадена необходимата организация и координация за проверка на фактите от страна на компетентните институции по проекта на доклад на PIAC за преглед на присъединяването на България, който е предоставен от ОИСР на 27 юни 2025 г. </w:t>
      </w:r>
    </w:p>
    <w:p w14:paraId="07595C45" w14:textId="77777777" w:rsidR="00A60D1D" w:rsidRPr="0059145D" w:rsidRDefault="00A60D1D" w:rsidP="00B13D46">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59145D">
        <w:rPr>
          <w:rFonts w:eastAsia="Batang"/>
          <w:b/>
          <w:bCs/>
          <w:sz w:val="22"/>
          <w:szCs w:val="22"/>
          <w:lang w:eastAsia="ko-KR"/>
        </w:rPr>
        <w:t>Изпълнява функциите на контактна точка по двата комитета и участва в заседанията им; Участва работните групи и органи към двата комитета от компетентността на дирекцията и координира участието на други институции;</w:t>
      </w:r>
    </w:p>
    <w:p w14:paraId="0A3573A0" w14:textId="110373F1" w:rsidR="00A60D1D" w:rsidRPr="00803E20" w:rsidRDefault="00A60D1D" w:rsidP="00B13D46">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803E20">
        <w:rPr>
          <w:rFonts w:eastAsia="Batang"/>
          <w:sz w:val="22"/>
          <w:szCs w:val="22"/>
          <w:lang w:eastAsia="ko-KR"/>
        </w:rPr>
        <w:t xml:space="preserve">През отчетния период е осигурено участието на служители от дирекцията в проведените през м. април заседания на КПУ и на КРП, като на заседанието на КРП е представена националната позиция във връзка </w:t>
      </w:r>
      <w:r w:rsidR="00803E20">
        <w:rPr>
          <w:rFonts w:eastAsia="Batang"/>
          <w:sz w:val="22"/>
          <w:szCs w:val="22"/>
          <w:lang w:eastAsia="ko-KR"/>
        </w:rPr>
        <w:t>с прегледа на присъединяването;</w:t>
      </w:r>
    </w:p>
    <w:p w14:paraId="3FA16936" w14:textId="78D5F00A" w:rsidR="00A60D1D" w:rsidRPr="00803E20" w:rsidRDefault="00A60D1D" w:rsidP="00B13D46">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803E20">
        <w:rPr>
          <w:rFonts w:eastAsia="Batang"/>
          <w:sz w:val="22"/>
          <w:szCs w:val="22"/>
          <w:lang w:eastAsia="ko-KR"/>
        </w:rPr>
        <w:t>Осигурено е участието на служители на дирекцията в работните групи и органи към двата комитета от компетентността на дирекцията и е координирано участието на други институции. През м. май служител от дирекцията взе участие в среща на мрежата „Обсерватория за инова</w:t>
      </w:r>
      <w:r w:rsidR="00803E20">
        <w:rPr>
          <w:rFonts w:eastAsia="Batang"/>
          <w:sz w:val="22"/>
          <w:szCs w:val="22"/>
          <w:lang w:eastAsia="ko-KR"/>
        </w:rPr>
        <w:t>ции в публичния сектор“ на ОИСР;</w:t>
      </w:r>
    </w:p>
    <w:p w14:paraId="2E4E1D47" w14:textId="04E3AC1C" w:rsidR="00A60D1D" w:rsidRPr="00803E20" w:rsidRDefault="00A60D1D" w:rsidP="00B13D46">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803E20">
        <w:rPr>
          <w:rFonts w:eastAsia="Batang"/>
          <w:sz w:val="22"/>
          <w:szCs w:val="22"/>
          <w:lang w:eastAsia="ko-KR"/>
        </w:rPr>
        <w:t>Координира се и участието на други институции в работните групи и органи към двата комитета, к</w:t>
      </w:r>
      <w:r w:rsidR="00803E20">
        <w:rPr>
          <w:rFonts w:eastAsia="Batang"/>
          <w:sz w:val="22"/>
          <w:szCs w:val="22"/>
          <w:lang w:eastAsia="ko-KR"/>
        </w:rPr>
        <w:t>огато е необходима координация;</w:t>
      </w:r>
    </w:p>
    <w:p w14:paraId="05C5EC69" w14:textId="77777777" w:rsidR="00A60D1D" w:rsidRPr="00803E20" w:rsidRDefault="00A60D1D" w:rsidP="00B13D46">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803E20">
        <w:rPr>
          <w:rFonts w:eastAsia="Batang"/>
          <w:sz w:val="22"/>
          <w:szCs w:val="22"/>
          <w:lang w:eastAsia="ko-KR"/>
        </w:rPr>
        <w:t xml:space="preserve">През м. юни 2025 г. е организирана и проведена работна среща между Министерството на външните работи, дирекция „Координация и модернизация на администрацията“ в АМС, Министерството на правосъдието и Института по публична администрация, от една страна, и координатора на процеса на разширяване на ОИСР, и представител на Секретариата на ОИСР, от друга страна. На срещата беше обсъден постигнатият до момента напредък относно съответствието със стандартите и най-добрите политики и практики на ОИСР, който беше оценен като значителен, и бяха дискутирани въпроси и уточнения, относими към препоръките на КПУ. </w:t>
      </w:r>
    </w:p>
    <w:p w14:paraId="150B33CA" w14:textId="17E6B449" w:rsidR="00A60D1D" w:rsidRPr="00803E20" w:rsidRDefault="00A60D1D" w:rsidP="00B13D46">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803E20">
        <w:rPr>
          <w:rFonts w:eastAsia="Batang"/>
          <w:sz w:val="22"/>
          <w:szCs w:val="22"/>
          <w:lang w:eastAsia="ko-KR"/>
        </w:rPr>
        <w:t>През отчетния период са подготвени и съответно издадени за</w:t>
      </w:r>
      <w:r w:rsidR="00C310E9">
        <w:rPr>
          <w:rFonts w:eastAsia="Batang"/>
          <w:sz w:val="22"/>
          <w:szCs w:val="22"/>
          <w:lang w:eastAsia="ko-KR"/>
        </w:rPr>
        <w:t>поведи на министър-председателя</w:t>
      </w:r>
      <w:r w:rsidR="003C5FF3" w:rsidRPr="00844837">
        <w:rPr>
          <w:rStyle w:val="FootnoteReference"/>
          <w:rFonts w:eastAsia="Batang"/>
          <w:sz w:val="18"/>
          <w:szCs w:val="18"/>
          <w:lang w:eastAsia="ko-KR"/>
        </w:rPr>
        <w:footnoteReference w:id="22"/>
      </w:r>
      <w:r w:rsidRPr="00803E20">
        <w:rPr>
          <w:rFonts w:eastAsia="Batang"/>
          <w:sz w:val="22"/>
          <w:szCs w:val="22"/>
          <w:lang w:eastAsia="ko-KR"/>
        </w:rPr>
        <w:t xml:space="preserve"> за актуализиране състава на междуведомствените работни групи във връзка с КПУ, КРП и работните органи към тях. Актуализираният съгласно заповедите списък с лицата за контакт от българска страна е предоставен на Секретариата на ОИСР. </w:t>
      </w:r>
    </w:p>
    <w:p w14:paraId="69CE9656" w14:textId="77777777" w:rsidR="00A60D1D" w:rsidRPr="0059145D" w:rsidRDefault="00A60D1D" w:rsidP="00B13D46">
      <w:pPr>
        <w:shd w:val="clear" w:color="auto" w:fill="FFFFFF" w:themeFill="background1"/>
        <w:tabs>
          <w:tab w:val="left" w:pos="993"/>
        </w:tabs>
        <w:autoSpaceDE w:val="0"/>
        <w:autoSpaceDN w:val="0"/>
        <w:adjustRightInd w:val="0"/>
        <w:ind w:firstLine="426"/>
        <w:jc w:val="both"/>
        <w:rPr>
          <w:rFonts w:eastAsia="Batang"/>
          <w:b/>
          <w:bCs/>
          <w:sz w:val="22"/>
          <w:szCs w:val="22"/>
          <w:lang w:eastAsia="ko-KR"/>
        </w:rPr>
      </w:pPr>
      <w:r w:rsidRPr="0059145D">
        <w:rPr>
          <w:rFonts w:eastAsia="Batang"/>
          <w:b/>
          <w:bCs/>
          <w:sz w:val="22"/>
          <w:szCs w:val="22"/>
          <w:lang w:eastAsia="ko-KR"/>
        </w:rPr>
        <w:t>Участва в Междуведомствения координационен механизъм и подпомага дейността му.</w:t>
      </w:r>
    </w:p>
    <w:p w14:paraId="356A45CC" w14:textId="4C598DC1" w:rsidR="00A60D1D" w:rsidRPr="00803E20" w:rsidRDefault="00A60D1D" w:rsidP="00B13D46">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803E20">
        <w:rPr>
          <w:rFonts w:eastAsia="Batang"/>
          <w:sz w:val="22"/>
          <w:szCs w:val="22"/>
          <w:lang w:eastAsia="ko-KR"/>
        </w:rPr>
        <w:t xml:space="preserve">Представители на дирекцията взеха участие в две заседания на Междуведомствения координационен механизъм, проведени на 25.03.2025 г. и на 11.06.2025 г., на които беше представен напредъкът в преговорния процес по присъединяване на България към ОИСР, резултатите от годишната среща на Съвета на ОИСР на ниво министри в Париж на 3 </w:t>
      </w:r>
      <w:r w:rsidR="00803E20">
        <w:rPr>
          <w:rFonts w:eastAsia="Batang"/>
          <w:sz w:val="22"/>
          <w:szCs w:val="22"/>
          <w:lang w:eastAsia="ko-KR"/>
        </w:rPr>
        <w:t>–</w:t>
      </w:r>
      <w:r w:rsidRPr="00803E20">
        <w:rPr>
          <w:rFonts w:eastAsia="Batang"/>
          <w:sz w:val="22"/>
          <w:szCs w:val="22"/>
          <w:lang w:eastAsia="ko-KR"/>
        </w:rPr>
        <w:t xml:space="preserve"> 4 юни 2025 г. и др.</w:t>
      </w:r>
    </w:p>
    <w:p w14:paraId="6BE67FED" w14:textId="0F620CA4" w:rsidR="00DD396F" w:rsidRPr="00B13D46" w:rsidRDefault="00DD396F" w:rsidP="00B13D46">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B13D46">
        <w:rPr>
          <w:b/>
          <w:bCs/>
          <w:i/>
          <w:iCs/>
          <w:color w:val="215E99" w:themeColor="text2" w:themeTint="BF"/>
          <w:sz w:val="22"/>
          <w:szCs w:val="22"/>
        </w:rPr>
        <w:lastRenderedPageBreak/>
        <w:t xml:space="preserve">Осигуряване на съответствието по правните инструменти на ОИСР в рамките на двата комитета (КПУ и КРП), по които ДКМА е водеща институция </w:t>
      </w:r>
      <w:r w:rsidR="007A3192" w:rsidRPr="00B13D46">
        <w:rPr>
          <w:b/>
          <w:bCs/>
          <w:i/>
          <w:iCs/>
          <w:color w:val="215E99" w:themeColor="text2" w:themeTint="BF"/>
          <w:sz w:val="22"/>
          <w:szCs w:val="22"/>
        </w:rPr>
        <w:t>–</w:t>
      </w:r>
      <w:r w:rsidRPr="00B13D46">
        <w:rPr>
          <w:b/>
          <w:bCs/>
          <w:i/>
          <w:iCs/>
          <w:color w:val="215E99" w:themeColor="text2" w:themeTint="BF"/>
          <w:sz w:val="22"/>
          <w:szCs w:val="22"/>
        </w:rPr>
        <w:t xml:space="preserve"> дирекция „Координация и модернизация на администрацията ”</w:t>
      </w:r>
    </w:p>
    <w:p w14:paraId="04C69865" w14:textId="250BF6E6" w:rsidR="00DD396F" w:rsidRPr="00DD396F" w:rsidRDefault="00DD396F" w:rsidP="00B13D46">
      <w:pPr>
        <w:shd w:val="clear" w:color="auto" w:fill="FFFFFF" w:themeFill="background1"/>
        <w:ind w:firstLine="425"/>
        <w:jc w:val="both"/>
        <w:rPr>
          <w:b/>
          <w:i/>
          <w:color w:val="800000"/>
          <w:sz w:val="22"/>
          <w:szCs w:val="22"/>
        </w:rPr>
      </w:pPr>
      <w:r w:rsidRPr="00DD396F">
        <w:rPr>
          <w:b/>
          <w:i/>
          <w:color w:val="800000"/>
          <w:sz w:val="22"/>
          <w:szCs w:val="22"/>
        </w:rPr>
        <w:t>Дейности за предоставяне на продукта/услугата:</w:t>
      </w:r>
    </w:p>
    <w:p w14:paraId="51D10061" w14:textId="77777777" w:rsidR="00DD396F" w:rsidRPr="00844837" w:rsidRDefault="00DD396F" w:rsidP="00B13D46">
      <w:pPr>
        <w:shd w:val="clear" w:color="auto" w:fill="FFFFFF" w:themeFill="background1"/>
        <w:tabs>
          <w:tab w:val="left" w:pos="993"/>
        </w:tabs>
        <w:autoSpaceDE w:val="0"/>
        <w:autoSpaceDN w:val="0"/>
        <w:adjustRightInd w:val="0"/>
        <w:ind w:firstLine="425"/>
        <w:jc w:val="both"/>
        <w:rPr>
          <w:rFonts w:eastAsia="Batang"/>
          <w:b/>
          <w:bCs/>
          <w:sz w:val="22"/>
          <w:szCs w:val="22"/>
          <w:lang w:eastAsia="ko-KR"/>
        </w:rPr>
      </w:pPr>
      <w:r w:rsidRPr="00844837">
        <w:rPr>
          <w:rFonts w:eastAsia="Batang"/>
          <w:b/>
          <w:bCs/>
          <w:sz w:val="22"/>
          <w:szCs w:val="22"/>
          <w:lang w:eastAsia="ko-KR"/>
        </w:rPr>
        <w:t>Осигурява и координира извършването на техническите прегледи и изпълнението на препоръките и мерките, идентифицирани от КПУ до пълно съответствие със седем правни инструмента като:</w:t>
      </w:r>
    </w:p>
    <w:p w14:paraId="5A087116" w14:textId="77777777" w:rsidR="00DD396F" w:rsidRPr="00543BA6" w:rsidRDefault="00DD396F" w:rsidP="00B13D46">
      <w:pPr>
        <w:pStyle w:val="ListParagraph"/>
        <w:numPr>
          <w:ilvl w:val="0"/>
          <w:numId w:val="25"/>
        </w:numPr>
        <w:shd w:val="clear" w:color="auto" w:fill="FFFFFF" w:themeFill="background1"/>
        <w:ind w:left="709" w:hanging="283"/>
        <w:jc w:val="both"/>
        <w:rPr>
          <w:sz w:val="22"/>
          <w:szCs w:val="22"/>
        </w:rPr>
      </w:pPr>
      <w:r w:rsidRPr="00543BA6">
        <w:rPr>
          <w:sz w:val="22"/>
          <w:szCs w:val="22"/>
        </w:rPr>
        <w:t>осъществява координация с МВнР и Секретариата на ОИСР във връзка с техническите прегледи по правните инструменти от компетентността на ДКМА;</w:t>
      </w:r>
    </w:p>
    <w:p w14:paraId="10E74FC2" w14:textId="77777777" w:rsidR="00DD396F" w:rsidRPr="00543BA6" w:rsidRDefault="00DD396F" w:rsidP="00B13D46">
      <w:pPr>
        <w:pStyle w:val="ListParagraph"/>
        <w:numPr>
          <w:ilvl w:val="0"/>
          <w:numId w:val="25"/>
        </w:numPr>
        <w:shd w:val="clear" w:color="auto" w:fill="FFFFFF" w:themeFill="background1"/>
        <w:ind w:left="709" w:hanging="283"/>
        <w:jc w:val="both"/>
        <w:rPr>
          <w:sz w:val="22"/>
          <w:szCs w:val="22"/>
        </w:rPr>
      </w:pPr>
      <w:r w:rsidRPr="00543BA6">
        <w:rPr>
          <w:sz w:val="22"/>
          <w:szCs w:val="22"/>
        </w:rPr>
        <w:t>предоставя допълнителна информация по правните инструменти в необходимия формат и срокове;</w:t>
      </w:r>
    </w:p>
    <w:p w14:paraId="14EB7522" w14:textId="77777777" w:rsidR="00DD396F" w:rsidRPr="00543BA6" w:rsidRDefault="00DD396F" w:rsidP="00B13D46">
      <w:pPr>
        <w:pStyle w:val="ListParagraph"/>
        <w:numPr>
          <w:ilvl w:val="0"/>
          <w:numId w:val="25"/>
        </w:numPr>
        <w:shd w:val="clear" w:color="auto" w:fill="FFFFFF" w:themeFill="background1"/>
        <w:ind w:left="709" w:hanging="283"/>
        <w:jc w:val="both"/>
        <w:rPr>
          <w:sz w:val="22"/>
          <w:szCs w:val="22"/>
        </w:rPr>
      </w:pPr>
      <w:r w:rsidRPr="00543BA6">
        <w:rPr>
          <w:sz w:val="22"/>
          <w:szCs w:val="22"/>
        </w:rPr>
        <w:t>организира изпълнението на препоръките и необходимите мерки до осигуряване на пълно съответствие със съответния правен инструмент.</w:t>
      </w:r>
    </w:p>
    <w:p w14:paraId="27F960E9" w14:textId="77777777" w:rsidR="00DD396F" w:rsidRPr="00E43218" w:rsidRDefault="00DD396F" w:rsidP="00B13D46">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E43218">
        <w:rPr>
          <w:rFonts w:eastAsia="Batang"/>
          <w:sz w:val="22"/>
          <w:szCs w:val="22"/>
          <w:lang w:eastAsia="ko-KR"/>
        </w:rPr>
        <w:t xml:space="preserve">Във връзка с приет нов правен инструмент от компетентността на КПУ – Препоръка за информационния интегритет (OECD </w:t>
      </w:r>
      <w:r w:rsidRPr="00A77592">
        <w:rPr>
          <w:rFonts w:eastAsia="Batang"/>
          <w:sz w:val="22"/>
          <w:szCs w:val="22"/>
          <w:lang w:val="en-US" w:eastAsia="ko-KR"/>
        </w:rPr>
        <w:t>Recommendation on Information Integrity</w:t>
      </w:r>
      <w:r w:rsidRPr="00E43218">
        <w:rPr>
          <w:rFonts w:eastAsia="Batang"/>
          <w:sz w:val="22"/>
          <w:szCs w:val="22"/>
          <w:lang w:eastAsia="ko-KR"/>
        </w:rPr>
        <w:t>), и в съответствие с ангажимента на страната ни съгласно чл. 22 от Пътната карта за присъединяване на Република България към ОИСР, е подготвена и изпратена на Секретариата на ОИСР самооценка за съответствието на националното законодателство, политики и практики с посочения правен инструмент. По искане на Секретариата на Междуведомствения координационен механизъм е създадена организация на процеса по определяне на водеща и партниращи институции по препоръката с оглед присъединяване на Република България към нея.</w:t>
      </w:r>
    </w:p>
    <w:p w14:paraId="25079008" w14:textId="77777777" w:rsidR="00DD396F" w:rsidRPr="00E43218" w:rsidRDefault="00DD396F"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E43218">
        <w:rPr>
          <w:rFonts w:eastAsia="Batang"/>
          <w:sz w:val="22"/>
          <w:szCs w:val="22"/>
          <w:lang w:eastAsia="ko-KR"/>
        </w:rPr>
        <w:t xml:space="preserve">Създадена е организация и координация с Института по публична администрация за предприемане на необходимите мерки и действия за изпълнение на приоритетната препоръка на КПУ, която е от съвместна компетентност на АМС и на института. </w:t>
      </w:r>
    </w:p>
    <w:p w14:paraId="18B15216" w14:textId="77777777" w:rsidR="00DD396F" w:rsidRPr="004823C1" w:rsidRDefault="00DD396F" w:rsidP="004823C1">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4823C1">
        <w:rPr>
          <w:b/>
          <w:bCs/>
          <w:i/>
          <w:iCs/>
          <w:color w:val="215E99" w:themeColor="text2" w:themeTint="BF"/>
          <w:sz w:val="22"/>
          <w:szCs w:val="22"/>
        </w:rPr>
        <w:t xml:space="preserve">Изпълнение на функциите на секретариат на Механизма за координация на наблюдението и контрола във връзка с въвеждането на еврото в Република България (Механизма) – продукт във връзка с нови функции на дирекцията в сила от 14.03.2025 г. </w:t>
      </w:r>
    </w:p>
    <w:p w14:paraId="65A6CAAA" w14:textId="77777777" w:rsidR="00DD396F" w:rsidRPr="00DD396F" w:rsidRDefault="00DD396F" w:rsidP="004823C1">
      <w:pPr>
        <w:shd w:val="clear" w:color="auto" w:fill="FFFFFF" w:themeFill="background1"/>
        <w:ind w:firstLine="425"/>
        <w:jc w:val="both"/>
        <w:rPr>
          <w:b/>
          <w:i/>
          <w:color w:val="800000"/>
          <w:sz w:val="22"/>
          <w:szCs w:val="22"/>
        </w:rPr>
      </w:pPr>
      <w:r w:rsidRPr="00DD396F">
        <w:rPr>
          <w:b/>
          <w:i/>
          <w:color w:val="800000"/>
          <w:sz w:val="22"/>
          <w:szCs w:val="22"/>
        </w:rPr>
        <w:t>Дейности за предоставяне на продукта/услугата:</w:t>
      </w:r>
    </w:p>
    <w:p w14:paraId="4AB9D032" w14:textId="77777777" w:rsidR="00DD396F" w:rsidRPr="000503D8" w:rsidRDefault="00DD396F" w:rsidP="004823C1">
      <w:pPr>
        <w:shd w:val="clear" w:color="auto" w:fill="FFFFFF" w:themeFill="background1"/>
        <w:tabs>
          <w:tab w:val="left" w:pos="993"/>
        </w:tabs>
        <w:autoSpaceDE w:val="0"/>
        <w:autoSpaceDN w:val="0"/>
        <w:adjustRightInd w:val="0"/>
        <w:ind w:firstLine="425"/>
        <w:jc w:val="both"/>
        <w:rPr>
          <w:rFonts w:eastAsia="Batang"/>
          <w:b/>
          <w:bCs/>
          <w:sz w:val="22"/>
          <w:szCs w:val="22"/>
          <w:lang w:eastAsia="ko-KR"/>
        </w:rPr>
      </w:pPr>
      <w:r w:rsidRPr="000503D8">
        <w:rPr>
          <w:rFonts w:eastAsia="Batang"/>
          <w:b/>
          <w:bCs/>
          <w:sz w:val="22"/>
          <w:szCs w:val="22"/>
          <w:lang w:eastAsia="ko-KR"/>
        </w:rPr>
        <w:t>Подпомага експертно и технически дейността на Механизма, вкл. като:</w:t>
      </w:r>
    </w:p>
    <w:p w14:paraId="5574F258" w14:textId="77777777" w:rsidR="00DD396F" w:rsidRPr="00DD396F" w:rsidRDefault="00DD396F" w:rsidP="004823C1">
      <w:pPr>
        <w:pStyle w:val="ListParagraph"/>
        <w:numPr>
          <w:ilvl w:val="0"/>
          <w:numId w:val="25"/>
        </w:numPr>
        <w:shd w:val="clear" w:color="auto" w:fill="FFFFFF" w:themeFill="background1"/>
        <w:ind w:left="709" w:hanging="283"/>
        <w:jc w:val="both"/>
        <w:rPr>
          <w:sz w:val="22"/>
          <w:szCs w:val="22"/>
        </w:rPr>
      </w:pPr>
      <w:r w:rsidRPr="00DD396F">
        <w:rPr>
          <w:sz w:val="22"/>
          <w:szCs w:val="22"/>
        </w:rPr>
        <w:t>организира провеждането на заседанията;</w:t>
      </w:r>
    </w:p>
    <w:p w14:paraId="0281EE31" w14:textId="77777777" w:rsidR="00DD396F" w:rsidRPr="00DD396F" w:rsidRDefault="00DD396F" w:rsidP="004823C1">
      <w:pPr>
        <w:pStyle w:val="ListParagraph"/>
        <w:numPr>
          <w:ilvl w:val="0"/>
          <w:numId w:val="25"/>
        </w:numPr>
        <w:shd w:val="clear" w:color="auto" w:fill="FFFFFF" w:themeFill="background1"/>
        <w:ind w:left="709" w:hanging="283"/>
        <w:jc w:val="both"/>
        <w:rPr>
          <w:sz w:val="22"/>
          <w:szCs w:val="22"/>
        </w:rPr>
      </w:pPr>
      <w:r w:rsidRPr="00DD396F">
        <w:rPr>
          <w:sz w:val="22"/>
          <w:szCs w:val="22"/>
        </w:rPr>
        <w:t>изготвя протоколите от заседанията;</w:t>
      </w:r>
    </w:p>
    <w:p w14:paraId="4D9B8792" w14:textId="77777777" w:rsidR="00DD396F" w:rsidRPr="00DD396F" w:rsidRDefault="00DD396F" w:rsidP="004823C1">
      <w:pPr>
        <w:pStyle w:val="ListParagraph"/>
        <w:numPr>
          <w:ilvl w:val="0"/>
          <w:numId w:val="25"/>
        </w:numPr>
        <w:shd w:val="clear" w:color="auto" w:fill="FFFFFF" w:themeFill="background1"/>
        <w:ind w:left="709" w:hanging="283"/>
        <w:jc w:val="both"/>
        <w:rPr>
          <w:sz w:val="22"/>
          <w:szCs w:val="22"/>
        </w:rPr>
      </w:pPr>
      <w:r w:rsidRPr="00DD396F">
        <w:rPr>
          <w:sz w:val="22"/>
          <w:szCs w:val="22"/>
        </w:rPr>
        <w:t>съхранява материалите и протоколите от заседанията;</w:t>
      </w:r>
    </w:p>
    <w:p w14:paraId="62ACC79A" w14:textId="77777777" w:rsidR="00DD396F" w:rsidRPr="00DD396F" w:rsidRDefault="00DD396F" w:rsidP="004823C1">
      <w:pPr>
        <w:pStyle w:val="ListParagraph"/>
        <w:numPr>
          <w:ilvl w:val="0"/>
          <w:numId w:val="25"/>
        </w:numPr>
        <w:shd w:val="clear" w:color="auto" w:fill="FFFFFF" w:themeFill="background1"/>
        <w:ind w:left="709" w:hanging="283"/>
        <w:jc w:val="both"/>
        <w:rPr>
          <w:sz w:val="22"/>
          <w:szCs w:val="22"/>
        </w:rPr>
      </w:pPr>
      <w:r w:rsidRPr="00DD396F">
        <w:rPr>
          <w:sz w:val="22"/>
          <w:szCs w:val="22"/>
        </w:rPr>
        <w:t>изразява становища по въпроси, свързани с дейността на Механизма.</w:t>
      </w:r>
    </w:p>
    <w:p w14:paraId="19724E71" w14:textId="12245C40" w:rsidR="00DD396F" w:rsidRPr="00734FA8" w:rsidRDefault="00DD396F"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734FA8">
        <w:rPr>
          <w:rFonts w:eastAsia="Batang"/>
          <w:sz w:val="22"/>
          <w:szCs w:val="22"/>
          <w:lang w:eastAsia="ko-KR"/>
        </w:rPr>
        <w:t xml:space="preserve">За отчетния период е организирано провеждането на едно заседание, </w:t>
      </w:r>
      <w:r w:rsidR="00F97B00">
        <w:rPr>
          <w:rFonts w:eastAsia="Batang"/>
          <w:sz w:val="22"/>
          <w:szCs w:val="22"/>
          <w:lang w:eastAsia="ko-KR"/>
        </w:rPr>
        <w:t xml:space="preserve">както и е поддържан архивът на </w:t>
      </w:r>
      <w:r w:rsidRPr="00734FA8">
        <w:rPr>
          <w:rFonts w:eastAsia="Batang"/>
          <w:sz w:val="22"/>
          <w:szCs w:val="22"/>
          <w:lang w:eastAsia="ko-KR"/>
        </w:rPr>
        <w:t xml:space="preserve">Механизма. Подготвено е, съвместно с други дирекции от администрацията на Министерския съвет, становище относно изчисляването на законната лихва след въвеждане на еврото. </w:t>
      </w:r>
    </w:p>
    <w:p w14:paraId="2BEA1B2D" w14:textId="5905D0DA" w:rsidR="00A41F09" w:rsidRPr="004823C1" w:rsidRDefault="00A41F09" w:rsidP="004823C1">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4823C1">
        <w:rPr>
          <w:b/>
          <w:bCs/>
          <w:i/>
          <w:iCs/>
          <w:color w:val="215E99" w:themeColor="text2" w:themeTint="BF"/>
          <w:sz w:val="22"/>
          <w:szCs w:val="22"/>
        </w:rPr>
        <w:t>Координация на участието на РБ в процеса на вземане на решения в ЕС – дирекция „Координация по въпросите на ЕС”</w:t>
      </w:r>
      <w:r w:rsidR="00C94947" w:rsidRPr="004823C1">
        <w:rPr>
          <w:b/>
          <w:bCs/>
          <w:i/>
          <w:iCs/>
          <w:color w:val="215E99" w:themeColor="text2" w:themeTint="BF"/>
          <w:sz w:val="22"/>
          <w:szCs w:val="22"/>
        </w:rPr>
        <w:t xml:space="preserve"> </w:t>
      </w:r>
    </w:p>
    <w:p w14:paraId="528D3F85" w14:textId="271745C8" w:rsidR="00411963" w:rsidRDefault="00411963" w:rsidP="004823C1">
      <w:pPr>
        <w:shd w:val="clear" w:color="auto" w:fill="FFFFFF" w:themeFill="background1"/>
        <w:ind w:firstLine="425"/>
        <w:jc w:val="both"/>
        <w:rPr>
          <w:b/>
          <w:i/>
          <w:color w:val="800000"/>
          <w:sz w:val="22"/>
          <w:szCs w:val="22"/>
        </w:rPr>
      </w:pPr>
      <w:r>
        <w:rPr>
          <w:b/>
          <w:i/>
          <w:color w:val="800000"/>
          <w:sz w:val="22"/>
          <w:szCs w:val="22"/>
        </w:rPr>
        <w:t xml:space="preserve">Описание на </w:t>
      </w:r>
      <w:r w:rsidRPr="00A41F09">
        <w:rPr>
          <w:b/>
          <w:i/>
          <w:color w:val="800000"/>
          <w:sz w:val="22"/>
          <w:szCs w:val="22"/>
        </w:rPr>
        <w:t>ст</w:t>
      </w:r>
      <w:r>
        <w:rPr>
          <w:b/>
          <w:i/>
          <w:color w:val="800000"/>
          <w:sz w:val="22"/>
          <w:szCs w:val="22"/>
        </w:rPr>
        <w:t>епента н</w:t>
      </w:r>
      <w:r w:rsidRPr="00A41F09">
        <w:rPr>
          <w:b/>
          <w:i/>
          <w:color w:val="800000"/>
          <w:sz w:val="22"/>
          <w:szCs w:val="22"/>
        </w:rPr>
        <w:t>а</w:t>
      </w:r>
      <w:r>
        <w:rPr>
          <w:b/>
          <w:i/>
          <w:color w:val="800000"/>
          <w:sz w:val="22"/>
          <w:szCs w:val="22"/>
        </w:rPr>
        <w:t xml:space="preserve"> изпълнение на заложените в програмата цели: </w:t>
      </w:r>
    </w:p>
    <w:p w14:paraId="52319224" w14:textId="20D8B7AB" w:rsidR="00F97B00" w:rsidRPr="00A41F09" w:rsidRDefault="00F97B00" w:rsidP="004823C1">
      <w:pPr>
        <w:pStyle w:val="ListParagraph"/>
        <w:shd w:val="clear" w:color="auto" w:fill="FFFFFF" w:themeFill="background1"/>
        <w:autoSpaceDE w:val="0"/>
        <w:autoSpaceDN w:val="0"/>
        <w:adjustRightInd w:val="0"/>
        <w:ind w:left="0" w:firstLine="425"/>
        <w:jc w:val="both"/>
        <w:rPr>
          <w:i/>
          <w:sz w:val="22"/>
          <w:szCs w:val="22"/>
        </w:rPr>
      </w:pPr>
      <w:r w:rsidRPr="00A41F09">
        <w:rPr>
          <w:i/>
          <w:sz w:val="22"/>
          <w:szCs w:val="22"/>
        </w:rPr>
        <w:t>През отчетния период са постигнати заложените цели, свързани с:</w:t>
      </w:r>
      <w:r w:rsidR="00411963">
        <w:rPr>
          <w:i/>
          <w:sz w:val="22"/>
          <w:szCs w:val="22"/>
        </w:rPr>
        <w:t xml:space="preserve"> </w:t>
      </w:r>
    </w:p>
    <w:p w14:paraId="52C04552" w14:textId="77777777" w:rsidR="00F97B00" w:rsidRPr="00A41F09" w:rsidRDefault="00F97B00" w:rsidP="004823C1">
      <w:pPr>
        <w:pStyle w:val="ListParagraph"/>
        <w:numPr>
          <w:ilvl w:val="0"/>
          <w:numId w:val="34"/>
        </w:numPr>
        <w:shd w:val="clear" w:color="auto" w:fill="FFFFFF" w:themeFill="background1"/>
        <w:autoSpaceDE w:val="0"/>
        <w:autoSpaceDN w:val="0"/>
        <w:adjustRightInd w:val="0"/>
        <w:ind w:left="0" w:firstLine="426"/>
        <w:jc w:val="both"/>
        <w:rPr>
          <w:sz w:val="22"/>
          <w:szCs w:val="22"/>
        </w:rPr>
      </w:pPr>
      <w:r w:rsidRPr="00A41F09">
        <w:rPr>
          <w:sz w:val="22"/>
          <w:szCs w:val="22"/>
        </w:rPr>
        <w:t>Осигуряване на единна и съгласувана политика на Република България в процеса на вземане на решения в ЕС;</w:t>
      </w:r>
    </w:p>
    <w:p w14:paraId="35303740" w14:textId="77777777" w:rsidR="00F97B00" w:rsidRPr="00A41F09" w:rsidRDefault="00F97B00" w:rsidP="004823C1">
      <w:pPr>
        <w:pStyle w:val="ListParagraph"/>
        <w:numPr>
          <w:ilvl w:val="0"/>
          <w:numId w:val="34"/>
        </w:numPr>
        <w:shd w:val="clear" w:color="auto" w:fill="FFFFFF" w:themeFill="background1"/>
        <w:autoSpaceDE w:val="0"/>
        <w:autoSpaceDN w:val="0"/>
        <w:adjustRightInd w:val="0"/>
        <w:ind w:left="0" w:firstLine="426"/>
        <w:jc w:val="both"/>
        <w:rPr>
          <w:sz w:val="22"/>
          <w:szCs w:val="22"/>
        </w:rPr>
      </w:pPr>
      <w:r w:rsidRPr="00A41F09">
        <w:rPr>
          <w:sz w:val="22"/>
          <w:szCs w:val="22"/>
        </w:rPr>
        <w:t>Осигуряване изпълнението на ангажиментите, произтичащи от членството на Република България в ЕС;</w:t>
      </w:r>
    </w:p>
    <w:p w14:paraId="15C471A3" w14:textId="77777777" w:rsidR="00F97B00" w:rsidRPr="00A41F09" w:rsidRDefault="00F97B00" w:rsidP="004823C1">
      <w:pPr>
        <w:pStyle w:val="ListParagraph"/>
        <w:numPr>
          <w:ilvl w:val="0"/>
          <w:numId w:val="34"/>
        </w:numPr>
        <w:shd w:val="clear" w:color="auto" w:fill="FFFFFF" w:themeFill="background1"/>
        <w:autoSpaceDE w:val="0"/>
        <w:autoSpaceDN w:val="0"/>
        <w:adjustRightInd w:val="0"/>
        <w:ind w:left="0" w:firstLine="426"/>
        <w:jc w:val="both"/>
        <w:rPr>
          <w:sz w:val="22"/>
          <w:szCs w:val="22"/>
        </w:rPr>
      </w:pPr>
      <w:r w:rsidRPr="00A41F09">
        <w:rPr>
          <w:sz w:val="22"/>
          <w:szCs w:val="22"/>
        </w:rPr>
        <w:t>Осигуряване на съгласувани позиции на българската страна в информационната и досъдебната фаза от процедурата по неизпълнение на задълженията, произтичащи от правото на ЕС;</w:t>
      </w:r>
    </w:p>
    <w:p w14:paraId="2C483675" w14:textId="77777777" w:rsidR="00F97B00" w:rsidRPr="00A41F09" w:rsidRDefault="00F97B00" w:rsidP="004823C1">
      <w:pPr>
        <w:pStyle w:val="ListParagraph"/>
        <w:numPr>
          <w:ilvl w:val="0"/>
          <w:numId w:val="34"/>
        </w:numPr>
        <w:shd w:val="clear" w:color="auto" w:fill="FFFFFF" w:themeFill="background1"/>
        <w:autoSpaceDE w:val="0"/>
        <w:autoSpaceDN w:val="0"/>
        <w:adjustRightInd w:val="0"/>
        <w:ind w:left="0" w:firstLine="426"/>
        <w:jc w:val="both"/>
        <w:rPr>
          <w:sz w:val="22"/>
          <w:szCs w:val="22"/>
        </w:rPr>
      </w:pPr>
      <w:r w:rsidRPr="00A41F09">
        <w:rPr>
          <w:sz w:val="22"/>
          <w:szCs w:val="22"/>
        </w:rPr>
        <w:t>Разрешаване на презгранични проблеми на гражданите и бизнеса в областта на вътрешния пазар на ЕС от българския СОЛВИТ център.</w:t>
      </w:r>
    </w:p>
    <w:p w14:paraId="695E01D7" w14:textId="27CDEAD3" w:rsidR="00F97B00" w:rsidRDefault="00F97B00" w:rsidP="004823C1">
      <w:pPr>
        <w:pStyle w:val="ListParagraph"/>
        <w:shd w:val="clear" w:color="auto" w:fill="FFFFFF" w:themeFill="background1"/>
        <w:autoSpaceDE w:val="0"/>
        <w:autoSpaceDN w:val="0"/>
        <w:adjustRightInd w:val="0"/>
        <w:spacing w:after="120"/>
        <w:ind w:left="0" w:firstLine="426"/>
        <w:jc w:val="both"/>
        <w:rPr>
          <w:i/>
          <w:sz w:val="22"/>
          <w:szCs w:val="22"/>
        </w:rPr>
      </w:pPr>
      <w:r w:rsidRPr="00B105D0">
        <w:rPr>
          <w:i/>
          <w:sz w:val="22"/>
          <w:szCs w:val="22"/>
        </w:rPr>
        <w:lastRenderedPageBreak/>
        <w:t>Относно целта „Осигуряване защита на правата и интересите на Република България пред Съда на Европейския съюз“, подаването на отчетна информация от дирекция КВЕС е неприложимо</w:t>
      </w:r>
    </w:p>
    <w:p w14:paraId="104428DA" w14:textId="77777777" w:rsidR="00F97B00" w:rsidRPr="004823C1" w:rsidRDefault="00F97B00" w:rsidP="004823C1">
      <w:pPr>
        <w:shd w:val="clear" w:color="auto" w:fill="FFFFFF" w:themeFill="background1"/>
        <w:ind w:left="357" w:firstLine="68"/>
        <w:jc w:val="both"/>
        <w:rPr>
          <w:b/>
          <w:i/>
          <w:color w:val="BF4E14" w:themeColor="accent2" w:themeShade="BF"/>
          <w:sz w:val="22"/>
          <w:szCs w:val="22"/>
        </w:rPr>
      </w:pPr>
      <w:r w:rsidRPr="004823C1">
        <w:rPr>
          <w:b/>
          <w:i/>
          <w:color w:val="800000"/>
          <w:sz w:val="22"/>
          <w:szCs w:val="22"/>
        </w:rPr>
        <w:t>Дейности за предоставяне на продукта/услугата:</w:t>
      </w:r>
    </w:p>
    <w:p w14:paraId="21DFE9D2" w14:textId="77777777"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 xml:space="preserve">Експертно подпомагане на дейността на Министерския съвет за провеждане на съгласувана политика на Република България към ЕС </w:t>
      </w:r>
    </w:p>
    <w:p w14:paraId="2619E0BA" w14:textId="77777777"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За изпълнение на дейността дирекция „Координация по въпросите на ЕС“ (КВЕС) съгласува всички материали по чл. 32 от Устройствения правилник на Министерския съвет и на неговата администрация, свързани с европейските въпроси; съгласува точките от дневния ред на Министерския съвет, свързани с европейските въпроси; съгласува рамкови позиции и указания за подготвителните органи на Съвета на ЕС; съгласува позициите на България за заседанията на Съвета на Европейския съюз и Европейския съвет; участва в координационния механизъм по въпросите на ЕС и изпълни функциите си на секретариат на Съвета по европейските въпроси (СЕВ). </w:t>
      </w:r>
    </w:p>
    <w:p w14:paraId="49CF0554" w14:textId="77777777"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През отчетния период са проведени 26 заседания на МС, като експертите от дирекцията са анализирали и съгласували всички точки по компетентност. В допълнение експертите от дирекцията оформят правно-технически актовете след заседанията на Министерския съвет по компетентност, както и преписки за приемане на решения „на подпис“. През 2025 г. продължи практиката всички точки, които влизат на заседание на МС и представляват позиции за формални и неформални заседания на Съвета на ЕС, както и докладите от тези заседания, да бъдат съпроводени от резюме. В тази връзка в рамките на периода експертите от дирекцията съгласуваха 115 резюмета, които се прилагат към пакета документи за разглеждането на материалите от МС.</w:t>
      </w:r>
    </w:p>
    <w:p w14:paraId="260C457A" w14:textId="77777777"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 xml:space="preserve">Осигуряване експертно, организационно и технически работата на Съвета по европейските въпроси (СЕВ) към Министерския съвет, в т.ч. изготвяне на дневен ред, опорни точки, проекти на решения, протокол и прессъобщения за заседанията на СЕВ; изготвяне на </w:t>
      </w:r>
      <w:proofErr w:type="spellStart"/>
      <w:r w:rsidRPr="004823C1">
        <w:rPr>
          <w:rFonts w:eastAsia="Batang"/>
          <w:b/>
          <w:bCs/>
          <w:sz w:val="22"/>
          <w:szCs w:val="22"/>
          <w:lang w:eastAsia="ko-KR"/>
        </w:rPr>
        <w:t>съгласувателни</w:t>
      </w:r>
      <w:proofErr w:type="spellEnd"/>
      <w:r w:rsidRPr="004823C1">
        <w:rPr>
          <w:rFonts w:eastAsia="Batang"/>
          <w:b/>
          <w:bCs/>
          <w:sz w:val="22"/>
          <w:szCs w:val="22"/>
          <w:lang w:eastAsia="ko-KR"/>
        </w:rPr>
        <w:t xml:space="preserve"> становища и информационни материали; обезпечаване на седмичната организация на заседанията; организиране на координационни и обучителни инициативи на СЕВ и секретариата </w:t>
      </w:r>
    </w:p>
    <w:p w14:paraId="3FD22A9E" w14:textId="20FD7222"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Като междуинституционален консултативен орган към Министерския съвет, в рамките на който се осъществява общата координация по европейските въпроси, през първото полугодие на 2025 г. СЕВ продължи да осигурява участието на България в процеса на вземане на решения в Европейския съюз. Предвид встъпването в длъжност на редовното правителство на Република България през януари 2025 г. и с оглед отразяване на настъпилите промени в политическия състав н</w:t>
      </w:r>
      <w:r w:rsidR="00AF5872" w:rsidRPr="004823C1">
        <w:rPr>
          <w:rFonts w:eastAsia="Batang"/>
          <w:sz w:val="22"/>
          <w:szCs w:val="22"/>
          <w:lang w:eastAsia="ko-KR"/>
        </w:rPr>
        <w:t>а СЕВ</w:t>
      </w:r>
      <w:r w:rsidRPr="004823C1">
        <w:rPr>
          <w:rFonts w:eastAsia="Batang"/>
          <w:sz w:val="22"/>
          <w:szCs w:val="22"/>
          <w:lang w:eastAsia="ko-KR"/>
        </w:rPr>
        <w:t>, дирекцията стартира процеса на актуализиране на поименния състав на Съвета и издаване на нова заповед на м</w:t>
      </w:r>
      <w:r w:rsidR="00AF5872" w:rsidRPr="004823C1">
        <w:rPr>
          <w:rFonts w:eastAsia="Batang"/>
          <w:sz w:val="22"/>
          <w:szCs w:val="22"/>
          <w:lang w:eastAsia="ko-KR"/>
        </w:rPr>
        <w:t xml:space="preserve">инистър-председателя (Заповед </w:t>
      </w:r>
      <w:r w:rsidR="00566C71" w:rsidRPr="004823C1">
        <w:rPr>
          <w:rFonts w:eastAsia="Batang"/>
          <w:sz w:val="22"/>
          <w:szCs w:val="22"/>
          <w:lang w:eastAsia="ko-KR"/>
        </w:rPr>
        <w:t>№ Р-76 от 28.03.2025г.);</w:t>
      </w:r>
    </w:p>
    <w:p w14:paraId="7CB9CC4E" w14:textId="7075398E"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Секретариатът изготви Годишния доклад за дейността на СЕВ през 2024 г. Докладът бе изпратен за съгласуване и одобрен от СЕВ на </w:t>
      </w:r>
      <w:r w:rsidR="00AF5872" w:rsidRPr="004823C1">
        <w:rPr>
          <w:rFonts w:eastAsia="Batang"/>
          <w:sz w:val="22"/>
          <w:szCs w:val="22"/>
          <w:lang w:eastAsia="ko-KR"/>
        </w:rPr>
        <w:t>0</w:t>
      </w:r>
      <w:r w:rsidRPr="004823C1">
        <w:rPr>
          <w:rFonts w:eastAsia="Batang"/>
          <w:sz w:val="22"/>
          <w:szCs w:val="22"/>
          <w:lang w:eastAsia="ko-KR"/>
        </w:rPr>
        <w:t>3</w:t>
      </w:r>
      <w:r w:rsidR="00AF5872" w:rsidRPr="004823C1">
        <w:rPr>
          <w:rFonts w:eastAsia="Batang"/>
          <w:sz w:val="22"/>
          <w:szCs w:val="22"/>
          <w:lang w:eastAsia="ko-KR"/>
        </w:rPr>
        <w:t>.02.2025 г. и от МС на 12.02.</w:t>
      </w:r>
      <w:r w:rsidR="00566C71" w:rsidRPr="004823C1">
        <w:rPr>
          <w:rFonts w:eastAsia="Batang"/>
          <w:sz w:val="22"/>
          <w:szCs w:val="22"/>
          <w:lang w:eastAsia="ko-KR"/>
        </w:rPr>
        <w:t>2025 г.;</w:t>
      </w:r>
    </w:p>
    <w:p w14:paraId="7EDFD587" w14:textId="1B95D363"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В периода </w:t>
      </w:r>
      <w:r w:rsidR="00566C71" w:rsidRPr="004823C1">
        <w:rPr>
          <w:rFonts w:eastAsia="Batang"/>
          <w:sz w:val="22"/>
          <w:szCs w:val="22"/>
          <w:lang w:eastAsia="ko-KR"/>
        </w:rPr>
        <w:t>0</w:t>
      </w:r>
      <w:r w:rsidRPr="004823C1">
        <w:rPr>
          <w:rFonts w:eastAsia="Batang"/>
          <w:sz w:val="22"/>
          <w:szCs w:val="22"/>
          <w:lang w:eastAsia="ko-KR"/>
        </w:rPr>
        <w:t>1</w:t>
      </w:r>
      <w:r w:rsidR="00566C71" w:rsidRPr="004823C1">
        <w:rPr>
          <w:rFonts w:eastAsia="Batang"/>
          <w:sz w:val="22"/>
          <w:szCs w:val="22"/>
          <w:lang w:eastAsia="ko-KR"/>
        </w:rPr>
        <w:t>.01</w:t>
      </w:r>
      <w:r w:rsidR="008B3F4E" w:rsidRPr="004823C1">
        <w:rPr>
          <w:rFonts w:eastAsia="Batang"/>
          <w:sz w:val="22"/>
          <w:szCs w:val="22"/>
          <w:lang w:eastAsia="ko-KR"/>
        </w:rPr>
        <w:t>-</w:t>
      </w:r>
      <w:r w:rsidRPr="004823C1">
        <w:rPr>
          <w:rFonts w:eastAsia="Batang"/>
          <w:sz w:val="22"/>
          <w:szCs w:val="22"/>
          <w:lang w:eastAsia="ko-KR"/>
        </w:rPr>
        <w:t>30</w:t>
      </w:r>
      <w:r w:rsidR="00566C71" w:rsidRPr="004823C1">
        <w:rPr>
          <w:rFonts w:eastAsia="Batang"/>
          <w:sz w:val="22"/>
          <w:szCs w:val="22"/>
          <w:lang w:eastAsia="ko-KR"/>
        </w:rPr>
        <w:t>.06.</w:t>
      </w:r>
      <w:r w:rsidRPr="004823C1">
        <w:rPr>
          <w:rFonts w:eastAsia="Batang"/>
          <w:sz w:val="22"/>
          <w:szCs w:val="22"/>
          <w:lang w:eastAsia="ko-KR"/>
        </w:rPr>
        <w:t>2025 г. дирекцията организира и осигури провеждането на 19 присъствени заседания на СЕВ и 7 процедури за неприсъствено вземане на решения по чл. 6а, ал. 11 от ПМС № 85/2007 г., респективно Секретариатът изготви общо 26 протоко</w:t>
      </w:r>
      <w:r w:rsidR="00566C71" w:rsidRPr="004823C1">
        <w:rPr>
          <w:rFonts w:eastAsia="Batang"/>
          <w:sz w:val="22"/>
          <w:szCs w:val="22"/>
          <w:lang w:eastAsia="ko-KR"/>
        </w:rPr>
        <w:t>ла. Приети са общо 258 решения;</w:t>
      </w:r>
    </w:p>
    <w:p w14:paraId="6C0F8C5C" w14:textId="7789458F"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Редовните заседания на СЕВ се провеждат всеки понеделник от 14:00 ч. в сградата на МС. Цялостната подготовка и организация на заседанията на СЕВ и на процедурите за неприсъствено вземане на решения се осъществяват от дирекция КВЕС. За проведените през отчетния период заседания на Съвета Секретариатът изготви дневни редове и опорни точки за председателя на СЕВ, включващи изказване и информация за председателстващия по точките от дневния ред. За всички заседания Секретариатът изготви протоколи за взетите решения и подробни записи от дискусиите. Предвид необходимостта от одобряване на материали в рамките на СЕВ в съкратени срокове, с цел одобряването им от МС, както и до определянето на поименния състав на СЕВ бяха проведени неприсъствени процедури за съгласуване и съответно Секретариатът проведе съгласуването чрез системата </w:t>
      </w:r>
      <w:proofErr w:type="spellStart"/>
      <w:r w:rsidRPr="004823C1">
        <w:rPr>
          <w:rFonts w:eastAsia="Batang"/>
          <w:sz w:val="22"/>
          <w:szCs w:val="22"/>
          <w:lang w:eastAsia="ko-KR"/>
        </w:rPr>
        <w:t>EUnet</w:t>
      </w:r>
      <w:proofErr w:type="spellEnd"/>
      <w:r w:rsidRPr="004823C1">
        <w:rPr>
          <w:rFonts w:eastAsia="Batang"/>
          <w:sz w:val="22"/>
          <w:szCs w:val="22"/>
          <w:lang w:eastAsia="ko-KR"/>
        </w:rPr>
        <w:t>, както и изготви</w:t>
      </w:r>
      <w:r w:rsidR="00566C71" w:rsidRPr="004823C1">
        <w:rPr>
          <w:rFonts w:eastAsia="Batang"/>
          <w:sz w:val="22"/>
          <w:szCs w:val="22"/>
          <w:lang w:eastAsia="ko-KR"/>
        </w:rPr>
        <w:t xml:space="preserve"> протоколи за взетите решения;</w:t>
      </w:r>
    </w:p>
    <w:p w14:paraId="2B888A0D" w14:textId="77777777"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Експертите от дирекцията участват в заседанията на СЕВ и осъществяват мониторинг върху изпълнението на решенията на Съвета. </w:t>
      </w:r>
    </w:p>
    <w:p w14:paraId="3024EC77" w14:textId="748394BC"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lastRenderedPageBreak/>
        <w:t xml:space="preserve">Разработване на Годишна програма за участието на Република България в </w:t>
      </w:r>
      <w:r w:rsidR="00566C71" w:rsidRPr="004823C1">
        <w:rPr>
          <w:rFonts w:eastAsia="Batang"/>
          <w:b/>
          <w:bCs/>
          <w:sz w:val="22"/>
          <w:szCs w:val="22"/>
          <w:lang w:eastAsia="ko-KR"/>
        </w:rPr>
        <w:t>процеса на вземане на решения в ЕС:</w:t>
      </w:r>
    </w:p>
    <w:p w14:paraId="13905F9C" w14:textId="0B3BBDD7"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Годишната програма за участие на Република България в процеса на вземане на решения в ЕС за 2025 г. беше съгласувана</w:t>
      </w:r>
      <w:r w:rsidR="00404C8D" w:rsidRPr="004823C1">
        <w:rPr>
          <w:rFonts w:eastAsia="Batang"/>
          <w:sz w:val="22"/>
          <w:szCs w:val="22"/>
          <w:lang w:eastAsia="ko-KR"/>
        </w:rPr>
        <w:t xml:space="preserve"> и приета от СЕВ на 17.02.2025 г., </w:t>
      </w:r>
      <w:r w:rsidRPr="004823C1">
        <w:rPr>
          <w:rFonts w:eastAsia="Batang"/>
          <w:sz w:val="22"/>
          <w:szCs w:val="22"/>
          <w:lang w:eastAsia="ko-KR"/>
        </w:rPr>
        <w:t>приета е от Министерския съвет с Решение № 100/26.02.2025 г. и</w:t>
      </w:r>
      <w:r w:rsidR="00404C8D" w:rsidRPr="004823C1">
        <w:rPr>
          <w:rFonts w:eastAsia="Batang"/>
          <w:sz w:val="22"/>
          <w:szCs w:val="22"/>
          <w:lang w:eastAsia="ko-KR"/>
        </w:rPr>
        <w:t xml:space="preserve"> е внесена в Народното събрание;</w:t>
      </w:r>
    </w:p>
    <w:p w14:paraId="24B09700" w14:textId="77777777"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В края на месец юни НС прие Годишна работна програма на Народното събрание по въпросите на Европейския съюз (2025 г.). Програмата е анализирана с оглед идентифициране и изпращане на НС на одобрените от СЕВ рамкови позиции в изпълнение на чл. 117 от ПОДНС. </w:t>
      </w:r>
    </w:p>
    <w:p w14:paraId="259D9EBD" w14:textId="7A0B3B48"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Разработване на Шестмесечни програми с приоритетните за Република България теми и досиета за съответното текущо председателство на Съвета на ЕС</w:t>
      </w:r>
      <w:r w:rsidR="00B71698" w:rsidRPr="004823C1">
        <w:rPr>
          <w:rFonts w:eastAsia="Batang"/>
          <w:b/>
          <w:bCs/>
          <w:sz w:val="22"/>
          <w:szCs w:val="22"/>
          <w:lang w:eastAsia="ko-KR"/>
        </w:rPr>
        <w:t>:</w:t>
      </w:r>
    </w:p>
    <w:p w14:paraId="2ADF73EE" w14:textId="580AD2D1"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Шестмесечната програма с приоритетните за Република България теми и досиета по време на Полското председателство на Съвета на Европейския съюз (януари-юни 2025 г.) е съгласувана и при</w:t>
      </w:r>
      <w:r w:rsidR="00B71698" w:rsidRPr="004823C1">
        <w:rPr>
          <w:rFonts w:eastAsia="Batang"/>
          <w:sz w:val="22"/>
          <w:szCs w:val="22"/>
          <w:lang w:eastAsia="ko-KR"/>
        </w:rPr>
        <w:t xml:space="preserve">ета от СЕВ на 17 февруари, </w:t>
      </w:r>
      <w:r w:rsidRPr="004823C1">
        <w:rPr>
          <w:rFonts w:eastAsia="Batang"/>
          <w:sz w:val="22"/>
          <w:szCs w:val="22"/>
          <w:lang w:eastAsia="ko-KR"/>
        </w:rPr>
        <w:t>приета е от Министерския с</w:t>
      </w:r>
      <w:r w:rsidR="00B71698" w:rsidRPr="004823C1">
        <w:rPr>
          <w:rFonts w:eastAsia="Batang"/>
          <w:sz w:val="22"/>
          <w:szCs w:val="22"/>
          <w:lang w:eastAsia="ko-KR"/>
        </w:rPr>
        <w:t xml:space="preserve">ъвет с Решение № 101 от 26.02.2025 </w:t>
      </w:r>
      <w:r w:rsidRPr="004823C1">
        <w:rPr>
          <w:rFonts w:eastAsia="Batang"/>
          <w:sz w:val="22"/>
          <w:szCs w:val="22"/>
          <w:lang w:eastAsia="ko-KR"/>
        </w:rPr>
        <w:t xml:space="preserve">г. и </w:t>
      </w:r>
      <w:r w:rsidR="00B71698" w:rsidRPr="004823C1">
        <w:rPr>
          <w:rFonts w:eastAsia="Batang"/>
          <w:sz w:val="22"/>
          <w:szCs w:val="22"/>
          <w:lang w:eastAsia="ko-KR"/>
        </w:rPr>
        <w:t>е внесена в Народното събрание;</w:t>
      </w:r>
    </w:p>
    <w:p w14:paraId="596F3EF0" w14:textId="60F9562B"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Изготвена е таблица за проследяване на развитието по досиетата, включени в Шестмесечната програма. В рамките на отчетния период дирекция КВЕС проследи развитието по приоритетните теми и досиета от програмата и организира регулярното докладване от страна на отговорните работни групи по време на заседанията на </w:t>
      </w:r>
      <w:r w:rsidR="00B71698" w:rsidRPr="004823C1">
        <w:rPr>
          <w:rFonts w:eastAsia="Batang"/>
          <w:sz w:val="22"/>
          <w:szCs w:val="22"/>
          <w:lang w:eastAsia="ko-KR"/>
        </w:rPr>
        <w:t>СЕВ в периода април-юни 2025 г.;</w:t>
      </w:r>
    </w:p>
    <w:p w14:paraId="1BCE4FFC" w14:textId="77777777"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В рамките на отчетния период започна подготовката за изготвяне на Шестмесечната програма с приоритетните теми и досиета по време на Датското председателство на Съвета на ЕС (юли-декември 2025 г.). </w:t>
      </w:r>
    </w:p>
    <w:p w14:paraId="54DF455F" w14:textId="0F8756F1"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Разработване на отчети за изпълнението на Шестмесечните програми с приоритетните за Република България теми и досиета за съответното текущо председателство на Съвета на ЕС</w:t>
      </w:r>
      <w:r w:rsidR="00E14888" w:rsidRPr="004823C1">
        <w:rPr>
          <w:rFonts w:eastAsia="Batang"/>
          <w:b/>
          <w:bCs/>
          <w:sz w:val="22"/>
          <w:szCs w:val="22"/>
          <w:lang w:eastAsia="ko-KR"/>
        </w:rPr>
        <w:t>:</w:t>
      </w:r>
    </w:p>
    <w:p w14:paraId="14752AA7" w14:textId="5F19215D"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Отчетът за участието на Република България в процеса на вземане на решения в ЕС по време на Унгарското председателство (юли-декември 2024 г.) е съгласуван и приет от СЕВ на 17</w:t>
      </w:r>
      <w:r w:rsidR="00E14888" w:rsidRPr="004823C1">
        <w:rPr>
          <w:rFonts w:eastAsia="Batang"/>
          <w:sz w:val="22"/>
          <w:szCs w:val="22"/>
          <w:lang w:eastAsia="ko-KR"/>
        </w:rPr>
        <w:t>.02.</w:t>
      </w:r>
      <w:r w:rsidRPr="004823C1">
        <w:rPr>
          <w:rFonts w:eastAsia="Batang"/>
          <w:sz w:val="22"/>
          <w:szCs w:val="22"/>
          <w:lang w:eastAsia="ko-KR"/>
        </w:rPr>
        <w:t>20</w:t>
      </w:r>
      <w:r w:rsidR="00E14888" w:rsidRPr="004823C1">
        <w:rPr>
          <w:rFonts w:eastAsia="Batang"/>
          <w:sz w:val="22"/>
          <w:szCs w:val="22"/>
          <w:lang w:eastAsia="ko-KR"/>
        </w:rPr>
        <w:t xml:space="preserve">25 г., </w:t>
      </w:r>
      <w:r w:rsidRPr="004823C1">
        <w:rPr>
          <w:rFonts w:eastAsia="Batang"/>
          <w:sz w:val="22"/>
          <w:szCs w:val="22"/>
          <w:lang w:eastAsia="ko-KR"/>
        </w:rPr>
        <w:t>приет е от Министерския съвет на 20 февруари (РМС №</w:t>
      </w:r>
      <w:r w:rsidR="00E14888" w:rsidRPr="004823C1">
        <w:rPr>
          <w:rFonts w:eastAsia="Batang"/>
          <w:sz w:val="22"/>
          <w:szCs w:val="22"/>
          <w:lang w:eastAsia="ko-KR"/>
        </w:rPr>
        <w:t xml:space="preserve"> </w:t>
      </w:r>
      <w:r w:rsidRPr="004823C1">
        <w:rPr>
          <w:rFonts w:eastAsia="Batang"/>
          <w:sz w:val="22"/>
          <w:szCs w:val="22"/>
          <w:lang w:eastAsia="ko-KR"/>
        </w:rPr>
        <w:t xml:space="preserve">81/20.02.2025 </w:t>
      </w:r>
      <w:r w:rsidR="00E14888" w:rsidRPr="004823C1">
        <w:rPr>
          <w:rFonts w:eastAsia="Batang"/>
          <w:sz w:val="22"/>
          <w:szCs w:val="22"/>
          <w:lang w:eastAsia="ko-KR"/>
        </w:rPr>
        <w:t>г.</w:t>
      </w:r>
      <w:r w:rsidRPr="004823C1">
        <w:rPr>
          <w:rFonts w:eastAsia="Batang"/>
          <w:sz w:val="22"/>
          <w:szCs w:val="22"/>
          <w:lang w:eastAsia="ko-KR"/>
        </w:rPr>
        <w:t>) и е</w:t>
      </w:r>
      <w:r w:rsidR="00E14888" w:rsidRPr="004823C1">
        <w:rPr>
          <w:rFonts w:eastAsia="Batang"/>
          <w:sz w:val="22"/>
          <w:szCs w:val="22"/>
          <w:lang w:eastAsia="ko-KR"/>
        </w:rPr>
        <w:t xml:space="preserve"> изпратен на Народното събрание;</w:t>
      </w:r>
    </w:p>
    <w:p w14:paraId="6DF1F3AD" w14:textId="77777777"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През отчетния период стартира изготвянето на отчет за участието на Република България в процеса на вземане на решения в ЕС по време на Полското председателство на Съвета на ЕС (януари-юни 2025 г.).</w:t>
      </w:r>
    </w:p>
    <w:p w14:paraId="761E17B9" w14:textId="226A8756"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Анализ и разпределение на новите междуинституционални досиета на ЕС</w:t>
      </w:r>
      <w:r w:rsidR="00865B84" w:rsidRPr="004823C1">
        <w:rPr>
          <w:rFonts w:eastAsia="Batang"/>
          <w:b/>
          <w:bCs/>
          <w:sz w:val="22"/>
          <w:szCs w:val="22"/>
          <w:lang w:eastAsia="ko-KR"/>
        </w:rPr>
        <w:t>:</w:t>
      </w:r>
    </w:p>
    <w:p w14:paraId="7B81195A" w14:textId="69035357"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За периода </w:t>
      </w:r>
      <w:r w:rsidR="00865B84" w:rsidRPr="004823C1">
        <w:rPr>
          <w:rFonts w:eastAsia="Batang"/>
          <w:sz w:val="22"/>
          <w:szCs w:val="22"/>
          <w:lang w:eastAsia="ko-KR"/>
        </w:rPr>
        <w:t>0</w:t>
      </w:r>
      <w:r w:rsidRPr="004823C1">
        <w:rPr>
          <w:rFonts w:eastAsia="Batang"/>
          <w:sz w:val="22"/>
          <w:szCs w:val="22"/>
          <w:lang w:eastAsia="ko-KR"/>
        </w:rPr>
        <w:t>1</w:t>
      </w:r>
      <w:r w:rsidR="00865B84" w:rsidRPr="004823C1">
        <w:rPr>
          <w:rFonts w:eastAsia="Batang"/>
          <w:sz w:val="22"/>
          <w:szCs w:val="22"/>
          <w:lang w:eastAsia="ko-KR"/>
        </w:rPr>
        <w:t>.01 – 30.06.</w:t>
      </w:r>
      <w:r w:rsidRPr="004823C1">
        <w:rPr>
          <w:rFonts w:eastAsia="Batang"/>
          <w:sz w:val="22"/>
          <w:szCs w:val="22"/>
          <w:lang w:eastAsia="ko-KR"/>
        </w:rPr>
        <w:t>2025 г. са получени, анализирани и разпределени по отговорни работни групи и ведомства общо 172 нови междуинституционални досиета, постъпили от Секретариата на Съвета на ЕС, които започнаха да се разглеждат в подготви</w:t>
      </w:r>
      <w:r w:rsidR="00865B84" w:rsidRPr="004823C1">
        <w:rPr>
          <w:rFonts w:eastAsia="Batang"/>
          <w:sz w:val="22"/>
          <w:szCs w:val="22"/>
          <w:lang w:eastAsia="ko-KR"/>
        </w:rPr>
        <w:t>телните органи на Съвета на ЕС;</w:t>
      </w:r>
    </w:p>
    <w:p w14:paraId="22B6895C" w14:textId="41FD813C"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В допълнение, през отчетния период продължи тенденцията Европейската комисия да публикува законодателни предложения с хоризонтален характер, което наложи провеждането на редица срещи и дискусии с оглед разпределение и/или преразпределение на отговорностите по съответните въпроси. След обстоен анализ дирекцията координира и предложи решения относно преразпределението или реорганизацията на работния процес по</w:t>
      </w:r>
      <w:r w:rsidR="00865B84" w:rsidRPr="004823C1">
        <w:rPr>
          <w:rFonts w:eastAsia="Batang"/>
          <w:sz w:val="22"/>
          <w:szCs w:val="22"/>
          <w:lang w:eastAsia="ko-KR"/>
        </w:rPr>
        <w:t xml:space="preserve"> 5 междуинституционални досиета;</w:t>
      </w:r>
    </w:p>
    <w:p w14:paraId="4FC0450B" w14:textId="77777777"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Освен това дирекция КВЕС извършва анализ и разпределение на </w:t>
      </w:r>
      <w:proofErr w:type="spellStart"/>
      <w:r w:rsidRPr="004823C1">
        <w:rPr>
          <w:rFonts w:eastAsia="Batang"/>
          <w:sz w:val="22"/>
          <w:szCs w:val="22"/>
          <w:lang w:eastAsia="ko-KR"/>
        </w:rPr>
        <w:t>новопубликуваните</w:t>
      </w:r>
      <w:proofErr w:type="spellEnd"/>
      <w:r w:rsidRPr="004823C1">
        <w:rPr>
          <w:rFonts w:eastAsia="Batang"/>
          <w:sz w:val="22"/>
          <w:szCs w:val="22"/>
          <w:lang w:eastAsia="ko-KR"/>
        </w:rPr>
        <w:t xml:space="preserve"> обществени консултации на Европейската комисия по работни групи и водещи ведомства и го изпраща за информация на членовете на СЕВ. През отчетния период са разпределени 45 нови консултации на ЕК.</w:t>
      </w:r>
    </w:p>
    <w:p w14:paraId="1E25A0CC" w14:textId="69A4EEF5"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 xml:space="preserve">Координация и мониторинг на процеса на подготовка и одобряване на рамкови позиции по въпросите, които се разглеждат от Съвета на ЕС и спомагателните му органи, както и в процеса на </w:t>
      </w:r>
      <w:proofErr w:type="spellStart"/>
      <w:r w:rsidRPr="004823C1">
        <w:rPr>
          <w:rFonts w:eastAsia="Batang"/>
          <w:b/>
          <w:bCs/>
          <w:sz w:val="22"/>
          <w:szCs w:val="22"/>
          <w:lang w:eastAsia="ko-KR"/>
        </w:rPr>
        <w:t>комитология</w:t>
      </w:r>
      <w:proofErr w:type="spellEnd"/>
      <w:r w:rsidRPr="004823C1">
        <w:rPr>
          <w:rFonts w:eastAsia="Batang"/>
          <w:b/>
          <w:bCs/>
          <w:sz w:val="22"/>
          <w:szCs w:val="22"/>
          <w:lang w:eastAsia="ko-KR"/>
        </w:rPr>
        <w:t xml:space="preserve"> и по проектите на рамкови позиции по Белите и Зелените книги на Европейската комисия, с изключение на въпроси, отнасящи се до Общата външна политика и политика за сигурност, до Общата политика за сигурност и отбрана и до полити</w:t>
      </w:r>
      <w:r w:rsidR="0083092B" w:rsidRPr="004823C1">
        <w:rPr>
          <w:rFonts w:eastAsia="Batang"/>
          <w:b/>
          <w:bCs/>
          <w:sz w:val="22"/>
          <w:szCs w:val="22"/>
          <w:lang w:eastAsia="ko-KR"/>
        </w:rPr>
        <w:t>ката за развитие:</w:t>
      </w:r>
    </w:p>
    <w:p w14:paraId="249677DF" w14:textId="1EA04D6C"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През отчетния период експертите от дирекция КВЕС участваха в изготвянето/съгласуването в работните групи и/или СЕВ на общо 67 рамкови позиции по проекти на актове, които се разглеждат в рамките на про</w:t>
      </w:r>
      <w:r w:rsidR="0083092B" w:rsidRPr="004823C1">
        <w:rPr>
          <w:rFonts w:eastAsia="Batang"/>
          <w:sz w:val="22"/>
          <w:szCs w:val="22"/>
          <w:lang w:eastAsia="ko-KR"/>
        </w:rPr>
        <w:t>цеса на вземане на решения в ЕС;</w:t>
      </w:r>
    </w:p>
    <w:p w14:paraId="3B815D9C" w14:textId="027D0593"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lastRenderedPageBreak/>
        <w:t xml:space="preserve">В периода </w:t>
      </w:r>
      <w:r w:rsidR="0083092B" w:rsidRPr="004823C1">
        <w:rPr>
          <w:rFonts w:eastAsia="Batang"/>
          <w:sz w:val="22"/>
          <w:szCs w:val="22"/>
          <w:lang w:eastAsia="ko-KR"/>
        </w:rPr>
        <w:t>0</w:t>
      </w:r>
      <w:r w:rsidRPr="004823C1">
        <w:rPr>
          <w:rFonts w:eastAsia="Batang"/>
          <w:sz w:val="22"/>
          <w:szCs w:val="22"/>
          <w:lang w:eastAsia="ko-KR"/>
        </w:rPr>
        <w:t>1</w:t>
      </w:r>
      <w:r w:rsidR="0083092B" w:rsidRPr="004823C1">
        <w:rPr>
          <w:rFonts w:eastAsia="Batang"/>
          <w:sz w:val="22"/>
          <w:szCs w:val="22"/>
          <w:lang w:eastAsia="ko-KR"/>
        </w:rPr>
        <w:t>.01 – 30.06.</w:t>
      </w:r>
      <w:r w:rsidRPr="004823C1">
        <w:rPr>
          <w:rFonts w:eastAsia="Batang"/>
          <w:sz w:val="22"/>
          <w:szCs w:val="22"/>
          <w:lang w:eastAsia="ko-KR"/>
        </w:rPr>
        <w:t xml:space="preserve">2025 г. дирекция КВЕС осъществи мониторинг за навременното изготвяне на рамкови позиции в установения с ПМС № 85/2007 г. срок от 4 седмици чрез подготвяне на ежеседмични справки за досиетата </w:t>
      </w:r>
      <w:r w:rsidR="0083092B" w:rsidRPr="004823C1">
        <w:rPr>
          <w:rFonts w:eastAsia="Batang"/>
          <w:sz w:val="22"/>
          <w:szCs w:val="22"/>
          <w:lang w:eastAsia="ko-KR"/>
        </w:rPr>
        <w:t xml:space="preserve">без рамкови позиции. Справките </w:t>
      </w:r>
      <w:r w:rsidRPr="004823C1">
        <w:rPr>
          <w:rFonts w:eastAsia="Batang"/>
          <w:sz w:val="22"/>
          <w:szCs w:val="22"/>
          <w:lang w:eastAsia="ko-KR"/>
        </w:rPr>
        <w:t>се изпращат на членовете на СЕВ по електронен път с оглед получаване на актуална информация от отговорните работни групи за етапа на изготвяне на рамковите</w:t>
      </w:r>
      <w:r w:rsidR="009A5AC5" w:rsidRPr="004823C1">
        <w:rPr>
          <w:rFonts w:eastAsia="Batang"/>
          <w:sz w:val="22"/>
          <w:szCs w:val="22"/>
          <w:lang w:eastAsia="ko-KR"/>
        </w:rPr>
        <w:t xml:space="preserve"> позиции по съответните досиета.</w:t>
      </w:r>
    </w:p>
    <w:p w14:paraId="6CF0FAF7" w14:textId="010D5D79"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Организация и координация на съгласуването и одобряването на позиции за заседанията на Европейския съвет и Съвета на ЕС, включи</w:t>
      </w:r>
      <w:r w:rsidR="009A5AC5" w:rsidRPr="004823C1">
        <w:rPr>
          <w:rFonts w:eastAsia="Batang"/>
          <w:b/>
          <w:bCs/>
          <w:sz w:val="22"/>
          <w:szCs w:val="22"/>
          <w:lang w:eastAsia="ko-KR"/>
        </w:rPr>
        <w:t>телно за неформалните заседания:</w:t>
      </w:r>
    </w:p>
    <w:p w14:paraId="73D8D901" w14:textId="1AE96ACC" w:rsidR="00F97B00" w:rsidRPr="004823C1" w:rsidRDefault="009A5AC5"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В периода 01.01– 30.06.</w:t>
      </w:r>
      <w:r w:rsidR="00F97B00" w:rsidRPr="004823C1">
        <w:rPr>
          <w:rFonts w:eastAsia="Batang"/>
          <w:sz w:val="22"/>
          <w:szCs w:val="22"/>
          <w:lang w:eastAsia="ko-KR"/>
        </w:rPr>
        <w:t>2025 г. дирекция КВЕС участва в координацията по съгласуването и одобряването от СЕВ и МС на 57 позиции на Република България за формалните и неформални заседания на Европейския съвет и Съвета на ЕС. Съгласно разпределението на отговорностите в дирекцията всеки експерт анализира и съгласува по компетентност проектите на позиции, като проследява съответствието на позициите с рамковите позиции по включените в дневния ред на заседанието досиета, развитието на преговорите по него и др., както и изготвя проекта на опорни</w:t>
      </w:r>
      <w:r w:rsidRPr="004823C1">
        <w:rPr>
          <w:rFonts w:eastAsia="Batang"/>
          <w:sz w:val="22"/>
          <w:szCs w:val="22"/>
          <w:lang w:eastAsia="ko-KR"/>
        </w:rPr>
        <w:t>те точки за заседанието на СЕВ;</w:t>
      </w:r>
    </w:p>
    <w:p w14:paraId="6109DE31" w14:textId="7D27E2F2"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Дирекцията следи за спазването на определения в ПМС </w:t>
      </w:r>
      <w:r w:rsidR="009A5AC5" w:rsidRPr="004823C1">
        <w:rPr>
          <w:rFonts w:eastAsia="Batang"/>
          <w:sz w:val="22"/>
          <w:szCs w:val="22"/>
          <w:lang w:eastAsia="ko-KR"/>
        </w:rPr>
        <w:t xml:space="preserve">№ </w:t>
      </w:r>
      <w:r w:rsidRPr="004823C1">
        <w:rPr>
          <w:rFonts w:eastAsia="Batang"/>
          <w:sz w:val="22"/>
          <w:szCs w:val="22"/>
          <w:lang w:eastAsia="ko-KR"/>
        </w:rPr>
        <w:t>85/2007 г. десетдневен срок за внасяне на доклади с резултатите от заседанията, като през отчетния период са в</w:t>
      </w:r>
      <w:r w:rsidR="009A5AC5" w:rsidRPr="004823C1">
        <w:rPr>
          <w:rFonts w:eastAsia="Batang"/>
          <w:sz w:val="22"/>
          <w:szCs w:val="22"/>
          <w:lang w:eastAsia="ko-KR"/>
        </w:rPr>
        <w:t>несени и съгласувани 58 доклада;</w:t>
      </w:r>
    </w:p>
    <w:p w14:paraId="529DEE1E" w14:textId="2F5C182B"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Всяко председателство на Съвета на ЕС изготвя график за заседанията на Съвета за шестте месеца, през които го председателства. На база на този график дирекция КВЕС изготвя и съгласува в СЕВ съответния график за изготвянето, приемането от СЕВ и одобряването от МС на позициите на отговорните ведомствата за заседанията на Съвета на ЕС и докладите от участията в тези заседания. Изготвен, съгласуван и приет от СЕВ е графикът за заседанията на Съвета на ЕС по врем</w:t>
      </w:r>
      <w:r w:rsidR="009A5AC5" w:rsidRPr="004823C1">
        <w:rPr>
          <w:rFonts w:eastAsia="Batang"/>
          <w:sz w:val="22"/>
          <w:szCs w:val="22"/>
          <w:lang w:eastAsia="ko-KR"/>
        </w:rPr>
        <w:t>е на Датското председателство.</w:t>
      </w:r>
    </w:p>
    <w:p w14:paraId="0FC4D975" w14:textId="6A479075"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 xml:space="preserve">Участие в дейността на работните групи към Съвета по европейските въпроси (съгласно Приложение към чл. 7, ал. 2 на ПМС </w:t>
      </w:r>
      <w:r w:rsidR="00F56EA1" w:rsidRPr="004823C1">
        <w:rPr>
          <w:rFonts w:eastAsia="Batang"/>
          <w:b/>
          <w:bCs/>
          <w:sz w:val="22"/>
          <w:szCs w:val="22"/>
          <w:lang w:eastAsia="ko-KR"/>
        </w:rPr>
        <w:t xml:space="preserve">№ </w:t>
      </w:r>
      <w:r w:rsidRPr="004823C1">
        <w:rPr>
          <w:rFonts w:eastAsia="Batang"/>
          <w:b/>
          <w:bCs/>
          <w:sz w:val="22"/>
          <w:szCs w:val="22"/>
          <w:lang w:eastAsia="ko-KR"/>
        </w:rPr>
        <w:t>85/2007</w:t>
      </w:r>
      <w:r w:rsidR="00F56EA1" w:rsidRPr="004823C1">
        <w:rPr>
          <w:rFonts w:eastAsia="Batang"/>
          <w:b/>
          <w:bCs/>
          <w:sz w:val="22"/>
          <w:szCs w:val="22"/>
          <w:lang w:eastAsia="ko-KR"/>
        </w:rPr>
        <w:t xml:space="preserve"> г.):</w:t>
      </w:r>
    </w:p>
    <w:p w14:paraId="0DD707D7" w14:textId="024B8D3B"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Представители на дирекция КВЕС участват във всички постоянни и ад-</w:t>
      </w:r>
      <w:proofErr w:type="spellStart"/>
      <w:r w:rsidRPr="004823C1">
        <w:rPr>
          <w:rFonts w:eastAsia="Batang"/>
          <w:sz w:val="22"/>
          <w:szCs w:val="22"/>
          <w:lang w:eastAsia="ko-KR"/>
        </w:rPr>
        <w:t>хок</w:t>
      </w:r>
      <w:proofErr w:type="spellEnd"/>
      <w:r w:rsidRPr="004823C1">
        <w:rPr>
          <w:rFonts w:eastAsia="Batang"/>
          <w:sz w:val="22"/>
          <w:szCs w:val="22"/>
          <w:lang w:eastAsia="ko-KR"/>
        </w:rPr>
        <w:t xml:space="preserve"> работни групи към СЕВ (37 постоянни работни групи съгласно ПМС № 85/2007 г.). В това си качество участват в заседанията на работните групи и в пис</w:t>
      </w:r>
      <w:r w:rsidR="00F56EA1" w:rsidRPr="004823C1">
        <w:rPr>
          <w:rFonts w:eastAsia="Batang"/>
          <w:sz w:val="22"/>
          <w:szCs w:val="22"/>
          <w:lang w:eastAsia="ko-KR"/>
        </w:rPr>
        <w:t xml:space="preserve">мените </w:t>
      </w:r>
      <w:proofErr w:type="spellStart"/>
      <w:r w:rsidR="00F56EA1" w:rsidRPr="004823C1">
        <w:rPr>
          <w:rFonts w:eastAsia="Batang"/>
          <w:sz w:val="22"/>
          <w:szCs w:val="22"/>
          <w:lang w:eastAsia="ko-KR"/>
        </w:rPr>
        <w:t>съгласувателни</w:t>
      </w:r>
      <w:proofErr w:type="spellEnd"/>
      <w:r w:rsidR="00F56EA1" w:rsidRPr="004823C1">
        <w:rPr>
          <w:rFonts w:eastAsia="Batang"/>
          <w:sz w:val="22"/>
          <w:szCs w:val="22"/>
          <w:lang w:eastAsia="ko-KR"/>
        </w:rPr>
        <w:t xml:space="preserve"> процедури;</w:t>
      </w:r>
    </w:p>
    <w:p w14:paraId="0D548EA3" w14:textId="77777777"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В работните групи се изпращат за съгласуване/информация проекти на рамкови позиции, проекти на указания за подготвителните органи на Съвета на ЕС, проекти на указания за КОРЕПЕР, проекти на позиции за заседания на Съвета на ЕС, проекти на отговори по Пилотния проект/Неформалния диалог за прилагане на правото на ЕС, проекти на позиции и допълнителни информации в рамките на досъдебната фаза на процедурата за нарушение, проекти на актове на министри и МС, таблици за съответствие, документи за заседанията на подготвителните органи, доклади от проведени заседания, графици, проекти на стратегически документи и други материали.</w:t>
      </w:r>
    </w:p>
    <w:p w14:paraId="7FF0BA49" w14:textId="4B38B214"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Участие в заседанията на Съвета на ЕС в различните му формати, както и други заседания, организирани от институциите на ЕС, включително заседания, които попадат в обхвата на Решение 54/2018 на Генера</w:t>
      </w:r>
      <w:r w:rsidR="00F56EA1" w:rsidRPr="004823C1">
        <w:rPr>
          <w:rFonts w:eastAsia="Batang"/>
          <w:b/>
          <w:bCs/>
          <w:sz w:val="22"/>
          <w:szCs w:val="22"/>
          <w:lang w:eastAsia="ko-KR"/>
        </w:rPr>
        <w:t>лния секретар на Съвета на ЕС:</w:t>
      </w:r>
    </w:p>
    <w:p w14:paraId="51276FC4" w14:textId="77777777"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През отчетния период експерти от дирекция КВЕС не са участвали в заседания на Съвета на ЕС. </w:t>
      </w:r>
    </w:p>
    <w:p w14:paraId="70F785BF" w14:textId="230D8A81"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Организиране и участие в работни срещи с представители на институциите на ЕС и държави членки по приоритетни за България теми и досиета</w:t>
      </w:r>
      <w:r w:rsidR="00F56EA1" w:rsidRPr="004823C1">
        <w:rPr>
          <w:rFonts w:eastAsia="Batang"/>
          <w:b/>
          <w:bCs/>
          <w:sz w:val="22"/>
          <w:szCs w:val="22"/>
          <w:lang w:eastAsia="ko-KR"/>
        </w:rPr>
        <w:t>:</w:t>
      </w:r>
    </w:p>
    <w:p w14:paraId="62D2DE88" w14:textId="77777777"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През отчетния период експерти от дирекцията не са участвали в работни срещи с институциите на ЕС по приоритетни досиета.</w:t>
      </w:r>
    </w:p>
    <w:p w14:paraId="4EAFE1D8" w14:textId="29E668EC"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 xml:space="preserve">Осигуряване функционирането на Точката за достъп на Генералния секретариат на Съвета на ЕС (ГСС) и поддържане на софтуер за обработка и препращане на документи от ГСС чрез системата </w:t>
      </w:r>
      <w:proofErr w:type="spellStart"/>
      <w:r w:rsidRPr="004823C1">
        <w:rPr>
          <w:rFonts w:eastAsia="Batang"/>
          <w:b/>
          <w:bCs/>
          <w:sz w:val="22"/>
          <w:szCs w:val="22"/>
          <w:lang w:eastAsia="ko-KR"/>
        </w:rPr>
        <w:t>EUnet</w:t>
      </w:r>
      <w:proofErr w:type="spellEnd"/>
      <w:r w:rsidR="00F56EA1" w:rsidRPr="004823C1">
        <w:rPr>
          <w:rFonts w:eastAsia="Batang"/>
          <w:b/>
          <w:bCs/>
          <w:sz w:val="22"/>
          <w:szCs w:val="22"/>
          <w:lang w:eastAsia="ko-KR"/>
        </w:rPr>
        <w:t>:</w:t>
      </w:r>
    </w:p>
    <w:p w14:paraId="4C77FE86" w14:textId="6816D393"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В изпълнение на решение на ГС на Съвета на ЕС за промяна на подхода при обмен на документи със с</w:t>
      </w:r>
      <w:r w:rsidR="00F56EA1" w:rsidRPr="004823C1">
        <w:rPr>
          <w:rFonts w:eastAsia="Batang"/>
          <w:sz w:val="22"/>
          <w:szCs w:val="22"/>
          <w:lang w:eastAsia="ko-KR"/>
        </w:rPr>
        <w:t>траните членки, през 2022 г.</w:t>
      </w:r>
      <w:r w:rsidRPr="004823C1">
        <w:rPr>
          <w:rFonts w:eastAsia="Batang"/>
          <w:sz w:val="22"/>
          <w:szCs w:val="22"/>
          <w:lang w:eastAsia="ko-KR"/>
        </w:rPr>
        <w:t xml:space="preserve"> бе създадена Точка за достъп, чрез която да се захранва с документи си</w:t>
      </w:r>
      <w:r w:rsidR="00F56EA1" w:rsidRPr="004823C1">
        <w:rPr>
          <w:rFonts w:eastAsia="Batang"/>
          <w:sz w:val="22"/>
          <w:szCs w:val="22"/>
          <w:lang w:eastAsia="ko-KR"/>
        </w:rPr>
        <w:t xml:space="preserve">стемата </w:t>
      </w:r>
      <w:proofErr w:type="spellStart"/>
      <w:r w:rsidR="00F56EA1" w:rsidRPr="004823C1">
        <w:rPr>
          <w:rFonts w:eastAsia="Batang"/>
          <w:sz w:val="22"/>
          <w:szCs w:val="22"/>
          <w:lang w:eastAsia="ko-KR"/>
        </w:rPr>
        <w:t>EUnet</w:t>
      </w:r>
      <w:proofErr w:type="spellEnd"/>
      <w:r w:rsidR="00F56EA1" w:rsidRPr="004823C1">
        <w:rPr>
          <w:rFonts w:eastAsia="Batang"/>
          <w:sz w:val="22"/>
          <w:szCs w:val="22"/>
          <w:lang w:eastAsia="ko-KR"/>
        </w:rPr>
        <w:t>. Към 30.06.</w:t>
      </w:r>
      <w:r w:rsidRPr="004823C1">
        <w:rPr>
          <w:rFonts w:eastAsia="Batang"/>
          <w:sz w:val="22"/>
          <w:szCs w:val="22"/>
          <w:lang w:eastAsia="ko-KR"/>
        </w:rPr>
        <w:t>2025 г. е подписана заявка към системния интегратор за поддръжка на Точката за достъп до 31.12.2026 г.</w:t>
      </w:r>
    </w:p>
    <w:p w14:paraId="326C3977" w14:textId="03338CDB"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 xml:space="preserve">Поддържане на информационната система </w:t>
      </w:r>
      <w:proofErr w:type="spellStart"/>
      <w:r w:rsidRPr="004823C1">
        <w:rPr>
          <w:rFonts w:eastAsia="Batang"/>
          <w:b/>
          <w:bCs/>
          <w:sz w:val="22"/>
          <w:szCs w:val="22"/>
          <w:lang w:eastAsia="ko-KR"/>
        </w:rPr>
        <w:t>EUnet</w:t>
      </w:r>
      <w:proofErr w:type="spellEnd"/>
      <w:r w:rsidRPr="004823C1">
        <w:rPr>
          <w:rFonts w:eastAsia="Batang"/>
          <w:b/>
          <w:bCs/>
          <w:sz w:val="22"/>
          <w:szCs w:val="22"/>
          <w:lang w:eastAsia="ko-KR"/>
        </w:rPr>
        <w:t xml:space="preserve">, която съдържа документи, които се получават от Генералния секретариат на Съвета на ЕС; документи, свързани с процеса на </w:t>
      </w:r>
      <w:r w:rsidRPr="004823C1">
        <w:rPr>
          <w:rFonts w:eastAsia="Batang"/>
          <w:b/>
          <w:bCs/>
          <w:sz w:val="22"/>
          <w:szCs w:val="22"/>
          <w:lang w:eastAsia="ko-KR"/>
        </w:rPr>
        <w:lastRenderedPageBreak/>
        <w:t>вземане на решения в ЕС; документи, свързани с електронното осигуряване на протичането на заседанията на</w:t>
      </w:r>
      <w:r w:rsidR="00F56EA1" w:rsidRPr="004823C1">
        <w:rPr>
          <w:rFonts w:eastAsia="Batang"/>
          <w:b/>
          <w:bCs/>
          <w:sz w:val="22"/>
          <w:szCs w:val="22"/>
          <w:lang w:eastAsia="ko-KR"/>
        </w:rPr>
        <w:t xml:space="preserve"> Съвета по европейските въпроси:</w:t>
      </w:r>
    </w:p>
    <w:p w14:paraId="7CE55B73" w14:textId="5CD8EB7B"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Информационната система </w:t>
      </w:r>
      <w:proofErr w:type="spellStart"/>
      <w:r w:rsidRPr="004823C1">
        <w:rPr>
          <w:rFonts w:eastAsia="Batang"/>
          <w:sz w:val="22"/>
          <w:szCs w:val="22"/>
          <w:lang w:eastAsia="ko-KR"/>
        </w:rPr>
        <w:t>EUnet</w:t>
      </w:r>
      <w:proofErr w:type="spellEnd"/>
      <w:r w:rsidRPr="004823C1">
        <w:rPr>
          <w:rFonts w:eastAsia="Batang"/>
          <w:sz w:val="22"/>
          <w:szCs w:val="22"/>
          <w:lang w:eastAsia="ko-KR"/>
        </w:rPr>
        <w:t xml:space="preserve"> съдържа всички документи, постъпващи от Генералния секретариат на Съвета на ЕС, националните позиции в процеса на вземане на решения в ЕС и всички документи, свързани с електронното осигуряване на дейността на Съвета по европейските въпроси съгласно чл. 16 на ПМС № 85/2007 г. Експертите от дирекцията отговарят за качването на материалите за заседанията н</w:t>
      </w:r>
      <w:r w:rsidR="00F56EA1" w:rsidRPr="004823C1">
        <w:rPr>
          <w:rFonts w:eastAsia="Batang"/>
          <w:sz w:val="22"/>
          <w:szCs w:val="22"/>
          <w:lang w:eastAsia="ko-KR"/>
        </w:rPr>
        <w:t>а СЕВ</w:t>
      </w:r>
      <w:r w:rsidRPr="004823C1">
        <w:rPr>
          <w:rFonts w:eastAsia="Batang"/>
          <w:sz w:val="22"/>
          <w:szCs w:val="22"/>
          <w:lang w:eastAsia="ko-KR"/>
        </w:rPr>
        <w:t xml:space="preserve">, за наличието на актуална информация по всички разпределени междуинституционални досиета, за навременното актуализиране на контактната информация на състава на СЕВ, ръководителите и секретарите на работните групи и </w:t>
      </w:r>
      <w:r w:rsidR="00F56EA1" w:rsidRPr="004823C1">
        <w:rPr>
          <w:rFonts w:eastAsia="Batang"/>
          <w:sz w:val="22"/>
          <w:szCs w:val="22"/>
          <w:lang w:eastAsia="ko-KR"/>
        </w:rPr>
        <w:t>лицата за контакт по досиетата;</w:t>
      </w:r>
    </w:p>
    <w:p w14:paraId="05F24716" w14:textId="02394EE0"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През отчетния период са получени, прегледани и/или анализирани над 31 326 ICP документа в системата, в това число езикови версии. Потребителите в системата </w:t>
      </w:r>
      <w:proofErr w:type="spellStart"/>
      <w:r w:rsidRPr="004823C1">
        <w:rPr>
          <w:rFonts w:eastAsia="Batang"/>
          <w:sz w:val="22"/>
          <w:szCs w:val="22"/>
          <w:lang w:eastAsia="ko-KR"/>
        </w:rPr>
        <w:t>EUnet</w:t>
      </w:r>
      <w:proofErr w:type="spellEnd"/>
      <w:r w:rsidRPr="004823C1">
        <w:rPr>
          <w:rFonts w:eastAsia="Batang"/>
          <w:sz w:val="22"/>
          <w:szCs w:val="22"/>
          <w:lang w:eastAsia="ko-KR"/>
        </w:rPr>
        <w:t xml:space="preserve"> са 2 308, от които активни 423, разпределени в 3</w:t>
      </w:r>
      <w:r w:rsidR="00F56EA1" w:rsidRPr="004823C1">
        <w:rPr>
          <w:rFonts w:eastAsia="Batang"/>
          <w:sz w:val="22"/>
          <w:szCs w:val="22"/>
          <w:lang w:eastAsia="ko-KR"/>
        </w:rPr>
        <w:t>7 работни групи и две под-групи;</w:t>
      </w:r>
    </w:p>
    <w:p w14:paraId="3A9DD7A8" w14:textId="5EC0D373"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Техническата поддръжка на системата е осигурена чрез възлагане на външен изпълнител, което се инициира и организира от дирекцията. Текущият договор за поддръжка изтича на </w:t>
      </w:r>
      <w:r w:rsidR="00F56EA1" w:rsidRPr="004823C1">
        <w:rPr>
          <w:rFonts w:eastAsia="Batang"/>
          <w:sz w:val="22"/>
          <w:szCs w:val="22"/>
          <w:lang w:eastAsia="ko-KR"/>
        </w:rPr>
        <w:br/>
        <w:t>0</w:t>
      </w:r>
      <w:r w:rsidRPr="004823C1">
        <w:rPr>
          <w:rFonts w:eastAsia="Batang"/>
          <w:sz w:val="22"/>
          <w:szCs w:val="22"/>
          <w:lang w:eastAsia="ko-KR"/>
        </w:rPr>
        <w:t>9</w:t>
      </w:r>
      <w:r w:rsidR="00F56EA1" w:rsidRPr="004823C1">
        <w:rPr>
          <w:rFonts w:eastAsia="Batang"/>
          <w:sz w:val="22"/>
          <w:szCs w:val="22"/>
          <w:lang w:eastAsia="ko-KR"/>
        </w:rPr>
        <w:t>.08.</w:t>
      </w:r>
      <w:r w:rsidRPr="004823C1">
        <w:rPr>
          <w:rFonts w:eastAsia="Batang"/>
          <w:sz w:val="22"/>
          <w:szCs w:val="22"/>
          <w:lang w:eastAsia="ko-KR"/>
        </w:rPr>
        <w:t>2025 г. Към 30 юни е инициирана процедура за подготовка на мотивирано предложение за подписване на заявка към системния интегратор за поддръжка на сист</w:t>
      </w:r>
      <w:r w:rsidR="00F56EA1" w:rsidRPr="004823C1">
        <w:rPr>
          <w:rFonts w:eastAsia="Batang"/>
          <w:sz w:val="22"/>
          <w:szCs w:val="22"/>
          <w:lang w:eastAsia="ko-KR"/>
        </w:rPr>
        <w:t>емата след изтичане на договора;</w:t>
      </w:r>
    </w:p>
    <w:p w14:paraId="54671881" w14:textId="52BEC65B"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Дирекцията отговаря за проверка на коректността на ръководството и състава, и актуализация (при необходимост) на 37-те</w:t>
      </w:r>
      <w:r w:rsidR="00AB7679" w:rsidRPr="004823C1">
        <w:rPr>
          <w:rFonts w:eastAsia="Batang"/>
          <w:sz w:val="22"/>
          <w:szCs w:val="22"/>
          <w:lang w:eastAsia="ko-KR"/>
        </w:rPr>
        <w:t xml:space="preserve"> РГ в системата, както и на РГ СЕВ</w:t>
      </w:r>
      <w:r w:rsidRPr="004823C1">
        <w:rPr>
          <w:rFonts w:eastAsia="Batang"/>
          <w:sz w:val="22"/>
          <w:szCs w:val="22"/>
          <w:lang w:eastAsia="ko-KR"/>
        </w:rPr>
        <w:t xml:space="preserve"> и РГ „Политическо ръководство СЕВ“, при извършената през месец май актуализация на състава на СЕВ; добавяне и разпределение на нови акроними в системата; управление на номенклатури за институциите при настъпили промени; активиране и деактивиране на потребителски профили и създаване/промяна на права на достъп в системата по заявка от ведомствата; управление на заявки, подадени директно в системата; уведомяване на фирмата по поддръжка за наличие на проблем и проследяване на решението му; текущ контрол по изпълнението на дейностите по договора за поддръжка и др.</w:t>
      </w:r>
    </w:p>
    <w:p w14:paraId="1223E9DA" w14:textId="7A72B3DD" w:rsidR="00F97B00" w:rsidRPr="004823C1" w:rsidRDefault="00F97B00" w:rsidP="004823C1">
      <w:pPr>
        <w:numPr>
          <w:ilvl w:val="0"/>
          <w:numId w:val="17"/>
        </w:numPr>
        <w:shd w:val="clear" w:color="auto" w:fill="FFFFFF" w:themeFill="background1"/>
        <w:tabs>
          <w:tab w:val="clear" w:pos="360"/>
          <w:tab w:val="num" w:pos="567"/>
          <w:tab w:val="num" w:pos="644"/>
        </w:tabs>
        <w:ind w:left="0" w:firstLine="426"/>
        <w:jc w:val="both"/>
        <w:rPr>
          <w:rFonts w:eastAsia="Batang"/>
          <w:b/>
          <w:bCs/>
          <w:sz w:val="22"/>
          <w:szCs w:val="22"/>
          <w:lang w:eastAsia="ko-KR"/>
        </w:rPr>
      </w:pPr>
      <w:r w:rsidRPr="004823C1">
        <w:rPr>
          <w:rFonts w:eastAsia="Batang"/>
          <w:b/>
          <w:bCs/>
          <w:sz w:val="22"/>
          <w:szCs w:val="22"/>
          <w:lang w:eastAsia="ko-KR"/>
        </w:rPr>
        <w:t xml:space="preserve">Поддържане на Фейсбук страницата на координационния механизъм по въпросите на Европейския съюз </w:t>
      </w:r>
      <w:hyperlink r:id="rId20" w:history="1">
        <w:r w:rsidRPr="004823C1">
          <w:rPr>
            <w:b/>
            <w:bCs/>
            <w:color w:val="215E99" w:themeColor="text2" w:themeTint="BF"/>
            <w:sz w:val="22"/>
            <w:szCs w:val="22"/>
          </w:rPr>
          <w:t>https://www.facebook.com/pg/Координация-по-въпросите-на-ЕС-461139224008947/posts/?ref=page_internal</w:t>
        </w:r>
      </w:hyperlink>
      <w:r w:rsidRPr="004823C1">
        <w:rPr>
          <w:rFonts w:eastAsia="Batang"/>
          <w:b/>
          <w:bCs/>
          <w:sz w:val="22"/>
          <w:szCs w:val="22"/>
          <w:lang w:eastAsia="ko-KR"/>
        </w:rPr>
        <w:t>, предоставяща информация по темите на ЕС и за участието на България в процесите по вземане на решения в рамките на Съвета на ЕС</w:t>
      </w:r>
      <w:r w:rsidR="00EC062E" w:rsidRPr="004823C1">
        <w:rPr>
          <w:rFonts w:eastAsia="Batang"/>
          <w:b/>
          <w:bCs/>
          <w:sz w:val="22"/>
          <w:szCs w:val="22"/>
          <w:lang w:eastAsia="ko-KR"/>
        </w:rPr>
        <w:t>:</w:t>
      </w:r>
    </w:p>
    <w:p w14:paraId="06CF13A2" w14:textId="77777777"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Информация за проведените заседания на СЕВ, както и по актуални теми от дневния ред на ЕС, се публикува на създадената Фейсбук страница на координационния механизъм по европейски въпроси. През отчетния период бяха изготвени и публикувани 92 съобщения. Проектите на прессъобщения се изготвят от дирекция КВЕС и се изпращат за информация на Правителствената информационна служба. В резултат съобщенията са достигнали до над 900 последователи на страницата, като абонатите са не само от България, но и от Белгия, Германия, Испания, Великобритания, САЩ и др.</w:t>
      </w:r>
    </w:p>
    <w:p w14:paraId="08596927" w14:textId="416B811F" w:rsidR="00F97B00" w:rsidRPr="004823C1" w:rsidRDefault="00F97B00" w:rsidP="004823C1">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4823C1">
        <w:rPr>
          <w:b/>
          <w:bCs/>
          <w:i/>
          <w:iCs/>
          <w:color w:val="215E99" w:themeColor="text2" w:themeTint="BF"/>
          <w:sz w:val="22"/>
          <w:szCs w:val="22"/>
        </w:rPr>
        <w:t>Координация на изпълнението на ангажиментите, произтичащи от членството на България в ЕС, и досъдебната фаза от процедурата по неизпълнение на задълженията, произтичащи от правото на ЕС</w:t>
      </w:r>
      <w:r w:rsidRPr="004823C1" w:rsidDel="0058473F">
        <w:rPr>
          <w:b/>
          <w:bCs/>
          <w:i/>
          <w:iCs/>
          <w:color w:val="215E99" w:themeColor="text2" w:themeTint="BF"/>
          <w:sz w:val="22"/>
          <w:szCs w:val="22"/>
        </w:rPr>
        <w:t xml:space="preserve"> </w:t>
      </w:r>
      <w:r w:rsidR="00C92AF2" w:rsidRPr="004823C1">
        <w:rPr>
          <w:b/>
          <w:bCs/>
          <w:i/>
          <w:iCs/>
          <w:color w:val="215E99" w:themeColor="text2" w:themeTint="BF"/>
          <w:sz w:val="22"/>
          <w:szCs w:val="22"/>
        </w:rPr>
        <w:t>–</w:t>
      </w:r>
      <w:r w:rsidRPr="004823C1">
        <w:rPr>
          <w:b/>
          <w:bCs/>
          <w:i/>
          <w:iCs/>
          <w:color w:val="215E99" w:themeColor="text2" w:themeTint="BF"/>
          <w:sz w:val="22"/>
          <w:szCs w:val="22"/>
        </w:rPr>
        <w:t xml:space="preserve"> дирекция „Координация по въпросите на ЕС”</w:t>
      </w:r>
    </w:p>
    <w:p w14:paraId="19B25650" w14:textId="77777777" w:rsidR="00F97B00" w:rsidRPr="004823C1" w:rsidRDefault="00F97B00" w:rsidP="004823C1">
      <w:pPr>
        <w:shd w:val="clear" w:color="auto" w:fill="FFFFFF" w:themeFill="background1"/>
        <w:ind w:firstLine="425"/>
        <w:jc w:val="both"/>
        <w:rPr>
          <w:b/>
          <w:i/>
          <w:color w:val="800000"/>
          <w:sz w:val="22"/>
          <w:szCs w:val="22"/>
        </w:rPr>
      </w:pPr>
      <w:r w:rsidRPr="004823C1">
        <w:rPr>
          <w:b/>
          <w:i/>
          <w:color w:val="800000"/>
          <w:sz w:val="22"/>
          <w:szCs w:val="22"/>
        </w:rPr>
        <w:t>Дейности за предоставяне на продукта/услугата:</w:t>
      </w:r>
    </w:p>
    <w:p w14:paraId="69A604F1" w14:textId="0ADC5F4F"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Разработване, мониторинг и отчитане на годишния План за действие с мерките, произтичащи от членството на България в ЕС и графици за заседанията на Съвета на Европейския съюз</w:t>
      </w:r>
      <w:r w:rsidR="00EC062E" w:rsidRPr="004823C1">
        <w:rPr>
          <w:rFonts w:eastAsia="Batang"/>
          <w:b/>
          <w:bCs/>
          <w:sz w:val="22"/>
          <w:szCs w:val="22"/>
          <w:lang w:eastAsia="ko-KR"/>
        </w:rPr>
        <w:t>:</w:t>
      </w:r>
    </w:p>
    <w:p w14:paraId="21186F23" w14:textId="3E8B2E78"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Планът за действие за 2025 г. с мерките, произтичащи от членството на България в ЕС, е съгласу</w:t>
      </w:r>
      <w:r w:rsidR="003C488F" w:rsidRPr="004823C1">
        <w:rPr>
          <w:rFonts w:eastAsia="Batang"/>
          <w:sz w:val="22"/>
          <w:szCs w:val="22"/>
          <w:lang w:eastAsia="ko-KR"/>
        </w:rPr>
        <w:t>ван и приет от СЕВ на 13.01.</w:t>
      </w:r>
      <w:r w:rsidRPr="004823C1">
        <w:rPr>
          <w:rFonts w:eastAsia="Batang"/>
          <w:sz w:val="22"/>
          <w:szCs w:val="22"/>
          <w:lang w:eastAsia="ko-KR"/>
        </w:rPr>
        <w:t>2025 г. и от Министерския съвет с Решение № 63/</w:t>
      </w:r>
      <w:r w:rsidR="003C488F" w:rsidRPr="004823C1">
        <w:rPr>
          <w:rFonts w:eastAsia="Batang"/>
          <w:sz w:val="22"/>
          <w:szCs w:val="22"/>
          <w:lang w:eastAsia="ko-KR"/>
        </w:rPr>
        <w:t xml:space="preserve"> </w:t>
      </w:r>
      <w:r w:rsidRPr="004823C1">
        <w:rPr>
          <w:rFonts w:eastAsia="Batang"/>
          <w:sz w:val="22"/>
          <w:szCs w:val="22"/>
          <w:lang w:eastAsia="ko-KR"/>
        </w:rPr>
        <w:t>12.02.2025 г.</w:t>
      </w:r>
      <w:r w:rsidR="003C488F" w:rsidRPr="004823C1">
        <w:rPr>
          <w:rFonts w:eastAsia="Batang"/>
          <w:sz w:val="22"/>
          <w:szCs w:val="22"/>
          <w:lang w:eastAsia="ko-KR"/>
        </w:rPr>
        <w:t>;</w:t>
      </w:r>
    </w:p>
    <w:p w14:paraId="416C6689" w14:textId="28F365FD"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Планът за действие включва мерки, свързани с изготвянето на нормативни актове, транспониращи директиви на ЕС; мерки, осигуряващи прилагането на учредителните договори, регламентите и решенията на ЕС; мерки, свързани с докладване на ЕК и/или със задължение за предоставяне на информация съгласно учредителните договори, директивите, регламентите и решенията на ЕС (в случай, че не съществуват хоризонтални национални мерки относно докладването); мерки, свързани с ангажименти, поети в рамките на Пилотния проект за правото на ЕС или в рамките на текущи процедури за нарушения; както и неизпълнените мерки от Плана за</w:t>
      </w:r>
      <w:r w:rsidR="003C488F" w:rsidRPr="004823C1">
        <w:rPr>
          <w:rFonts w:eastAsia="Batang"/>
          <w:sz w:val="22"/>
          <w:szCs w:val="22"/>
          <w:lang w:eastAsia="ko-KR"/>
        </w:rPr>
        <w:t xml:space="preserve"> действие от предходната година;</w:t>
      </w:r>
    </w:p>
    <w:p w14:paraId="76A660EB" w14:textId="3A4AD015"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lastRenderedPageBreak/>
        <w:t xml:space="preserve">Планът за действие се разработва и отчита в реално време в интернет базираната информационна система </w:t>
      </w:r>
      <w:proofErr w:type="spellStart"/>
      <w:r w:rsidRPr="004823C1">
        <w:rPr>
          <w:rFonts w:eastAsia="Batang"/>
          <w:sz w:val="22"/>
          <w:szCs w:val="22"/>
          <w:lang w:eastAsia="ko-KR"/>
        </w:rPr>
        <w:t>ИнфраСолв</w:t>
      </w:r>
      <w:proofErr w:type="spellEnd"/>
      <w:r w:rsidRPr="004823C1">
        <w:rPr>
          <w:rFonts w:eastAsia="Batang"/>
          <w:sz w:val="22"/>
          <w:szCs w:val="22"/>
          <w:lang w:eastAsia="ko-KR"/>
        </w:rPr>
        <w:t>. Отчет за изпълнението на Плана се внася в МС на всеки три месеца, а в СЕВ се разглежда и одобрява ежемесечно. За отчетния период са изготвени и одобрени годишен отчет за изпълнението на Плана за предходната 2024</w:t>
      </w:r>
      <w:r w:rsidR="003C488F" w:rsidRPr="004823C1">
        <w:rPr>
          <w:rFonts w:eastAsia="Batang"/>
          <w:sz w:val="22"/>
          <w:szCs w:val="22"/>
          <w:lang w:eastAsia="ko-KR"/>
        </w:rPr>
        <w:t xml:space="preserve"> г. (РМС № 27/ 23.01.2025 г.), </w:t>
      </w:r>
      <w:r w:rsidRPr="004823C1">
        <w:rPr>
          <w:rFonts w:eastAsia="Batang"/>
          <w:sz w:val="22"/>
          <w:szCs w:val="22"/>
          <w:lang w:eastAsia="ko-KR"/>
        </w:rPr>
        <w:t>доклад за изпълнението на Плана за дейс</w:t>
      </w:r>
      <w:r w:rsidR="003C488F" w:rsidRPr="004823C1">
        <w:rPr>
          <w:rFonts w:eastAsia="Batang"/>
          <w:sz w:val="22"/>
          <w:szCs w:val="22"/>
          <w:lang w:eastAsia="ko-KR"/>
        </w:rPr>
        <w:t>твие за 2025 г. към 31.03.2025 г. (РМС № 231/17.04.2025 г.</w:t>
      </w:r>
      <w:r w:rsidRPr="004823C1">
        <w:rPr>
          <w:rFonts w:eastAsia="Batang"/>
          <w:sz w:val="22"/>
          <w:szCs w:val="22"/>
          <w:lang w:eastAsia="ko-KR"/>
        </w:rPr>
        <w:t>) и 5 ежемесечни отчета за изпълнението на Плана за 2025 г. След приемането на отчетите от МС, те се</w:t>
      </w:r>
      <w:r w:rsidR="003C488F" w:rsidRPr="004823C1">
        <w:rPr>
          <w:rFonts w:eastAsia="Batang"/>
          <w:sz w:val="22"/>
          <w:szCs w:val="22"/>
          <w:lang w:eastAsia="ko-KR"/>
        </w:rPr>
        <w:t xml:space="preserve"> изпращат до Народното събрание;</w:t>
      </w:r>
    </w:p>
    <w:p w14:paraId="67E11EB1" w14:textId="4FAFDCA6"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В рамките на разглеждането на отчетите от СЕВ се осъществяваше мониторинг на изпълнението на мерките от Плана за действие, като се изискваше докладване относно напредъка по изпълнението на забавените мерки. В рамките на ежемесечното отчитане на Плана за действие се проследяваше също и напредъкът при транспонирането на директивите с изтекъл или изтичащ срок, включен</w:t>
      </w:r>
      <w:r w:rsidR="00D4744E" w:rsidRPr="004823C1">
        <w:rPr>
          <w:rFonts w:eastAsia="Batang"/>
          <w:sz w:val="22"/>
          <w:szCs w:val="22"/>
          <w:lang w:eastAsia="ko-KR"/>
        </w:rPr>
        <w:t>и в Информационното табло на ЕК</w:t>
      </w:r>
      <w:r w:rsidRPr="004823C1">
        <w:rPr>
          <w:rFonts w:eastAsia="Batang"/>
          <w:sz w:val="22"/>
          <w:szCs w:val="22"/>
          <w:lang w:eastAsia="ko-KR"/>
        </w:rPr>
        <w:t xml:space="preserve"> за вътрешния пазар и конкурентоспособността. Таблото е механизъм за подпомагане на държавите членки за навременно и качествено прилагане на правилата на Вътрешния пазар на ЕС. Мониторингът на въвеждане на директивите в областта на Вътрешния пазар се осъществява отново основно чрез наличната отчетна информация в системата </w:t>
      </w:r>
      <w:proofErr w:type="spellStart"/>
      <w:r w:rsidRPr="004823C1">
        <w:rPr>
          <w:rFonts w:eastAsia="Batang"/>
          <w:sz w:val="22"/>
          <w:szCs w:val="22"/>
          <w:lang w:eastAsia="ko-KR"/>
        </w:rPr>
        <w:t>ИнфраСолв</w:t>
      </w:r>
      <w:proofErr w:type="spellEnd"/>
      <w:r w:rsidRPr="004823C1">
        <w:rPr>
          <w:rFonts w:eastAsia="Batang"/>
          <w:sz w:val="22"/>
          <w:szCs w:val="22"/>
          <w:lang w:eastAsia="ko-KR"/>
        </w:rPr>
        <w:t>, проследявана от експертите от дирекцията.</w:t>
      </w:r>
    </w:p>
    <w:p w14:paraId="426347F0" w14:textId="77777777"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 xml:space="preserve">Подготовка на становища по Законодателната и Оперативните програми на МС за съответствие с Плана за действие с мерките, произтичащи от членството на България в ЕС </w:t>
      </w:r>
    </w:p>
    <w:p w14:paraId="75CBA1A5" w14:textId="158A6C27"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През отчетния период са изготвени 2 становища на дир</w:t>
      </w:r>
      <w:r w:rsidR="00D4744E" w:rsidRPr="004823C1">
        <w:rPr>
          <w:rFonts w:eastAsia="Batang"/>
          <w:sz w:val="22"/>
          <w:szCs w:val="22"/>
          <w:lang w:eastAsia="ko-KR"/>
        </w:rPr>
        <w:t xml:space="preserve">екцията през м. януари 2025 г. </w:t>
      </w:r>
      <w:r w:rsidRPr="004823C1">
        <w:rPr>
          <w:rFonts w:eastAsia="Batang"/>
          <w:sz w:val="22"/>
          <w:szCs w:val="22"/>
          <w:lang w:eastAsia="ko-KR"/>
        </w:rPr>
        <w:t xml:space="preserve">съответно за Оперативната и Законодателната програма на МС за периода януари-юни 2025 г. Становищата на дирекцията включват конкретни предложения за допълване на програмите, както и за прецизиране на сроковете в нея в съответствие с Плана за действие с мерките, произтичащи от членството на България в ЕС за 2025 г. През м. юни са проведени неформални </w:t>
      </w:r>
      <w:proofErr w:type="spellStart"/>
      <w:r w:rsidRPr="004823C1">
        <w:rPr>
          <w:rFonts w:eastAsia="Batang"/>
          <w:sz w:val="22"/>
          <w:szCs w:val="22"/>
          <w:lang w:eastAsia="ko-KR"/>
        </w:rPr>
        <w:t>съгласувателни</w:t>
      </w:r>
      <w:proofErr w:type="spellEnd"/>
      <w:r w:rsidRPr="004823C1">
        <w:rPr>
          <w:rFonts w:eastAsia="Batang"/>
          <w:sz w:val="22"/>
          <w:szCs w:val="22"/>
          <w:lang w:eastAsia="ko-KR"/>
        </w:rPr>
        <w:t xml:space="preserve"> процедури с дирекция "Координация и модернизация на администрацията" в АМС за Оперативната и Законодателната програми за периода юли</w:t>
      </w:r>
      <w:r w:rsidR="00BC1672" w:rsidRPr="004823C1">
        <w:rPr>
          <w:rFonts w:eastAsia="Batang"/>
          <w:sz w:val="22"/>
          <w:szCs w:val="22"/>
          <w:lang w:val="en-US" w:eastAsia="ko-KR"/>
        </w:rPr>
        <w:t xml:space="preserve"> </w:t>
      </w:r>
      <w:r w:rsidR="00BC1672" w:rsidRPr="004823C1">
        <w:rPr>
          <w:rFonts w:eastAsia="Batang"/>
          <w:sz w:val="22"/>
          <w:szCs w:val="22"/>
          <w:lang w:eastAsia="ko-KR"/>
        </w:rPr>
        <w:t>–</w:t>
      </w:r>
      <w:r w:rsidR="00BC1672" w:rsidRPr="004823C1">
        <w:rPr>
          <w:rFonts w:eastAsia="Batang"/>
          <w:sz w:val="22"/>
          <w:szCs w:val="22"/>
          <w:lang w:val="en-US" w:eastAsia="ko-KR"/>
        </w:rPr>
        <w:t xml:space="preserve"> </w:t>
      </w:r>
      <w:r w:rsidRPr="004823C1">
        <w:rPr>
          <w:rFonts w:eastAsia="Batang"/>
          <w:sz w:val="22"/>
          <w:szCs w:val="22"/>
          <w:lang w:eastAsia="ko-KR"/>
        </w:rPr>
        <w:t>декември 2025 г.</w:t>
      </w:r>
    </w:p>
    <w:p w14:paraId="20052085" w14:textId="5426572A"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 xml:space="preserve">Подготовка на </w:t>
      </w:r>
      <w:proofErr w:type="spellStart"/>
      <w:r w:rsidRPr="004823C1">
        <w:rPr>
          <w:rFonts w:eastAsia="Batang"/>
          <w:b/>
          <w:bCs/>
          <w:sz w:val="22"/>
          <w:szCs w:val="22"/>
          <w:lang w:eastAsia="ko-KR"/>
        </w:rPr>
        <w:t>съгласувателни</w:t>
      </w:r>
      <w:proofErr w:type="spellEnd"/>
      <w:r w:rsidRPr="004823C1">
        <w:rPr>
          <w:rFonts w:eastAsia="Batang"/>
          <w:b/>
          <w:bCs/>
          <w:sz w:val="22"/>
          <w:szCs w:val="22"/>
          <w:lang w:eastAsia="ko-KR"/>
        </w:rPr>
        <w:t xml:space="preserve"> становища относно степента на съответствие на българските актове с правото на ЕС</w:t>
      </w:r>
      <w:r w:rsidR="00D4744E" w:rsidRPr="004823C1">
        <w:rPr>
          <w:rFonts w:eastAsia="Batang"/>
          <w:b/>
          <w:bCs/>
          <w:sz w:val="22"/>
          <w:szCs w:val="22"/>
          <w:lang w:eastAsia="ko-KR"/>
        </w:rPr>
        <w:t>:</w:t>
      </w:r>
    </w:p>
    <w:p w14:paraId="7FBD3F3E" w14:textId="4C993B64"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През отчетния период дирекция КВЕС обработи всички насочени преписки по компетентност, включително при необходимост изготви становища з</w:t>
      </w:r>
      <w:r w:rsidR="00D4744E" w:rsidRPr="004823C1">
        <w:rPr>
          <w:rFonts w:eastAsia="Batang"/>
          <w:sz w:val="22"/>
          <w:szCs w:val="22"/>
          <w:lang w:eastAsia="ko-KR"/>
        </w:rPr>
        <w:t>а съответствие с правото на ЕС;</w:t>
      </w:r>
    </w:p>
    <w:p w14:paraId="1A301ED1" w14:textId="57F9BCAC"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В допълнение на официалната кореспонденция експертите от дирекция КВЕС извършиха преглед и проследяване на ангажименти по 1 314 грами от Постоянното представителств</w:t>
      </w:r>
      <w:r w:rsidR="00D4744E" w:rsidRPr="004823C1">
        <w:rPr>
          <w:rFonts w:eastAsia="Batang"/>
          <w:sz w:val="22"/>
          <w:szCs w:val="22"/>
          <w:lang w:eastAsia="ko-KR"/>
        </w:rPr>
        <w:t>о на Република България към ЕС;</w:t>
      </w:r>
    </w:p>
    <w:p w14:paraId="431B03FA" w14:textId="77777777" w:rsidR="00F97B00" w:rsidRPr="004823C1" w:rsidRDefault="00F97B00" w:rsidP="004823C1">
      <w:pPr>
        <w:shd w:val="clear" w:color="auto" w:fill="FFFFFF" w:themeFill="background1"/>
        <w:tabs>
          <w:tab w:val="left" w:pos="993"/>
        </w:tabs>
        <w:autoSpaceDE w:val="0"/>
        <w:autoSpaceDN w:val="0"/>
        <w:adjustRightInd w:val="0"/>
        <w:ind w:firstLine="426"/>
        <w:jc w:val="both"/>
        <w:rPr>
          <w:sz w:val="22"/>
          <w:szCs w:val="22"/>
        </w:rPr>
      </w:pPr>
      <w:r w:rsidRPr="004823C1">
        <w:rPr>
          <w:rFonts w:eastAsia="Batang"/>
          <w:sz w:val="22"/>
          <w:szCs w:val="22"/>
          <w:lang w:eastAsia="ko-KR"/>
        </w:rPr>
        <w:t>Също така е обработена кореспонденцията до официалния електронен адрес на дирекцията</w:t>
      </w:r>
      <w:r w:rsidRPr="004823C1">
        <w:rPr>
          <w:sz w:val="22"/>
          <w:szCs w:val="22"/>
        </w:rPr>
        <w:t xml:space="preserve"> </w:t>
      </w:r>
      <w:hyperlink r:id="rId21" w:history="1">
        <w:r w:rsidRPr="004823C1">
          <w:rPr>
            <w:color w:val="215E99" w:themeColor="text2" w:themeTint="BF"/>
            <w:sz w:val="22"/>
            <w:szCs w:val="22"/>
          </w:rPr>
          <w:t>EUcoordination@government.bg</w:t>
        </w:r>
      </w:hyperlink>
      <w:r w:rsidRPr="004823C1">
        <w:rPr>
          <w:sz w:val="22"/>
          <w:szCs w:val="22"/>
        </w:rPr>
        <w:t>.</w:t>
      </w:r>
    </w:p>
    <w:p w14:paraId="7E7475AB" w14:textId="7028F6C4"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Разпределение на директиви, регламенти и решения и мониторинг върху последващите мерки за тяхното транспониране и прилагане</w:t>
      </w:r>
      <w:r w:rsidR="00D4744E" w:rsidRPr="004823C1">
        <w:rPr>
          <w:rFonts w:eastAsia="Batang"/>
          <w:b/>
          <w:bCs/>
          <w:sz w:val="22"/>
          <w:szCs w:val="22"/>
          <w:lang w:eastAsia="ko-KR"/>
        </w:rPr>
        <w:t>:</w:t>
      </w:r>
    </w:p>
    <w:p w14:paraId="54D317E2" w14:textId="6633D29D" w:rsidR="00F97B00" w:rsidRPr="004823C1" w:rsidRDefault="00D4744E"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В периода 01.01 – 30.06.</w:t>
      </w:r>
      <w:r w:rsidR="00F97B00" w:rsidRPr="004823C1">
        <w:rPr>
          <w:rFonts w:eastAsia="Batang"/>
          <w:sz w:val="22"/>
          <w:szCs w:val="22"/>
          <w:lang w:eastAsia="ko-KR"/>
        </w:rPr>
        <w:t>2025 г. дирекцията анализира и разпредели по работни групи и ведомства отговорностите за въвеждането и прилагането на общо 1</w:t>
      </w:r>
      <w:r w:rsidRPr="004823C1">
        <w:rPr>
          <w:rFonts w:eastAsia="Batang"/>
          <w:sz w:val="22"/>
          <w:szCs w:val="22"/>
          <w:lang w:eastAsia="ko-KR"/>
        </w:rPr>
        <w:t xml:space="preserve"> </w:t>
      </w:r>
      <w:r w:rsidR="00F97B00" w:rsidRPr="004823C1">
        <w:rPr>
          <w:rFonts w:eastAsia="Batang"/>
          <w:sz w:val="22"/>
          <w:szCs w:val="22"/>
          <w:lang w:eastAsia="ko-KR"/>
        </w:rPr>
        <w:t>698 акта на ЕС (21 директиви, 560 регламента и 1</w:t>
      </w:r>
      <w:r w:rsidRPr="004823C1">
        <w:rPr>
          <w:rFonts w:eastAsia="Batang"/>
          <w:sz w:val="22"/>
          <w:szCs w:val="22"/>
          <w:lang w:eastAsia="ko-KR"/>
        </w:rPr>
        <w:t xml:space="preserve"> </w:t>
      </w:r>
      <w:r w:rsidR="00F97B00" w:rsidRPr="004823C1">
        <w:rPr>
          <w:rFonts w:eastAsia="Batang"/>
          <w:sz w:val="22"/>
          <w:szCs w:val="22"/>
          <w:lang w:eastAsia="ko-KR"/>
        </w:rPr>
        <w:t xml:space="preserve">117 решения), публикувани в Официалния вестник на ЕС. Разпределението се осъществява текущо в системата </w:t>
      </w:r>
      <w:proofErr w:type="spellStart"/>
      <w:r w:rsidR="00F97B00" w:rsidRPr="004823C1">
        <w:rPr>
          <w:rFonts w:eastAsia="Batang"/>
          <w:sz w:val="22"/>
          <w:szCs w:val="22"/>
          <w:lang w:eastAsia="ko-KR"/>
        </w:rPr>
        <w:t>ИнфраСолв</w:t>
      </w:r>
      <w:proofErr w:type="spellEnd"/>
      <w:r w:rsidR="00F97B00" w:rsidRPr="004823C1">
        <w:rPr>
          <w:rFonts w:eastAsia="Batang"/>
          <w:sz w:val="22"/>
          <w:szCs w:val="22"/>
          <w:lang w:eastAsia="ko-KR"/>
        </w:rPr>
        <w:t xml:space="preserve"> и се одобрява о</w:t>
      </w:r>
      <w:r w:rsidRPr="004823C1">
        <w:rPr>
          <w:rFonts w:eastAsia="Batang"/>
          <w:sz w:val="22"/>
          <w:szCs w:val="22"/>
          <w:lang w:eastAsia="ko-KR"/>
        </w:rPr>
        <w:t>т СЕВ</w:t>
      </w:r>
      <w:r w:rsidR="00F97B00" w:rsidRPr="004823C1">
        <w:rPr>
          <w:rFonts w:eastAsia="Batang"/>
          <w:sz w:val="22"/>
          <w:szCs w:val="22"/>
          <w:lang w:eastAsia="ko-KR"/>
        </w:rPr>
        <w:t xml:space="preserve"> на ежемесечна база. Чрез системата </w:t>
      </w:r>
      <w:proofErr w:type="spellStart"/>
      <w:r w:rsidR="00F97B00" w:rsidRPr="004823C1">
        <w:rPr>
          <w:rFonts w:eastAsia="Batang"/>
          <w:sz w:val="22"/>
          <w:szCs w:val="22"/>
          <w:lang w:eastAsia="ko-KR"/>
        </w:rPr>
        <w:t>ИнфраСолв</w:t>
      </w:r>
      <w:proofErr w:type="spellEnd"/>
      <w:r w:rsidR="00F97B00" w:rsidRPr="004823C1">
        <w:rPr>
          <w:rFonts w:eastAsia="Batang"/>
          <w:sz w:val="22"/>
          <w:szCs w:val="22"/>
          <w:lang w:eastAsia="ko-KR"/>
        </w:rPr>
        <w:t xml:space="preserve"> дирекция КВЕС осъществява текущ мониторинг по определянето на лица за контакт от отговорните институции, сроковете и необходимостта от приемането на национални мерки за транспониране и/или прилагане на законодателството на ЕС.</w:t>
      </w:r>
    </w:p>
    <w:p w14:paraId="41480F32" w14:textId="14D59D0D"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Участие в работни групи по разработването на хармонизирани с правото и политиките на ЕС проекти на нормативни актове, конц</w:t>
      </w:r>
      <w:r w:rsidR="00D4744E" w:rsidRPr="004823C1">
        <w:rPr>
          <w:rFonts w:eastAsia="Batang"/>
          <w:b/>
          <w:bCs/>
          <w:sz w:val="22"/>
          <w:szCs w:val="22"/>
          <w:lang w:eastAsia="ko-KR"/>
        </w:rPr>
        <w:t>епции, програми и др. документи:</w:t>
      </w:r>
    </w:p>
    <w:p w14:paraId="047BBFB1" w14:textId="77777777"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През отчетния период представители на дирекцията участваха в следните работни групи, което е свързано с разработване, анализ и съгласуване на редица материали: </w:t>
      </w:r>
    </w:p>
    <w:p w14:paraId="1A75AA91" w14:textId="27885B5B" w:rsidR="00F97B00" w:rsidRPr="004823C1" w:rsidRDefault="00F97B00" w:rsidP="004823C1">
      <w:pPr>
        <w:pStyle w:val="ListParagraph"/>
        <w:numPr>
          <w:ilvl w:val="0"/>
          <w:numId w:val="63"/>
        </w:numPr>
        <w:shd w:val="clear" w:color="auto" w:fill="FFFFFF" w:themeFill="background1"/>
        <w:tabs>
          <w:tab w:val="left" w:pos="709"/>
        </w:tabs>
        <w:ind w:left="0" w:firstLine="426"/>
        <w:jc w:val="both"/>
        <w:rPr>
          <w:sz w:val="22"/>
          <w:szCs w:val="22"/>
        </w:rPr>
      </w:pPr>
      <w:r w:rsidRPr="004823C1">
        <w:rPr>
          <w:sz w:val="22"/>
          <w:szCs w:val="22"/>
        </w:rPr>
        <w:t xml:space="preserve">Работна група за изработване на национален механизъм за заплащане на финансовите санкции, наложени на Република България от Съда на Европейския съюз (ЕС) за неизпълнение на задълженията, произтичащи от правото на ЕС, създадена със Заповед </w:t>
      </w:r>
      <w:r w:rsidR="00B72191" w:rsidRPr="004823C1">
        <w:rPr>
          <w:sz w:val="22"/>
          <w:szCs w:val="22"/>
        </w:rPr>
        <w:br/>
      </w:r>
      <w:r w:rsidRPr="004823C1">
        <w:rPr>
          <w:sz w:val="22"/>
          <w:szCs w:val="22"/>
        </w:rPr>
        <w:t>№ ЗМФ-399/14.05.2025 г. на министъра на финансите;</w:t>
      </w:r>
    </w:p>
    <w:p w14:paraId="2F1D382C" w14:textId="77777777" w:rsidR="00F97B00" w:rsidRPr="004823C1" w:rsidRDefault="00F97B00" w:rsidP="004823C1">
      <w:pPr>
        <w:pStyle w:val="ListParagraph"/>
        <w:numPr>
          <w:ilvl w:val="0"/>
          <w:numId w:val="63"/>
        </w:numPr>
        <w:shd w:val="clear" w:color="auto" w:fill="FFFFFF" w:themeFill="background1"/>
        <w:tabs>
          <w:tab w:val="left" w:pos="709"/>
        </w:tabs>
        <w:ind w:left="0" w:firstLine="426"/>
        <w:jc w:val="both"/>
        <w:rPr>
          <w:sz w:val="22"/>
          <w:szCs w:val="22"/>
        </w:rPr>
      </w:pPr>
      <w:r w:rsidRPr="004823C1">
        <w:rPr>
          <w:sz w:val="22"/>
          <w:szCs w:val="22"/>
        </w:rPr>
        <w:lastRenderedPageBreak/>
        <w:t>Работна група за привеждане на националното законодателство в съответствие с Регламент 2024/1083 за създаване на обща рамка за медийните услуги на вътрешния пазар и за изменение на Директива 2010/13/ЕС към Министерството на културата;</w:t>
      </w:r>
    </w:p>
    <w:p w14:paraId="0F00AC01" w14:textId="77777777" w:rsidR="00F97B00" w:rsidRPr="004823C1" w:rsidRDefault="00F97B00" w:rsidP="004823C1">
      <w:pPr>
        <w:pStyle w:val="ListParagraph"/>
        <w:numPr>
          <w:ilvl w:val="0"/>
          <w:numId w:val="63"/>
        </w:numPr>
        <w:shd w:val="clear" w:color="auto" w:fill="FFFFFF" w:themeFill="background1"/>
        <w:tabs>
          <w:tab w:val="left" w:pos="709"/>
        </w:tabs>
        <w:ind w:left="0" w:firstLine="426"/>
        <w:jc w:val="both"/>
        <w:rPr>
          <w:sz w:val="22"/>
          <w:szCs w:val="22"/>
        </w:rPr>
      </w:pPr>
      <w:r w:rsidRPr="004823C1">
        <w:rPr>
          <w:sz w:val="22"/>
          <w:szCs w:val="22"/>
        </w:rPr>
        <w:t>Междуведомствена работна група за изготвяне на проект на план за насърчаване на колективното договаряне;</w:t>
      </w:r>
    </w:p>
    <w:p w14:paraId="27D368CC" w14:textId="77777777" w:rsidR="00F97B00" w:rsidRPr="004823C1" w:rsidRDefault="00F97B00" w:rsidP="004823C1">
      <w:pPr>
        <w:pStyle w:val="ListParagraph"/>
        <w:numPr>
          <w:ilvl w:val="0"/>
          <w:numId w:val="63"/>
        </w:numPr>
        <w:shd w:val="clear" w:color="auto" w:fill="FFFFFF" w:themeFill="background1"/>
        <w:tabs>
          <w:tab w:val="left" w:pos="709"/>
        </w:tabs>
        <w:ind w:left="0" w:firstLine="426"/>
        <w:jc w:val="both"/>
        <w:rPr>
          <w:sz w:val="22"/>
          <w:szCs w:val="22"/>
        </w:rPr>
      </w:pPr>
      <w:r w:rsidRPr="004823C1">
        <w:rPr>
          <w:sz w:val="22"/>
          <w:szCs w:val="22"/>
        </w:rPr>
        <w:t>Междуведомствена работна група за транспониране на Директива (ЕС) 2024/1499 и Директива (ЕС) 2024/1500 относно стандартите на органите по равенство;</w:t>
      </w:r>
    </w:p>
    <w:p w14:paraId="74682A0E" w14:textId="2B333F73" w:rsidR="00F97B00" w:rsidRPr="004823C1" w:rsidRDefault="00F97B00" w:rsidP="004823C1">
      <w:pPr>
        <w:pStyle w:val="ListParagraph"/>
        <w:numPr>
          <w:ilvl w:val="0"/>
          <w:numId w:val="63"/>
        </w:numPr>
        <w:shd w:val="clear" w:color="auto" w:fill="FFFFFF" w:themeFill="background1"/>
        <w:tabs>
          <w:tab w:val="left" w:pos="709"/>
        </w:tabs>
        <w:ind w:left="0" w:firstLine="426"/>
        <w:jc w:val="both"/>
        <w:rPr>
          <w:sz w:val="22"/>
          <w:szCs w:val="22"/>
        </w:rPr>
      </w:pPr>
      <w:r w:rsidRPr="004823C1">
        <w:rPr>
          <w:sz w:val="22"/>
          <w:szCs w:val="22"/>
        </w:rPr>
        <w:t>Междуведомствена работна група за транспониране в българското законодателство на Директива 2022/2041 относно адекватните мини</w:t>
      </w:r>
      <w:r w:rsidR="00B72191" w:rsidRPr="004823C1">
        <w:rPr>
          <w:sz w:val="22"/>
          <w:szCs w:val="22"/>
        </w:rPr>
        <w:t>мални работни заплати в ЕС;</w:t>
      </w:r>
    </w:p>
    <w:p w14:paraId="5B225405" w14:textId="2EC8FC1E" w:rsidR="00F97B00" w:rsidRPr="004823C1" w:rsidRDefault="00F97B00" w:rsidP="004823C1">
      <w:pPr>
        <w:pStyle w:val="ListParagraph"/>
        <w:numPr>
          <w:ilvl w:val="0"/>
          <w:numId w:val="63"/>
        </w:numPr>
        <w:shd w:val="clear" w:color="auto" w:fill="FFFFFF" w:themeFill="background1"/>
        <w:tabs>
          <w:tab w:val="left" w:pos="709"/>
        </w:tabs>
        <w:ind w:left="0" w:firstLine="426"/>
        <w:jc w:val="both"/>
        <w:rPr>
          <w:sz w:val="22"/>
          <w:szCs w:val="22"/>
        </w:rPr>
      </w:pPr>
      <w:r w:rsidRPr="004823C1">
        <w:rPr>
          <w:sz w:val="22"/>
          <w:szCs w:val="22"/>
        </w:rPr>
        <w:t>Междуведомствена работна група по Директива (ЕС) 2023</w:t>
      </w:r>
      <w:r w:rsidR="00B72191" w:rsidRPr="004823C1">
        <w:rPr>
          <w:sz w:val="22"/>
          <w:szCs w:val="22"/>
        </w:rPr>
        <w:t>/970 на ЕП и на Съвета от 10.05.</w:t>
      </w:r>
      <w:r w:rsidRPr="004823C1">
        <w:rPr>
          <w:sz w:val="22"/>
          <w:szCs w:val="22"/>
        </w:rPr>
        <w:t>2023 г. за укрепване прилагането на принципа на равно заплащане на жените и мъжете за равен труд или за труд с равна стойност чрез прозрачност в заплащането и механизми за прилагане;</w:t>
      </w:r>
    </w:p>
    <w:p w14:paraId="4EFE2440" w14:textId="77777777" w:rsidR="00F97B00" w:rsidRPr="004823C1" w:rsidRDefault="00F97B00" w:rsidP="004823C1">
      <w:pPr>
        <w:pStyle w:val="ListParagraph"/>
        <w:numPr>
          <w:ilvl w:val="0"/>
          <w:numId w:val="63"/>
        </w:numPr>
        <w:shd w:val="clear" w:color="auto" w:fill="FFFFFF" w:themeFill="background1"/>
        <w:tabs>
          <w:tab w:val="left" w:pos="709"/>
        </w:tabs>
        <w:ind w:left="0" w:firstLine="426"/>
        <w:jc w:val="both"/>
        <w:rPr>
          <w:sz w:val="22"/>
          <w:szCs w:val="22"/>
        </w:rPr>
      </w:pPr>
      <w:r w:rsidRPr="004823C1">
        <w:rPr>
          <w:sz w:val="22"/>
          <w:szCs w:val="22"/>
        </w:rPr>
        <w:t xml:space="preserve">Работна група по Наредба за условията и реда за поддържане на Списъка на регулираните професии в Република България; </w:t>
      </w:r>
    </w:p>
    <w:p w14:paraId="06C17C54" w14:textId="77777777" w:rsidR="00F97B00" w:rsidRPr="004823C1" w:rsidRDefault="00F97B00" w:rsidP="004823C1">
      <w:pPr>
        <w:pStyle w:val="ListParagraph"/>
        <w:numPr>
          <w:ilvl w:val="0"/>
          <w:numId w:val="63"/>
        </w:numPr>
        <w:shd w:val="clear" w:color="auto" w:fill="FFFFFF" w:themeFill="background1"/>
        <w:tabs>
          <w:tab w:val="left" w:pos="709"/>
        </w:tabs>
        <w:ind w:left="0" w:firstLine="426"/>
        <w:jc w:val="both"/>
        <w:rPr>
          <w:sz w:val="22"/>
          <w:szCs w:val="22"/>
        </w:rPr>
      </w:pPr>
      <w:r w:rsidRPr="004823C1">
        <w:rPr>
          <w:sz w:val="22"/>
          <w:szCs w:val="22"/>
        </w:rPr>
        <w:t>Междуведомствена работна група за изготвяне на позиции на РБ за заседанията на Съвета на ЕС по конкурентоспособност, създадена със Заповед на министъра на икономиката и индустрията;</w:t>
      </w:r>
    </w:p>
    <w:p w14:paraId="47CB4429" w14:textId="48EBC71F" w:rsidR="00F97B00" w:rsidRPr="004823C1" w:rsidRDefault="00F97B00" w:rsidP="004823C1">
      <w:pPr>
        <w:pStyle w:val="ListParagraph"/>
        <w:numPr>
          <w:ilvl w:val="0"/>
          <w:numId w:val="63"/>
        </w:numPr>
        <w:shd w:val="clear" w:color="auto" w:fill="FFFFFF" w:themeFill="background1"/>
        <w:tabs>
          <w:tab w:val="left" w:pos="709"/>
        </w:tabs>
        <w:ind w:left="0" w:firstLine="426"/>
        <w:jc w:val="both"/>
        <w:rPr>
          <w:sz w:val="22"/>
          <w:szCs w:val="22"/>
        </w:rPr>
      </w:pPr>
      <w:r w:rsidRPr="004823C1">
        <w:rPr>
          <w:sz w:val="22"/>
          <w:szCs w:val="22"/>
        </w:rPr>
        <w:t xml:space="preserve">Работна група за подготовка и координация на участието на РБ в ИФК, КИП и </w:t>
      </w:r>
      <w:r w:rsidR="00547B83" w:rsidRPr="004823C1">
        <w:rPr>
          <w:sz w:val="22"/>
          <w:szCs w:val="22"/>
        </w:rPr>
        <w:br/>
      </w:r>
      <w:r w:rsidRPr="004823C1">
        <w:rPr>
          <w:sz w:val="22"/>
          <w:szCs w:val="22"/>
        </w:rPr>
        <w:t>ЕКОФИН и др.</w:t>
      </w:r>
    </w:p>
    <w:p w14:paraId="5C02A1B9" w14:textId="77777777"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Представители на дирекция КВЕС са членове на Комитетите за наблюдение на Споразумението за партньорство и програмите за периода 2021-2027 г., респективно участваха в присъствените заседания и проведените писмени процедури. </w:t>
      </w:r>
    </w:p>
    <w:p w14:paraId="6C032553" w14:textId="79A47902"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Координация, проверка и верификация на нотификацията на националните мерки, с които се въвеждат директивите на ЕС</w:t>
      </w:r>
      <w:r w:rsidR="00FE59B5" w:rsidRPr="004823C1">
        <w:rPr>
          <w:rFonts w:eastAsia="Batang"/>
          <w:b/>
          <w:bCs/>
          <w:sz w:val="22"/>
          <w:szCs w:val="22"/>
          <w:lang w:eastAsia="ko-KR"/>
        </w:rPr>
        <w:t>:</w:t>
      </w:r>
    </w:p>
    <w:p w14:paraId="4FBBC94D" w14:textId="240DBD94"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В периода януари-юни 2025 г. са проверени и потвърдени пред Европейската комисия общо 82 нотификации на национални изпълни</w:t>
      </w:r>
      <w:r w:rsidR="00FE59B5" w:rsidRPr="004823C1">
        <w:rPr>
          <w:rFonts w:eastAsia="Batang"/>
          <w:sz w:val="22"/>
          <w:szCs w:val="22"/>
          <w:lang w:eastAsia="ko-KR"/>
        </w:rPr>
        <w:t>телни мерки в системата THEMIS;</w:t>
      </w:r>
    </w:p>
    <w:p w14:paraId="72267B64" w14:textId="77777777" w:rsidR="00F97B00" w:rsidRPr="004823C1" w:rsidRDefault="00F97B00" w:rsidP="004823C1">
      <w:pPr>
        <w:shd w:val="clear" w:color="auto" w:fill="FFFFFF" w:themeFill="background1"/>
        <w:tabs>
          <w:tab w:val="left" w:pos="993"/>
        </w:tabs>
        <w:autoSpaceDE w:val="0"/>
        <w:autoSpaceDN w:val="0"/>
        <w:adjustRightInd w:val="0"/>
        <w:ind w:left="426"/>
        <w:jc w:val="both"/>
        <w:rPr>
          <w:rFonts w:eastAsia="Batang"/>
          <w:sz w:val="22"/>
          <w:szCs w:val="22"/>
          <w:lang w:eastAsia="ko-KR"/>
        </w:rPr>
      </w:pPr>
      <w:r w:rsidRPr="004823C1">
        <w:rPr>
          <w:rFonts w:eastAsia="Batang"/>
          <w:sz w:val="22"/>
          <w:szCs w:val="22"/>
          <w:lang w:eastAsia="ko-KR"/>
        </w:rPr>
        <w:t xml:space="preserve">Във връзка с изпълнението на тази дейност дирекция КВЕС поддържа: </w:t>
      </w:r>
    </w:p>
    <w:p w14:paraId="4958A529" w14:textId="77777777" w:rsidR="00F97B00" w:rsidRPr="004823C1" w:rsidRDefault="00F97B00" w:rsidP="004823C1">
      <w:pPr>
        <w:pStyle w:val="ListParagraph"/>
        <w:numPr>
          <w:ilvl w:val="0"/>
          <w:numId w:val="63"/>
        </w:numPr>
        <w:shd w:val="clear" w:color="auto" w:fill="FFFFFF" w:themeFill="background1"/>
        <w:tabs>
          <w:tab w:val="left" w:pos="709"/>
        </w:tabs>
        <w:ind w:left="0" w:firstLine="426"/>
        <w:jc w:val="both"/>
        <w:rPr>
          <w:sz w:val="22"/>
          <w:szCs w:val="22"/>
        </w:rPr>
      </w:pPr>
      <w:r w:rsidRPr="004823C1">
        <w:rPr>
          <w:sz w:val="22"/>
          <w:szCs w:val="22"/>
        </w:rPr>
        <w:t xml:space="preserve">статистика за всички директиви, които предстои да бъдат нотифицирани; </w:t>
      </w:r>
    </w:p>
    <w:p w14:paraId="68C4FD38" w14:textId="77777777" w:rsidR="00F97B00" w:rsidRPr="004823C1" w:rsidRDefault="00F97B00" w:rsidP="004823C1">
      <w:pPr>
        <w:pStyle w:val="ListParagraph"/>
        <w:numPr>
          <w:ilvl w:val="0"/>
          <w:numId w:val="63"/>
        </w:numPr>
        <w:shd w:val="clear" w:color="auto" w:fill="FFFFFF" w:themeFill="background1"/>
        <w:tabs>
          <w:tab w:val="left" w:pos="709"/>
        </w:tabs>
        <w:ind w:left="0" w:firstLine="426"/>
        <w:jc w:val="both"/>
        <w:rPr>
          <w:sz w:val="22"/>
          <w:szCs w:val="22"/>
        </w:rPr>
      </w:pPr>
      <w:r w:rsidRPr="004823C1">
        <w:rPr>
          <w:sz w:val="22"/>
          <w:szCs w:val="22"/>
        </w:rPr>
        <w:t>информация за напредъка по нотификацията на всяка директива;</w:t>
      </w:r>
    </w:p>
    <w:p w14:paraId="683339B0" w14:textId="77777777" w:rsidR="00F97B00" w:rsidRPr="004823C1" w:rsidRDefault="00F97B00" w:rsidP="004823C1">
      <w:pPr>
        <w:pStyle w:val="ListParagraph"/>
        <w:numPr>
          <w:ilvl w:val="0"/>
          <w:numId w:val="63"/>
        </w:numPr>
        <w:shd w:val="clear" w:color="auto" w:fill="FFFFFF" w:themeFill="background1"/>
        <w:tabs>
          <w:tab w:val="left" w:pos="709"/>
        </w:tabs>
        <w:ind w:left="0" w:firstLine="426"/>
        <w:jc w:val="both"/>
        <w:rPr>
          <w:sz w:val="22"/>
          <w:szCs w:val="22"/>
        </w:rPr>
      </w:pPr>
      <w:r w:rsidRPr="004823C1">
        <w:rPr>
          <w:sz w:val="22"/>
          <w:szCs w:val="22"/>
        </w:rPr>
        <w:t>информация за лицата от ресорните министерства, които са оторизирани да извършват предварителна нотификация в системата на ЕК.</w:t>
      </w:r>
    </w:p>
    <w:p w14:paraId="103907CE" w14:textId="039EF829"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Участие в работни групи, конференции и семинари на ниво ЕС по отношение изпълнение на ангажименти на страната към ЕС (Европейската правна мрежа, РГ по Пилотния проект на ЕС, Форум за вътрешния пазар, Конференции по транспониране на директивите и др.</w:t>
      </w:r>
      <w:r w:rsidR="00870029" w:rsidRPr="004823C1">
        <w:rPr>
          <w:rFonts w:eastAsia="Batang"/>
          <w:b/>
          <w:bCs/>
          <w:sz w:val="22"/>
          <w:szCs w:val="22"/>
          <w:lang w:eastAsia="ko-KR"/>
        </w:rPr>
        <w:t>:</w:t>
      </w:r>
    </w:p>
    <w:p w14:paraId="76ED2EC4" w14:textId="77777777"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През отчетния период се проведе едно заседание на Европейската правна мрежа (ЕU </w:t>
      </w:r>
      <w:r w:rsidRPr="004823C1">
        <w:rPr>
          <w:rFonts w:eastAsia="Batang"/>
          <w:sz w:val="22"/>
          <w:szCs w:val="22"/>
          <w:lang w:val="en-US" w:eastAsia="ko-KR"/>
        </w:rPr>
        <w:t>Law Network</w:t>
      </w:r>
      <w:r w:rsidRPr="004823C1">
        <w:rPr>
          <w:rFonts w:eastAsia="Batang"/>
          <w:sz w:val="22"/>
          <w:szCs w:val="22"/>
          <w:lang w:eastAsia="ko-KR"/>
        </w:rPr>
        <w:t xml:space="preserve">), в което представители на дирекция КВЕС участваха дистанционно. Комисията информира участниците относно работата на Работната група по транспонирането и постигнатия напредък в сътрудничеството между държавите членки и Комисията по въвеждането на директивите. Беше обсъдено използването на образци на обяснителни документи, както и на пътни карти за транспониране. Като първа стъпка Комисията предлага да се добавят някои полета в THEMIS, които след това да могат да бъдат редактирани съответно от Комисията и държавите членки. Допълнителен напредък ще бъде постигнат и през втората половина на 2025 г. по отношение на ръководството за транспониране. През следващите месеци се очакват подобрения в публичния регистър на Комисията за процедурите за нарушение. </w:t>
      </w:r>
      <w:r w:rsidRPr="004823C1">
        <w:rPr>
          <w:rFonts w:eastAsia="Batang"/>
          <w:sz w:val="22"/>
          <w:szCs w:val="22"/>
          <w:lang w:val="en-US" w:eastAsia="ko-KR"/>
        </w:rPr>
        <w:t>Themis/Dialogue</w:t>
      </w:r>
      <w:r w:rsidRPr="004823C1">
        <w:rPr>
          <w:rFonts w:eastAsia="Batang"/>
          <w:sz w:val="22"/>
          <w:szCs w:val="22"/>
          <w:lang w:eastAsia="ko-KR"/>
        </w:rPr>
        <w:t xml:space="preserve"> трябва да замени THEMIS/EU </w:t>
      </w:r>
      <w:proofErr w:type="spellStart"/>
      <w:r w:rsidRPr="004823C1">
        <w:rPr>
          <w:rFonts w:eastAsia="Batang"/>
          <w:sz w:val="22"/>
          <w:szCs w:val="22"/>
          <w:lang w:val="en-US" w:eastAsia="ko-KR"/>
        </w:rPr>
        <w:t>Pilo</w:t>
      </w:r>
      <w:proofErr w:type="spellEnd"/>
      <w:r w:rsidRPr="004823C1">
        <w:rPr>
          <w:rFonts w:eastAsia="Batang"/>
          <w:sz w:val="22"/>
          <w:szCs w:val="22"/>
          <w:lang w:eastAsia="ko-KR"/>
        </w:rPr>
        <w:t>t през първото полугодие на 2025 г. Във връзка с разглеждането на жалби до лятото на 2025 г. се очакват преработена уебстраница, предназначена за потенциални жалбоподатели и по-широка заинтересована общественост и преработен стандартен (онлайн) формуляр за жалби.</w:t>
      </w:r>
    </w:p>
    <w:p w14:paraId="0428199B" w14:textId="21D1EACC"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Национална точка за контакт с Бюрото за техническо подпомагане при обмена на информация (TAIEX Office) на Европейската комисия по отношение на изпълнителната власт в Република България</w:t>
      </w:r>
      <w:r w:rsidR="00870029" w:rsidRPr="004823C1">
        <w:rPr>
          <w:rFonts w:eastAsia="Batang"/>
          <w:b/>
          <w:bCs/>
          <w:sz w:val="22"/>
          <w:szCs w:val="22"/>
          <w:lang w:eastAsia="ko-KR"/>
        </w:rPr>
        <w:t>:</w:t>
      </w:r>
    </w:p>
    <w:p w14:paraId="116B014A" w14:textId="65751807"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За периода януари-юни 2025 г. е реализирана координация по участието на 1 български експерт като лектор в 1 събитие по TAIEX в сферата на икономическата политика; 26 служители на </w:t>
      </w:r>
      <w:r w:rsidRPr="004823C1">
        <w:rPr>
          <w:rFonts w:eastAsia="Batang"/>
          <w:sz w:val="22"/>
          <w:szCs w:val="22"/>
          <w:lang w:eastAsia="ko-KR"/>
        </w:rPr>
        <w:lastRenderedPageBreak/>
        <w:t>администрацията са участвали като бенефициенти на събития, организирани по TAIEX, основно в сферата на управлението на средствата</w:t>
      </w:r>
      <w:r w:rsidR="00870029" w:rsidRPr="004823C1">
        <w:rPr>
          <w:rFonts w:eastAsia="Batang"/>
          <w:sz w:val="22"/>
          <w:szCs w:val="22"/>
          <w:lang w:eastAsia="ko-KR"/>
        </w:rPr>
        <w:t xml:space="preserve"> по структурните фондове на ЕС;</w:t>
      </w:r>
    </w:p>
    <w:p w14:paraId="511D2D47" w14:textId="77777777"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Представител на дирекция КВЕС участва в Годишната среща на Националните контактни точки по програмите TAIEX и </w:t>
      </w:r>
      <w:proofErr w:type="spellStart"/>
      <w:r w:rsidRPr="004823C1">
        <w:rPr>
          <w:rFonts w:eastAsia="Batang"/>
          <w:sz w:val="22"/>
          <w:szCs w:val="22"/>
          <w:lang w:eastAsia="ko-KR"/>
        </w:rPr>
        <w:t>Twining</w:t>
      </w:r>
      <w:proofErr w:type="spellEnd"/>
      <w:r w:rsidRPr="004823C1">
        <w:rPr>
          <w:rFonts w:eastAsia="Batang"/>
          <w:sz w:val="22"/>
          <w:szCs w:val="22"/>
          <w:lang w:eastAsia="ko-KR"/>
        </w:rPr>
        <w:t>, 18-19 февруари 2025 г., град Брюксел, Кралство Белгия.</w:t>
      </w:r>
    </w:p>
    <w:p w14:paraId="675EDBE0" w14:textId="71E152BC"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Координация и съгласуване на отговорите и допълнителните информации по запитвания от ЕК, получени чрез Пилотния проект на ЕС/THEMIS/</w:t>
      </w:r>
      <w:proofErr w:type="spellStart"/>
      <w:r w:rsidRPr="004823C1">
        <w:rPr>
          <w:rFonts w:eastAsia="Batang"/>
          <w:b/>
          <w:bCs/>
          <w:sz w:val="22"/>
          <w:szCs w:val="22"/>
          <w:lang w:eastAsia="ko-KR"/>
        </w:rPr>
        <w:t>Dialogue</w:t>
      </w:r>
      <w:proofErr w:type="spellEnd"/>
      <w:r w:rsidRPr="004823C1">
        <w:rPr>
          <w:rFonts w:eastAsia="Batang"/>
          <w:b/>
          <w:bCs/>
          <w:sz w:val="22"/>
          <w:szCs w:val="22"/>
          <w:lang w:eastAsia="ko-KR"/>
        </w:rPr>
        <w:t xml:space="preserve"> или чрез кореспонденция на службите на ЕК с ППРБЕС (информационна фаза)</w:t>
      </w:r>
      <w:r w:rsidR="00870029" w:rsidRPr="004823C1">
        <w:rPr>
          <w:rFonts w:eastAsia="Batang"/>
          <w:b/>
          <w:bCs/>
          <w:sz w:val="22"/>
          <w:szCs w:val="22"/>
          <w:lang w:eastAsia="ko-KR"/>
        </w:rPr>
        <w:t>:</w:t>
      </w:r>
    </w:p>
    <w:p w14:paraId="3D260D79" w14:textId="2FA3D5D6"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На 30 юни официално Пилотния проект за правото на ЕС (</w:t>
      </w:r>
      <w:proofErr w:type="spellStart"/>
      <w:r w:rsidRPr="004823C1">
        <w:rPr>
          <w:rFonts w:eastAsia="Batang"/>
          <w:sz w:val="22"/>
          <w:szCs w:val="22"/>
          <w:lang w:val="en-US" w:eastAsia="ko-KR"/>
        </w:rPr>
        <w:t>EUPilot</w:t>
      </w:r>
      <w:proofErr w:type="spellEnd"/>
      <w:r w:rsidRPr="004823C1">
        <w:rPr>
          <w:rFonts w:eastAsia="Batang"/>
          <w:sz w:val="22"/>
          <w:szCs w:val="22"/>
          <w:lang w:val="en-US" w:eastAsia="ko-KR"/>
        </w:rPr>
        <w:t>)</w:t>
      </w:r>
      <w:r w:rsidRPr="004823C1">
        <w:rPr>
          <w:rFonts w:eastAsia="Batang"/>
          <w:sz w:val="22"/>
          <w:szCs w:val="22"/>
          <w:lang w:eastAsia="ko-KR"/>
        </w:rPr>
        <w:t xml:space="preserve"> беше заменен </w:t>
      </w:r>
      <w:bookmarkStart w:id="12" w:name="_Hlk204591057"/>
      <w:r w:rsidR="00870029" w:rsidRPr="004823C1">
        <w:rPr>
          <w:rFonts w:eastAsia="Batang"/>
          <w:sz w:val="22"/>
          <w:szCs w:val="22"/>
          <w:lang w:eastAsia="ko-KR"/>
        </w:rPr>
        <w:t xml:space="preserve">с Неформален </w:t>
      </w:r>
      <w:r w:rsidRPr="004823C1">
        <w:rPr>
          <w:rFonts w:eastAsia="Batang"/>
          <w:sz w:val="22"/>
          <w:szCs w:val="22"/>
          <w:lang w:eastAsia="ko-KR"/>
        </w:rPr>
        <w:t xml:space="preserve">диалог </w:t>
      </w:r>
      <w:bookmarkStart w:id="13" w:name="_Hlk204589634"/>
      <w:r w:rsidRPr="004823C1">
        <w:rPr>
          <w:rFonts w:eastAsia="Batang"/>
          <w:sz w:val="22"/>
          <w:szCs w:val="22"/>
          <w:lang w:eastAsia="ko-KR"/>
        </w:rPr>
        <w:t xml:space="preserve">за прилагане на правото на ЕС </w:t>
      </w:r>
      <w:bookmarkEnd w:id="12"/>
      <w:r w:rsidRPr="004823C1">
        <w:rPr>
          <w:rFonts w:eastAsia="Batang"/>
          <w:sz w:val="22"/>
          <w:szCs w:val="22"/>
          <w:lang w:eastAsia="ko-KR"/>
        </w:rPr>
        <w:t>(THEMIS/</w:t>
      </w:r>
      <w:r w:rsidRPr="004823C1">
        <w:rPr>
          <w:rFonts w:eastAsia="Batang"/>
          <w:sz w:val="22"/>
          <w:szCs w:val="22"/>
          <w:lang w:val="en-US" w:eastAsia="ko-KR"/>
        </w:rPr>
        <w:t>Dialogue</w:t>
      </w:r>
      <w:bookmarkEnd w:id="13"/>
      <w:r w:rsidR="00870029" w:rsidRPr="004823C1">
        <w:rPr>
          <w:rFonts w:eastAsia="Batang"/>
          <w:sz w:val="22"/>
          <w:szCs w:val="22"/>
          <w:lang w:eastAsia="ko-KR"/>
        </w:rPr>
        <w:t>);</w:t>
      </w:r>
    </w:p>
    <w:p w14:paraId="77DFA06A" w14:textId="567E3DA8"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През отчетния период са разпределени всички получени запитвания (13 на брой). Съгласувани и изпратени на ЕК са 12 отговора и 8 допълнител</w:t>
      </w:r>
      <w:r w:rsidR="00870029" w:rsidRPr="004823C1">
        <w:rPr>
          <w:rFonts w:eastAsia="Batang"/>
          <w:sz w:val="22"/>
          <w:szCs w:val="22"/>
          <w:lang w:eastAsia="ko-KR"/>
        </w:rPr>
        <w:t>ни информации до службите на ЕК;</w:t>
      </w:r>
    </w:p>
    <w:p w14:paraId="5919EAF5" w14:textId="1FB928D5"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За всеки един етап от извършените дейности по координация на Пилотния проект на ЕК/ THEMIS/</w:t>
      </w:r>
      <w:r w:rsidRPr="004823C1">
        <w:rPr>
          <w:rFonts w:eastAsia="Batang"/>
          <w:sz w:val="22"/>
          <w:szCs w:val="22"/>
          <w:lang w:val="en-US" w:eastAsia="ko-KR"/>
        </w:rPr>
        <w:t>Dialogue</w:t>
      </w:r>
      <w:r w:rsidRPr="004823C1">
        <w:rPr>
          <w:rFonts w:eastAsia="Batang"/>
          <w:sz w:val="22"/>
          <w:szCs w:val="22"/>
          <w:lang w:eastAsia="ko-KR"/>
        </w:rPr>
        <w:t xml:space="preserve"> и кореспонденцията на службите на ЕК с ППРБЕС са извършени съответните записи в системата </w:t>
      </w:r>
      <w:proofErr w:type="spellStart"/>
      <w:r w:rsidRPr="004823C1">
        <w:rPr>
          <w:rFonts w:eastAsia="Batang"/>
          <w:sz w:val="22"/>
          <w:szCs w:val="22"/>
          <w:lang w:eastAsia="ko-KR"/>
        </w:rPr>
        <w:t>ИнфраСолв</w:t>
      </w:r>
      <w:proofErr w:type="spellEnd"/>
      <w:r w:rsidRPr="004823C1">
        <w:rPr>
          <w:rFonts w:eastAsia="Batang"/>
          <w:sz w:val="22"/>
          <w:szCs w:val="22"/>
          <w:lang w:eastAsia="ko-KR"/>
        </w:rPr>
        <w:t>.</w:t>
      </w:r>
    </w:p>
    <w:p w14:paraId="52579AEF" w14:textId="69108267"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Координация и съгласуване на позициите и допълнителните информации от отговорните институции в рамките на досъдебната фаза на процедурата за нар</w:t>
      </w:r>
      <w:r w:rsidR="00870029" w:rsidRPr="004823C1">
        <w:rPr>
          <w:rFonts w:eastAsia="Batang"/>
          <w:b/>
          <w:bCs/>
          <w:sz w:val="22"/>
          <w:szCs w:val="22"/>
          <w:lang w:eastAsia="ko-KR"/>
        </w:rPr>
        <w:t>ушение по чл. 258 – 260 от ДФЕС:</w:t>
      </w:r>
    </w:p>
    <w:p w14:paraId="05DFAC2D" w14:textId="3476E7E0"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Дирекция КВЕС осъществява координацията на досъдебната фаза от процедурата за нарушение по чл. 258 – 260 от ДФЕС. След получаването на официално уведомително писмо (ОУП) или мотивирано становище дирекция КВЕС информира ресорните министерства и ведомства за съответната процедура за нарушение. В изготвените писма се определя срок за подготовка на позицията на Република България, като при необходимост се дават указани</w:t>
      </w:r>
      <w:r w:rsidR="00870029" w:rsidRPr="004823C1">
        <w:rPr>
          <w:rFonts w:eastAsia="Batang"/>
          <w:sz w:val="22"/>
          <w:szCs w:val="22"/>
          <w:lang w:eastAsia="ko-KR"/>
        </w:rPr>
        <w:t>я за съдържанието на позицията;</w:t>
      </w:r>
    </w:p>
    <w:p w14:paraId="70DCFCA8" w14:textId="7EBAB8B2"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Експертите следят за спазване на сроковете за отговор, анализират проектите на позиции/допълнителни информации и дават становища по тях в рамките на съответната работна група по ПМС № 85/2007 г. и при съгласуването в СЕВ. След одобряване от СЕВ позициите се изпращат до Европейската комисия чрез </w:t>
      </w:r>
      <w:r w:rsidR="00870029" w:rsidRPr="004823C1">
        <w:rPr>
          <w:rFonts w:eastAsia="Batang"/>
          <w:sz w:val="22"/>
          <w:szCs w:val="22"/>
          <w:lang w:eastAsia="ko-KR"/>
        </w:rPr>
        <w:t>системата THEMIS/</w:t>
      </w:r>
      <w:proofErr w:type="spellStart"/>
      <w:r w:rsidR="00870029" w:rsidRPr="004823C1">
        <w:rPr>
          <w:rFonts w:eastAsia="Batang"/>
          <w:sz w:val="22"/>
          <w:szCs w:val="22"/>
          <w:lang w:eastAsia="ko-KR"/>
        </w:rPr>
        <w:t>Infringements</w:t>
      </w:r>
      <w:proofErr w:type="spellEnd"/>
      <w:r w:rsidR="00870029" w:rsidRPr="004823C1">
        <w:rPr>
          <w:rFonts w:eastAsia="Batang"/>
          <w:sz w:val="22"/>
          <w:szCs w:val="22"/>
          <w:lang w:eastAsia="ko-KR"/>
        </w:rPr>
        <w:t>;</w:t>
      </w:r>
    </w:p>
    <w:p w14:paraId="68D5AFB7" w14:textId="5007805A"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Дирекция КВЕС също така следи за изпълнение на ангажиментите, поети от Република България в рамките на процедурите за нарушение, за включване на тези ангажименти в плановете за действие за съответната година и за изпращане на допълнителна информация до Е</w:t>
      </w:r>
      <w:r w:rsidR="00870029" w:rsidRPr="004823C1">
        <w:rPr>
          <w:rFonts w:eastAsia="Batang"/>
          <w:sz w:val="22"/>
          <w:szCs w:val="22"/>
          <w:lang w:eastAsia="ko-KR"/>
        </w:rPr>
        <w:t>К за хода на тяхното изпълнение;</w:t>
      </w:r>
    </w:p>
    <w:p w14:paraId="68C2F4E4" w14:textId="04851F49"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Дирекцията поддържа база данни с информация относно процедурите за нарушение, включително кореспон</w:t>
      </w:r>
      <w:r w:rsidR="00870029" w:rsidRPr="004823C1">
        <w:rPr>
          <w:rFonts w:eastAsia="Batang"/>
          <w:sz w:val="22"/>
          <w:szCs w:val="22"/>
          <w:lang w:eastAsia="ko-KR"/>
        </w:rPr>
        <w:t>денцията с Европейската комисия;</w:t>
      </w:r>
    </w:p>
    <w:p w14:paraId="1A39C0DF" w14:textId="04F9E8E1"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В рамките на отчетния период е извършена координация, съгласуване и изпращане на Европейската комисия на </w:t>
      </w:r>
      <w:bookmarkStart w:id="14" w:name="_Hlk204587417"/>
      <w:r w:rsidRPr="004823C1">
        <w:rPr>
          <w:rFonts w:eastAsia="Batang"/>
          <w:sz w:val="22"/>
          <w:szCs w:val="22"/>
          <w:lang w:eastAsia="ko-KR"/>
        </w:rPr>
        <w:t xml:space="preserve">общо 29 позиции и 25 допълнителни информации </w:t>
      </w:r>
      <w:bookmarkEnd w:id="14"/>
      <w:r w:rsidRPr="004823C1">
        <w:rPr>
          <w:rFonts w:eastAsia="Batang"/>
          <w:sz w:val="22"/>
          <w:szCs w:val="22"/>
          <w:lang w:eastAsia="ko-KR"/>
        </w:rPr>
        <w:t>в рамките на досъдебната ф</w:t>
      </w:r>
      <w:r w:rsidR="00870029" w:rsidRPr="004823C1">
        <w:rPr>
          <w:rFonts w:eastAsia="Batang"/>
          <w:sz w:val="22"/>
          <w:szCs w:val="22"/>
          <w:lang w:eastAsia="ko-KR"/>
        </w:rPr>
        <w:t>аза на процедурите за нарушение;</w:t>
      </w:r>
    </w:p>
    <w:p w14:paraId="34A8F006" w14:textId="31CA6132"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За периода </w:t>
      </w:r>
      <w:r w:rsidR="00870029" w:rsidRPr="004823C1">
        <w:rPr>
          <w:rFonts w:eastAsia="Batang"/>
          <w:sz w:val="22"/>
          <w:szCs w:val="22"/>
          <w:lang w:eastAsia="ko-KR"/>
        </w:rPr>
        <w:t>0</w:t>
      </w:r>
      <w:r w:rsidRPr="004823C1">
        <w:rPr>
          <w:rFonts w:eastAsia="Batang"/>
          <w:sz w:val="22"/>
          <w:szCs w:val="22"/>
          <w:lang w:eastAsia="ko-KR"/>
        </w:rPr>
        <w:t>1</w:t>
      </w:r>
      <w:r w:rsidR="00870029" w:rsidRPr="004823C1">
        <w:rPr>
          <w:rFonts w:eastAsia="Batang"/>
          <w:sz w:val="22"/>
          <w:szCs w:val="22"/>
          <w:lang w:eastAsia="ko-KR"/>
        </w:rPr>
        <w:t>.01 – 30.06.</w:t>
      </w:r>
      <w:r w:rsidRPr="004823C1">
        <w:rPr>
          <w:rFonts w:eastAsia="Batang"/>
          <w:sz w:val="22"/>
          <w:szCs w:val="22"/>
          <w:lang w:eastAsia="ko-KR"/>
        </w:rPr>
        <w:t>2025 г. срещу България бяха стартирани 14 процедури за нарушение по чл. 258 от ДФЕС. Европейската комисия прие и 9 мотивирани становища по вече стартирали процедури. През отчетния пери</w:t>
      </w:r>
      <w:r w:rsidR="00870029" w:rsidRPr="004823C1">
        <w:rPr>
          <w:rFonts w:eastAsia="Batang"/>
          <w:sz w:val="22"/>
          <w:szCs w:val="22"/>
          <w:lang w:eastAsia="ko-KR"/>
        </w:rPr>
        <w:t xml:space="preserve">од </w:t>
      </w:r>
      <w:r w:rsidRPr="004823C1">
        <w:rPr>
          <w:rFonts w:eastAsia="Batang"/>
          <w:sz w:val="22"/>
          <w:szCs w:val="22"/>
          <w:lang w:eastAsia="ko-KR"/>
        </w:rPr>
        <w:t>ЕК прие решения за закриване на 11 процедури за нарушение, за което до съответните ведомства бях</w:t>
      </w:r>
      <w:r w:rsidR="00870029" w:rsidRPr="004823C1">
        <w:rPr>
          <w:rFonts w:eastAsia="Batang"/>
          <w:sz w:val="22"/>
          <w:szCs w:val="22"/>
          <w:lang w:eastAsia="ko-KR"/>
        </w:rPr>
        <w:t>а изпратени уведомителни писма;</w:t>
      </w:r>
    </w:p>
    <w:p w14:paraId="500CD4D2" w14:textId="235E1E8D"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За всеки един етап от извършените дейности по координация на досъдебната фаза са извършени съответните записи в системата </w:t>
      </w:r>
      <w:proofErr w:type="spellStart"/>
      <w:r w:rsidRPr="004823C1">
        <w:rPr>
          <w:rFonts w:eastAsia="Batang"/>
          <w:sz w:val="22"/>
          <w:szCs w:val="22"/>
          <w:lang w:eastAsia="ko-KR"/>
        </w:rPr>
        <w:t>И</w:t>
      </w:r>
      <w:r w:rsidR="00870029" w:rsidRPr="004823C1">
        <w:rPr>
          <w:rFonts w:eastAsia="Batang"/>
          <w:sz w:val="22"/>
          <w:szCs w:val="22"/>
          <w:lang w:eastAsia="ko-KR"/>
        </w:rPr>
        <w:t>нфраСолв</w:t>
      </w:r>
      <w:proofErr w:type="spellEnd"/>
      <w:r w:rsidR="00870029" w:rsidRPr="004823C1">
        <w:rPr>
          <w:rFonts w:eastAsia="Batang"/>
          <w:sz w:val="22"/>
          <w:szCs w:val="22"/>
          <w:lang w:eastAsia="ko-KR"/>
        </w:rPr>
        <w:t>;</w:t>
      </w:r>
    </w:p>
    <w:p w14:paraId="174D5070" w14:textId="77777777"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След докладване на първоначалните позиции по стартираните процедури на СЕВ, дирекцията има задължение да уведоми Народното събрание в изпълнение на Правилника за организацията и дейността на Народното събрание. През отчетния период са изпратени 7 писма до Народното събрание за стартираните от Европейската комисия процедури за нарушение срещу Р България.</w:t>
      </w:r>
    </w:p>
    <w:p w14:paraId="0C138B7E" w14:textId="415194CE"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Проследяване на сроковете за изпълнение на поетите ангажименти в рамките на Пилотния проект за правото на ЕС/Неформалния диалог за прилагане на правото на ЕС и в рамките на досъдебната фаза на процедурата за нар</w:t>
      </w:r>
      <w:r w:rsidR="00B60B72" w:rsidRPr="004823C1">
        <w:rPr>
          <w:rFonts w:eastAsia="Batang"/>
          <w:b/>
          <w:bCs/>
          <w:sz w:val="22"/>
          <w:szCs w:val="22"/>
          <w:lang w:eastAsia="ko-KR"/>
        </w:rPr>
        <w:t>ушение по чл. 258 – 260 от ДФЕС:</w:t>
      </w:r>
    </w:p>
    <w:p w14:paraId="64DB1A17" w14:textId="703FF989"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Поетите от България ангажименти в рамките на информационната и досъдебната фаза се изпълняват и отчитат по Плана за действие за 2025 г. с мерките, произтичащи от членството на РБ в ЕС. Забавянията в изпълнението на мерките от Плана се докладват в</w:t>
      </w:r>
      <w:r w:rsidR="00B60B72" w:rsidRPr="004823C1">
        <w:rPr>
          <w:rFonts w:eastAsia="Batang"/>
          <w:sz w:val="22"/>
          <w:szCs w:val="22"/>
          <w:lang w:eastAsia="ko-KR"/>
        </w:rPr>
        <w:t>секи месец на заседание на СЕВ;</w:t>
      </w:r>
    </w:p>
    <w:p w14:paraId="4484E2D6" w14:textId="0853575F"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lastRenderedPageBreak/>
        <w:t xml:space="preserve">По всички получени нови официални уведомителни писма, мотивирани становища и решения за сезиране на Съда на ЕС на СЕВ се представя информация от дирекция КВЕС. В рамките на една седмица след това СЕВ провежда предварително изслушване на отговорните </w:t>
      </w:r>
      <w:r w:rsidR="00B60B72" w:rsidRPr="004823C1">
        <w:rPr>
          <w:rFonts w:eastAsia="Batang"/>
          <w:sz w:val="22"/>
          <w:szCs w:val="22"/>
          <w:lang w:eastAsia="ko-KR"/>
        </w:rPr>
        <w:t>институции за планираните мерки;</w:t>
      </w:r>
    </w:p>
    <w:p w14:paraId="38FEF699" w14:textId="77777777"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През отчетния период няма забавяне в изпращането на отговорите на България по Пилотния проект на ЕК, както и при изпращането на отговорите в рамките на досъдебната фаза на процедурите за нарушения.</w:t>
      </w:r>
    </w:p>
    <w:p w14:paraId="284710AB" w14:textId="5110D783"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Поддържане на Интернет базираната информационна система „</w:t>
      </w:r>
      <w:proofErr w:type="spellStart"/>
      <w:r w:rsidRPr="004823C1">
        <w:rPr>
          <w:rFonts w:eastAsia="Batang"/>
          <w:b/>
          <w:bCs/>
          <w:sz w:val="22"/>
          <w:szCs w:val="22"/>
          <w:lang w:eastAsia="ko-KR"/>
        </w:rPr>
        <w:t>ИнфраСолв</w:t>
      </w:r>
      <w:proofErr w:type="spellEnd"/>
      <w:r w:rsidRPr="004823C1">
        <w:rPr>
          <w:rFonts w:eastAsia="Batang"/>
          <w:b/>
          <w:bCs/>
          <w:sz w:val="22"/>
          <w:szCs w:val="22"/>
          <w:lang w:eastAsia="ko-KR"/>
        </w:rPr>
        <w:t>” за координирано и навременно изпълнение на задълженият</w:t>
      </w:r>
      <w:r w:rsidR="00B60B72" w:rsidRPr="004823C1">
        <w:rPr>
          <w:rFonts w:eastAsia="Batang"/>
          <w:b/>
          <w:bCs/>
          <w:sz w:val="22"/>
          <w:szCs w:val="22"/>
          <w:lang w:eastAsia="ko-KR"/>
        </w:rPr>
        <w:t>а, произтичащи от правото на ЕС:</w:t>
      </w:r>
    </w:p>
    <w:p w14:paraId="495735BB" w14:textId="45C74E61"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proofErr w:type="spellStart"/>
      <w:r w:rsidRPr="004823C1">
        <w:rPr>
          <w:rFonts w:eastAsia="Batang"/>
          <w:sz w:val="22"/>
          <w:szCs w:val="22"/>
          <w:lang w:eastAsia="ko-KR"/>
        </w:rPr>
        <w:t>ИнфраСолв</w:t>
      </w:r>
      <w:proofErr w:type="spellEnd"/>
      <w:r w:rsidRPr="004823C1">
        <w:rPr>
          <w:rFonts w:eastAsia="Batang"/>
          <w:sz w:val="22"/>
          <w:szCs w:val="22"/>
          <w:lang w:eastAsia="ko-KR"/>
        </w:rPr>
        <w:t xml:space="preserve"> е електронна база данни, чрез която се разпределят отговорностите за приемане на национални мерки за въвеждане/прилагане на новоприетите директиви, решения и регламенти на Европейския съюз. В нея се регистрират всички постъпили запитвания от ЕК в рамките на Пилотния проект за правото на ЕС, както и всички процедури за нарушения срещу България по чл. 258 </w:t>
      </w:r>
      <w:r w:rsidR="00B60B72" w:rsidRPr="004823C1">
        <w:rPr>
          <w:rFonts w:eastAsia="Batang"/>
          <w:sz w:val="22"/>
          <w:szCs w:val="22"/>
          <w:lang w:eastAsia="ko-KR"/>
        </w:rPr>
        <w:t>–</w:t>
      </w:r>
      <w:r w:rsidRPr="004823C1">
        <w:rPr>
          <w:rFonts w:eastAsia="Batang"/>
          <w:sz w:val="22"/>
          <w:szCs w:val="22"/>
          <w:lang w:eastAsia="ko-KR"/>
        </w:rPr>
        <w:t xml:space="preserve"> 260 от ДФЕС. В нея се регистрират и всички постъпили запитвания в българския СОЛВИТ център. В системата също така се изготвят и текущо се отчитат годишните планове за действие с мерките, произтичащи от членството на Република България в Европейския съюз. Информацията в </w:t>
      </w:r>
      <w:proofErr w:type="spellStart"/>
      <w:r w:rsidRPr="004823C1">
        <w:rPr>
          <w:rFonts w:eastAsia="Batang"/>
          <w:sz w:val="22"/>
          <w:szCs w:val="22"/>
          <w:lang w:eastAsia="ko-KR"/>
        </w:rPr>
        <w:t>ИнфраСолв</w:t>
      </w:r>
      <w:proofErr w:type="spellEnd"/>
      <w:r w:rsidRPr="004823C1">
        <w:rPr>
          <w:rFonts w:eastAsia="Batang"/>
          <w:sz w:val="22"/>
          <w:szCs w:val="22"/>
          <w:lang w:eastAsia="ko-KR"/>
        </w:rPr>
        <w:t xml:space="preserve"> се попълва те</w:t>
      </w:r>
      <w:r w:rsidR="00B60B72" w:rsidRPr="004823C1">
        <w:rPr>
          <w:rFonts w:eastAsia="Batang"/>
          <w:sz w:val="22"/>
          <w:szCs w:val="22"/>
          <w:lang w:eastAsia="ko-KR"/>
        </w:rPr>
        <w:t>кущо от експертите в дирекцията;</w:t>
      </w:r>
    </w:p>
    <w:p w14:paraId="31B516F5" w14:textId="6D55D5D9"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Техническата поддръжка на системата е част от дейностите по рамков договор на АМС с Информационно обслужване. Процедурата за подписване на заявка към системния интеграт</w:t>
      </w:r>
      <w:r w:rsidR="00B60B72" w:rsidRPr="004823C1">
        <w:rPr>
          <w:rFonts w:eastAsia="Batang"/>
          <w:sz w:val="22"/>
          <w:szCs w:val="22"/>
          <w:lang w:eastAsia="ko-KR"/>
        </w:rPr>
        <w:t>ор е в ход, предстои подписване;</w:t>
      </w:r>
    </w:p>
    <w:p w14:paraId="0B3E8E8C" w14:textId="77777777"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Свързани с поддръжката са и следните изпълнени задачи: проверка на коректността на ръководството; актуализация на състава и РГ в системата; активиране и деактивиране на потребителски профили и създаване/промяна на права на достъп до модулите на системата по заявка от ведомствата; уведомяване на фирмата по поддръжка за наличие на проблем и проследяване на решението му, текущ контрол по изпълнението на дейностите по договора за поддръжка и др.</w:t>
      </w:r>
    </w:p>
    <w:p w14:paraId="3CD58515" w14:textId="176CE098" w:rsidR="00F97B00" w:rsidRPr="004823C1" w:rsidRDefault="00F97B00" w:rsidP="004823C1">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4823C1">
        <w:rPr>
          <w:b/>
          <w:bCs/>
          <w:i/>
          <w:iCs/>
          <w:color w:val="215E99" w:themeColor="text2" w:themeTint="BF"/>
          <w:sz w:val="22"/>
          <w:szCs w:val="22"/>
        </w:rPr>
        <w:t>Обслу</w:t>
      </w:r>
      <w:r w:rsidR="00762572" w:rsidRPr="004823C1">
        <w:rPr>
          <w:b/>
          <w:bCs/>
          <w:i/>
          <w:iCs/>
          <w:color w:val="215E99" w:themeColor="text2" w:themeTint="BF"/>
          <w:sz w:val="22"/>
          <w:szCs w:val="22"/>
        </w:rPr>
        <w:t xml:space="preserve">жване на граждани в рамките на </w:t>
      </w:r>
      <w:r w:rsidRPr="004823C1">
        <w:rPr>
          <w:b/>
          <w:bCs/>
          <w:i/>
          <w:iCs/>
          <w:color w:val="215E99" w:themeColor="text2" w:themeTint="BF"/>
          <w:sz w:val="22"/>
          <w:szCs w:val="22"/>
        </w:rPr>
        <w:t xml:space="preserve">мрежата СОЛВИТ (SOLVIT) за алтернативно разрешаване на транс-гранични спорове в областта на Вътрешния пазар на ЕС </w:t>
      </w:r>
      <w:r w:rsidR="00762572" w:rsidRPr="004823C1">
        <w:rPr>
          <w:b/>
          <w:bCs/>
          <w:i/>
          <w:iCs/>
          <w:color w:val="215E99" w:themeColor="text2" w:themeTint="BF"/>
          <w:sz w:val="22"/>
          <w:szCs w:val="22"/>
        </w:rPr>
        <w:t>–</w:t>
      </w:r>
      <w:r w:rsidRPr="004823C1">
        <w:rPr>
          <w:b/>
          <w:bCs/>
          <w:i/>
          <w:iCs/>
          <w:color w:val="215E99" w:themeColor="text2" w:themeTint="BF"/>
          <w:sz w:val="22"/>
          <w:szCs w:val="22"/>
        </w:rPr>
        <w:t xml:space="preserve"> дирекция „Координация по въпросите на ЕС” </w:t>
      </w:r>
    </w:p>
    <w:p w14:paraId="72AD111B" w14:textId="77777777" w:rsidR="00F97B00" w:rsidRPr="004823C1" w:rsidRDefault="00F97B00" w:rsidP="004823C1">
      <w:pPr>
        <w:shd w:val="clear" w:color="auto" w:fill="FFFFFF" w:themeFill="background1"/>
        <w:ind w:firstLine="425"/>
        <w:jc w:val="both"/>
        <w:rPr>
          <w:b/>
          <w:i/>
          <w:color w:val="800000"/>
          <w:sz w:val="22"/>
          <w:szCs w:val="22"/>
        </w:rPr>
      </w:pPr>
      <w:r w:rsidRPr="004823C1">
        <w:rPr>
          <w:b/>
          <w:i/>
          <w:color w:val="800000"/>
          <w:sz w:val="22"/>
          <w:szCs w:val="22"/>
        </w:rPr>
        <w:t>Дейности за предоставяне на продукта/услугата:</w:t>
      </w:r>
    </w:p>
    <w:p w14:paraId="747634D0" w14:textId="29222AEC"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Анализ, подготовка, официално регистриране и проследяване на разрешаването на СОЛВИТ случаи срещу админист</w:t>
      </w:r>
      <w:r w:rsidR="00762572" w:rsidRPr="004823C1">
        <w:rPr>
          <w:rFonts w:eastAsia="Batang"/>
          <w:b/>
          <w:bCs/>
          <w:sz w:val="22"/>
          <w:szCs w:val="22"/>
          <w:lang w:eastAsia="ko-KR"/>
        </w:rPr>
        <w:t>рациите на други държави членки:</w:t>
      </w:r>
    </w:p>
    <w:p w14:paraId="75D50113" w14:textId="17F3E741"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В периода януари-юни 2025 г. в българския СОЛВИТ център чрез подаване на електронен формуляр, по електронна поща, чрез писма и телефонни разговори със служители на центъра са постъпили общо 1</w:t>
      </w:r>
      <w:r w:rsidR="00762572" w:rsidRPr="004823C1">
        <w:rPr>
          <w:rFonts w:eastAsia="Batang"/>
          <w:sz w:val="22"/>
          <w:szCs w:val="22"/>
          <w:lang w:eastAsia="ko-KR"/>
        </w:rPr>
        <w:t xml:space="preserve"> </w:t>
      </w:r>
      <w:r w:rsidRPr="004823C1">
        <w:rPr>
          <w:rFonts w:eastAsia="Batang"/>
          <w:sz w:val="22"/>
          <w:szCs w:val="22"/>
          <w:lang w:eastAsia="ko-KR"/>
        </w:rPr>
        <w:t xml:space="preserve">048 жалби и запитвания на граждани и фирми. Всички те са регистрирани в системата </w:t>
      </w:r>
      <w:proofErr w:type="spellStart"/>
      <w:r w:rsidRPr="004823C1">
        <w:rPr>
          <w:rFonts w:eastAsia="Batang"/>
          <w:sz w:val="22"/>
          <w:szCs w:val="22"/>
          <w:lang w:eastAsia="ko-KR"/>
        </w:rPr>
        <w:t>ИнфраСолв</w:t>
      </w:r>
      <w:proofErr w:type="spellEnd"/>
      <w:r w:rsidRPr="004823C1">
        <w:rPr>
          <w:rFonts w:eastAsia="Batang"/>
          <w:sz w:val="22"/>
          <w:szCs w:val="22"/>
          <w:lang w:eastAsia="ko-KR"/>
        </w:rPr>
        <w:t xml:space="preserve">, установен е контакт с жалбоподателите, извършен е анализ и, при необходимост, са събирани </w:t>
      </w:r>
      <w:r w:rsidR="00762572" w:rsidRPr="004823C1">
        <w:rPr>
          <w:rFonts w:eastAsia="Batang"/>
          <w:sz w:val="22"/>
          <w:szCs w:val="22"/>
          <w:lang w:eastAsia="ko-KR"/>
        </w:rPr>
        <w:t>допълнителни данни и документи;</w:t>
      </w:r>
    </w:p>
    <w:p w14:paraId="07973D4D" w14:textId="77C4D877"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В същия период като успешно разрешени са затворени 308 случая. Следва да се отчете, че в бройката на успешно р</w:t>
      </w:r>
      <w:r w:rsidR="00762572" w:rsidRPr="004823C1">
        <w:rPr>
          <w:rFonts w:eastAsia="Batang"/>
          <w:sz w:val="22"/>
          <w:szCs w:val="22"/>
          <w:lang w:eastAsia="ko-KR"/>
        </w:rPr>
        <w:t>ешените влизат и случаи, които с</w:t>
      </w:r>
      <w:r w:rsidRPr="004823C1">
        <w:rPr>
          <w:rFonts w:eastAsia="Batang"/>
          <w:sz w:val="22"/>
          <w:szCs w:val="22"/>
          <w:lang w:eastAsia="ko-KR"/>
        </w:rPr>
        <w:t>а стартирани през предходен период, но са успешно приключени през отчетния.</w:t>
      </w:r>
    </w:p>
    <w:p w14:paraId="50176F24" w14:textId="115FA94A"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Правен анализ на регистрирани СОЛВИТ случаи срещу българската администрация, контакти с администра</w:t>
      </w:r>
      <w:r w:rsidR="00543772" w:rsidRPr="004823C1">
        <w:rPr>
          <w:rFonts w:eastAsia="Batang"/>
          <w:b/>
          <w:bCs/>
          <w:sz w:val="22"/>
          <w:szCs w:val="22"/>
          <w:lang w:eastAsia="ko-KR"/>
        </w:rPr>
        <w:t>цията и разрешаване на случаите:</w:t>
      </w:r>
    </w:p>
    <w:p w14:paraId="2E0F8C73" w14:textId="77777777"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През отчетния период в системата СОЛВИТ срещу България са регистрирани 16 нови случая, а 10 случая са решени успешно. Следва да се отчете, че в бройката на успешно решените влизат и случаи, които са стартирани през предходен период, но са успешно приключени през отчетния.</w:t>
      </w:r>
    </w:p>
    <w:p w14:paraId="258BDF7C" w14:textId="77777777"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 xml:space="preserve">Организиране на среща с контактните точки в рамките на държавната администрация за подобряване на координацията и засилване на комуникацията между тях </w:t>
      </w:r>
    </w:p>
    <w:p w14:paraId="02096B5F" w14:textId="77777777"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До края на годината ще бъде преценена възможността за присъственото провеждане на редовната среща на контактните точки на мрежата СОЛВИТ в държавната администрация.</w:t>
      </w:r>
    </w:p>
    <w:p w14:paraId="3E68CE63" w14:textId="77777777" w:rsidR="00F97B00" w:rsidRPr="004823C1" w:rsidRDefault="00F97B00"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Организиране и участие в срещи/семинари/обучения на мрежата СОЛВИТ</w:t>
      </w:r>
    </w:p>
    <w:p w14:paraId="55C2929E" w14:textId="77777777" w:rsidR="00F97B00" w:rsidRPr="004823C1" w:rsidRDefault="00F97B00" w:rsidP="004823C1">
      <w:pPr>
        <w:shd w:val="clear" w:color="auto" w:fill="FFFFFF" w:themeFill="background1"/>
        <w:tabs>
          <w:tab w:val="num" w:pos="709"/>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През отчетния период Българският СОЛВИТ център участва в следните работни срещи/семинари/обучения на мрежата СОЛВИТ:</w:t>
      </w:r>
    </w:p>
    <w:p w14:paraId="247FA266" w14:textId="002C522D" w:rsidR="00F97B00" w:rsidRPr="004823C1" w:rsidRDefault="00543772" w:rsidP="004823C1">
      <w:pPr>
        <w:pStyle w:val="ListParagraph"/>
        <w:numPr>
          <w:ilvl w:val="0"/>
          <w:numId w:val="64"/>
        </w:numPr>
        <w:shd w:val="clear" w:color="auto" w:fill="FFFFFF" w:themeFill="background1"/>
        <w:ind w:left="0" w:firstLine="426"/>
        <w:jc w:val="both"/>
        <w:rPr>
          <w:sz w:val="22"/>
          <w:szCs w:val="22"/>
        </w:rPr>
      </w:pPr>
      <w:r w:rsidRPr="004823C1">
        <w:rPr>
          <w:sz w:val="22"/>
          <w:szCs w:val="22"/>
        </w:rPr>
        <w:t>22</w:t>
      </w:r>
      <w:r w:rsidRPr="004823C1">
        <w:rPr>
          <w:sz w:val="22"/>
          <w:szCs w:val="22"/>
          <w:lang w:val="bg-BG"/>
        </w:rPr>
        <w:t>.01.</w:t>
      </w:r>
      <w:r w:rsidR="00F97B00" w:rsidRPr="004823C1">
        <w:rPr>
          <w:sz w:val="22"/>
          <w:szCs w:val="22"/>
        </w:rPr>
        <w:t>2025 г. – онлайн обучение на тема „Свободно движение на хора – постоянно пребиваване“, орг</w:t>
      </w:r>
      <w:r w:rsidRPr="004823C1">
        <w:rPr>
          <w:sz w:val="22"/>
          <w:szCs w:val="22"/>
        </w:rPr>
        <w:t>анизирана от СОЛВИТ екипа на ЕК</w:t>
      </w:r>
      <w:r w:rsidRPr="004823C1">
        <w:rPr>
          <w:sz w:val="22"/>
          <w:szCs w:val="22"/>
          <w:lang w:val="bg-BG"/>
        </w:rPr>
        <w:t>;</w:t>
      </w:r>
    </w:p>
    <w:p w14:paraId="4F85E537" w14:textId="2E44D0E6" w:rsidR="00F97B00" w:rsidRPr="004823C1" w:rsidRDefault="00543772" w:rsidP="004823C1">
      <w:pPr>
        <w:pStyle w:val="ListParagraph"/>
        <w:numPr>
          <w:ilvl w:val="0"/>
          <w:numId w:val="64"/>
        </w:numPr>
        <w:shd w:val="clear" w:color="auto" w:fill="FFFFFF" w:themeFill="background1"/>
        <w:ind w:left="0" w:firstLine="426"/>
        <w:jc w:val="both"/>
        <w:rPr>
          <w:sz w:val="22"/>
          <w:szCs w:val="22"/>
        </w:rPr>
      </w:pPr>
      <w:r w:rsidRPr="004823C1">
        <w:rPr>
          <w:sz w:val="22"/>
          <w:szCs w:val="22"/>
        </w:rPr>
        <w:lastRenderedPageBreak/>
        <w:t>0</w:t>
      </w:r>
      <w:r w:rsidR="00F97B00" w:rsidRPr="004823C1">
        <w:rPr>
          <w:sz w:val="22"/>
          <w:szCs w:val="22"/>
        </w:rPr>
        <w:t>4</w:t>
      </w:r>
      <w:r w:rsidR="00C16609" w:rsidRPr="004823C1">
        <w:rPr>
          <w:sz w:val="22"/>
          <w:szCs w:val="22"/>
        </w:rPr>
        <w:t xml:space="preserve"> –</w:t>
      </w:r>
      <w:r w:rsidR="00F97B00" w:rsidRPr="004823C1">
        <w:rPr>
          <w:sz w:val="22"/>
          <w:szCs w:val="22"/>
        </w:rPr>
        <w:t xml:space="preserve"> </w:t>
      </w:r>
      <w:r w:rsidRPr="004823C1">
        <w:rPr>
          <w:sz w:val="22"/>
          <w:szCs w:val="22"/>
        </w:rPr>
        <w:t>0</w:t>
      </w:r>
      <w:r w:rsidR="00F97B00" w:rsidRPr="004823C1">
        <w:rPr>
          <w:sz w:val="22"/>
          <w:szCs w:val="22"/>
        </w:rPr>
        <w:t>5</w:t>
      </w:r>
      <w:r w:rsidRPr="004823C1">
        <w:rPr>
          <w:sz w:val="22"/>
          <w:szCs w:val="22"/>
        </w:rPr>
        <w:t>.02.2025 г. –</w:t>
      </w:r>
      <w:r w:rsidR="00F97B00" w:rsidRPr="004823C1">
        <w:rPr>
          <w:sz w:val="22"/>
          <w:szCs w:val="22"/>
        </w:rPr>
        <w:t xml:space="preserve"> участие в организирана от Европейския орган по труда двустранна експертна среща между Кипър и България, посветена на подобряване на сътрудничеството и обмена на информация в областта на координацията на системите за социална </w:t>
      </w:r>
      <w:r w:rsidRPr="004823C1">
        <w:rPr>
          <w:sz w:val="22"/>
          <w:szCs w:val="22"/>
        </w:rPr>
        <w:t>сигурност, град Никозия (Кипър);</w:t>
      </w:r>
    </w:p>
    <w:p w14:paraId="5EB757BB" w14:textId="11BDDAB3" w:rsidR="00F97B00" w:rsidRPr="004823C1" w:rsidRDefault="00F97B00" w:rsidP="004823C1">
      <w:pPr>
        <w:pStyle w:val="ListParagraph"/>
        <w:numPr>
          <w:ilvl w:val="0"/>
          <w:numId w:val="64"/>
        </w:numPr>
        <w:shd w:val="clear" w:color="auto" w:fill="FFFFFF" w:themeFill="background1"/>
        <w:ind w:left="0" w:firstLine="426"/>
        <w:jc w:val="both"/>
        <w:rPr>
          <w:sz w:val="22"/>
          <w:szCs w:val="22"/>
        </w:rPr>
      </w:pPr>
      <w:r w:rsidRPr="004823C1">
        <w:rPr>
          <w:sz w:val="22"/>
          <w:szCs w:val="22"/>
        </w:rPr>
        <w:t>10</w:t>
      </w:r>
      <w:r w:rsidR="00543772" w:rsidRPr="004823C1">
        <w:rPr>
          <w:sz w:val="22"/>
          <w:szCs w:val="22"/>
        </w:rPr>
        <w:t>.02.</w:t>
      </w:r>
      <w:r w:rsidRPr="004823C1">
        <w:rPr>
          <w:sz w:val="22"/>
          <w:szCs w:val="22"/>
        </w:rPr>
        <w:t>2025 г. – онлайн среща между екипа на Българския СОЛВИТ център и представители на СОЛВИТ екип</w:t>
      </w:r>
      <w:r w:rsidR="00543772" w:rsidRPr="004823C1">
        <w:rPr>
          <w:sz w:val="22"/>
          <w:szCs w:val="22"/>
        </w:rPr>
        <w:t>а на ЕК относно гръцките случаи;</w:t>
      </w:r>
    </w:p>
    <w:p w14:paraId="3AAD783A" w14:textId="43A291CB" w:rsidR="00F97B00" w:rsidRPr="004823C1" w:rsidRDefault="009202EA" w:rsidP="004823C1">
      <w:pPr>
        <w:pStyle w:val="ListParagraph"/>
        <w:numPr>
          <w:ilvl w:val="0"/>
          <w:numId w:val="64"/>
        </w:numPr>
        <w:shd w:val="clear" w:color="auto" w:fill="FFFFFF" w:themeFill="background1"/>
        <w:ind w:left="0" w:firstLine="426"/>
        <w:jc w:val="both"/>
        <w:rPr>
          <w:sz w:val="22"/>
          <w:szCs w:val="22"/>
        </w:rPr>
      </w:pPr>
      <w:r w:rsidRPr="004823C1">
        <w:rPr>
          <w:sz w:val="22"/>
          <w:szCs w:val="22"/>
        </w:rPr>
        <w:t>24.03.2</w:t>
      </w:r>
      <w:r w:rsidR="00F97B00" w:rsidRPr="004823C1">
        <w:rPr>
          <w:sz w:val="22"/>
          <w:szCs w:val="22"/>
        </w:rPr>
        <w:t>025 г. – онлайн обучение относно процедурата за въвеждане на неформален правен съвет в ИМИ, орг</w:t>
      </w:r>
      <w:r w:rsidRPr="004823C1">
        <w:rPr>
          <w:sz w:val="22"/>
          <w:szCs w:val="22"/>
        </w:rPr>
        <w:t>анизирана от СОЛВИТ екипа на ЕК;</w:t>
      </w:r>
    </w:p>
    <w:p w14:paraId="2BEA1400" w14:textId="19FA0F94" w:rsidR="00F97B00" w:rsidRPr="004823C1" w:rsidRDefault="009202EA" w:rsidP="004823C1">
      <w:pPr>
        <w:pStyle w:val="ListParagraph"/>
        <w:numPr>
          <w:ilvl w:val="0"/>
          <w:numId w:val="64"/>
        </w:numPr>
        <w:shd w:val="clear" w:color="auto" w:fill="FFFFFF" w:themeFill="background1"/>
        <w:ind w:left="0" w:firstLine="426"/>
        <w:jc w:val="both"/>
        <w:rPr>
          <w:sz w:val="22"/>
          <w:szCs w:val="22"/>
        </w:rPr>
      </w:pPr>
      <w:r w:rsidRPr="004823C1">
        <w:rPr>
          <w:sz w:val="22"/>
          <w:szCs w:val="22"/>
        </w:rPr>
        <w:t>14</w:t>
      </w:r>
      <w:r w:rsidR="00C16609" w:rsidRPr="004823C1">
        <w:rPr>
          <w:sz w:val="22"/>
          <w:szCs w:val="22"/>
        </w:rPr>
        <w:t xml:space="preserve"> – </w:t>
      </w:r>
      <w:r w:rsidRPr="004823C1">
        <w:rPr>
          <w:sz w:val="22"/>
          <w:szCs w:val="22"/>
        </w:rPr>
        <w:t>16.05.</w:t>
      </w:r>
      <w:r w:rsidR="00F97B00" w:rsidRPr="004823C1">
        <w:rPr>
          <w:sz w:val="22"/>
          <w:szCs w:val="22"/>
        </w:rPr>
        <w:t xml:space="preserve">2025 г. </w:t>
      </w:r>
      <w:r w:rsidRPr="004823C1">
        <w:rPr>
          <w:sz w:val="22"/>
          <w:szCs w:val="22"/>
        </w:rPr>
        <w:t>–</w:t>
      </w:r>
      <w:r w:rsidR="00F97B00" w:rsidRPr="004823C1">
        <w:rPr>
          <w:sz w:val="22"/>
          <w:szCs w:val="22"/>
        </w:rPr>
        <w:t xml:space="preserve"> участие в 58-ма работна среща на мрежата СОЛВИТ, град Брюксел, Кралство Белгия.</w:t>
      </w:r>
    </w:p>
    <w:p w14:paraId="4E0E100D" w14:textId="4EEBF24E" w:rsidR="00F97B00" w:rsidRPr="004823C1" w:rsidRDefault="00F97B00" w:rsidP="004823C1">
      <w:pPr>
        <w:numPr>
          <w:ilvl w:val="0"/>
          <w:numId w:val="8"/>
        </w:numPr>
        <w:shd w:val="clear" w:color="auto" w:fill="FFFFFF" w:themeFill="background1"/>
        <w:tabs>
          <w:tab w:val="clear" w:pos="360"/>
        </w:tabs>
        <w:ind w:left="0" w:firstLine="426"/>
        <w:jc w:val="both"/>
        <w:rPr>
          <w:b/>
          <w:bCs/>
          <w:sz w:val="22"/>
          <w:szCs w:val="22"/>
        </w:rPr>
      </w:pPr>
      <w:r w:rsidRPr="004823C1">
        <w:rPr>
          <w:rFonts w:eastAsia="Batang"/>
          <w:b/>
          <w:bCs/>
          <w:sz w:val="22"/>
          <w:szCs w:val="22"/>
          <w:lang w:eastAsia="ko-KR"/>
        </w:rPr>
        <w:t>Поддържане на Интернет портала „Вашите права”, който е официалната страница на българския СОЛВИТ цен</w:t>
      </w:r>
      <w:r w:rsidRPr="004823C1">
        <w:rPr>
          <w:b/>
          <w:bCs/>
          <w:sz w:val="22"/>
          <w:szCs w:val="22"/>
        </w:rPr>
        <w:t xml:space="preserve">тър </w:t>
      </w:r>
      <w:hyperlink r:id="rId22" w:history="1">
        <w:r w:rsidRPr="004823C1">
          <w:rPr>
            <w:b/>
            <w:bCs/>
            <w:color w:val="215E99" w:themeColor="text2" w:themeTint="BF"/>
            <w:sz w:val="22"/>
            <w:szCs w:val="22"/>
            <w:lang w:val="en-US"/>
          </w:rPr>
          <w:t>www</w:t>
        </w:r>
        <w:r w:rsidRPr="004823C1">
          <w:rPr>
            <w:b/>
            <w:bCs/>
            <w:color w:val="215E99" w:themeColor="text2" w:themeTint="BF"/>
            <w:sz w:val="22"/>
            <w:szCs w:val="22"/>
          </w:rPr>
          <w:t>.</w:t>
        </w:r>
        <w:r w:rsidRPr="004823C1">
          <w:rPr>
            <w:b/>
            <w:bCs/>
            <w:color w:val="215E99" w:themeColor="text2" w:themeTint="BF"/>
            <w:sz w:val="22"/>
            <w:szCs w:val="22"/>
            <w:lang w:val="en-US"/>
          </w:rPr>
          <w:t>SOLVIT</w:t>
        </w:r>
        <w:r w:rsidRPr="004823C1">
          <w:rPr>
            <w:b/>
            <w:bCs/>
            <w:color w:val="215E99" w:themeColor="text2" w:themeTint="BF"/>
            <w:sz w:val="22"/>
            <w:szCs w:val="22"/>
          </w:rPr>
          <w:t>.</w:t>
        </w:r>
        <w:r w:rsidRPr="004823C1">
          <w:rPr>
            <w:b/>
            <w:bCs/>
            <w:color w:val="215E99" w:themeColor="text2" w:themeTint="BF"/>
            <w:sz w:val="22"/>
            <w:szCs w:val="22"/>
            <w:lang w:val="en-US"/>
          </w:rPr>
          <w:t>government</w:t>
        </w:r>
        <w:r w:rsidRPr="004823C1">
          <w:rPr>
            <w:b/>
            <w:bCs/>
            <w:color w:val="215E99" w:themeColor="text2" w:themeTint="BF"/>
            <w:sz w:val="22"/>
            <w:szCs w:val="22"/>
          </w:rPr>
          <w:t>.</w:t>
        </w:r>
        <w:proofErr w:type="spellStart"/>
        <w:r w:rsidRPr="004823C1">
          <w:rPr>
            <w:b/>
            <w:bCs/>
            <w:color w:val="215E99" w:themeColor="text2" w:themeTint="BF"/>
            <w:sz w:val="22"/>
            <w:szCs w:val="22"/>
            <w:lang w:val="en-US"/>
          </w:rPr>
          <w:t>bg</w:t>
        </w:r>
        <w:proofErr w:type="spellEnd"/>
      </w:hyperlink>
    </w:p>
    <w:p w14:paraId="0C8AAA94" w14:textId="77777777"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Техническата поддържа на страницата се извършва от администрацията на Министерския съвет, като предстои да бъде включена в дейностите по рамковия договор на АМС с Информационно обслужване.</w:t>
      </w:r>
    </w:p>
    <w:p w14:paraId="3EBE99CD" w14:textId="1607B6CD" w:rsidR="00F97B00" w:rsidRPr="004823C1" w:rsidRDefault="00F97B00" w:rsidP="004823C1">
      <w:pPr>
        <w:numPr>
          <w:ilvl w:val="0"/>
          <w:numId w:val="8"/>
        </w:numPr>
        <w:shd w:val="clear" w:color="auto" w:fill="FFFFFF" w:themeFill="background1"/>
        <w:tabs>
          <w:tab w:val="clear" w:pos="360"/>
        </w:tabs>
        <w:ind w:left="0" w:firstLine="426"/>
        <w:jc w:val="both"/>
        <w:rPr>
          <w:b/>
          <w:bCs/>
          <w:color w:val="215E99" w:themeColor="text2" w:themeTint="BF"/>
          <w:sz w:val="22"/>
          <w:szCs w:val="22"/>
        </w:rPr>
      </w:pPr>
      <w:r w:rsidRPr="004823C1">
        <w:rPr>
          <w:rFonts w:eastAsia="Batang"/>
          <w:b/>
          <w:bCs/>
          <w:sz w:val="22"/>
          <w:szCs w:val="22"/>
          <w:lang w:eastAsia="ko-KR"/>
        </w:rPr>
        <w:t>Поддържане на Фейсбук страницата на българския СОЛВИТ център</w:t>
      </w:r>
      <w:r w:rsidRPr="004823C1">
        <w:rPr>
          <w:sz w:val="22"/>
          <w:szCs w:val="22"/>
        </w:rPr>
        <w:t xml:space="preserve"> </w:t>
      </w:r>
      <w:hyperlink r:id="rId23" w:history="1">
        <w:r w:rsidRPr="004823C1">
          <w:rPr>
            <w:b/>
            <w:bCs/>
            <w:color w:val="215E99" w:themeColor="text2" w:themeTint="BF"/>
            <w:sz w:val="22"/>
            <w:szCs w:val="22"/>
          </w:rPr>
          <w:t>https://www.facebook.com/profile.php?id=100089422008718</w:t>
        </w:r>
      </w:hyperlink>
    </w:p>
    <w:p w14:paraId="311F237E" w14:textId="68DEB350" w:rsidR="00F97B00" w:rsidRPr="004823C1" w:rsidRDefault="00F97B00"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След възстановяването на Фейсбук страницата на българския СОЛВИТ център през 2023 г. значително нарасна популярността на предоставяната безплатна за потребителите услуга, което ясно личи по увеличеното търсене на съдействие от Българския СОЛВИТ-център за защита на правата на гражданите на Единния пазар. Чрез публикуване на информация за СОЛВИТ и за разрешените случаи се внася прозрачност относно работата на центъра, от една страна, а от друга – на потребителите (физически и юридически лица) се представят възможностите на европейската СОЛВИТ-мрежа и начините, по които те могат да се възползват от нея за защита на правата си. Новост е публикуването на съвети към сънародниците ни, които биха ги улеснили или насочили за пълноценно възползване в бъдеще от правата, които имат. Тези съобщения се ползват с голяма популярност и се споделят сред български общности в чужбина. През първите шест месеца на 2025 г. за ФБ на СОЛВИТ бяха изготвени и публикувани 8 съобщения. Последователите и харесванията на страни</w:t>
      </w:r>
      <w:r w:rsidR="00AE2DE8" w:rsidRPr="004823C1">
        <w:rPr>
          <w:rFonts w:eastAsia="Batang"/>
          <w:sz w:val="22"/>
          <w:szCs w:val="22"/>
          <w:lang w:eastAsia="ko-KR"/>
        </w:rPr>
        <w:t xml:space="preserve">цата са над 800 – от България, </w:t>
      </w:r>
      <w:r w:rsidRPr="004823C1">
        <w:rPr>
          <w:rFonts w:eastAsia="Batang"/>
          <w:sz w:val="22"/>
          <w:szCs w:val="22"/>
          <w:lang w:eastAsia="ko-KR"/>
        </w:rPr>
        <w:t>Германия, Кипър, Италия, Испания и др.</w:t>
      </w:r>
    </w:p>
    <w:p w14:paraId="53F96243" w14:textId="77777777" w:rsidR="00F97B00" w:rsidRPr="004823C1" w:rsidRDefault="00F97B00" w:rsidP="004823C1">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4823C1">
        <w:rPr>
          <w:b/>
          <w:bCs/>
          <w:i/>
          <w:iCs/>
          <w:color w:val="215E99" w:themeColor="text2" w:themeTint="BF"/>
          <w:sz w:val="22"/>
          <w:szCs w:val="22"/>
        </w:rPr>
        <w:t xml:space="preserve">Процесуално представителство и правна защита на Република България пред съдебните институции на ЕС – </w:t>
      </w:r>
      <w:r w:rsidRPr="004823C1">
        <w:rPr>
          <w:bCs/>
          <w:i/>
          <w:iCs/>
          <w:sz w:val="22"/>
          <w:szCs w:val="22"/>
        </w:rPr>
        <w:t>неприложимо</w:t>
      </w:r>
    </w:p>
    <w:p w14:paraId="1C84F137" w14:textId="1D2B32A3" w:rsidR="00B75A9B" w:rsidRPr="004823C1" w:rsidRDefault="00B75A9B" w:rsidP="004823C1">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4823C1">
        <w:rPr>
          <w:b/>
          <w:bCs/>
          <w:i/>
          <w:iCs/>
          <w:color w:val="215E99" w:themeColor="text2" w:themeTint="BF"/>
          <w:sz w:val="22"/>
          <w:szCs w:val="22"/>
        </w:rPr>
        <w:t xml:space="preserve">Подобряване на координацията и взаимодействието между администрациите в изпълнителната власт и подпомагане процеса по вземане на решения от Министерския </w:t>
      </w:r>
      <w:r w:rsidR="002E463A" w:rsidRPr="004823C1">
        <w:rPr>
          <w:b/>
          <w:bCs/>
          <w:i/>
          <w:iCs/>
          <w:color w:val="215E99" w:themeColor="text2" w:themeTint="BF"/>
          <w:sz w:val="22"/>
          <w:szCs w:val="22"/>
        </w:rPr>
        <w:br/>
      </w:r>
      <w:r w:rsidRPr="004823C1">
        <w:rPr>
          <w:b/>
          <w:bCs/>
          <w:i/>
          <w:iCs/>
          <w:color w:val="215E99" w:themeColor="text2" w:themeTint="BF"/>
          <w:sz w:val="22"/>
          <w:szCs w:val="22"/>
        </w:rPr>
        <w:t xml:space="preserve">съвет – дирекция „Стратегическо развитие, координация и концесии“ </w:t>
      </w:r>
    </w:p>
    <w:p w14:paraId="33269A55" w14:textId="78C8C2E9" w:rsidR="00B75A9B" w:rsidRPr="004823C1" w:rsidRDefault="00B75A9B"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През първото шестмесечие на 2025 г. дирекция „Стратегическо развитие, координация и концесии“ (ДСРКК/дирекцията) е постигнала пълно изпълнение на заложените цели в продукт/услуга „Подобряване на координацията и взаимодействието между администрациите в изпълнителната власт и подпомагане процеса по вземане на решения от Министерския съвет” на Бюджетна програма 0300.01.02 “Координация и мониторинг на хоризонтални политики”.</w:t>
      </w:r>
    </w:p>
    <w:p w14:paraId="4B071710" w14:textId="77777777" w:rsidR="00B75A9B" w:rsidRPr="004823C1" w:rsidRDefault="00B75A9B" w:rsidP="004823C1">
      <w:pPr>
        <w:shd w:val="clear" w:color="auto" w:fill="FFFFFF" w:themeFill="background1"/>
        <w:spacing w:before="120"/>
        <w:ind w:firstLine="425"/>
        <w:jc w:val="both"/>
        <w:rPr>
          <w:b/>
          <w:i/>
          <w:color w:val="800000"/>
          <w:sz w:val="22"/>
          <w:szCs w:val="22"/>
        </w:rPr>
      </w:pPr>
      <w:r w:rsidRPr="004823C1">
        <w:rPr>
          <w:b/>
          <w:i/>
          <w:color w:val="800000"/>
          <w:sz w:val="22"/>
          <w:szCs w:val="22"/>
        </w:rPr>
        <w:t>Дейности за представяне на продукта/услугата:</w:t>
      </w:r>
    </w:p>
    <w:p w14:paraId="6A0CA763" w14:textId="77777777" w:rsidR="00B75A9B" w:rsidRPr="004823C1" w:rsidRDefault="00B75A9B"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Координиране и подпомагане на министерствата и другите администрации на изпълнителната власт относно постигането на съгласуваност между предлаганите от тях политики -– изготвяне на становища, организиране на работни срещи, изготвяне на доклади</w:t>
      </w:r>
    </w:p>
    <w:p w14:paraId="48429668" w14:textId="77777777" w:rsidR="00B75A9B" w:rsidRPr="004823C1" w:rsidRDefault="00B75A9B"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За отчетния период дирекция „Стратегическо развитие, координация и концесии“ е извършила следните дейности:</w:t>
      </w:r>
    </w:p>
    <w:p w14:paraId="3D90FB56" w14:textId="53AB35B2" w:rsidR="00B75A9B" w:rsidRPr="004823C1" w:rsidRDefault="00B75A9B" w:rsidP="004823C1">
      <w:pPr>
        <w:widowControl w:val="0"/>
        <w:numPr>
          <w:ilvl w:val="6"/>
          <w:numId w:val="22"/>
        </w:numPr>
        <w:shd w:val="clear" w:color="auto" w:fill="FFFFFF" w:themeFill="background1"/>
        <w:autoSpaceDE w:val="0"/>
        <w:autoSpaceDN w:val="0"/>
        <w:adjustRightInd w:val="0"/>
        <w:ind w:left="0" w:firstLine="426"/>
        <w:jc w:val="both"/>
        <w:rPr>
          <w:sz w:val="22"/>
          <w:szCs w:val="22"/>
          <w:lang w:eastAsia="ko-KR"/>
        </w:rPr>
      </w:pPr>
      <w:r w:rsidRPr="004823C1">
        <w:rPr>
          <w:bCs/>
          <w:iCs/>
          <w:sz w:val="22"/>
          <w:szCs w:val="22"/>
          <w:lang w:eastAsia="ko-KR"/>
        </w:rPr>
        <w:t>Изготвени 2 бр. становища до дирекция „Правна“ във връзка с писмо от председателя на Държавна агенция „Държавен резерв и военновременни запаси“ (</w:t>
      </w:r>
      <w:r w:rsidRPr="004823C1">
        <w:rPr>
          <w:sz w:val="22"/>
          <w:szCs w:val="22"/>
        </w:rPr>
        <w:t>ДА ДРВВЗ</w:t>
      </w:r>
      <w:r w:rsidRPr="004823C1">
        <w:rPr>
          <w:bCs/>
          <w:iCs/>
          <w:sz w:val="22"/>
          <w:szCs w:val="22"/>
          <w:lang w:eastAsia="ko-KR"/>
        </w:rPr>
        <w:t>/Агенцията) до министър-председателя относно изпълнение на задълженията на страната, произтичащи от Директива на Съвета 2009/119/ЕО</w:t>
      </w:r>
      <w:r w:rsidR="00195D3A" w:rsidRPr="004823C1">
        <w:rPr>
          <w:bCs/>
          <w:iCs/>
          <w:sz w:val="22"/>
          <w:szCs w:val="22"/>
          <w:lang w:eastAsia="ko-KR"/>
        </w:rPr>
        <w:t xml:space="preserve"> от 14.09.2009 г.</w:t>
      </w:r>
      <w:r w:rsidRPr="004823C1">
        <w:rPr>
          <w:bCs/>
          <w:iCs/>
          <w:sz w:val="22"/>
          <w:szCs w:val="22"/>
          <w:lang w:eastAsia="ko-KR"/>
        </w:rPr>
        <w:t xml:space="preserve"> за налагане на задължение на </w:t>
      </w:r>
      <w:r w:rsidRPr="004823C1">
        <w:rPr>
          <w:bCs/>
          <w:iCs/>
          <w:noProof/>
          <w:sz w:val="22"/>
          <w:szCs w:val="22"/>
        </w:rPr>
        <w:drawing>
          <wp:inline distT="0" distB="0" distL="0" distR="0" wp14:anchorId="573D8938" wp14:editId="6EC61038">
            <wp:extent cx="3049" cy="3048"/>
            <wp:effectExtent l="0" t="0" r="0" b="0"/>
            <wp:docPr id="4415" name="Picture 4415"/>
            <wp:cNvGraphicFramePr/>
            <a:graphic xmlns:a="http://schemas.openxmlformats.org/drawingml/2006/main">
              <a:graphicData uri="http://schemas.openxmlformats.org/drawingml/2006/picture">
                <pic:pic xmlns:pic="http://schemas.openxmlformats.org/drawingml/2006/picture">
                  <pic:nvPicPr>
                    <pic:cNvPr id="4415" name="Picture 4415"/>
                    <pic:cNvPicPr/>
                  </pic:nvPicPr>
                  <pic:blipFill>
                    <a:blip r:embed="rId24"/>
                    <a:stretch>
                      <a:fillRect/>
                    </a:stretch>
                  </pic:blipFill>
                  <pic:spPr>
                    <a:xfrm>
                      <a:off x="0" y="0"/>
                      <a:ext cx="3049" cy="3048"/>
                    </a:xfrm>
                    <a:prstGeom prst="rect">
                      <a:avLst/>
                    </a:prstGeom>
                  </pic:spPr>
                </pic:pic>
              </a:graphicData>
            </a:graphic>
          </wp:inline>
        </w:drawing>
      </w:r>
      <w:r w:rsidRPr="004823C1">
        <w:rPr>
          <w:bCs/>
          <w:iCs/>
          <w:sz w:val="22"/>
          <w:szCs w:val="22"/>
          <w:lang w:eastAsia="ko-KR"/>
        </w:rPr>
        <w:t xml:space="preserve">държавите-членки да поддържат минимални запаси от суров нефт и/или </w:t>
      </w:r>
      <w:r w:rsidRPr="004823C1">
        <w:rPr>
          <w:bCs/>
          <w:iCs/>
          <w:noProof/>
          <w:sz w:val="22"/>
          <w:szCs w:val="22"/>
        </w:rPr>
        <w:drawing>
          <wp:inline distT="0" distB="0" distL="0" distR="0" wp14:anchorId="3F691D3E" wp14:editId="3E93B8C1">
            <wp:extent cx="6099" cy="3048"/>
            <wp:effectExtent l="0" t="0" r="0" b="0"/>
            <wp:docPr id="4416" name="Picture 4416"/>
            <wp:cNvGraphicFramePr/>
            <a:graphic xmlns:a="http://schemas.openxmlformats.org/drawingml/2006/main">
              <a:graphicData uri="http://schemas.openxmlformats.org/drawingml/2006/picture">
                <pic:pic xmlns:pic="http://schemas.openxmlformats.org/drawingml/2006/picture">
                  <pic:nvPicPr>
                    <pic:cNvPr id="4416" name="Picture 4416"/>
                    <pic:cNvPicPr/>
                  </pic:nvPicPr>
                  <pic:blipFill>
                    <a:blip r:embed="rId25"/>
                    <a:stretch>
                      <a:fillRect/>
                    </a:stretch>
                  </pic:blipFill>
                  <pic:spPr>
                    <a:xfrm>
                      <a:off x="0" y="0"/>
                      <a:ext cx="6099" cy="3048"/>
                    </a:xfrm>
                    <a:prstGeom prst="rect">
                      <a:avLst/>
                    </a:prstGeom>
                  </pic:spPr>
                </pic:pic>
              </a:graphicData>
            </a:graphic>
          </wp:inline>
        </w:drawing>
      </w:r>
      <w:r w:rsidRPr="004823C1">
        <w:rPr>
          <w:bCs/>
          <w:iCs/>
          <w:sz w:val="22"/>
          <w:szCs w:val="22"/>
          <w:lang w:eastAsia="ko-KR"/>
        </w:rPr>
        <w:t>нефтопродукти и във връзка с Официално Уведомително Писмо 2020/2073 С(2020) 779</w:t>
      </w:r>
      <w:r w:rsidR="00195D3A" w:rsidRPr="004823C1">
        <w:rPr>
          <w:bCs/>
          <w:iCs/>
          <w:sz w:val="22"/>
          <w:szCs w:val="22"/>
          <w:lang w:eastAsia="ko-KR"/>
        </w:rPr>
        <w:t xml:space="preserve">0 </w:t>
      </w:r>
      <w:proofErr w:type="spellStart"/>
      <w:r w:rsidR="00195D3A" w:rsidRPr="004823C1">
        <w:rPr>
          <w:bCs/>
          <w:iCs/>
          <w:sz w:val="22"/>
          <w:szCs w:val="22"/>
          <w:lang w:eastAsia="ko-KR"/>
        </w:rPr>
        <w:t>final</w:t>
      </w:r>
      <w:proofErr w:type="spellEnd"/>
      <w:r w:rsidR="00195D3A" w:rsidRPr="004823C1">
        <w:rPr>
          <w:bCs/>
          <w:iCs/>
          <w:sz w:val="22"/>
          <w:szCs w:val="22"/>
          <w:lang w:eastAsia="ko-KR"/>
        </w:rPr>
        <w:t xml:space="preserve"> на Европейската Комисия;</w:t>
      </w:r>
    </w:p>
    <w:p w14:paraId="7E06DDC4" w14:textId="33520E14" w:rsidR="00B75A9B" w:rsidRPr="004823C1" w:rsidRDefault="00B75A9B" w:rsidP="004823C1">
      <w:pPr>
        <w:widowControl w:val="0"/>
        <w:numPr>
          <w:ilvl w:val="6"/>
          <w:numId w:val="22"/>
        </w:numPr>
        <w:shd w:val="clear" w:color="auto" w:fill="FFFFFF" w:themeFill="background1"/>
        <w:autoSpaceDE w:val="0"/>
        <w:autoSpaceDN w:val="0"/>
        <w:adjustRightInd w:val="0"/>
        <w:ind w:left="0" w:firstLine="426"/>
        <w:jc w:val="both"/>
        <w:rPr>
          <w:bCs/>
          <w:iCs/>
          <w:sz w:val="22"/>
          <w:szCs w:val="22"/>
          <w:lang w:eastAsia="ko-KR"/>
        </w:rPr>
      </w:pPr>
      <w:r w:rsidRPr="004823C1">
        <w:rPr>
          <w:bCs/>
          <w:iCs/>
          <w:sz w:val="22"/>
          <w:szCs w:val="22"/>
          <w:lang w:eastAsia="ko-KR"/>
        </w:rPr>
        <w:t xml:space="preserve">Изготвена докладна записка от директора на дирекция ДСРКК, директора на дирекция </w:t>
      </w:r>
      <w:r w:rsidRPr="004823C1">
        <w:rPr>
          <w:bCs/>
          <w:iCs/>
          <w:sz w:val="22"/>
          <w:szCs w:val="22"/>
          <w:lang w:eastAsia="ko-KR"/>
        </w:rPr>
        <w:lastRenderedPageBreak/>
        <w:t xml:space="preserve">„Правна“ и директора на дирекция „Координация по въпросите на Европейския съюз“ до главния секретар на Министерския съвет (МС) с предложения относно изпълнение на задълженията на страната, произтичащи от Директива на Съвета 2009/119/ЕО от </w:t>
      </w:r>
      <w:r w:rsidR="00195D3A" w:rsidRPr="004823C1">
        <w:rPr>
          <w:bCs/>
          <w:iCs/>
          <w:sz w:val="22"/>
          <w:szCs w:val="22"/>
          <w:lang w:eastAsia="ko-KR"/>
        </w:rPr>
        <w:t>14.09.2009 г.</w:t>
      </w:r>
      <w:r w:rsidRPr="004823C1">
        <w:rPr>
          <w:bCs/>
          <w:iCs/>
          <w:sz w:val="22"/>
          <w:szCs w:val="22"/>
          <w:lang w:eastAsia="ko-KR"/>
        </w:rPr>
        <w:t xml:space="preserve"> за налагане на задължение на </w:t>
      </w:r>
      <w:r w:rsidRPr="004823C1">
        <w:rPr>
          <w:bCs/>
          <w:iCs/>
          <w:noProof/>
          <w:sz w:val="22"/>
          <w:szCs w:val="22"/>
        </w:rPr>
        <w:drawing>
          <wp:inline distT="0" distB="0" distL="0" distR="0" wp14:anchorId="442386CD" wp14:editId="21F73347">
            <wp:extent cx="3049" cy="3048"/>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4415" name="Picture 4415"/>
                    <pic:cNvPicPr/>
                  </pic:nvPicPr>
                  <pic:blipFill>
                    <a:blip r:embed="rId24"/>
                    <a:stretch>
                      <a:fillRect/>
                    </a:stretch>
                  </pic:blipFill>
                  <pic:spPr>
                    <a:xfrm>
                      <a:off x="0" y="0"/>
                      <a:ext cx="3049" cy="3048"/>
                    </a:xfrm>
                    <a:prstGeom prst="rect">
                      <a:avLst/>
                    </a:prstGeom>
                  </pic:spPr>
                </pic:pic>
              </a:graphicData>
            </a:graphic>
          </wp:inline>
        </w:drawing>
      </w:r>
      <w:r w:rsidRPr="004823C1">
        <w:rPr>
          <w:bCs/>
          <w:iCs/>
          <w:sz w:val="22"/>
          <w:szCs w:val="22"/>
          <w:lang w:eastAsia="ko-KR"/>
        </w:rPr>
        <w:t xml:space="preserve">държавите-членки да поддържат минимални запаси от суров нефт и/или </w:t>
      </w:r>
      <w:r w:rsidRPr="004823C1">
        <w:rPr>
          <w:bCs/>
          <w:iCs/>
          <w:noProof/>
          <w:sz w:val="22"/>
          <w:szCs w:val="22"/>
        </w:rPr>
        <w:drawing>
          <wp:inline distT="0" distB="0" distL="0" distR="0" wp14:anchorId="2376E53D" wp14:editId="234522B7">
            <wp:extent cx="6099" cy="3048"/>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4416" name="Picture 4416"/>
                    <pic:cNvPicPr/>
                  </pic:nvPicPr>
                  <pic:blipFill>
                    <a:blip r:embed="rId25"/>
                    <a:stretch>
                      <a:fillRect/>
                    </a:stretch>
                  </pic:blipFill>
                  <pic:spPr>
                    <a:xfrm>
                      <a:off x="0" y="0"/>
                      <a:ext cx="6099" cy="3048"/>
                    </a:xfrm>
                    <a:prstGeom prst="rect">
                      <a:avLst/>
                    </a:prstGeom>
                  </pic:spPr>
                </pic:pic>
              </a:graphicData>
            </a:graphic>
          </wp:inline>
        </w:drawing>
      </w:r>
      <w:r w:rsidRPr="004823C1">
        <w:rPr>
          <w:bCs/>
          <w:iCs/>
          <w:sz w:val="22"/>
          <w:szCs w:val="22"/>
          <w:lang w:eastAsia="ko-KR"/>
        </w:rPr>
        <w:t xml:space="preserve">нефтопродукти и във връзка с Официално Уведомително Писмо 2020/2073 С(2020) 7790 </w:t>
      </w:r>
      <w:proofErr w:type="spellStart"/>
      <w:r w:rsidRPr="004823C1">
        <w:rPr>
          <w:bCs/>
          <w:iCs/>
          <w:sz w:val="22"/>
          <w:szCs w:val="22"/>
          <w:lang w:eastAsia="ko-KR"/>
        </w:rPr>
        <w:t>final</w:t>
      </w:r>
      <w:proofErr w:type="spellEnd"/>
      <w:r w:rsidR="00195D3A" w:rsidRPr="004823C1">
        <w:rPr>
          <w:bCs/>
          <w:iCs/>
          <w:sz w:val="22"/>
          <w:szCs w:val="22"/>
          <w:lang w:eastAsia="ko-KR"/>
        </w:rPr>
        <w:t xml:space="preserve"> на Европейската Комисия;</w:t>
      </w:r>
    </w:p>
    <w:p w14:paraId="6876AC00" w14:textId="12BF0B6B" w:rsidR="00B75A9B" w:rsidRPr="004823C1" w:rsidRDefault="00B75A9B" w:rsidP="004823C1">
      <w:pPr>
        <w:widowControl w:val="0"/>
        <w:numPr>
          <w:ilvl w:val="6"/>
          <w:numId w:val="22"/>
        </w:numPr>
        <w:shd w:val="clear" w:color="auto" w:fill="FFFFFF" w:themeFill="background1"/>
        <w:autoSpaceDE w:val="0"/>
        <w:autoSpaceDN w:val="0"/>
        <w:adjustRightInd w:val="0"/>
        <w:ind w:left="0" w:firstLine="426"/>
        <w:jc w:val="both"/>
        <w:rPr>
          <w:bCs/>
          <w:iCs/>
          <w:sz w:val="22"/>
          <w:szCs w:val="22"/>
          <w:lang w:eastAsia="ko-KR"/>
        </w:rPr>
      </w:pPr>
      <w:r w:rsidRPr="004823C1">
        <w:rPr>
          <w:bCs/>
          <w:iCs/>
          <w:sz w:val="22"/>
          <w:szCs w:val="22"/>
          <w:lang w:eastAsia="ko-KR"/>
        </w:rPr>
        <w:t xml:space="preserve">Изготвен доклад от главният секретар на МС до министър-председателя </w:t>
      </w:r>
      <w:r w:rsidRPr="004823C1">
        <w:rPr>
          <w:bCs/>
          <w:i/>
          <w:iCs/>
          <w:sz w:val="22"/>
          <w:szCs w:val="22"/>
          <w:lang w:eastAsia="ko-KR"/>
        </w:rPr>
        <w:t>(съвместно с дирекция „Правна“)</w:t>
      </w:r>
      <w:r w:rsidRPr="004823C1">
        <w:rPr>
          <w:bCs/>
          <w:iCs/>
          <w:sz w:val="22"/>
          <w:szCs w:val="22"/>
          <w:lang w:eastAsia="ko-KR"/>
        </w:rPr>
        <w:t xml:space="preserve"> във връзка с писмо от председателя на ДА ДРВВЗ до министър-председателя с предложения за предприемане на мерки, свързани с изпълнение на задълженията на страната, произтичащи от Директива на Съвета 2009/119/ЕО от </w:t>
      </w:r>
      <w:r w:rsidR="006F1851" w:rsidRPr="004823C1">
        <w:rPr>
          <w:bCs/>
          <w:iCs/>
          <w:sz w:val="22"/>
          <w:szCs w:val="22"/>
          <w:lang w:eastAsia="ko-KR"/>
        </w:rPr>
        <w:t>14.09.2009 г.</w:t>
      </w:r>
      <w:r w:rsidRPr="004823C1">
        <w:rPr>
          <w:bCs/>
          <w:iCs/>
          <w:sz w:val="22"/>
          <w:szCs w:val="22"/>
          <w:lang w:eastAsia="ko-KR"/>
        </w:rPr>
        <w:t xml:space="preserve"> за налагане на задължение на </w:t>
      </w:r>
      <w:r w:rsidRPr="004823C1">
        <w:rPr>
          <w:bCs/>
          <w:iCs/>
          <w:noProof/>
          <w:sz w:val="22"/>
          <w:szCs w:val="22"/>
        </w:rPr>
        <w:drawing>
          <wp:inline distT="0" distB="0" distL="0" distR="0" wp14:anchorId="2E5179E2" wp14:editId="06BD9DCF">
            <wp:extent cx="3049" cy="3048"/>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4415" name="Picture 4415"/>
                    <pic:cNvPicPr/>
                  </pic:nvPicPr>
                  <pic:blipFill>
                    <a:blip r:embed="rId24"/>
                    <a:stretch>
                      <a:fillRect/>
                    </a:stretch>
                  </pic:blipFill>
                  <pic:spPr>
                    <a:xfrm>
                      <a:off x="0" y="0"/>
                      <a:ext cx="3049" cy="3048"/>
                    </a:xfrm>
                    <a:prstGeom prst="rect">
                      <a:avLst/>
                    </a:prstGeom>
                  </pic:spPr>
                </pic:pic>
              </a:graphicData>
            </a:graphic>
          </wp:inline>
        </w:drawing>
      </w:r>
      <w:r w:rsidRPr="004823C1">
        <w:rPr>
          <w:bCs/>
          <w:iCs/>
          <w:sz w:val="22"/>
          <w:szCs w:val="22"/>
          <w:lang w:eastAsia="ko-KR"/>
        </w:rPr>
        <w:t xml:space="preserve">държавите-членки да поддържат минимални запаси от суров нефт и/или </w:t>
      </w:r>
      <w:r w:rsidRPr="004823C1">
        <w:rPr>
          <w:bCs/>
          <w:iCs/>
          <w:noProof/>
          <w:sz w:val="22"/>
          <w:szCs w:val="22"/>
        </w:rPr>
        <w:drawing>
          <wp:inline distT="0" distB="0" distL="0" distR="0" wp14:anchorId="335BC559" wp14:editId="62AEB52E">
            <wp:extent cx="6099" cy="3048"/>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4416" name="Picture 4416"/>
                    <pic:cNvPicPr/>
                  </pic:nvPicPr>
                  <pic:blipFill>
                    <a:blip r:embed="rId25"/>
                    <a:stretch>
                      <a:fillRect/>
                    </a:stretch>
                  </pic:blipFill>
                  <pic:spPr>
                    <a:xfrm>
                      <a:off x="0" y="0"/>
                      <a:ext cx="6099" cy="3048"/>
                    </a:xfrm>
                    <a:prstGeom prst="rect">
                      <a:avLst/>
                    </a:prstGeom>
                  </pic:spPr>
                </pic:pic>
              </a:graphicData>
            </a:graphic>
          </wp:inline>
        </w:drawing>
      </w:r>
      <w:r w:rsidRPr="004823C1">
        <w:rPr>
          <w:bCs/>
          <w:iCs/>
          <w:sz w:val="22"/>
          <w:szCs w:val="22"/>
          <w:lang w:eastAsia="ko-KR"/>
        </w:rPr>
        <w:t>нефтопродукти и във връзка с Официално Уведомително Писмо 2020/2073 С(2020) 779</w:t>
      </w:r>
      <w:r w:rsidR="00064066" w:rsidRPr="004823C1">
        <w:rPr>
          <w:bCs/>
          <w:iCs/>
          <w:sz w:val="22"/>
          <w:szCs w:val="22"/>
          <w:lang w:eastAsia="ko-KR"/>
        </w:rPr>
        <w:t xml:space="preserve">0 </w:t>
      </w:r>
      <w:proofErr w:type="spellStart"/>
      <w:r w:rsidR="00064066" w:rsidRPr="004823C1">
        <w:rPr>
          <w:bCs/>
          <w:iCs/>
          <w:sz w:val="22"/>
          <w:szCs w:val="22"/>
          <w:lang w:eastAsia="ko-KR"/>
        </w:rPr>
        <w:t>final</w:t>
      </w:r>
      <w:proofErr w:type="spellEnd"/>
      <w:r w:rsidR="00064066" w:rsidRPr="004823C1">
        <w:rPr>
          <w:bCs/>
          <w:iCs/>
          <w:sz w:val="22"/>
          <w:szCs w:val="22"/>
          <w:lang w:eastAsia="ko-KR"/>
        </w:rPr>
        <w:t xml:space="preserve"> на Европейската Комисия;</w:t>
      </w:r>
    </w:p>
    <w:p w14:paraId="2BB16952" w14:textId="64CD336E" w:rsidR="00B75A9B" w:rsidRPr="004823C1" w:rsidRDefault="00B75A9B" w:rsidP="004823C1">
      <w:pPr>
        <w:widowControl w:val="0"/>
        <w:numPr>
          <w:ilvl w:val="6"/>
          <w:numId w:val="22"/>
        </w:numPr>
        <w:shd w:val="clear" w:color="auto" w:fill="FFFFFF" w:themeFill="background1"/>
        <w:autoSpaceDE w:val="0"/>
        <w:autoSpaceDN w:val="0"/>
        <w:adjustRightInd w:val="0"/>
        <w:ind w:left="0" w:firstLine="426"/>
        <w:jc w:val="both"/>
        <w:rPr>
          <w:bCs/>
          <w:iCs/>
          <w:sz w:val="22"/>
          <w:szCs w:val="22"/>
          <w:lang w:eastAsia="ko-KR"/>
        </w:rPr>
      </w:pPr>
      <w:r w:rsidRPr="004823C1">
        <w:rPr>
          <w:bCs/>
          <w:iCs/>
          <w:sz w:val="22"/>
          <w:szCs w:val="22"/>
          <w:lang w:eastAsia="ko-KR"/>
        </w:rPr>
        <w:t xml:space="preserve">Изготвено писмо от министър-председателя до министъра на финансите </w:t>
      </w:r>
      <w:r w:rsidRPr="004823C1">
        <w:rPr>
          <w:bCs/>
          <w:i/>
          <w:iCs/>
          <w:sz w:val="22"/>
          <w:szCs w:val="22"/>
          <w:lang w:eastAsia="ko-KR"/>
        </w:rPr>
        <w:t xml:space="preserve">(съвместно с дирекция „Правна“) </w:t>
      </w:r>
      <w:r w:rsidRPr="004823C1">
        <w:rPr>
          <w:bCs/>
          <w:iCs/>
          <w:sz w:val="22"/>
          <w:szCs w:val="22"/>
          <w:lang w:eastAsia="ko-KR"/>
        </w:rPr>
        <w:t xml:space="preserve">с искане за предоставяне на информация, свързана с недостига на средства по бюджета на Агенцията във връзка с изпълнение на задълженията на страната, произтичащи от Директива на Съвета 2009/119/ЕО от </w:t>
      </w:r>
      <w:r w:rsidR="00064066" w:rsidRPr="004823C1">
        <w:rPr>
          <w:bCs/>
          <w:iCs/>
          <w:sz w:val="22"/>
          <w:szCs w:val="22"/>
          <w:lang w:eastAsia="ko-KR"/>
        </w:rPr>
        <w:t>14.09.2009 г.</w:t>
      </w:r>
      <w:r w:rsidRPr="004823C1">
        <w:rPr>
          <w:bCs/>
          <w:iCs/>
          <w:sz w:val="22"/>
          <w:szCs w:val="22"/>
          <w:lang w:eastAsia="ko-KR"/>
        </w:rPr>
        <w:t xml:space="preserve"> за налагане на задължение на държавите членки да поддържат минимални запаси от суров нефт и/или нефтопродукти и във връзка с Официално уведомително писмо на Европейската комисия по процедура за нарушение </w:t>
      </w:r>
      <w:r w:rsidR="00064066" w:rsidRPr="004823C1">
        <w:rPr>
          <w:bCs/>
          <w:iCs/>
          <w:sz w:val="22"/>
          <w:szCs w:val="22"/>
          <w:lang w:eastAsia="ko-KR"/>
        </w:rPr>
        <w:br/>
        <w:t>№ 2020/2073;</w:t>
      </w:r>
    </w:p>
    <w:p w14:paraId="50224927" w14:textId="4BA46C39" w:rsidR="00B75A9B" w:rsidRPr="004823C1" w:rsidRDefault="00B75A9B" w:rsidP="004823C1">
      <w:pPr>
        <w:widowControl w:val="0"/>
        <w:numPr>
          <w:ilvl w:val="6"/>
          <w:numId w:val="22"/>
        </w:numPr>
        <w:shd w:val="clear" w:color="auto" w:fill="FFFFFF" w:themeFill="background1"/>
        <w:autoSpaceDE w:val="0"/>
        <w:autoSpaceDN w:val="0"/>
        <w:adjustRightInd w:val="0"/>
        <w:ind w:left="0" w:firstLine="426"/>
        <w:jc w:val="both"/>
        <w:rPr>
          <w:bCs/>
          <w:iCs/>
          <w:sz w:val="22"/>
          <w:szCs w:val="22"/>
          <w:lang w:eastAsia="ko-KR"/>
        </w:rPr>
      </w:pPr>
      <w:r w:rsidRPr="004823C1">
        <w:rPr>
          <w:bCs/>
          <w:iCs/>
          <w:sz w:val="22"/>
          <w:szCs w:val="22"/>
          <w:lang w:eastAsia="ko-KR"/>
        </w:rPr>
        <w:t xml:space="preserve">Изготвено писмо от министър-председателя до председателя на Държавна агенция „Държавен резерв и военновременни запаси“ </w:t>
      </w:r>
      <w:r w:rsidRPr="004823C1">
        <w:rPr>
          <w:bCs/>
          <w:i/>
          <w:iCs/>
          <w:sz w:val="22"/>
          <w:szCs w:val="22"/>
          <w:lang w:eastAsia="ko-KR"/>
        </w:rPr>
        <w:t>(съвместно с дирекция „Правна“)</w:t>
      </w:r>
      <w:r w:rsidRPr="004823C1">
        <w:rPr>
          <w:bCs/>
          <w:iCs/>
          <w:sz w:val="22"/>
          <w:szCs w:val="22"/>
          <w:lang w:eastAsia="ko-KR"/>
        </w:rPr>
        <w:t xml:space="preserve"> относно предоставяне на информация за причините за недостига на финансови средства по бюджета на Агенцията, информация за размера на заявяваните финансови средства от ДА ДРВВЗ в хода на бюджетните процедури до 2025 г., подробна план-сметка, съдържаща всички разходи по осигуряване на необходимите количества запаси за извънредни ситуации, както и за размера на средствата за запаси за извънредни ситуации, заявени в хода на бюджетната процедура </w:t>
      </w:r>
      <w:r w:rsidR="00064066" w:rsidRPr="004823C1">
        <w:rPr>
          <w:bCs/>
          <w:iCs/>
          <w:sz w:val="22"/>
          <w:szCs w:val="22"/>
          <w:lang w:eastAsia="ko-KR"/>
        </w:rPr>
        <w:br/>
      </w:r>
      <w:r w:rsidRPr="004823C1">
        <w:rPr>
          <w:bCs/>
          <w:iCs/>
          <w:sz w:val="22"/>
          <w:szCs w:val="22"/>
          <w:lang w:eastAsia="ko-KR"/>
        </w:rPr>
        <w:t>за 2025 г.</w:t>
      </w:r>
    </w:p>
    <w:p w14:paraId="4E5D3941" w14:textId="77777777" w:rsidR="00B75A9B" w:rsidRPr="004823C1" w:rsidRDefault="00B75A9B" w:rsidP="004823C1">
      <w:pPr>
        <w:widowControl w:val="0"/>
        <w:numPr>
          <w:ilvl w:val="6"/>
          <w:numId w:val="22"/>
        </w:numPr>
        <w:shd w:val="clear" w:color="auto" w:fill="FFFFFF" w:themeFill="background1"/>
        <w:autoSpaceDE w:val="0"/>
        <w:autoSpaceDN w:val="0"/>
        <w:adjustRightInd w:val="0"/>
        <w:ind w:left="0" w:firstLine="426"/>
        <w:jc w:val="both"/>
        <w:rPr>
          <w:bCs/>
          <w:iCs/>
          <w:sz w:val="22"/>
          <w:szCs w:val="22"/>
          <w:lang w:eastAsia="ko-KR"/>
        </w:rPr>
      </w:pPr>
      <w:r w:rsidRPr="004823C1">
        <w:rPr>
          <w:bCs/>
          <w:iCs/>
          <w:sz w:val="22"/>
          <w:szCs w:val="22"/>
          <w:lang w:eastAsia="ko-KR"/>
        </w:rPr>
        <w:t xml:space="preserve">Извършено проучване на нормативната уредба, информацията от страниците на държавните агенции към МС и информацията в представените три доклада за дейността на Държавна агенция „Безопасност на движението по пътищата“, Държавна агенция за закрила на детето и ДА ДРВВЗ. Изготвяне на проект на доклад до министър-председателя за протоколно решение на Министерския съвет за приемане за сведение на представените три доклада. </w:t>
      </w:r>
    </w:p>
    <w:p w14:paraId="696A5584" w14:textId="77777777" w:rsidR="00B75A9B" w:rsidRPr="004823C1" w:rsidRDefault="00B75A9B" w:rsidP="004823C1">
      <w:pPr>
        <w:widowControl w:val="0"/>
        <w:numPr>
          <w:ilvl w:val="6"/>
          <w:numId w:val="22"/>
        </w:numPr>
        <w:shd w:val="clear" w:color="auto" w:fill="FFFFFF" w:themeFill="background1"/>
        <w:autoSpaceDE w:val="0"/>
        <w:autoSpaceDN w:val="0"/>
        <w:adjustRightInd w:val="0"/>
        <w:ind w:left="0" w:firstLine="426"/>
        <w:jc w:val="both"/>
        <w:rPr>
          <w:bCs/>
          <w:iCs/>
          <w:sz w:val="22"/>
          <w:szCs w:val="22"/>
          <w:lang w:eastAsia="ko-KR"/>
        </w:rPr>
      </w:pPr>
      <w:r w:rsidRPr="004823C1">
        <w:rPr>
          <w:bCs/>
          <w:iCs/>
          <w:sz w:val="22"/>
          <w:szCs w:val="22"/>
          <w:lang w:eastAsia="ko-KR"/>
        </w:rPr>
        <w:t>Изготвен пакет документи и опорни точки за заседание на МС за приемане на Решение за одобряване на проект на Закон за изменение и допълнение на Закона за мерките срещу финансирането на тероризма.</w:t>
      </w:r>
    </w:p>
    <w:p w14:paraId="029044BA" w14:textId="77777777" w:rsidR="00B75A9B" w:rsidRPr="004823C1" w:rsidRDefault="00B75A9B"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Подпомагане и осъществяване на координация за постигането на съгласуваност относно прилагане на правилата за кръгова икономика</w:t>
      </w:r>
    </w:p>
    <w:p w14:paraId="3F65310D" w14:textId="77777777" w:rsidR="00B75A9B" w:rsidRPr="004823C1" w:rsidRDefault="00B75A9B" w:rsidP="004823C1">
      <w:pPr>
        <w:shd w:val="clear" w:color="auto" w:fill="FFFFFF" w:themeFill="background1"/>
        <w:tabs>
          <w:tab w:val="left" w:pos="993"/>
        </w:tabs>
        <w:autoSpaceDE w:val="0"/>
        <w:autoSpaceDN w:val="0"/>
        <w:adjustRightInd w:val="0"/>
        <w:ind w:left="426"/>
        <w:jc w:val="both"/>
        <w:rPr>
          <w:rFonts w:eastAsia="Batang"/>
          <w:sz w:val="22"/>
          <w:szCs w:val="22"/>
          <w:lang w:eastAsia="ko-KR"/>
        </w:rPr>
      </w:pPr>
      <w:r w:rsidRPr="004823C1">
        <w:rPr>
          <w:rFonts w:eastAsia="Batang"/>
          <w:sz w:val="22"/>
          <w:szCs w:val="22"/>
          <w:lang w:eastAsia="ko-KR"/>
        </w:rPr>
        <w:t>За отчетния период дирекцията е извършила следните дейности:</w:t>
      </w:r>
    </w:p>
    <w:p w14:paraId="2817A327" w14:textId="78C318D6" w:rsidR="00B75A9B" w:rsidRPr="004823C1" w:rsidRDefault="00B75A9B" w:rsidP="004823C1">
      <w:pPr>
        <w:pStyle w:val="ListParagraph"/>
        <w:widowControl w:val="0"/>
        <w:numPr>
          <w:ilvl w:val="0"/>
          <w:numId w:val="36"/>
        </w:numPr>
        <w:shd w:val="clear" w:color="auto" w:fill="FFFFFF" w:themeFill="background1"/>
        <w:autoSpaceDE w:val="0"/>
        <w:autoSpaceDN w:val="0"/>
        <w:adjustRightInd w:val="0"/>
        <w:ind w:left="709" w:hanging="283"/>
        <w:jc w:val="both"/>
        <w:rPr>
          <w:bCs/>
          <w:iCs/>
          <w:sz w:val="22"/>
          <w:szCs w:val="22"/>
        </w:rPr>
      </w:pPr>
      <w:r w:rsidRPr="004823C1">
        <w:rPr>
          <w:bCs/>
          <w:iCs/>
          <w:sz w:val="22"/>
          <w:szCs w:val="22"/>
        </w:rPr>
        <w:t xml:space="preserve">Изготвен проект на заповед за определяне състава </w:t>
      </w:r>
      <w:r w:rsidR="00EA3DF0" w:rsidRPr="004823C1">
        <w:rPr>
          <w:bCs/>
          <w:iCs/>
          <w:sz w:val="22"/>
          <w:szCs w:val="22"/>
        </w:rPr>
        <w:t>на Съвета за кръгова икономика;</w:t>
      </w:r>
    </w:p>
    <w:p w14:paraId="2DDAEA6F" w14:textId="77777777" w:rsidR="00B75A9B" w:rsidRPr="004823C1" w:rsidRDefault="00B75A9B" w:rsidP="004823C1">
      <w:pPr>
        <w:pStyle w:val="ListParagraph"/>
        <w:widowControl w:val="0"/>
        <w:numPr>
          <w:ilvl w:val="0"/>
          <w:numId w:val="36"/>
        </w:numPr>
        <w:shd w:val="clear" w:color="auto" w:fill="FFFFFF" w:themeFill="background1"/>
        <w:autoSpaceDE w:val="0"/>
        <w:autoSpaceDN w:val="0"/>
        <w:adjustRightInd w:val="0"/>
        <w:ind w:left="0" w:firstLine="426"/>
        <w:jc w:val="both"/>
        <w:rPr>
          <w:rFonts w:eastAsia="Times New Roman"/>
          <w:bCs/>
          <w:iCs/>
          <w:sz w:val="22"/>
          <w:szCs w:val="22"/>
        </w:rPr>
      </w:pPr>
      <w:r w:rsidRPr="004823C1">
        <w:rPr>
          <w:rFonts w:eastAsia="Times New Roman"/>
          <w:bCs/>
          <w:iCs/>
          <w:sz w:val="22"/>
          <w:szCs w:val="22"/>
        </w:rPr>
        <w:t xml:space="preserve">Извършено проучване по отношение ролята и мястото на кръговата икономика в светлината на </w:t>
      </w:r>
      <w:r w:rsidRPr="004823C1">
        <w:rPr>
          <w:rFonts w:eastAsia="Times New Roman"/>
          <w:bCs/>
          <w:iCs/>
          <w:sz w:val="22"/>
          <w:szCs w:val="22"/>
          <w:lang w:val="bg-BG"/>
        </w:rPr>
        <w:t>новите</w:t>
      </w:r>
      <w:r w:rsidRPr="004823C1">
        <w:rPr>
          <w:rFonts w:eastAsia="Times New Roman"/>
          <w:bCs/>
          <w:iCs/>
          <w:sz w:val="22"/>
          <w:szCs w:val="22"/>
        </w:rPr>
        <w:t xml:space="preserve"> ключови европейски стратегически цели и приоритети и документи </w:t>
      </w:r>
      <w:r w:rsidRPr="004823C1">
        <w:rPr>
          <w:rFonts w:eastAsia="Times New Roman"/>
          <w:bCs/>
          <w:iCs/>
          <w:sz w:val="22"/>
          <w:szCs w:val="22"/>
          <w:lang w:val="bg-BG"/>
        </w:rPr>
        <w:t>(</w:t>
      </w:r>
      <w:r w:rsidRPr="004823C1">
        <w:rPr>
          <w:rFonts w:eastAsia="Times New Roman"/>
          <w:bCs/>
          <w:iCs/>
          <w:sz w:val="22"/>
          <w:szCs w:val="22"/>
        </w:rPr>
        <w:t>Компасът за конкурентоспособността на ЕС, Пактът за чиста промишленост и Планът за действие за енергия на достъпни цени</w:t>
      </w:r>
      <w:r w:rsidRPr="004823C1">
        <w:rPr>
          <w:rFonts w:eastAsia="Times New Roman"/>
          <w:bCs/>
          <w:iCs/>
          <w:sz w:val="22"/>
          <w:szCs w:val="22"/>
          <w:lang w:val="bg-BG"/>
        </w:rPr>
        <w:t>)</w:t>
      </w:r>
      <w:r w:rsidRPr="004823C1">
        <w:rPr>
          <w:rFonts w:eastAsia="Times New Roman"/>
          <w:bCs/>
          <w:iCs/>
          <w:sz w:val="22"/>
          <w:szCs w:val="22"/>
        </w:rPr>
        <w:t>.</w:t>
      </w:r>
    </w:p>
    <w:p w14:paraId="0673D55F" w14:textId="77777777" w:rsidR="00B75A9B" w:rsidRPr="004823C1" w:rsidRDefault="00B75A9B"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Координиране и подпомагане на дейностите по разработването, мониторинга и контрола по изпълнението и отчитането на програмата за управление на страната</w:t>
      </w:r>
    </w:p>
    <w:p w14:paraId="72FC5357" w14:textId="77777777" w:rsidR="00B75A9B" w:rsidRPr="004823C1" w:rsidRDefault="00B75A9B"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За отчетния период дирекция „Стратегическо развитие, координация и концесии“ е извършила следните дейности:</w:t>
      </w:r>
    </w:p>
    <w:p w14:paraId="55161B14" w14:textId="26B36D01" w:rsidR="00B75A9B" w:rsidRPr="004823C1" w:rsidRDefault="00B75A9B" w:rsidP="004823C1">
      <w:pPr>
        <w:widowControl w:val="0"/>
        <w:shd w:val="clear" w:color="auto" w:fill="FFFFFF" w:themeFill="background1"/>
        <w:tabs>
          <w:tab w:val="left" w:pos="851"/>
        </w:tabs>
        <w:autoSpaceDE w:val="0"/>
        <w:autoSpaceDN w:val="0"/>
        <w:adjustRightInd w:val="0"/>
        <w:ind w:firstLine="426"/>
        <w:jc w:val="both"/>
        <w:rPr>
          <w:rFonts w:eastAsia="Batang"/>
          <w:bCs/>
          <w:iCs/>
          <w:sz w:val="22"/>
          <w:szCs w:val="22"/>
        </w:rPr>
      </w:pPr>
      <w:r w:rsidRPr="004823C1">
        <w:rPr>
          <w:sz w:val="22"/>
          <w:szCs w:val="22"/>
        </w:rPr>
        <w:t>1</w:t>
      </w:r>
      <w:r w:rsidRPr="004823C1">
        <w:rPr>
          <w:rFonts w:eastAsia="Batang"/>
          <w:bCs/>
          <w:iCs/>
          <w:sz w:val="22"/>
          <w:szCs w:val="22"/>
        </w:rPr>
        <w:t>. Изготвен доклад до министър-председателя относно процеса по разработване, мониторинг и отчитане на Програмата за управление на Република България за периода 2025</w:t>
      </w:r>
      <w:r w:rsidR="00446522" w:rsidRPr="004823C1">
        <w:rPr>
          <w:rFonts w:eastAsia="Batang"/>
          <w:bCs/>
          <w:iCs/>
          <w:sz w:val="22"/>
          <w:szCs w:val="22"/>
        </w:rPr>
        <w:t xml:space="preserve"> – </w:t>
      </w:r>
      <w:r w:rsidRPr="004823C1">
        <w:rPr>
          <w:rFonts w:eastAsia="Batang"/>
          <w:bCs/>
          <w:iCs/>
          <w:sz w:val="22"/>
          <w:szCs w:val="22"/>
        </w:rPr>
        <w:t xml:space="preserve">2029 г. </w:t>
      </w:r>
      <w:r w:rsidR="00EA3DF0" w:rsidRPr="004823C1">
        <w:rPr>
          <w:rFonts w:eastAsia="Batang"/>
          <w:bCs/>
          <w:iCs/>
          <w:sz w:val="22"/>
          <w:szCs w:val="22"/>
        </w:rPr>
        <w:t>(Програмата);</w:t>
      </w:r>
    </w:p>
    <w:p w14:paraId="4C19AC73" w14:textId="3E18FCFA" w:rsidR="00B75A9B" w:rsidRPr="004823C1" w:rsidRDefault="00B75A9B" w:rsidP="004823C1">
      <w:pPr>
        <w:widowControl w:val="0"/>
        <w:shd w:val="clear" w:color="auto" w:fill="FFFFFF" w:themeFill="background1"/>
        <w:tabs>
          <w:tab w:val="left" w:pos="851"/>
        </w:tabs>
        <w:autoSpaceDE w:val="0"/>
        <w:autoSpaceDN w:val="0"/>
        <w:adjustRightInd w:val="0"/>
        <w:ind w:firstLine="426"/>
        <w:jc w:val="both"/>
        <w:rPr>
          <w:rFonts w:eastAsia="Batang"/>
          <w:bCs/>
          <w:iCs/>
          <w:sz w:val="22"/>
          <w:szCs w:val="22"/>
        </w:rPr>
      </w:pPr>
      <w:r w:rsidRPr="004823C1">
        <w:rPr>
          <w:rFonts w:eastAsia="Batang"/>
          <w:bCs/>
          <w:iCs/>
          <w:sz w:val="22"/>
          <w:szCs w:val="22"/>
        </w:rPr>
        <w:t>2. Изготвена таблица-макет за отчитане на Програмата и на текст за разработване на Програмата с кратки указания за попълване на таблицата, изпратен до</w:t>
      </w:r>
      <w:r w:rsidR="00F82ADD" w:rsidRPr="004823C1">
        <w:rPr>
          <w:rFonts w:eastAsia="Batang"/>
          <w:bCs/>
          <w:iCs/>
          <w:sz w:val="22"/>
          <w:szCs w:val="22"/>
        </w:rPr>
        <w:t xml:space="preserve"> министерствата и звената в АМС;</w:t>
      </w:r>
    </w:p>
    <w:p w14:paraId="0FF99DFC" w14:textId="44046EDD" w:rsidR="00B75A9B" w:rsidRPr="004823C1" w:rsidRDefault="00B75A9B" w:rsidP="004823C1">
      <w:pPr>
        <w:widowControl w:val="0"/>
        <w:shd w:val="clear" w:color="auto" w:fill="FFFFFF" w:themeFill="background1"/>
        <w:tabs>
          <w:tab w:val="left" w:pos="851"/>
        </w:tabs>
        <w:autoSpaceDE w:val="0"/>
        <w:autoSpaceDN w:val="0"/>
        <w:adjustRightInd w:val="0"/>
        <w:ind w:firstLine="426"/>
        <w:jc w:val="both"/>
        <w:rPr>
          <w:rFonts w:eastAsia="Batang"/>
          <w:bCs/>
          <w:iCs/>
          <w:sz w:val="22"/>
          <w:szCs w:val="22"/>
        </w:rPr>
      </w:pPr>
      <w:r w:rsidRPr="004823C1">
        <w:rPr>
          <w:rFonts w:eastAsia="Batang"/>
          <w:bCs/>
          <w:iCs/>
          <w:sz w:val="22"/>
          <w:szCs w:val="22"/>
        </w:rPr>
        <w:lastRenderedPageBreak/>
        <w:t>3. Изготвено въведение (увод) към Програмата за управление на Република България за периода 2025-2029 г.</w:t>
      </w:r>
      <w:r w:rsidR="00F82ADD" w:rsidRPr="004823C1">
        <w:rPr>
          <w:rFonts w:eastAsia="Batang"/>
          <w:bCs/>
          <w:iCs/>
          <w:sz w:val="22"/>
          <w:szCs w:val="22"/>
        </w:rPr>
        <w:t>;</w:t>
      </w:r>
    </w:p>
    <w:p w14:paraId="762E76BB" w14:textId="58DA65DF" w:rsidR="00B75A9B" w:rsidRPr="004823C1" w:rsidRDefault="00B75A9B" w:rsidP="004823C1">
      <w:pPr>
        <w:widowControl w:val="0"/>
        <w:shd w:val="clear" w:color="auto" w:fill="FFFFFF" w:themeFill="background1"/>
        <w:tabs>
          <w:tab w:val="left" w:pos="851"/>
        </w:tabs>
        <w:autoSpaceDE w:val="0"/>
        <w:autoSpaceDN w:val="0"/>
        <w:adjustRightInd w:val="0"/>
        <w:ind w:firstLine="426"/>
        <w:jc w:val="both"/>
        <w:rPr>
          <w:rFonts w:eastAsia="Batang"/>
          <w:bCs/>
          <w:iCs/>
          <w:sz w:val="22"/>
          <w:szCs w:val="22"/>
        </w:rPr>
      </w:pPr>
      <w:r w:rsidRPr="004823C1">
        <w:rPr>
          <w:rFonts w:eastAsia="Batang"/>
          <w:bCs/>
          <w:iCs/>
          <w:sz w:val="22"/>
          <w:szCs w:val="22"/>
        </w:rPr>
        <w:t>4. Организиране и участие в работни срещи с представители на отделни министерства за идентифициране на приоритети, цели и мерки на Програмата за управление на Ре</w:t>
      </w:r>
      <w:r w:rsidR="00F82ADD" w:rsidRPr="004823C1">
        <w:rPr>
          <w:rFonts w:eastAsia="Batang"/>
          <w:bCs/>
          <w:iCs/>
          <w:sz w:val="22"/>
          <w:szCs w:val="22"/>
        </w:rPr>
        <w:t>публика България 2025 – 2029 г.;</w:t>
      </w:r>
    </w:p>
    <w:p w14:paraId="6F8DC7E3" w14:textId="256630FE" w:rsidR="00B75A9B" w:rsidRPr="004823C1" w:rsidRDefault="00B75A9B" w:rsidP="004823C1">
      <w:pPr>
        <w:widowControl w:val="0"/>
        <w:shd w:val="clear" w:color="auto" w:fill="FFFFFF" w:themeFill="background1"/>
        <w:tabs>
          <w:tab w:val="left" w:pos="851"/>
        </w:tabs>
        <w:autoSpaceDE w:val="0"/>
        <w:autoSpaceDN w:val="0"/>
        <w:adjustRightInd w:val="0"/>
        <w:ind w:firstLine="426"/>
        <w:jc w:val="both"/>
        <w:rPr>
          <w:rFonts w:eastAsia="Batang"/>
          <w:bCs/>
          <w:iCs/>
          <w:sz w:val="22"/>
          <w:szCs w:val="22"/>
        </w:rPr>
      </w:pPr>
      <w:r w:rsidRPr="004823C1">
        <w:rPr>
          <w:rFonts w:eastAsia="Batang"/>
          <w:bCs/>
          <w:iCs/>
          <w:sz w:val="22"/>
          <w:szCs w:val="22"/>
        </w:rPr>
        <w:t>5. Извършен първоначален преглед с бележки, предложения и редакции по представени от всички министерства материал</w:t>
      </w:r>
      <w:r w:rsidR="00EA3DF0" w:rsidRPr="004823C1">
        <w:rPr>
          <w:rFonts w:eastAsia="Batang"/>
          <w:bCs/>
          <w:iCs/>
          <w:sz w:val="22"/>
          <w:szCs w:val="22"/>
        </w:rPr>
        <w:t>и за разработване на Програмата;</w:t>
      </w:r>
    </w:p>
    <w:p w14:paraId="2D3A354B" w14:textId="314D6AF8" w:rsidR="00B75A9B" w:rsidRPr="004823C1" w:rsidRDefault="00B75A9B" w:rsidP="004823C1">
      <w:pPr>
        <w:widowControl w:val="0"/>
        <w:shd w:val="clear" w:color="auto" w:fill="FFFFFF" w:themeFill="background1"/>
        <w:tabs>
          <w:tab w:val="left" w:pos="851"/>
        </w:tabs>
        <w:autoSpaceDE w:val="0"/>
        <w:autoSpaceDN w:val="0"/>
        <w:adjustRightInd w:val="0"/>
        <w:ind w:firstLine="426"/>
        <w:jc w:val="both"/>
        <w:rPr>
          <w:rFonts w:eastAsia="Batang"/>
          <w:bCs/>
          <w:iCs/>
          <w:sz w:val="22"/>
          <w:szCs w:val="22"/>
        </w:rPr>
      </w:pPr>
      <w:r w:rsidRPr="004823C1">
        <w:rPr>
          <w:rFonts w:eastAsia="Batang"/>
          <w:bCs/>
          <w:iCs/>
          <w:sz w:val="22"/>
          <w:szCs w:val="22"/>
        </w:rPr>
        <w:t>6. Извършен преглед и оценка на съответствието на предложения на Асоциацията на организациите на българските работодатели с приоритетите, целите и м</w:t>
      </w:r>
      <w:r w:rsidR="00EA3DF0" w:rsidRPr="004823C1">
        <w:rPr>
          <w:rFonts w:eastAsia="Batang"/>
          <w:bCs/>
          <w:iCs/>
          <w:sz w:val="22"/>
          <w:szCs w:val="22"/>
        </w:rPr>
        <w:t>ерките в изготвяната Програмата;</w:t>
      </w:r>
    </w:p>
    <w:p w14:paraId="2D1B5264" w14:textId="02E90F78" w:rsidR="00B75A9B" w:rsidRPr="004823C1" w:rsidRDefault="00B75A9B" w:rsidP="004823C1">
      <w:pPr>
        <w:widowControl w:val="0"/>
        <w:shd w:val="clear" w:color="auto" w:fill="FFFFFF" w:themeFill="background1"/>
        <w:tabs>
          <w:tab w:val="left" w:pos="851"/>
        </w:tabs>
        <w:autoSpaceDE w:val="0"/>
        <w:autoSpaceDN w:val="0"/>
        <w:adjustRightInd w:val="0"/>
        <w:ind w:firstLine="426"/>
        <w:jc w:val="both"/>
        <w:rPr>
          <w:rFonts w:eastAsia="Batang"/>
          <w:bCs/>
          <w:iCs/>
          <w:sz w:val="22"/>
          <w:szCs w:val="22"/>
        </w:rPr>
      </w:pPr>
      <w:r w:rsidRPr="004823C1">
        <w:rPr>
          <w:rFonts w:eastAsia="Batang"/>
          <w:bCs/>
          <w:iCs/>
          <w:sz w:val="22"/>
          <w:szCs w:val="22"/>
        </w:rPr>
        <w:t>7. Изготвен пакет документи за заседание на Министерски съвет – проект на Решение на Министерския съвет за приемане на Програма за управление на Република България за периода 2025 – 2029 г., доклад на министър-председателя, доклад на главния секретар на М</w:t>
      </w:r>
      <w:r w:rsidR="00EA3DF0" w:rsidRPr="004823C1">
        <w:rPr>
          <w:rFonts w:eastAsia="Batang"/>
          <w:bCs/>
          <w:iCs/>
          <w:sz w:val="22"/>
          <w:szCs w:val="22"/>
        </w:rPr>
        <w:t>С до министър-председателя, СМО;</w:t>
      </w:r>
    </w:p>
    <w:p w14:paraId="0C349F7F" w14:textId="2A0015F6" w:rsidR="00B75A9B" w:rsidRPr="004823C1" w:rsidRDefault="00B75A9B" w:rsidP="004823C1">
      <w:pPr>
        <w:widowControl w:val="0"/>
        <w:shd w:val="clear" w:color="auto" w:fill="FFFFFF" w:themeFill="background1"/>
        <w:tabs>
          <w:tab w:val="left" w:pos="851"/>
        </w:tabs>
        <w:autoSpaceDE w:val="0"/>
        <w:autoSpaceDN w:val="0"/>
        <w:adjustRightInd w:val="0"/>
        <w:ind w:firstLine="426"/>
        <w:jc w:val="both"/>
        <w:rPr>
          <w:rFonts w:eastAsia="Batang"/>
          <w:bCs/>
          <w:iCs/>
          <w:sz w:val="22"/>
          <w:szCs w:val="22"/>
        </w:rPr>
      </w:pPr>
      <w:r w:rsidRPr="004823C1">
        <w:rPr>
          <w:rFonts w:eastAsia="Batang"/>
          <w:bCs/>
          <w:iCs/>
          <w:sz w:val="22"/>
          <w:szCs w:val="22"/>
        </w:rPr>
        <w:t>8. Осъществена координация с представители на отделните министерства относно монитор</w:t>
      </w:r>
      <w:r w:rsidR="00EA3DF0" w:rsidRPr="004823C1">
        <w:rPr>
          <w:rFonts w:eastAsia="Batang"/>
          <w:bCs/>
          <w:iCs/>
          <w:sz w:val="22"/>
          <w:szCs w:val="22"/>
        </w:rPr>
        <w:t>инга и отчитането на Програмата;</w:t>
      </w:r>
    </w:p>
    <w:p w14:paraId="59D78475" w14:textId="60DBD1BD" w:rsidR="00B75A9B" w:rsidRPr="004823C1" w:rsidRDefault="00B75A9B" w:rsidP="004823C1">
      <w:pPr>
        <w:widowControl w:val="0"/>
        <w:shd w:val="clear" w:color="auto" w:fill="FFFFFF" w:themeFill="background1"/>
        <w:tabs>
          <w:tab w:val="left" w:pos="851"/>
        </w:tabs>
        <w:autoSpaceDE w:val="0"/>
        <w:autoSpaceDN w:val="0"/>
        <w:adjustRightInd w:val="0"/>
        <w:ind w:firstLine="426"/>
        <w:jc w:val="both"/>
        <w:rPr>
          <w:rFonts w:eastAsia="Batang"/>
          <w:bCs/>
          <w:iCs/>
          <w:sz w:val="22"/>
          <w:szCs w:val="22"/>
        </w:rPr>
      </w:pPr>
      <w:r w:rsidRPr="004823C1">
        <w:rPr>
          <w:rFonts w:eastAsia="Batang"/>
          <w:bCs/>
          <w:iCs/>
          <w:sz w:val="22"/>
          <w:szCs w:val="22"/>
        </w:rPr>
        <w:t>9. Проверка на попълнените от министерствата екселски таблици с изисканата информация за всяка от мерките от Програмата – индикатори, срокове, отговорни институции и пр. Дефиниране и обобщаване на пропуските и грешките при попълването. Обобщаване на идентифицираните пропуски и проблеми. Обсъждане и уточняване на пропуските и проблемите с отговорните з</w:t>
      </w:r>
      <w:r w:rsidR="00EA3DF0" w:rsidRPr="004823C1">
        <w:rPr>
          <w:rFonts w:eastAsia="Batang"/>
          <w:bCs/>
          <w:iCs/>
          <w:sz w:val="22"/>
          <w:szCs w:val="22"/>
        </w:rPr>
        <w:t>а попълването на таблиците лица;</w:t>
      </w:r>
    </w:p>
    <w:p w14:paraId="3C01549F" w14:textId="3252A7DF" w:rsidR="00B75A9B" w:rsidRPr="004823C1" w:rsidRDefault="00B75A9B" w:rsidP="004823C1">
      <w:pPr>
        <w:widowControl w:val="0"/>
        <w:shd w:val="clear" w:color="auto" w:fill="FFFFFF" w:themeFill="background1"/>
        <w:tabs>
          <w:tab w:val="left" w:pos="851"/>
        </w:tabs>
        <w:autoSpaceDE w:val="0"/>
        <w:autoSpaceDN w:val="0"/>
        <w:adjustRightInd w:val="0"/>
        <w:ind w:firstLine="426"/>
        <w:jc w:val="both"/>
        <w:rPr>
          <w:rFonts w:eastAsia="Batang"/>
          <w:bCs/>
          <w:iCs/>
          <w:sz w:val="22"/>
          <w:szCs w:val="22"/>
        </w:rPr>
      </w:pPr>
      <w:r w:rsidRPr="004823C1">
        <w:rPr>
          <w:rFonts w:eastAsia="Batang"/>
          <w:bCs/>
          <w:iCs/>
          <w:sz w:val="22"/>
          <w:szCs w:val="22"/>
        </w:rPr>
        <w:t xml:space="preserve">10. Разработен Портал за отчитане на Програмата за управление на Република България за периода 2025 – 2029 г. (Портала) и предоставени потребителски имена, пароли и указания за работа с Портала на отговорните длъжностни лица от съответните министерства. Оказване на методическа подкрепа на отговорните лица от министерствата в процеса по отчитане изпълнението на </w:t>
      </w:r>
      <w:r w:rsidR="00EA3DF0" w:rsidRPr="004823C1">
        <w:rPr>
          <w:rFonts w:eastAsia="Batang"/>
          <w:bCs/>
          <w:iCs/>
          <w:sz w:val="22"/>
          <w:szCs w:val="22"/>
        </w:rPr>
        <w:t>мерките от Програмата в Портала;</w:t>
      </w:r>
    </w:p>
    <w:p w14:paraId="1A18229E" w14:textId="77777777" w:rsidR="00B75A9B" w:rsidRPr="004823C1" w:rsidRDefault="00B75A9B" w:rsidP="004823C1">
      <w:pPr>
        <w:widowControl w:val="0"/>
        <w:shd w:val="clear" w:color="auto" w:fill="FFFFFF" w:themeFill="background1"/>
        <w:tabs>
          <w:tab w:val="left" w:pos="851"/>
        </w:tabs>
        <w:autoSpaceDE w:val="0"/>
        <w:autoSpaceDN w:val="0"/>
        <w:adjustRightInd w:val="0"/>
        <w:ind w:firstLine="426"/>
        <w:jc w:val="both"/>
        <w:rPr>
          <w:rFonts w:eastAsia="Batang"/>
          <w:bCs/>
          <w:iCs/>
          <w:sz w:val="22"/>
          <w:szCs w:val="22"/>
        </w:rPr>
      </w:pPr>
      <w:r w:rsidRPr="004823C1">
        <w:rPr>
          <w:rFonts w:eastAsia="Batang"/>
          <w:bCs/>
          <w:iCs/>
          <w:sz w:val="22"/>
          <w:szCs w:val="22"/>
        </w:rPr>
        <w:t>11. Ежемесечен преглед и осъществяване на мониторинг на изпълнението на мерките от Програмата за управление на Република България за периода 2025-2029 г. за всички сектори.</w:t>
      </w:r>
    </w:p>
    <w:p w14:paraId="0C5576A9" w14:textId="77777777" w:rsidR="00B75A9B" w:rsidRPr="004823C1" w:rsidRDefault="00B75A9B"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Подпомагане на процеса по вземане на информирано решение от Министерския съвет чрез изготвяне на становища по целесъобразност на политики, предлагани от органите на изпълнителната власт, организации или лица</w:t>
      </w:r>
    </w:p>
    <w:p w14:paraId="45B5DB0E" w14:textId="77777777" w:rsidR="00B75A9B" w:rsidRPr="004823C1" w:rsidRDefault="00B75A9B"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През първото шестмесечие на 2025 г. експертите от дирекцията са изготвили 37 експертни становища по внесени за разглеждане от МС по реда на УПМСНА проекти на стратегии, програми и актове относно тяхната целесъобразност, и са съгласувани без бележки по целесъобразност приблизително 158 проекта.</w:t>
      </w:r>
    </w:p>
    <w:p w14:paraId="0AF6B34A" w14:textId="77777777" w:rsidR="00B75A9B" w:rsidRPr="004823C1" w:rsidRDefault="00B75A9B"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 xml:space="preserve">Оценка на целесъобразността от създаване на консултативни съвети по чл. 21 от Закона за администрацията </w:t>
      </w:r>
      <w:r w:rsidRPr="004823C1">
        <w:rPr>
          <w:rFonts w:eastAsia="Batang"/>
          <w:b/>
          <w:bCs/>
          <w:i/>
          <w:iCs/>
          <w:sz w:val="22"/>
          <w:szCs w:val="22"/>
          <w:lang w:eastAsia="ko-KR"/>
        </w:rPr>
        <w:t>(функция на дирекцията, включена в УПМСНА след 14.03.2025 г.)</w:t>
      </w:r>
    </w:p>
    <w:p w14:paraId="48016C29" w14:textId="77777777" w:rsidR="00B75A9B" w:rsidRPr="004823C1" w:rsidRDefault="00B75A9B"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За отчетния период дирекция „Стратегическо развитие, координация и концесии“ е извършила следната дейност:</w:t>
      </w:r>
    </w:p>
    <w:p w14:paraId="799F327D" w14:textId="77777777" w:rsidR="00B75A9B" w:rsidRPr="004823C1" w:rsidRDefault="00B75A9B"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Изготвено становище по предложение на Министерство на финансите за създаване на Консултативен съвет за инвестиционните проекти, финансирани с държавни заеми, и проектите, кандидатстващи за финансиране с държавна гаранция.</w:t>
      </w:r>
    </w:p>
    <w:p w14:paraId="7E38F682" w14:textId="77777777" w:rsidR="00B75A9B" w:rsidRPr="004823C1" w:rsidRDefault="00B75A9B"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Изпълняване функциите на секретариат на Консултативния съвет за Европейската зелена сделка (КСЕЗС)</w:t>
      </w:r>
    </w:p>
    <w:p w14:paraId="6A55CB0A" w14:textId="7EB5966E" w:rsidR="00B75A9B" w:rsidRPr="004823C1" w:rsidRDefault="00B75A9B" w:rsidP="004823C1">
      <w:pPr>
        <w:shd w:val="clear" w:color="auto" w:fill="FFFFFF" w:themeFill="background1"/>
        <w:tabs>
          <w:tab w:val="left" w:pos="993"/>
        </w:tabs>
        <w:autoSpaceDE w:val="0"/>
        <w:autoSpaceDN w:val="0"/>
        <w:adjustRightInd w:val="0"/>
        <w:ind w:firstLine="426"/>
        <w:jc w:val="both"/>
        <w:rPr>
          <w:rFonts w:eastAsia="Batang"/>
          <w:sz w:val="22"/>
          <w:szCs w:val="22"/>
          <w:lang w:eastAsia="ko-KR"/>
        </w:rPr>
      </w:pPr>
      <w:r w:rsidRPr="004823C1">
        <w:rPr>
          <w:rFonts w:eastAsia="Batang"/>
          <w:sz w:val="22"/>
          <w:szCs w:val="22"/>
          <w:lang w:eastAsia="ko-KR"/>
        </w:rPr>
        <w:t xml:space="preserve">През първото шестмесечие на 2025 г. дирекцията е извършила следните дейности: </w:t>
      </w:r>
    </w:p>
    <w:p w14:paraId="785B3B89" w14:textId="6C3EC68B" w:rsidR="00B75A9B" w:rsidRPr="004823C1" w:rsidRDefault="00B75A9B" w:rsidP="004823C1">
      <w:pPr>
        <w:pStyle w:val="ListParagraph"/>
        <w:widowControl w:val="0"/>
        <w:numPr>
          <w:ilvl w:val="1"/>
          <w:numId w:val="27"/>
        </w:numPr>
        <w:shd w:val="clear" w:color="auto" w:fill="FFFFFF" w:themeFill="background1"/>
        <w:tabs>
          <w:tab w:val="clear" w:pos="1080"/>
          <w:tab w:val="num" w:pos="709"/>
        </w:tabs>
        <w:autoSpaceDE w:val="0"/>
        <w:autoSpaceDN w:val="0"/>
        <w:adjustRightInd w:val="0"/>
        <w:ind w:left="0" w:firstLine="426"/>
        <w:jc w:val="both"/>
        <w:rPr>
          <w:bCs/>
          <w:iCs/>
          <w:sz w:val="22"/>
          <w:szCs w:val="22"/>
        </w:rPr>
      </w:pPr>
      <w:r w:rsidRPr="004823C1">
        <w:rPr>
          <w:bCs/>
          <w:iCs/>
          <w:sz w:val="22"/>
          <w:szCs w:val="22"/>
        </w:rPr>
        <w:t>Изготвен проект на доклад до Главния секретар с актуална информ</w:t>
      </w:r>
      <w:r w:rsidR="000C0370" w:rsidRPr="004823C1">
        <w:rPr>
          <w:bCs/>
          <w:iCs/>
          <w:sz w:val="22"/>
          <w:szCs w:val="22"/>
        </w:rPr>
        <w:t>ация относно дейността на КСЕЗС</w:t>
      </w:r>
      <w:r w:rsidR="000C0370" w:rsidRPr="004823C1">
        <w:rPr>
          <w:bCs/>
          <w:iCs/>
          <w:sz w:val="22"/>
          <w:szCs w:val="22"/>
          <w:lang w:val="bg-BG"/>
        </w:rPr>
        <w:t>;</w:t>
      </w:r>
    </w:p>
    <w:p w14:paraId="5F07EF1A" w14:textId="276F4B81" w:rsidR="00B75A9B" w:rsidRPr="004823C1" w:rsidRDefault="00B75A9B" w:rsidP="004823C1">
      <w:pPr>
        <w:pStyle w:val="ListParagraph"/>
        <w:widowControl w:val="0"/>
        <w:numPr>
          <w:ilvl w:val="1"/>
          <w:numId w:val="27"/>
        </w:numPr>
        <w:shd w:val="clear" w:color="auto" w:fill="FFFFFF" w:themeFill="background1"/>
        <w:tabs>
          <w:tab w:val="clear" w:pos="1080"/>
          <w:tab w:val="num" w:pos="709"/>
        </w:tabs>
        <w:autoSpaceDE w:val="0"/>
        <w:autoSpaceDN w:val="0"/>
        <w:adjustRightInd w:val="0"/>
        <w:ind w:left="0" w:firstLine="426"/>
        <w:jc w:val="both"/>
        <w:rPr>
          <w:bCs/>
          <w:iCs/>
          <w:sz w:val="22"/>
          <w:szCs w:val="22"/>
        </w:rPr>
      </w:pPr>
      <w:r w:rsidRPr="004823C1">
        <w:rPr>
          <w:bCs/>
          <w:iCs/>
          <w:sz w:val="22"/>
          <w:szCs w:val="22"/>
        </w:rPr>
        <w:t xml:space="preserve">Изготвен пакет документи за определяне на председател на КСЕЗС – доклад до главния секретар на МС, проект на доклад на министър-председателя, проект на Решение на Министерския съвет, проект на финансова обосновка, проект на съобщение за </w:t>
      </w:r>
      <w:r w:rsidR="000C0370" w:rsidRPr="004823C1">
        <w:rPr>
          <w:bCs/>
          <w:iCs/>
          <w:sz w:val="22"/>
          <w:szCs w:val="22"/>
        </w:rPr>
        <w:t>средствата за масова информация;</w:t>
      </w:r>
    </w:p>
    <w:p w14:paraId="4E6CADDB" w14:textId="31279869" w:rsidR="00B75A9B" w:rsidRPr="004823C1" w:rsidRDefault="00B75A9B" w:rsidP="004823C1">
      <w:pPr>
        <w:pStyle w:val="ListParagraph"/>
        <w:widowControl w:val="0"/>
        <w:numPr>
          <w:ilvl w:val="1"/>
          <w:numId w:val="27"/>
        </w:numPr>
        <w:shd w:val="clear" w:color="auto" w:fill="FFFFFF" w:themeFill="background1"/>
        <w:tabs>
          <w:tab w:val="clear" w:pos="1080"/>
          <w:tab w:val="num" w:pos="709"/>
        </w:tabs>
        <w:autoSpaceDE w:val="0"/>
        <w:autoSpaceDN w:val="0"/>
        <w:adjustRightInd w:val="0"/>
        <w:ind w:left="0" w:firstLine="426"/>
        <w:jc w:val="both"/>
        <w:rPr>
          <w:bCs/>
          <w:iCs/>
          <w:sz w:val="22"/>
          <w:szCs w:val="22"/>
        </w:rPr>
      </w:pPr>
      <w:r w:rsidRPr="004823C1">
        <w:rPr>
          <w:bCs/>
          <w:iCs/>
          <w:sz w:val="22"/>
          <w:szCs w:val="22"/>
        </w:rPr>
        <w:t>Подготвени и изпратени писма до членовете на КСЕЗС</w:t>
      </w:r>
      <w:r w:rsidR="000C0370" w:rsidRPr="004823C1">
        <w:rPr>
          <w:bCs/>
          <w:iCs/>
          <w:sz w:val="22"/>
          <w:szCs w:val="22"/>
        </w:rPr>
        <w:t xml:space="preserve"> за актуализиране на състава му;</w:t>
      </w:r>
    </w:p>
    <w:p w14:paraId="3A569C9A" w14:textId="50A0C05C" w:rsidR="00B75A9B" w:rsidRPr="004823C1" w:rsidRDefault="00B75A9B" w:rsidP="004823C1">
      <w:pPr>
        <w:pStyle w:val="ListParagraph"/>
        <w:widowControl w:val="0"/>
        <w:numPr>
          <w:ilvl w:val="1"/>
          <w:numId w:val="27"/>
        </w:numPr>
        <w:shd w:val="clear" w:color="auto" w:fill="FFFFFF" w:themeFill="background1"/>
        <w:tabs>
          <w:tab w:val="clear" w:pos="1080"/>
          <w:tab w:val="num" w:pos="709"/>
        </w:tabs>
        <w:autoSpaceDE w:val="0"/>
        <w:autoSpaceDN w:val="0"/>
        <w:adjustRightInd w:val="0"/>
        <w:ind w:left="0" w:firstLine="426"/>
        <w:jc w:val="both"/>
        <w:rPr>
          <w:bCs/>
          <w:iCs/>
          <w:sz w:val="22"/>
          <w:szCs w:val="22"/>
        </w:rPr>
      </w:pPr>
      <w:r w:rsidRPr="004823C1">
        <w:rPr>
          <w:bCs/>
          <w:iCs/>
          <w:sz w:val="22"/>
          <w:szCs w:val="22"/>
        </w:rPr>
        <w:t>Изготвена заповед за определя</w:t>
      </w:r>
      <w:r w:rsidR="000C0370" w:rsidRPr="004823C1">
        <w:rPr>
          <w:bCs/>
          <w:iCs/>
          <w:sz w:val="22"/>
          <w:szCs w:val="22"/>
        </w:rPr>
        <w:t>не на поименния състав на КСЕЗС;</w:t>
      </w:r>
    </w:p>
    <w:p w14:paraId="27C284F5" w14:textId="7C6414E4" w:rsidR="00B75A9B" w:rsidRPr="004823C1" w:rsidRDefault="00B75A9B" w:rsidP="004823C1">
      <w:pPr>
        <w:pStyle w:val="ListParagraph"/>
        <w:widowControl w:val="0"/>
        <w:numPr>
          <w:ilvl w:val="1"/>
          <w:numId w:val="27"/>
        </w:numPr>
        <w:shd w:val="clear" w:color="auto" w:fill="FFFFFF" w:themeFill="background1"/>
        <w:tabs>
          <w:tab w:val="clear" w:pos="1080"/>
          <w:tab w:val="num" w:pos="709"/>
        </w:tabs>
        <w:autoSpaceDE w:val="0"/>
        <w:autoSpaceDN w:val="0"/>
        <w:adjustRightInd w:val="0"/>
        <w:ind w:left="0" w:firstLine="426"/>
        <w:jc w:val="both"/>
        <w:rPr>
          <w:bCs/>
          <w:iCs/>
          <w:sz w:val="22"/>
          <w:szCs w:val="22"/>
        </w:rPr>
      </w:pPr>
      <w:r w:rsidRPr="004823C1">
        <w:rPr>
          <w:bCs/>
          <w:iCs/>
          <w:sz w:val="22"/>
          <w:szCs w:val="22"/>
        </w:rPr>
        <w:t>Изготвени доклад до министър-председателя и проект на заповед за изменение н</w:t>
      </w:r>
      <w:r w:rsidR="000C0370" w:rsidRPr="004823C1">
        <w:rPr>
          <w:bCs/>
          <w:iCs/>
          <w:sz w:val="22"/>
          <w:szCs w:val="22"/>
        </w:rPr>
        <w:t xml:space="preserve">а Заповед </w:t>
      </w:r>
      <w:r w:rsidR="000C0370" w:rsidRPr="004823C1">
        <w:rPr>
          <w:bCs/>
          <w:iCs/>
          <w:sz w:val="22"/>
          <w:szCs w:val="22"/>
        </w:rPr>
        <w:lastRenderedPageBreak/>
        <w:t>№ Р-31 от 17.02.</w:t>
      </w:r>
      <w:r w:rsidRPr="004823C1">
        <w:rPr>
          <w:bCs/>
          <w:iCs/>
          <w:sz w:val="22"/>
          <w:szCs w:val="22"/>
        </w:rPr>
        <w:t>2025 г. относно определяне на поименния състав на КСЕЗС във връзка с промените в УПМСНА от 14.03.2025 г.</w:t>
      </w:r>
      <w:r w:rsidR="000C0370" w:rsidRPr="004823C1">
        <w:rPr>
          <w:bCs/>
          <w:iCs/>
          <w:sz w:val="22"/>
          <w:szCs w:val="22"/>
        </w:rPr>
        <w:t>;</w:t>
      </w:r>
    </w:p>
    <w:p w14:paraId="6C7369A4" w14:textId="1F6F2D1A" w:rsidR="00B75A9B" w:rsidRPr="004823C1" w:rsidRDefault="00B75A9B" w:rsidP="004823C1">
      <w:pPr>
        <w:pStyle w:val="ListParagraph"/>
        <w:widowControl w:val="0"/>
        <w:numPr>
          <w:ilvl w:val="1"/>
          <w:numId w:val="27"/>
        </w:numPr>
        <w:shd w:val="clear" w:color="auto" w:fill="FFFFFF" w:themeFill="background1"/>
        <w:tabs>
          <w:tab w:val="clear" w:pos="1080"/>
          <w:tab w:val="num" w:pos="709"/>
        </w:tabs>
        <w:autoSpaceDE w:val="0"/>
        <w:autoSpaceDN w:val="0"/>
        <w:adjustRightInd w:val="0"/>
        <w:ind w:left="0" w:firstLine="426"/>
        <w:jc w:val="both"/>
        <w:rPr>
          <w:bCs/>
          <w:iCs/>
          <w:sz w:val="22"/>
          <w:szCs w:val="22"/>
        </w:rPr>
      </w:pPr>
      <w:r w:rsidRPr="004823C1">
        <w:rPr>
          <w:bCs/>
          <w:iCs/>
          <w:sz w:val="22"/>
          <w:szCs w:val="22"/>
        </w:rPr>
        <w:t>Организирано и проведено заседание на КСЕЗС, в т.ч. изготвени писма, дне</w:t>
      </w:r>
      <w:r w:rsidR="000C0370" w:rsidRPr="004823C1">
        <w:rPr>
          <w:bCs/>
          <w:iCs/>
          <w:sz w:val="22"/>
          <w:szCs w:val="22"/>
        </w:rPr>
        <w:t>вен ред, опорни точки, протокол;</w:t>
      </w:r>
    </w:p>
    <w:p w14:paraId="22A8B317" w14:textId="77777777" w:rsidR="00B75A9B" w:rsidRPr="004823C1" w:rsidRDefault="00B75A9B" w:rsidP="004823C1">
      <w:pPr>
        <w:pStyle w:val="ListParagraph"/>
        <w:widowControl w:val="0"/>
        <w:numPr>
          <w:ilvl w:val="1"/>
          <w:numId w:val="27"/>
        </w:numPr>
        <w:shd w:val="clear" w:color="auto" w:fill="FFFFFF" w:themeFill="background1"/>
        <w:tabs>
          <w:tab w:val="clear" w:pos="1080"/>
          <w:tab w:val="num" w:pos="709"/>
        </w:tabs>
        <w:autoSpaceDE w:val="0"/>
        <w:autoSpaceDN w:val="0"/>
        <w:adjustRightInd w:val="0"/>
        <w:ind w:left="0" w:firstLine="426"/>
        <w:jc w:val="both"/>
        <w:rPr>
          <w:bCs/>
          <w:iCs/>
          <w:sz w:val="22"/>
          <w:szCs w:val="22"/>
        </w:rPr>
      </w:pPr>
      <w:r w:rsidRPr="004823C1">
        <w:rPr>
          <w:bCs/>
          <w:iCs/>
          <w:sz w:val="22"/>
          <w:szCs w:val="22"/>
        </w:rPr>
        <w:t>Изготвен проект на Постановление за създаване на Консултативен съвет по конкурентоспособност и декарбонизация, който да адресира актуалните политики в областите на конкурентоспособността, декарбонизацията и кръговата икономика.</w:t>
      </w:r>
    </w:p>
    <w:p w14:paraId="250CBA16" w14:textId="40592CDA" w:rsidR="00B75A9B" w:rsidRPr="004823C1" w:rsidRDefault="00B75A9B" w:rsidP="004823C1">
      <w:pPr>
        <w:numPr>
          <w:ilvl w:val="0"/>
          <w:numId w:val="17"/>
        </w:numPr>
        <w:shd w:val="clear" w:color="auto" w:fill="FFFFFF" w:themeFill="background1"/>
        <w:tabs>
          <w:tab w:val="clear" w:pos="360"/>
          <w:tab w:val="num" w:pos="709"/>
        </w:tabs>
        <w:ind w:left="0" w:firstLine="425"/>
        <w:jc w:val="both"/>
        <w:rPr>
          <w:rFonts w:eastAsia="Batang"/>
          <w:i/>
          <w:iCs/>
          <w:sz w:val="22"/>
          <w:szCs w:val="22"/>
          <w:lang w:eastAsia="ko-KR"/>
        </w:rPr>
      </w:pPr>
      <w:r w:rsidRPr="004823C1">
        <w:rPr>
          <w:rFonts w:eastAsia="Batang"/>
          <w:b/>
          <w:bCs/>
          <w:sz w:val="22"/>
          <w:szCs w:val="22"/>
          <w:lang w:eastAsia="ko-KR"/>
        </w:rPr>
        <w:t xml:space="preserve">Осигуряване експертно и технически работата на Съвета за развитие при Министерския съвет </w:t>
      </w:r>
      <w:r w:rsidRPr="004823C1">
        <w:rPr>
          <w:rFonts w:eastAsia="Batang"/>
          <w:i/>
          <w:iCs/>
          <w:sz w:val="22"/>
          <w:szCs w:val="22"/>
          <w:lang w:eastAsia="ko-KR"/>
        </w:rPr>
        <w:t>(дейност, изпълнявана в рамките на функциите на дирекцията до 14.03.2025</w:t>
      </w:r>
      <w:r w:rsidR="0029061A" w:rsidRPr="004823C1">
        <w:rPr>
          <w:rFonts w:eastAsia="Batang"/>
          <w:i/>
          <w:iCs/>
          <w:sz w:val="22"/>
          <w:szCs w:val="22"/>
          <w:lang w:eastAsia="ko-KR"/>
        </w:rPr>
        <w:t xml:space="preserve"> </w:t>
      </w:r>
      <w:r w:rsidRPr="004823C1">
        <w:rPr>
          <w:rFonts w:eastAsia="Batang"/>
          <w:i/>
          <w:iCs/>
          <w:sz w:val="22"/>
          <w:szCs w:val="22"/>
          <w:lang w:eastAsia="ko-KR"/>
        </w:rPr>
        <w:t>г. Съветът за развитие е закрит с Постановление № 11 на МС от 19.02.2025 г.)</w:t>
      </w:r>
    </w:p>
    <w:p w14:paraId="16F80224" w14:textId="77777777" w:rsidR="00B75A9B" w:rsidRPr="004823C1" w:rsidRDefault="00B75A9B" w:rsidP="004823C1">
      <w:pPr>
        <w:widowControl w:val="0"/>
        <w:shd w:val="clear" w:color="auto" w:fill="FFFFFF" w:themeFill="background1"/>
        <w:autoSpaceDE w:val="0"/>
        <w:autoSpaceDN w:val="0"/>
        <w:adjustRightInd w:val="0"/>
        <w:ind w:firstLine="426"/>
        <w:jc w:val="both"/>
        <w:rPr>
          <w:rFonts w:eastAsia="Batang"/>
          <w:bCs/>
          <w:iCs/>
          <w:sz w:val="22"/>
          <w:szCs w:val="22"/>
        </w:rPr>
      </w:pPr>
      <w:r w:rsidRPr="004823C1">
        <w:rPr>
          <w:rFonts w:eastAsia="Batang"/>
          <w:bCs/>
          <w:iCs/>
          <w:sz w:val="22"/>
          <w:szCs w:val="22"/>
        </w:rPr>
        <w:t>За отчетния период дирекцията е извършила следните дейности:</w:t>
      </w:r>
    </w:p>
    <w:p w14:paraId="4376E0A4" w14:textId="501FC4A4" w:rsidR="00B75A9B" w:rsidRPr="004823C1" w:rsidRDefault="00B75A9B" w:rsidP="004823C1">
      <w:pPr>
        <w:widowControl w:val="0"/>
        <w:numPr>
          <w:ilvl w:val="6"/>
          <w:numId w:val="23"/>
        </w:numPr>
        <w:shd w:val="clear" w:color="auto" w:fill="FFFFFF" w:themeFill="background1"/>
        <w:autoSpaceDE w:val="0"/>
        <w:autoSpaceDN w:val="0"/>
        <w:adjustRightInd w:val="0"/>
        <w:ind w:left="0" w:firstLine="426"/>
        <w:jc w:val="both"/>
        <w:rPr>
          <w:bCs/>
          <w:sz w:val="22"/>
          <w:szCs w:val="22"/>
          <w:lang w:eastAsia="ko-KR"/>
        </w:rPr>
      </w:pPr>
      <w:r w:rsidRPr="004823C1">
        <w:rPr>
          <w:bCs/>
          <w:sz w:val="22"/>
          <w:szCs w:val="22"/>
        </w:rPr>
        <w:t xml:space="preserve">Организирано провеждането на 1 </w:t>
      </w:r>
      <w:r w:rsidRPr="004823C1">
        <w:rPr>
          <w:bCs/>
          <w:sz w:val="22"/>
          <w:szCs w:val="22"/>
          <w:lang w:eastAsia="ko-KR"/>
        </w:rPr>
        <w:t>неприсъствено заседание/писмена процедура на Съвета за развитие, в т. ч. изготвени писмо, формуляри за неприсъствено</w:t>
      </w:r>
      <w:r w:rsidR="00F416F7" w:rsidRPr="004823C1">
        <w:rPr>
          <w:bCs/>
          <w:sz w:val="22"/>
          <w:szCs w:val="22"/>
          <w:lang w:eastAsia="ko-KR"/>
        </w:rPr>
        <w:t xml:space="preserve"> приемане на решения и протокол;</w:t>
      </w:r>
    </w:p>
    <w:p w14:paraId="4294CAF2" w14:textId="393FD9BC" w:rsidR="00B75A9B" w:rsidRPr="004823C1" w:rsidRDefault="00B75A9B" w:rsidP="004823C1">
      <w:pPr>
        <w:widowControl w:val="0"/>
        <w:numPr>
          <w:ilvl w:val="6"/>
          <w:numId w:val="23"/>
        </w:numPr>
        <w:shd w:val="clear" w:color="auto" w:fill="FFFFFF" w:themeFill="background1"/>
        <w:autoSpaceDE w:val="0"/>
        <w:autoSpaceDN w:val="0"/>
        <w:adjustRightInd w:val="0"/>
        <w:ind w:left="0" w:firstLine="426"/>
        <w:jc w:val="both"/>
        <w:rPr>
          <w:bCs/>
          <w:sz w:val="22"/>
          <w:szCs w:val="22"/>
        </w:rPr>
      </w:pPr>
      <w:r w:rsidRPr="004823C1">
        <w:rPr>
          <w:bCs/>
          <w:sz w:val="22"/>
          <w:szCs w:val="22"/>
        </w:rPr>
        <w:t>Изготвен доклад (3 варианта) относно проект на Постановление на МС (ПМС) за закриване на Съвета за р</w:t>
      </w:r>
      <w:r w:rsidR="00525EA4" w:rsidRPr="004823C1">
        <w:rPr>
          <w:bCs/>
          <w:sz w:val="22"/>
          <w:szCs w:val="22"/>
        </w:rPr>
        <w:t>азвитие при Министерския съвет;</w:t>
      </w:r>
    </w:p>
    <w:p w14:paraId="613A77CF" w14:textId="77777777" w:rsidR="00B75A9B" w:rsidRPr="004823C1" w:rsidRDefault="00B75A9B" w:rsidP="004823C1">
      <w:pPr>
        <w:widowControl w:val="0"/>
        <w:numPr>
          <w:ilvl w:val="6"/>
          <w:numId w:val="23"/>
        </w:numPr>
        <w:shd w:val="clear" w:color="auto" w:fill="FFFFFF" w:themeFill="background1"/>
        <w:autoSpaceDE w:val="0"/>
        <w:autoSpaceDN w:val="0"/>
        <w:adjustRightInd w:val="0"/>
        <w:ind w:left="0" w:firstLine="426"/>
        <w:jc w:val="both"/>
        <w:rPr>
          <w:bCs/>
          <w:sz w:val="22"/>
          <w:szCs w:val="22"/>
        </w:rPr>
      </w:pPr>
      <w:r w:rsidRPr="004823C1">
        <w:rPr>
          <w:bCs/>
          <w:sz w:val="22"/>
          <w:szCs w:val="22"/>
        </w:rPr>
        <w:t>Изготвен проект на ПМС за отмяна на Постановление № 77 на МС от 2023 г. за създаване на Съвет за развитие при Министерския съвет.</w:t>
      </w:r>
    </w:p>
    <w:p w14:paraId="49EB8000" w14:textId="07732337" w:rsidR="00B75A9B" w:rsidRPr="004823C1" w:rsidRDefault="00B75A9B"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 xml:space="preserve">Административна поддръжка на Портала за консултативните съвети и осигуряване на публичност и прозрачност на работата на консултативните съвети </w:t>
      </w:r>
      <w:r w:rsidRPr="004823C1">
        <w:rPr>
          <w:rFonts w:eastAsia="Batang"/>
          <w:b/>
          <w:bCs/>
          <w:i/>
          <w:iCs/>
          <w:sz w:val="22"/>
          <w:szCs w:val="22"/>
          <w:lang w:eastAsia="ko-KR"/>
        </w:rPr>
        <w:t>(към отчетния период Порталът за консултативните съвети не е активен поради забавяне в изпълнението на Дейност 2 „Надграждане и развитие на функционалностите на Портала за обществени консултации (включително тестване на надградената система)“ от Договор № МС-61/09.06.2023 г, сключен между администрацията на Министерския съ</w:t>
      </w:r>
      <w:r w:rsidR="00525EA4" w:rsidRPr="004823C1">
        <w:rPr>
          <w:rFonts w:eastAsia="Batang"/>
          <w:b/>
          <w:bCs/>
          <w:i/>
          <w:iCs/>
          <w:sz w:val="22"/>
          <w:szCs w:val="22"/>
          <w:lang w:eastAsia="ko-KR"/>
        </w:rPr>
        <w:t>вет и АСАП</w:t>
      </w:r>
      <w:r w:rsidRPr="004823C1">
        <w:rPr>
          <w:rFonts w:eastAsia="Batang"/>
          <w:b/>
          <w:bCs/>
          <w:i/>
          <w:iCs/>
          <w:sz w:val="22"/>
          <w:szCs w:val="22"/>
          <w:lang w:eastAsia="ko-KR"/>
        </w:rPr>
        <w:t xml:space="preserve"> ЕООД)</w:t>
      </w:r>
      <w:r w:rsidR="00525EA4" w:rsidRPr="004823C1">
        <w:rPr>
          <w:rFonts w:eastAsia="Batang"/>
          <w:b/>
          <w:bCs/>
          <w:i/>
          <w:iCs/>
          <w:sz w:val="22"/>
          <w:szCs w:val="22"/>
          <w:lang w:eastAsia="ko-KR"/>
        </w:rPr>
        <w:t>.</w:t>
      </w:r>
    </w:p>
    <w:p w14:paraId="3C841527" w14:textId="77777777" w:rsidR="00B75A9B" w:rsidRPr="004823C1" w:rsidRDefault="00B75A9B" w:rsidP="004823C1">
      <w:pPr>
        <w:widowControl w:val="0"/>
        <w:shd w:val="clear" w:color="auto" w:fill="FFFFFF" w:themeFill="background1"/>
        <w:autoSpaceDE w:val="0"/>
        <w:autoSpaceDN w:val="0"/>
        <w:adjustRightInd w:val="0"/>
        <w:ind w:firstLine="426"/>
        <w:jc w:val="both"/>
        <w:rPr>
          <w:rFonts w:eastAsia="Batang"/>
          <w:bCs/>
          <w:iCs/>
          <w:sz w:val="22"/>
          <w:szCs w:val="22"/>
        </w:rPr>
      </w:pPr>
      <w:r w:rsidRPr="004823C1">
        <w:rPr>
          <w:rFonts w:eastAsia="Batang"/>
          <w:bCs/>
          <w:iCs/>
          <w:sz w:val="22"/>
          <w:szCs w:val="22"/>
        </w:rPr>
        <w:t>За отчетния период дирекцията е извършила следните дейности:</w:t>
      </w:r>
    </w:p>
    <w:p w14:paraId="322C4299" w14:textId="444D5A78" w:rsidR="00B75A9B" w:rsidRPr="004823C1" w:rsidRDefault="00B75A9B" w:rsidP="004823C1">
      <w:pPr>
        <w:widowControl w:val="0"/>
        <w:numPr>
          <w:ilvl w:val="6"/>
          <w:numId w:val="24"/>
        </w:numPr>
        <w:shd w:val="clear" w:color="auto" w:fill="FFFFFF" w:themeFill="background1"/>
        <w:autoSpaceDE w:val="0"/>
        <w:autoSpaceDN w:val="0"/>
        <w:adjustRightInd w:val="0"/>
        <w:ind w:left="0" w:firstLine="426"/>
        <w:jc w:val="both"/>
        <w:rPr>
          <w:sz w:val="22"/>
          <w:szCs w:val="22"/>
          <w:lang w:eastAsia="ko-KR"/>
        </w:rPr>
      </w:pPr>
      <w:r w:rsidRPr="004823C1">
        <w:rPr>
          <w:sz w:val="22"/>
          <w:szCs w:val="22"/>
          <w:lang w:eastAsia="ko-KR"/>
        </w:rPr>
        <w:t>Изготвен анализ и обобщена информация на тема „Развитие и оптимизиране на административните структури“, в частта „Консултативни съвети“ във връзка с изготвянето на Доклад за състоянието на администрацията за 2024 г.</w:t>
      </w:r>
      <w:r w:rsidR="00800862" w:rsidRPr="004823C1">
        <w:rPr>
          <w:sz w:val="22"/>
          <w:szCs w:val="22"/>
          <w:lang w:eastAsia="ko-KR"/>
        </w:rPr>
        <w:t>;</w:t>
      </w:r>
    </w:p>
    <w:p w14:paraId="6703C1B8" w14:textId="3F5C8C51" w:rsidR="00B75A9B" w:rsidRPr="004823C1" w:rsidRDefault="00B75A9B" w:rsidP="004823C1">
      <w:pPr>
        <w:widowControl w:val="0"/>
        <w:numPr>
          <w:ilvl w:val="6"/>
          <w:numId w:val="24"/>
        </w:numPr>
        <w:shd w:val="clear" w:color="auto" w:fill="FFFFFF" w:themeFill="background1"/>
        <w:autoSpaceDE w:val="0"/>
        <w:autoSpaceDN w:val="0"/>
        <w:adjustRightInd w:val="0"/>
        <w:ind w:left="0" w:firstLine="426"/>
        <w:jc w:val="both"/>
        <w:rPr>
          <w:sz w:val="22"/>
          <w:szCs w:val="22"/>
          <w:lang w:eastAsia="ko-KR"/>
        </w:rPr>
      </w:pPr>
      <w:r w:rsidRPr="004823C1">
        <w:rPr>
          <w:sz w:val="22"/>
          <w:szCs w:val="22"/>
          <w:lang w:eastAsia="ko-KR"/>
        </w:rPr>
        <w:t xml:space="preserve">Изготвен списък до главния секретар на МС с информация за консултативни съвети и комисии, с </w:t>
      </w:r>
      <w:proofErr w:type="spellStart"/>
      <w:r w:rsidRPr="004823C1">
        <w:rPr>
          <w:sz w:val="22"/>
          <w:szCs w:val="22"/>
          <w:lang w:eastAsia="ko-KR"/>
        </w:rPr>
        <w:t>касателство</w:t>
      </w:r>
      <w:proofErr w:type="spellEnd"/>
      <w:r w:rsidRPr="004823C1">
        <w:rPr>
          <w:sz w:val="22"/>
          <w:szCs w:val="22"/>
          <w:lang w:eastAsia="ko-KR"/>
        </w:rPr>
        <w:t xml:space="preserve"> – министър-председател/Министерски съвет, съдържаща актуален статус на съветите/комисиите, предложения за предприемане на мерки за оптимизация на дейнос</w:t>
      </w:r>
      <w:r w:rsidR="00800862" w:rsidRPr="004823C1">
        <w:rPr>
          <w:sz w:val="22"/>
          <w:szCs w:val="22"/>
          <w:lang w:eastAsia="ko-KR"/>
        </w:rPr>
        <w:t>тта им или за тяхното закриване;</w:t>
      </w:r>
    </w:p>
    <w:p w14:paraId="162B9D64" w14:textId="77777777" w:rsidR="00B75A9B" w:rsidRPr="004823C1" w:rsidRDefault="00B75A9B" w:rsidP="004823C1">
      <w:pPr>
        <w:widowControl w:val="0"/>
        <w:numPr>
          <w:ilvl w:val="6"/>
          <w:numId w:val="24"/>
        </w:numPr>
        <w:shd w:val="clear" w:color="auto" w:fill="FFFFFF" w:themeFill="background1"/>
        <w:autoSpaceDE w:val="0"/>
        <w:autoSpaceDN w:val="0"/>
        <w:adjustRightInd w:val="0"/>
        <w:ind w:left="0" w:firstLine="426"/>
        <w:jc w:val="both"/>
        <w:rPr>
          <w:sz w:val="22"/>
          <w:szCs w:val="22"/>
          <w:lang w:eastAsia="ko-KR"/>
        </w:rPr>
      </w:pPr>
      <w:r w:rsidRPr="004823C1">
        <w:rPr>
          <w:sz w:val="22"/>
          <w:szCs w:val="22"/>
          <w:lang w:eastAsia="ko-KR"/>
        </w:rPr>
        <w:t xml:space="preserve">Изготвена справка до главния секретар на Министерския съвет относно консултативни съвети с председател – заместник министър-председател. </w:t>
      </w:r>
    </w:p>
    <w:p w14:paraId="5191A385" w14:textId="77777777" w:rsidR="00B75A9B" w:rsidRPr="004823C1" w:rsidRDefault="00B75A9B"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4823C1">
        <w:rPr>
          <w:rFonts w:eastAsia="Batang"/>
          <w:b/>
          <w:bCs/>
          <w:sz w:val="22"/>
          <w:szCs w:val="22"/>
          <w:lang w:eastAsia="ko-KR"/>
        </w:rPr>
        <w:t>Участие в комитети за наблюдение на програми, финансирани от ЕС, експертни/тематични работни групи, комисии, съвети и др. по въпроси, свързани с функционалната компетентност на дирекцията</w:t>
      </w:r>
    </w:p>
    <w:p w14:paraId="02E2619E" w14:textId="77777777" w:rsidR="00B75A9B" w:rsidRPr="004823C1" w:rsidRDefault="00B75A9B" w:rsidP="004823C1">
      <w:pPr>
        <w:widowControl w:val="0"/>
        <w:shd w:val="clear" w:color="auto" w:fill="FFFFFF" w:themeFill="background1"/>
        <w:autoSpaceDE w:val="0"/>
        <w:autoSpaceDN w:val="0"/>
        <w:adjustRightInd w:val="0"/>
        <w:ind w:firstLine="426"/>
        <w:jc w:val="both"/>
        <w:rPr>
          <w:rFonts w:eastAsia="Batang"/>
          <w:bCs/>
          <w:iCs/>
          <w:sz w:val="22"/>
          <w:szCs w:val="22"/>
        </w:rPr>
      </w:pPr>
      <w:r w:rsidRPr="004823C1">
        <w:rPr>
          <w:rFonts w:eastAsia="Batang"/>
          <w:bCs/>
          <w:iCs/>
          <w:sz w:val="22"/>
          <w:szCs w:val="22"/>
        </w:rPr>
        <w:t xml:space="preserve">През отчетния период експертите от дирекцията участват в: </w:t>
      </w:r>
    </w:p>
    <w:p w14:paraId="41C7AC69" w14:textId="462D9B3C" w:rsidR="00B75A9B" w:rsidRPr="004823C1" w:rsidRDefault="00B75A9B" w:rsidP="004823C1">
      <w:pPr>
        <w:widowControl w:val="0"/>
        <w:numPr>
          <w:ilvl w:val="0"/>
          <w:numId w:val="21"/>
        </w:numPr>
        <w:shd w:val="clear" w:color="auto" w:fill="FFFFFF" w:themeFill="background1"/>
        <w:autoSpaceDE w:val="0"/>
        <w:autoSpaceDN w:val="0"/>
        <w:adjustRightInd w:val="0"/>
        <w:ind w:left="0" w:firstLine="426"/>
        <w:jc w:val="both"/>
        <w:rPr>
          <w:sz w:val="22"/>
          <w:szCs w:val="22"/>
          <w:lang w:eastAsia="ko-KR"/>
        </w:rPr>
      </w:pPr>
      <w:r w:rsidRPr="004823C1">
        <w:rPr>
          <w:sz w:val="22"/>
          <w:szCs w:val="22"/>
          <w:lang w:eastAsia="ko-KR"/>
        </w:rPr>
        <w:t>Комитетите за наблюдение на следните европейски програми: “Транспорт и транспортна инфраструктура“, “Транспортна свързаност</w:t>
      </w:r>
      <w:r w:rsidRPr="004823C1">
        <w:rPr>
          <w:sz w:val="22"/>
          <w:szCs w:val="22"/>
          <w:lang w:val="en-US" w:eastAsia="ko-KR"/>
        </w:rPr>
        <w:t xml:space="preserve"> </w:t>
      </w:r>
      <w:r w:rsidR="00E16596" w:rsidRPr="004823C1">
        <w:rPr>
          <w:sz w:val="22"/>
          <w:szCs w:val="22"/>
          <w:lang w:eastAsia="ko-KR"/>
        </w:rPr>
        <w:t>2021</w:t>
      </w:r>
      <w:r w:rsidR="007140C3" w:rsidRPr="004823C1">
        <w:rPr>
          <w:sz w:val="22"/>
          <w:szCs w:val="22"/>
          <w:lang w:eastAsia="ko-KR"/>
        </w:rPr>
        <w:t xml:space="preserve"> – </w:t>
      </w:r>
      <w:r w:rsidRPr="004823C1">
        <w:rPr>
          <w:sz w:val="22"/>
          <w:szCs w:val="22"/>
          <w:lang w:eastAsia="ko-KR"/>
        </w:rPr>
        <w:t>2027 г.“</w:t>
      </w:r>
      <w:r w:rsidR="00420F42" w:rsidRPr="004823C1">
        <w:rPr>
          <w:sz w:val="22"/>
          <w:szCs w:val="22"/>
          <w:lang w:eastAsia="ko-KR"/>
        </w:rPr>
        <w:t>,</w:t>
      </w:r>
      <w:r w:rsidRPr="004823C1">
        <w:rPr>
          <w:sz w:val="22"/>
          <w:szCs w:val="22"/>
          <w:lang w:eastAsia="ko-KR"/>
        </w:rPr>
        <w:t xml:space="preserve"> “Наука и образование за интелигент</w:t>
      </w:r>
      <w:r w:rsidR="00E16596" w:rsidRPr="004823C1">
        <w:rPr>
          <w:sz w:val="22"/>
          <w:szCs w:val="22"/>
          <w:lang w:eastAsia="ko-KR"/>
        </w:rPr>
        <w:t>ен растеж”, Образование“ 2021</w:t>
      </w:r>
      <w:r w:rsidR="00A85AC5" w:rsidRPr="004823C1">
        <w:rPr>
          <w:sz w:val="22"/>
          <w:szCs w:val="22"/>
          <w:lang w:eastAsia="ko-KR"/>
        </w:rPr>
        <w:t xml:space="preserve"> – </w:t>
      </w:r>
      <w:r w:rsidRPr="004823C1">
        <w:rPr>
          <w:sz w:val="22"/>
          <w:szCs w:val="22"/>
          <w:lang w:eastAsia="ko-KR"/>
        </w:rPr>
        <w:t xml:space="preserve">2027 г.“, </w:t>
      </w:r>
      <w:r w:rsidR="00420F42" w:rsidRPr="004823C1">
        <w:rPr>
          <w:sz w:val="22"/>
          <w:szCs w:val="22"/>
          <w:lang w:eastAsia="ko-KR"/>
        </w:rPr>
        <w:t>„</w:t>
      </w:r>
      <w:r w:rsidRPr="004823C1">
        <w:rPr>
          <w:sz w:val="22"/>
          <w:szCs w:val="22"/>
          <w:lang w:eastAsia="ko-KR"/>
        </w:rPr>
        <w:t>Региони в растеж“, “Развитие на регионите</w:t>
      </w:r>
      <w:r w:rsidRPr="004823C1">
        <w:rPr>
          <w:sz w:val="22"/>
          <w:szCs w:val="22"/>
          <w:lang w:val="en-US" w:eastAsia="ko-KR"/>
        </w:rPr>
        <w:t xml:space="preserve"> </w:t>
      </w:r>
      <w:r w:rsidR="00E16596" w:rsidRPr="004823C1">
        <w:rPr>
          <w:sz w:val="22"/>
          <w:szCs w:val="22"/>
          <w:lang w:eastAsia="ko-KR"/>
        </w:rPr>
        <w:t>2021</w:t>
      </w:r>
      <w:r w:rsidR="00A85AC5" w:rsidRPr="004823C1">
        <w:rPr>
          <w:sz w:val="22"/>
          <w:szCs w:val="22"/>
          <w:lang w:eastAsia="ko-KR"/>
        </w:rPr>
        <w:t xml:space="preserve"> – </w:t>
      </w:r>
      <w:r w:rsidR="00E16596" w:rsidRPr="004823C1">
        <w:rPr>
          <w:sz w:val="22"/>
          <w:szCs w:val="22"/>
          <w:lang w:eastAsia="ko-KR"/>
        </w:rPr>
        <w:t>2027 г.“, “Околна среда 2021</w:t>
      </w:r>
      <w:r w:rsidR="00A85AC5" w:rsidRPr="004823C1">
        <w:rPr>
          <w:sz w:val="22"/>
          <w:szCs w:val="22"/>
          <w:lang w:eastAsia="ko-KR"/>
        </w:rPr>
        <w:t xml:space="preserve"> – </w:t>
      </w:r>
      <w:r w:rsidRPr="004823C1">
        <w:rPr>
          <w:sz w:val="22"/>
          <w:szCs w:val="22"/>
          <w:lang w:eastAsia="ko-KR"/>
        </w:rPr>
        <w:t>2027 г.”, “Иновации и конкурентоспособност”, „Конкурентоспособ</w:t>
      </w:r>
      <w:r w:rsidR="00420F42" w:rsidRPr="004823C1">
        <w:rPr>
          <w:sz w:val="22"/>
          <w:szCs w:val="22"/>
          <w:lang w:eastAsia="ko-KR"/>
        </w:rPr>
        <w:t>ност и иновации в предприятията</w:t>
      </w:r>
      <w:r w:rsidRPr="004823C1">
        <w:rPr>
          <w:sz w:val="22"/>
          <w:szCs w:val="22"/>
          <w:lang w:eastAsia="ko-KR"/>
        </w:rPr>
        <w:t xml:space="preserve"> 2021</w:t>
      </w:r>
      <w:r w:rsidR="00A85AC5" w:rsidRPr="004823C1">
        <w:rPr>
          <w:sz w:val="22"/>
          <w:szCs w:val="22"/>
          <w:lang w:eastAsia="ko-KR"/>
        </w:rPr>
        <w:t xml:space="preserve"> – </w:t>
      </w:r>
      <w:r w:rsidRPr="004823C1">
        <w:rPr>
          <w:sz w:val="22"/>
          <w:szCs w:val="22"/>
          <w:lang w:eastAsia="ko-KR"/>
        </w:rPr>
        <w:t>2027 г.</w:t>
      </w:r>
      <w:r w:rsidR="00420F42" w:rsidRPr="004823C1">
        <w:rPr>
          <w:sz w:val="22"/>
          <w:szCs w:val="22"/>
          <w:lang w:eastAsia="ko-KR"/>
        </w:rPr>
        <w:t>“</w:t>
      </w:r>
      <w:r w:rsidRPr="004823C1">
        <w:rPr>
          <w:sz w:val="22"/>
          <w:szCs w:val="22"/>
          <w:lang w:eastAsia="ko-KR"/>
        </w:rPr>
        <w:t xml:space="preserve"> „Научни изследвания, иновации и дигитализаци</w:t>
      </w:r>
      <w:r w:rsidR="00420F42" w:rsidRPr="004823C1">
        <w:rPr>
          <w:sz w:val="22"/>
          <w:szCs w:val="22"/>
          <w:lang w:eastAsia="ko-KR"/>
        </w:rPr>
        <w:t>я за интелигентна трансформация</w:t>
      </w:r>
      <w:r w:rsidRPr="004823C1">
        <w:rPr>
          <w:sz w:val="22"/>
          <w:szCs w:val="22"/>
          <w:lang w:eastAsia="ko-KR"/>
        </w:rPr>
        <w:t xml:space="preserve"> 2021</w:t>
      </w:r>
      <w:r w:rsidR="00A85AC5" w:rsidRPr="004823C1">
        <w:rPr>
          <w:sz w:val="22"/>
          <w:szCs w:val="22"/>
          <w:lang w:eastAsia="ko-KR"/>
        </w:rPr>
        <w:t xml:space="preserve"> – </w:t>
      </w:r>
      <w:r w:rsidRPr="004823C1">
        <w:rPr>
          <w:sz w:val="22"/>
          <w:szCs w:val="22"/>
          <w:lang w:eastAsia="ko-KR"/>
        </w:rPr>
        <w:t>2027 г.“, “Развитие на човешките ресурси“, “Развитие на човешките ресурси 2021</w:t>
      </w:r>
      <w:r w:rsidR="00A85AC5" w:rsidRPr="004823C1">
        <w:rPr>
          <w:sz w:val="22"/>
          <w:szCs w:val="22"/>
          <w:lang w:eastAsia="ko-KR"/>
        </w:rPr>
        <w:t xml:space="preserve"> – </w:t>
      </w:r>
      <w:r w:rsidRPr="004823C1">
        <w:rPr>
          <w:sz w:val="22"/>
          <w:szCs w:val="22"/>
          <w:lang w:eastAsia="ko-KR"/>
        </w:rPr>
        <w:t>2027 г.“, “Добро управление“, “Развитие на селските райони”, Стратегическия план за развитие на земеделието и селските райони 2023-2027 г., “Морско дело и рибарство”, “Морско дело,</w:t>
      </w:r>
      <w:r w:rsidR="00E16596" w:rsidRPr="004823C1">
        <w:rPr>
          <w:sz w:val="22"/>
          <w:szCs w:val="22"/>
          <w:lang w:eastAsia="ko-KR"/>
        </w:rPr>
        <w:t xml:space="preserve"> рибарство и аквакултури 2021</w:t>
      </w:r>
      <w:r w:rsidR="00A85AC5" w:rsidRPr="004823C1">
        <w:rPr>
          <w:sz w:val="22"/>
          <w:szCs w:val="22"/>
          <w:lang w:eastAsia="ko-KR"/>
        </w:rPr>
        <w:t xml:space="preserve"> – </w:t>
      </w:r>
      <w:r w:rsidRPr="004823C1">
        <w:rPr>
          <w:sz w:val="22"/>
          <w:szCs w:val="22"/>
          <w:lang w:eastAsia="ko-KR"/>
        </w:rPr>
        <w:t>20</w:t>
      </w:r>
      <w:r w:rsidR="00420F42" w:rsidRPr="004823C1">
        <w:rPr>
          <w:sz w:val="22"/>
          <w:szCs w:val="22"/>
          <w:lang w:eastAsia="ko-KR"/>
        </w:rPr>
        <w:t>27“, “Инициатива за МСП</w:t>
      </w:r>
      <w:r w:rsidR="00E16596" w:rsidRPr="004823C1">
        <w:rPr>
          <w:sz w:val="22"/>
          <w:szCs w:val="22"/>
          <w:lang w:eastAsia="ko-KR"/>
        </w:rPr>
        <w:t xml:space="preserve"> 2021</w:t>
      </w:r>
      <w:r w:rsidR="00A85AC5" w:rsidRPr="004823C1">
        <w:rPr>
          <w:sz w:val="22"/>
          <w:szCs w:val="22"/>
          <w:lang w:eastAsia="ko-KR"/>
        </w:rPr>
        <w:t xml:space="preserve"> – </w:t>
      </w:r>
      <w:r w:rsidRPr="004823C1">
        <w:rPr>
          <w:sz w:val="22"/>
          <w:szCs w:val="22"/>
          <w:lang w:eastAsia="ko-KR"/>
        </w:rPr>
        <w:t>2027</w:t>
      </w:r>
      <w:r w:rsidR="00420F42" w:rsidRPr="004823C1">
        <w:rPr>
          <w:sz w:val="22"/>
          <w:szCs w:val="22"/>
          <w:lang w:eastAsia="ko-KR"/>
        </w:rPr>
        <w:t>“</w:t>
      </w:r>
      <w:r w:rsidRPr="004823C1">
        <w:rPr>
          <w:sz w:val="22"/>
          <w:szCs w:val="22"/>
          <w:lang w:eastAsia="ko-KR"/>
        </w:rPr>
        <w:t>, “Т</w:t>
      </w:r>
      <w:r w:rsidR="00E16596" w:rsidRPr="004823C1">
        <w:rPr>
          <w:sz w:val="22"/>
          <w:szCs w:val="22"/>
          <w:lang w:eastAsia="ko-KR"/>
        </w:rPr>
        <w:t>ехническа помощ 2021</w:t>
      </w:r>
      <w:r w:rsidR="00A85AC5" w:rsidRPr="004823C1">
        <w:rPr>
          <w:sz w:val="22"/>
          <w:szCs w:val="22"/>
          <w:lang w:eastAsia="ko-KR"/>
        </w:rPr>
        <w:t xml:space="preserve"> – </w:t>
      </w:r>
      <w:r w:rsidRPr="004823C1">
        <w:rPr>
          <w:sz w:val="22"/>
          <w:szCs w:val="22"/>
          <w:lang w:eastAsia="ko-KR"/>
        </w:rPr>
        <w:t xml:space="preserve">2027“, Фонд </w:t>
      </w:r>
      <w:r w:rsidR="00420F42" w:rsidRPr="004823C1">
        <w:rPr>
          <w:sz w:val="22"/>
          <w:szCs w:val="22"/>
          <w:lang w:eastAsia="ko-KR"/>
        </w:rPr>
        <w:t>„Убежище, миграция и интеграция</w:t>
      </w:r>
      <w:r w:rsidRPr="004823C1">
        <w:rPr>
          <w:sz w:val="22"/>
          <w:szCs w:val="22"/>
          <w:lang w:eastAsia="ko-KR"/>
        </w:rPr>
        <w:t xml:space="preserve"> 2021</w:t>
      </w:r>
      <w:r w:rsidR="00A85AC5" w:rsidRPr="004823C1">
        <w:rPr>
          <w:sz w:val="22"/>
          <w:szCs w:val="22"/>
          <w:lang w:eastAsia="ko-KR"/>
        </w:rPr>
        <w:t xml:space="preserve"> – </w:t>
      </w:r>
      <w:r w:rsidRPr="004823C1">
        <w:rPr>
          <w:sz w:val="22"/>
          <w:szCs w:val="22"/>
          <w:lang w:eastAsia="ko-KR"/>
        </w:rPr>
        <w:t>2027</w:t>
      </w:r>
      <w:r w:rsidR="00420F42" w:rsidRPr="004823C1">
        <w:rPr>
          <w:sz w:val="22"/>
          <w:szCs w:val="22"/>
          <w:lang w:eastAsia="ko-KR"/>
        </w:rPr>
        <w:t>“</w:t>
      </w:r>
      <w:r w:rsidRPr="004823C1">
        <w:rPr>
          <w:sz w:val="22"/>
          <w:szCs w:val="22"/>
          <w:lang w:eastAsia="ko-KR"/>
        </w:rPr>
        <w:t>, Фонд „Вътрешна сигурност“ и Инструмента за финансова подкрепа за управлението на границите и визовата политика 2021</w:t>
      </w:r>
      <w:r w:rsidR="00B37B97" w:rsidRPr="004823C1">
        <w:rPr>
          <w:sz w:val="22"/>
          <w:szCs w:val="22"/>
          <w:lang w:eastAsia="ko-KR"/>
        </w:rPr>
        <w:t xml:space="preserve"> – </w:t>
      </w:r>
      <w:r w:rsidRPr="004823C1">
        <w:rPr>
          <w:sz w:val="22"/>
          <w:szCs w:val="22"/>
          <w:lang w:eastAsia="ko-KR"/>
        </w:rPr>
        <w:t xml:space="preserve">2027 г. През отчетния период </w:t>
      </w:r>
      <w:r w:rsidRPr="004823C1">
        <w:rPr>
          <w:sz w:val="22"/>
          <w:szCs w:val="22"/>
        </w:rPr>
        <w:t>експертите на ДСРКК са взели участие в 11 заседания на комитети за наблюдение на програми, финансирани от ЕС и в проведени 20 писмени процедури</w:t>
      </w:r>
      <w:r w:rsidR="00420F42" w:rsidRPr="004823C1">
        <w:rPr>
          <w:sz w:val="22"/>
          <w:szCs w:val="22"/>
        </w:rPr>
        <w:t>;</w:t>
      </w:r>
    </w:p>
    <w:p w14:paraId="242E12F6" w14:textId="687DB407" w:rsidR="00B75A9B" w:rsidRPr="004823C1" w:rsidRDefault="00B75A9B" w:rsidP="004823C1">
      <w:pPr>
        <w:widowControl w:val="0"/>
        <w:numPr>
          <w:ilvl w:val="0"/>
          <w:numId w:val="21"/>
        </w:numPr>
        <w:shd w:val="clear" w:color="auto" w:fill="FFFFFF" w:themeFill="background1"/>
        <w:autoSpaceDE w:val="0"/>
        <w:autoSpaceDN w:val="0"/>
        <w:adjustRightInd w:val="0"/>
        <w:ind w:left="0" w:firstLine="426"/>
        <w:jc w:val="both"/>
        <w:rPr>
          <w:sz w:val="22"/>
          <w:szCs w:val="22"/>
          <w:lang w:eastAsia="ko-KR"/>
        </w:rPr>
      </w:pPr>
      <w:r w:rsidRPr="004823C1">
        <w:rPr>
          <w:sz w:val="22"/>
          <w:szCs w:val="22"/>
          <w:lang w:eastAsia="ko-KR"/>
        </w:rPr>
        <w:t xml:space="preserve">Експертен съвет за предотвратяване на аварии при търсене, проучване и добив на нефт и природен газ в териториалното море, континенталния шелф и в изключителната икономическа зона </w:t>
      </w:r>
      <w:r w:rsidRPr="004823C1">
        <w:rPr>
          <w:sz w:val="22"/>
          <w:szCs w:val="22"/>
          <w:lang w:eastAsia="ko-KR"/>
        </w:rPr>
        <w:lastRenderedPageBreak/>
        <w:t xml:space="preserve">на </w:t>
      </w:r>
      <w:r w:rsidR="00420F42" w:rsidRPr="004823C1">
        <w:rPr>
          <w:sz w:val="22"/>
          <w:szCs w:val="22"/>
          <w:lang w:eastAsia="ko-KR"/>
        </w:rPr>
        <w:t>Република България в Черно море;</w:t>
      </w:r>
    </w:p>
    <w:p w14:paraId="169A378B" w14:textId="0D57C232" w:rsidR="00B75A9B" w:rsidRPr="004823C1" w:rsidRDefault="00B75A9B" w:rsidP="004823C1">
      <w:pPr>
        <w:widowControl w:val="0"/>
        <w:numPr>
          <w:ilvl w:val="0"/>
          <w:numId w:val="21"/>
        </w:numPr>
        <w:shd w:val="clear" w:color="auto" w:fill="FFFFFF" w:themeFill="background1"/>
        <w:autoSpaceDE w:val="0"/>
        <w:autoSpaceDN w:val="0"/>
        <w:adjustRightInd w:val="0"/>
        <w:ind w:left="0" w:firstLine="426"/>
        <w:jc w:val="both"/>
        <w:rPr>
          <w:sz w:val="22"/>
          <w:szCs w:val="22"/>
          <w:lang w:eastAsia="ko-KR"/>
        </w:rPr>
      </w:pPr>
      <w:r w:rsidRPr="004823C1">
        <w:rPr>
          <w:sz w:val="22"/>
          <w:szCs w:val="22"/>
          <w:lang w:eastAsia="ko-KR"/>
        </w:rPr>
        <w:t>Комисия за състоянието на системите за финансово управление и контрол на Министерския съвет (СФУК) – попълнен въпросник за самооценка на СФУК на ДСРКК за 2024 г. и изготвен доклад за състоянието на системите за финансово управление и контрол в Министерския съвет за 2024 г. в частта „Администрация на Министерския съвет“</w:t>
      </w:r>
      <w:r w:rsidR="00993771" w:rsidRPr="004823C1">
        <w:rPr>
          <w:sz w:val="22"/>
          <w:szCs w:val="22"/>
          <w:lang w:eastAsia="ko-KR"/>
        </w:rPr>
        <w:t>;</w:t>
      </w:r>
    </w:p>
    <w:p w14:paraId="3551909C" w14:textId="57AAF7BB" w:rsidR="00B75A9B" w:rsidRPr="004823C1" w:rsidRDefault="00B75A9B" w:rsidP="004823C1">
      <w:pPr>
        <w:widowControl w:val="0"/>
        <w:numPr>
          <w:ilvl w:val="0"/>
          <w:numId w:val="21"/>
        </w:numPr>
        <w:shd w:val="clear" w:color="auto" w:fill="FFFFFF" w:themeFill="background1"/>
        <w:autoSpaceDE w:val="0"/>
        <w:autoSpaceDN w:val="0"/>
        <w:adjustRightInd w:val="0"/>
        <w:ind w:left="0" w:firstLine="426"/>
        <w:jc w:val="both"/>
        <w:rPr>
          <w:sz w:val="22"/>
          <w:szCs w:val="22"/>
          <w:lang w:eastAsia="ko-KR"/>
        </w:rPr>
      </w:pPr>
      <w:r w:rsidRPr="004823C1">
        <w:rPr>
          <w:sz w:val="22"/>
          <w:szCs w:val="22"/>
          <w:lang w:eastAsia="ko-KR"/>
        </w:rPr>
        <w:t>Подгрупа Национална програма „Цифрова България 2025” към Работна група 31 „Европейски семестър 2020” с приложение „Пътна</w:t>
      </w:r>
      <w:r w:rsidR="00993771" w:rsidRPr="004823C1">
        <w:rPr>
          <w:sz w:val="22"/>
          <w:szCs w:val="22"/>
          <w:lang w:eastAsia="ko-KR"/>
        </w:rPr>
        <w:t xml:space="preserve"> карта за периода 2017</w:t>
      </w:r>
      <w:r w:rsidR="00DA223D" w:rsidRPr="004823C1">
        <w:rPr>
          <w:sz w:val="22"/>
          <w:szCs w:val="22"/>
          <w:lang w:eastAsia="ko-KR"/>
        </w:rPr>
        <w:t xml:space="preserve"> – </w:t>
      </w:r>
      <w:r w:rsidR="00993771" w:rsidRPr="004823C1">
        <w:rPr>
          <w:sz w:val="22"/>
          <w:szCs w:val="22"/>
          <w:lang w:eastAsia="ko-KR"/>
        </w:rPr>
        <w:t>2025 г.“;</w:t>
      </w:r>
    </w:p>
    <w:p w14:paraId="15258498" w14:textId="06BF3411" w:rsidR="00B75A9B" w:rsidRPr="004823C1" w:rsidRDefault="00B75A9B" w:rsidP="004823C1">
      <w:pPr>
        <w:widowControl w:val="0"/>
        <w:numPr>
          <w:ilvl w:val="0"/>
          <w:numId w:val="21"/>
        </w:numPr>
        <w:shd w:val="clear" w:color="auto" w:fill="FFFFFF" w:themeFill="background1"/>
        <w:autoSpaceDE w:val="0"/>
        <w:autoSpaceDN w:val="0"/>
        <w:adjustRightInd w:val="0"/>
        <w:ind w:left="0" w:firstLine="426"/>
        <w:jc w:val="both"/>
        <w:rPr>
          <w:sz w:val="22"/>
          <w:szCs w:val="22"/>
          <w:lang w:eastAsia="ko-KR"/>
        </w:rPr>
      </w:pPr>
      <w:r w:rsidRPr="004823C1">
        <w:rPr>
          <w:sz w:val="22"/>
          <w:szCs w:val="22"/>
          <w:lang w:eastAsia="ko-KR"/>
        </w:rPr>
        <w:t>Работна група № 3 „Право на установяване и свободно предоставяне на услуги“ към Съвета по европейските въпро</w:t>
      </w:r>
      <w:r w:rsidR="00993771" w:rsidRPr="004823C1">
        <w:rPr>
          <w:sz w:val="22"/>
          <w:szCs w:val="22"/>
          <w:lang w:eastAsia="ko-KR"/>
        </w:rPr>
        <w:t>си към МС на Република България;</w:t>
      </w:r>
    </w:p>
    <w:p w14:paraId="5B5C7F7A" w14:textId="2C714EC2" w:rsidR="00B75A9B" w:rsidRPr="004823C1" w:rsidRDefault="00B75A9B" w:rsidP="004823C1">
      <w:pPr>
        <w:widowControl w:val="0"/>
        <w:numPr>
          <w:ilvl w:val="0"/>
          <w:numId w:val="21"/>
        </w:numPr>
        <w:shd w:val="clear" w:color="auto" w:fill="FFFFFF" w:themeFill="background1"/>
        <w:autoSpaceDE w:val="0"/>
        <w:autoSpaceDN w:val="0"/>
        <w:adjustRightInd w:val="0"/>
        <w:ind w:left="0" w:firstLine="426"/>
        <w:jc w:val="both"/>
        <w:rPr>
          <w:sz w:val="22"/>
          <w:szCs w:val="22"/>
          <w:lang w:eastAsia="ko-KR"/>
        </w:rPr>
      </w:pPr>
      <w:r w:rsidRPr="004823C1">
        <w:rPr>
          <w:sz w:val="22"/>
          <w:szCs w:val="22"/>
          <w:lang w:eastAsia="ko-KR"/>
        </w:rPr>
        <w:t>Работна група № 31 „Европейски семестър“ към Съвета по европейските въпроси към</w:t>
      </w:r>
      <w:r w:rsidR="00993771" w:rsidRPr="004823C1">
        <w:rPr>
          <w:sz w:val="22"/>
          <w:szCs w:val="22"/>
          <w:lang w:eastAsia="ko-KR"/>
        </w:rPr>
        <w:t xml:space="preserve"> МС на Република България;</w:t>
      </w:r>
    </w:p>
    <w:p w14:paraId="0693575F" w14:textId="01860C07" w:rsidR="00B75A9B" w:rsidRPr="004823C1" w:rsidRDefault="00B75A9B" w:rsidP="004823C1">
      <w:pPr>
        <w:widowControl w:val="0"/>
        <w:numPr>
          <w:ilvl w:val="0"/>
          <w:numId w:val="21"/>
        </w:numPr>
        <w:shd w:val="clear" w:color="auto" w:fill="FFFFFF" w:themeFill="background1"/>
        <w:autoSpaceDE w:val="0"/>
        <w:autoSpaceDN w:val="0"/>
        <w:adjustRightInd w:val="0"/>
        <w:ind w:left="0" w:firstLine="426"/>
        <w:jc w:val="both"/>
        <w:rPr>
          <w:sz w:val="22"/>
          <w:szCs w:val="22"/>
          <w:lang w:eastAsia="ko-KR"/>
        </w:rPr>
      </w:pPr>
      <w:r w:rsidRPr="004823C1">
        <w:rPr>
          <w:sz w:val="22"/>
          <w:szCs w:val="22"/>
          <w:lang w:eastAsia="ko-KR"/>
        </w:rPr>
        <w:t>Участие в жилищн</w:t>
      </w:r>
      <w:r w:rsidR="00993771" w:rsidRPr="004823C1">
        <w:rPr>
          <w:sz w:val="22"/>
          <w:szCs w:val="22"/>
          <w:lang w:eastAsia="ko-KR"/>
        </w:rPr>
        <w:t>ата комисия в Министерски съвет;</w:t>
      </w:r>
    </w:p>
    <w:p w14:paraId="5D8B8824" w14:textId="67C4264D" w:rsidR="00B75A9B" w:rsidRPr="004823C1" w:rsidRDefault="00B75A9B" w:rsidP="004823C1">
      <w:pPr>
        <w:widowControl w:val="0"/>
        <w:numPr>
          <w:ilvl w:val="0"/>
          <w:numId w:val="21"/>
        </w:numPr>
        <w:shd w:val="clear" w:color="auto" w:fill="FFFFFF" w:themeFill="background1"/>
        <w:autoSpaceDE w:val="0"/>
        <w:autoSpaceDN w:val="0"/>
        <w:adjustRightInd w:val="0"/>
        <w:ind w:left="0" w:firstLine="426"/>
        <w:jc w:val="both"/>
        <w:rPr>
          <w:sz w:val="22"/>
          <w:szCs w:val="22"/>
          <w:lang w:eastAsia="ko-KR"/>
        </w:rPr>
      </w:pPr>
      <w:r w:rsidRPr="004823C1">
        <w:rPr>
          <w:sz w:val="22"/>
          <w:szCs w:val="22"/>
          <w:lang w:eastAsia="ko-KR"/>
        </w:rPr>
        <w:t>Работна група за разработване на мерки за подобряване на инвестиционния</w:t>
      </w:r>
      <w:r w:rsidR="00993771" w:rsidRPr="004823C1">
        <w:rPr>
          <w:sz w:val="22"/>
          <w:szCs w:val="22"/>
          <w:lang w:eastAsia="ko-KR"/>
        </w:rPr>
        <w:t xml:space="preserve"> климат и инвестиционната среда;</w:t>
      </w:r>
    </w:p>
    <w:p w14:paraId="4CF2A27F" w14:textId="029C141A" w:rsidR="00B75A9B" w:rsidRPr="004823C1" w:rsidRDefault="00B75A9B" w:rsidP="004823C1">
      <w:pPr>
        <w:widowControl w:val="0"/>
        <w:numPr>
          <w:ilvl w:val="0"/>
          <w:numId w:val="21"/>
        </w:numPr>
        <w:shd w:val="clear" w:color="auto" w:fill="FFFFFF" w:themeFill="background1"/>
        <w:autoSpaceDE w:val="0"/>
        <w:autoSpaceDN w:val="0"/>
        <w:adjustRightInd w:val="0"/>
        <w:ind w:left="0" w:firstLine="426"/>
        <w:jc w:val="both"/>
        <w:rPr>
          <w:sz w:val="22"/>
          <w:szCs w:val="22"/>
          <w:lang w:eastAsia="ko-KR"/>
        </w:rPr>
      </w:pPr>
      <w:r w:rsidRPr="004823C1">
        <w:rPr>
          <w:sz w:val="22"/>
          <w:szCs w:val="22"/>
          <w:lang w:eastAsia="ko-KR"/>
        </w:rPr>
        <w:t>Постоянна работна група за управление на риска в администрацията на Министерския съвет – изготвен отчет за управление на риска на ДСРКК за 2024 г. и риск-регистър за 2025 г. Изготвен Годишен доклад за управление на риска в администрацията н</w:t>
      </w:r>
      <w:r w:rsidR="00993771" w:rsidRPr="004823C1">
        <w:rPr>
          <w:sz w:val="22"/>
          <w:szCs w:val="22"/>
          <w:lang w:eastAsia="ko-KR"/>
        </w:rPr>
        <w:t>а Министерския съвет за 2024 г.;</w:t>
      </w:r>
    </w:p>
    <w:p w14:paraId="1350BEAD" w14:textId="1C3C2D1C" w:rsidR="00B75A9B" w:rsidRPr="004823C1" w:rsidRDefault="00B75A9B" w:rsidP="004823C1">
      <w:pPr>
        <w:widowControl w:val="0"/>
        <w:numPr>
          <w:ilvl w:val="0"/>
          <w:numId w:val="21"/>
        </w:numPr>
        <w:shd w:val="clear" w:color="auto" w:fill="FFFFFF" w:themeFill="background1"/>
        <w:autoSpaceDE w:val="0"/>
        <w:autoSpaceDN w:val="0"/>
        <w:adjustRightInd w:val="0"/>
        <w:ind w:left="0" w:firstLine="426"/>
        <w:jc w:val="both"/>
        <w:rPr>
          <w:sz w:val="22"/>
          <w:szCs w:val="22"/>
          <w:lang w:eastAsia="ko-KR"/>
        </w:rPr>
      </w:pPr>
      <w:r w:rsidRPr="004823C1">
        <w:rPr>
          <w:sz w:val="22"/>
          <w:szCs w:val="22"/>
          <w:lang w:eastAsia="ko-KR"/>
        </w:rPr>
        <w:t>Междуведомствена работна група за изготвяне на Преглед на инвестици</w:t>
      </w:r>
      <w:r w:rsidR="00993771" w:rsidRPr="004823C1">
        <w:rPr>
          <w:sz w:val="22"/>
          <w:szCs w:val="22"/>
          <w:lang w:eastAsia="ko-KR"/>
        </w:rPr>
        <w:t>онната политика с екипа на ОИСР;</w:t>
      </w:r>
    </w:p>
    <w:p w14:paraId="1BAFB2D7" w14:textId="551A128D" w:rsidR="00B75A9B" w:rsidRPr="004823C1" w:rsidRDefault="00B75A9B" w:rsidP="004823C1">
      <w:pPr>
        <w:widowControl w:val="0"/>
        <w:numPr>
          <w:ilvl w:val="0"/>
          <w:numId w:val="21"/>
        </w:numPr>
        <w:shd w:val="clear" w:color="auto" w:fill="FFFFFF" w:themeFill="background1"/>
        <w:autoSpaceDE w:val="0"/>
        <w:autoSpaceDN w:val="0"/>
        <w:adjustRightInd w:val="0"/>
        <w:ind w:left="0" w:firstLine="426"/>
        <w:jc w:val="both"/>
        <w:rPr>
          <w:sz w:val="22"/>
          <w:szCs w:val="22"/>
          <w:lang w:eastAsia="ko-KR"/>
        </w:rPr>
      </w:pPr>
      <w:r w:rsidRPr="004823C1">
        <w:rPr>
          <w:sz w:val="22"/>
          <w:szCs w:val="22"/>
          <w:lang w:eastAsia="ko-KR"/>
        </w:rPr>
        <w:t>Комисия за контрол на действията на длъжностните лица по чл. 8ю (1) от Закона за Устройств</w:t>
      </w:r>
      <w:r w:rsidR="00993771" w:rsidRPr="004823C1">
        <w:rPr>
          <w:sz w:val="22"/>
          <w:szCs w:val="22"/>
          <w:lang w:eastAsia="ko-KR"/>
        </w:rPr>
        <w:t>ото на Черноморското крайбрежие;</w:t>
      </w:r>
    </w:p>
    <w:p w14:paraId="3E6C9A3A" w14:textId="546E6C86" w:rsidR="00B75A9B" w:rsidRPr="004823C1" w:rsidRDefault="00B75A9B" w:rsidP="004823C1">
      <w:pPr>
        <w:widowControl w:val="0"/>
        <w:numPr>
          <w:ilvl w:val="0"/>
          <w:numId w:val="21"/>
        </w:numPr>
        <w:shd w:val="clear" w:color="auto" w:fill="FFFFFF" w:themeFill="background1"/>
        <w:autoSpaceDE w:val="0"/>
        <w:autoSpaceDN w:val="0"/>
        <w:adjustRightInd w:val="0"/>
        <w:ind w:left="0" w:firstLine="426"/>
        <w:jc w:val="both"/>
        <w:rPr>
          <w:sz w:val="22"/>
          <w:szCs w:val="22"/>
          <w:lang w:eastAsia="ko-KR"/>
        </w:rPr>
      </w:pPr>
      <w:r w:rsidRPr="004823C1">
        <w:rPr>
          <w:sz w:val="22"/>
          <w:szCs w:val="22"/>
          <w:lang w:eastAsia="ko-KR"/>
        </w:rPr>
        <w:t>Комисии за контрол по изпълнение на договори за предоставяне на концесии за добив на подземни богатства: метални полезни изкопаеми, неметални полезни изкопаеми, индустриални материали, твърди горива, нефт и природен газ, суровини за циментовата промишленост, гипс, вар, глини и строителни материали – участ</w:t>
      </w:r>
      <w:r w:rsidR="00993771" w:rsidRPr="004823C1">
        <w:rPr>
          <w:sz w:val="22"/>
          <w:szCs w:val="22"/>
          <w:lang w:eastAsia="ko-KR"/>
        </w:rPr>
        <w:t>ие в 9 междуведомствени комисии;</w:t>
      </w:r>
    </w:p>
    <w:p w14:paraId="67657EC8" w14:textId="7F1656F4" w:rsidR="00B75A9B" w:rsidRPr="004823C1" w:rsidRDefault="00B75A9B" w:rsidP="004823C1">
      <w:pPr>
        <w:widowControl w:val="0"/>
        <w:numPr>
          <w:ilvl w:val="0"/>
          <w:numId w:val="21"/>
        </w:numPr>
        <w:shd w:val="clear" w:color="auto" w:fill="FFFFFF" w:themeFill="background1"/>
        <w:autoSpaceDE w:val="0"/>
        <w:autoSpaceDN w:val="0"/>
        <w:adjustRightInd w:val="0"/>
        <w:ind w:left="0" w:firstLine="426"/>
        <w:jc w:val="both"/>
        <w:rPr>
          <w:sz w:val="22"/>
          <w:szCs w:val="22"/>
          <w:lang w:eastAsia="ko-KR"/>
        </w:rPr>
      </w:pPr>
      <w:r w:rsidRPr="004823C1">
        <w:rPr>
          <w:sz w:val="22"/>
          <w:szCs w:val="22"/>
          <w:lang w:eastAsia="ko-KR"/>
        </w:rPr>
        <w:t>Национална група за координация на дейностите за изпълнение на Стратегията на Европ</w:t>
      </w:r>
      <w:r w:rsidR="00993771" w:rsidRPr="004823C1">
        <w:rPr>
          <w:sz w:val="22"/>
          <w:szCs w:val="22"/>
          <w:lang w:eastAsia="ko-KR"/>
        </w:rPr>
        <w:t>ейския съюз за Дунавския регион;</w:t>
      </w:r>
    </w:p>
    <w:p w14:paraId="3BBDA515" w14:textId="76ACF398" w:rsidR="00B75A9B" w:rsidRPr="004823C1" w:rsidRDefault="00B75A9B" w:rsidP="004823C1">
      <w:pPr>
        <w:widowControl w:val="0"/>
        <w:numPr>
          <w:ilvl w:val="0"/>
          <w:numId w:val="21"/>
        </w:numPr>
        <w:shd w:val="clear" w:color="auto" w:fill="FFFFFF" w:themeFill="background1"/>
        <w:autoSpaceDE w:val="0"/>
        <w:autoSpaceDN w:val="0"/>
        <w:adjustRightInd w:val="0"/>
        <w:ind w:left="0" w:firstLine="426"/>
        <w:jc w:val="both"/>
        <w:rPr>
          <w:sz w:val="22"/>
          <w:szCs w:val="22"/>
          <w:lang w:eastAsia="ko-KR"/>
        </w:rPr>
      </w:pPr>
      <w:r w:rsidRPr="004823C1">
        <w:rPr>
          <w:sz w:val="22"/>
          <w:szCs w:val="22"/>
          <w:lang w:eastAsia="ko-KR"/>
        </w:rPr>
        <w:t>Междуведомствена работна група, част от Координационния механизъм за изпълнение на Националната пътна карта за подобряване на условията за разгръщане на потенциала за развитие на водородните технологии и механизмите за про</w:t>
      </w:r>
      <w:r w:rsidR="00993771" w:rsidRPr="004823C1">
        <w:rPr>
          <w:sz w:val="22"/>
          <w:szCs w:val="22"/>
          <w:lang w:eastAsia="ko-KR"/>
        </w:rPr>
        <w:t>изводство и доставка на водород;</w:t>
      </w:r>
    </w:p>
    <w:p w14:paraId="7572FC14" w14:textId="2238387A" w:rsidR="00B75A9B" w:rsidRPr="004823C1" w:rsidRDefault="00B75A9B" w:rsidP="004823C1">
      <w:pPr>
        <w:widowControl w:val="0"/>
        <w:numPr>
          <w:ilvl w:val="0"/>
          <w:numId w:val="21"/>
        </w:numPr>
        <w:shd w:val="clear" w:color="auto" w:fill="FFFFFF" w:themeFill="background1"/>
        <w:autoSpaceDE w:val="0"/>
        <w:autoSpaceDN w:val="0"/>
        <w:adjustRightInd w:val="0"/>
        <w:ind w:left="0" w:firstLine="426"/>
        <w:jc w:val="both"/>
        <w:rPr>
          <w:sz w:val="22"/>
          <w:szCs w:val="22"/>
          <w:lang w:eastAsia="ko-KR"/>
        </w:rPr>
      </w:pPr>
      <w:r w:rsidRPr="004823C1">
        <w:rPr>
          <w:sz w:val="22"/>
          <w:szCs w:val="22"/>
          <w:lang w:eastAsia="ko-KR"/>
        </w:rPr>
        <w:t>Междуведомствена работна група за разработване на Национал</w:t>
      </w:r>
      <w:r w:rsidR="00993771" w:rsidRPr="004823C1">
        <w:rPr>
          <w:sz w:val="22"/>
          <w:szCs w:val="22"/>
          <w:lang w:eastAsia="ko-KR"/>
        </w:rPr>
        <w:t xml:space="preserve">на стратегия за детето </w:t>
      </w:r>
      <w:r w:rsidR="00993771" w:rsidRPr="004823C1">
        <w:rPr>
          <w:sz w:val="22"/>
          <w:szCs w:val="22"/>
          <w:lang w:eastAsia="ko-KR"/>
        </w:rPr>
        <w:br/>
        <w:t>2024-</w:t>
      </w:r>
      <w:r w:rsidRPr="004823C1">
        <w:rPr>
          <w:sz w:val="22"/>
          <w:szCs w:val="22"/>
          <w:lang w:eastAsia="ko-KR"/>
        </w:rPr>
        <w:t>2030 г.</w:t>
      </w:r>
    </w:p>
    <w:p w14:paraId="703F689A" w14:textId="77777777" w:rsidR="007A3192" w:rsidRPr="004823C1" w:rsidRDefault="007A3192" w:rsidP="004823C1">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4823C1">
        <w:rPr>
          <w:b/>
          <w:bCs/>
          <w:i/>
          <w:iCs/>
          <w:color w:val="215E99" w:themeColor="text2" w:themeTint="BF"/>
          <w:sz w:val="22"/>
          <w:szCs w:val="22"/>
        </w:rPr>
        <w:t>Участие в междуведомствени работни групи за осигуряване на съответствието на правните инструменти от компетентностите на Комитета по публично управление и на Комитета по регулаторна политика на ОИСР</w:t>
      </w:r>
      <w:r w:rsidRPr="004823C1" w:rsidDel="00BB4AB7">
        <w:rPr>
          <w:b/>
          <w:bCs/>
          <w:i/>
          <w:iCs/>
          <w:color w:val="215E99" w:themeColor="text2" w:themeTint="BF"/>
          <w:sz w:val="22"/>
          <w:szCs w:val="22"/>
        </w:rPr>
        <w:t xml:space="preserve"> </w:t>
      </w:r>
      <w:r w:rsidRPr="004823C1">
        <w:rPr>
          <w:b/>
          <w:bCs/>
          <w:i/>
          <w:iCs/>
          <w:color w:val="215E99" w:themeColor="text2" w:themeTint="BF"/>
          <w:sz w:val="22"/>
          <w:szCs w:val="22"/>
        </w:rPr>
        <w:t>– дирекция „Стратегическо развитие, координация и концесии“</w:t>
      </w:r>
    </w:p>
    <w:p w14:paraId="4B9CC43F" w14:textId="77777777" w:rsidR="007A3192" w:rsidRPr="007A3192" w:rsidRDefault="007A3192" w:rsidP="004823C1">
      <w:pPr>
        <w:shd w:val="clear" w:color="auto" w:fill="FFFFFF" w:themeFill="background1"/>
        <w:ind w:left="357" w:firstLine="69"/>
        <w:jc w:val="both"/>
        <w:rPr>
          <w:b/>
          <w:i/>
          <w:color w:val="800000"/>
          <w:sz w:val="22"/>
          <w:szCs w:val="22"/>
        </w:rPr>
      </w:pPr>
      <w:r w:rsidRPr="007A3192">
        <w:rPr>
          <w:b/>
          <w:i/>
          <w:color w:val="800000"/>
          <w:sz w:val="22"/>
          <w:szCs w:val="22"/>
        </w:rPr>
        <w:t>Дейности за предоставяне на продукта/услугата:</w:t>
      </w:r>
    </w:p>
    <w:p w14:paraId="582178BB" w14:textId="77777777" w:rsidR="007A3192" w:rsidRPr="00CA5D4C" w:rsidRDefault="007A3192"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CA5D4C">
        <w:rPr>
          <w:rFonts w:eastAsia="Batang"/>
          <w:b/>
          <w:bCs/>
          <w:sz w:val="22"/>
          <w:szCs w:val="22"/>
          <w:lang w:eastAsia="ko-KR"/>
        </w:rPr>
        <w:t>Организиране и координиране на процеса на постигане на съответствие с Инструмент OECD/LEGAL/0392 (Препоръка на Съвета относно принципите за държавно управление на публично-частните партньорства) – ДСРКК е водещо звено от АМС.</w:t>
      </w:r>
    </w:p>
    <w:p w14:paraId="17218197" w14:textId="77777777" w:rsidR="007A3192" w:rsidRPr="007A3192" w:rsidRDefault="007A3192" w:rsidP="004823C1">
      <w:pPr>
        <w:widowControl w:val="0"/>
        <w:shd w:val="clear" w:color="auto" w:fill="FFFFFF" w:themeFill="background1"/>
        <w:autoSpaceDE w:val="0"/>
        <w:autoSpaceDN w:val="0"/>
        <w:adjustRightInd w:val="0"/>
        <w:ind w:firstLine="426"/>
        <w:jc w:val="both"/>
        <w:rPr>
          <w:rFonts w:eastAsia="Batang"/>
          <w:bCs/>
          <w:iCs/>
          <w:sz w:val="22"/>
          <w:szCs w:val="22"/>
        </w:rPr>
      </w:pPr>
      <w:r w:rsidRPr="007A3192">
        <w:rPr>
          <w:rFonts w:eastAsia="Batang"/>
          <w:bCs/>
          <w:iCs/>
          <w:sz w:val="22"/>
          <w:szCs w:val="22"/>
        </w:rPr>
        <w:t>За отчетния период ДКПК/ДСРКК не е извършвала дейности по горепосочения инструмент, тъй като такива не са били необходими.</w:t>
      </w:r>
      <w:r w:rsidRPr="007A3192" w:rsidDel="00D166AB">
        <w:rPr>
          <w:rFonts w:eastAsia="Batang"/>
          <w:bCs/>
          <w:iCs/>
          <w:sz w:val="22"/>
          <w:szCs w:val="22"/>
        </w:rPr>
        <w:t xml:space="preserve"> </w:t>
      </w:r>
    </w:p>
    <w:p w14:paraId="5D4AF503" w14:textId="77777777" w:rsidR="007A3192" w:rsidRPr="00EE7AD6" w:rsidRDefault="007A3192" w:rsidP="004823C1">
      <w:pPr>
        <w:numPr>
          <w:ilvl w:val="0"/>
          <w:numId w:val="17"/>
        </w:numPr>
        <w:shd w:val="clear" w:color="auto" w:fill="FFFFFF" w:themeFill="background1"/>
        <w:tabs>
          <w:tab w:val="clear" w:pos="360"/>
          <w:tab w:val="num" w:pos="709"/>
        </w:tabs>
        <w:ind w:left="0" w:firstLine="425"/>
        <w:jc w:val="both"/>
        <w:rPr>
          <w:rFonts w:eastAsia="Batang"/>
          <w:sz w:val="22"/>
          <w:szCs w:val="22"/>
          <w:lang w:eastAsia="ko-KR"/>
        </w:rPr>
      </w:pPr>
      <w:r w:rsidRPr="00FC3A84">
        <w:rPr>
          <w:rFonts w:eastAsia="Batang"/>
          <w:b/>
          <w:bCs/>
          <w:sz w:val="22"/>
          <w:szCs w:val="22"/>
          <w:lang w:eastAsia="ko-KR"/>
        </w:rPr>
        <w:t xml:space="preserve">Подпомагане на процеса на постигане на съответствие с инструменти: OECD/LEGAL/0474 </w:t>
      </w:r>
      <w:r w:rsidRPr="00FC3A84">
        <w:rPr>
          <w:rFonts w:eastAsia="Batang"/>
          <w:sz w:val="22"/>
          <w:szCs w:val="22"/>
          <w:lang w:eastAsia="ko-KR"/>
        </w:rPr>
        <w:t>(Препоръка на Съвета за създаване на по-добри възможности за младите хора);</w:t>
      </w:r>
      <w:r w:rsidRPr="00FC3A84">
        <w:rPr>
          <w:rFonts w:eastAsia="Batang"/>
          <w:b/>
          <w:bCs/>
          <w:sz w:val="22"/>
          <w:szCs w:val="22"/>
          <w:lang w:eastAsia="ko-KR"/>
        </w:rPr>
        <w:t xml:space="preserve"> OECD/LEGAL/0406 </w:t>
      </w:r>
      <w:r w:rsidRPr="00EE7AD6">
        <w:rPr>
          <w:rFonts w:eastAsia="Batang"/>
          <w:sz w:val="22"/>
          <w:szCs w:val="22"/>
          <w:lang w:eastAsia="ko-KR"/>
        </w:rPr>
        <w:t xml:space="preserve">(Препоръка на Съвета по стратегии за цифрово управление); </w:t>
      </w:r>
      <w:r w:rsidRPr="00FC3A84">
        <w:rPr>
          <w:rFonts w:eastAsia="Batang"/>
          <w:b/>
          <w:bCs/>
          <w:sz w:val="22"/>
          <w:szCs w:val="22"/>
          <w:lang w:eastAsia="ko-KR"/>
        </w:rPr>
        <w:t xml:space="preserve">OECD/LEGAL/0381 </w:t>
      </w:r>
      <w:r w:rsidRPr="00EE7AD6">
        <w:rPr>
          <w:rFonts w:eastAsia="Batang"/>
          <w:sz w:val="22"/>
          <w:szCs w:val="22"/>
          <w:lang w:eastAsia="ko-KR"/>
        </w:rPr>
        <w:t>(Препоръка на Съвета за съгласуваност на политиките за устойчиво развитие);</w:t>
      </w:r>
      <w:r w:rsidRPr="00FC3A84">
        <w:rPr>
          <w:rFonts w:eastAsia="Batang"/>
          <w:b/>
          <w:bCs/>
          <w:sz w:val="22"/>
          <w:szCs w:val="22"/>
          <w:lang w:eastAsia="ko-KR"/>
        </w:rPr>
        <w:t xml:space="preserve"> OECD/LEGAL/0448 </w:t>
      </w:r>
      <w:r w:rsidRPr="00EE7AD6">
        <w:rPr>
          <w:rFonts w:eastAsia="Batang"/>
          <w:sz w:val="22"/>
          <w:szCs w:val="22"/>
          <w:lang w:eastAsia="ko-KR"/>
        </w:rPr>
        <w:t>(Декларация относно политиките за изграждане на по-добро бъдеще за регионите, градовете и селските райони);</w:t>
      </w:r>
      <w:r w:rsidRPr="00FC3A84">
        <w:rPr>
          <w:rFonts w:eastAsia="Batang"/>
          <w:b/>
          <w:bCs/>
          <w:sz w:val="22"/>
          <w:szCs w:val="22"/>
          <w:lang w:eastAsia="ko-KR"/>
        </w:rPr>
        <w:t xml:space="preserve"> OECD/LEGAL/0472 </w:t>
      </w:r>
      <w:r w:rsidRPr="00EE7AD6">
        <w:rPr>
          <w:rFonts w:eastAsia="Batang"/>
          <w:sz w:val="22"/>
          <w:szCs w:val="22"/>
          <w:lang w:eastAsia="ko-KR"/>
        </w:rPr>
        <w:t>(Препоръка на Съвета за социална и солидарна икономика и социални иновации) – Дирекция „Стратегическо развитие, координация и концесии“ е партниращо звено от АМС.</w:t>
      </w:r>
    </w:p>
    <w:p w14:paraId="1FA64D08" w14:textId="77777777" w:rsidR="007A3192" w:rsidRPr="007A3192" w:rsidRDefault="007A3192" w:rsidP="004823C1">
      <w:pPr>
        <w:widowControl w:val="0"/>
        <w:shd w:val="clear" w:color="auto" w:fill="FFFFFF" w:themeFill="background1"/>
        <w:autoSpaceDE w:val="0"/>
        <w:autoSpaceDN w:val="0"/>
        <w:adjustRightInd w:val="0"/>
        <w:ind w:firstLine="426"/>
        <w:jc w:val="both"/>
        <w:rPr>
          <w:rFonts w:eastAsia="Batang"/>
          <w:bCs/>
          <w:iCs/>
          <w:sz w:val="22"/>
          <w:szCs w:val="22"/>
        </w:rPr>
      </w:pPr>
      <w:r w:rsidRPr="007A3192">
        <w:rPr>
          <w:rFonts w:eastAsia="Batang"/>
          <w:bCs/>
          <w:iCs/>
          <w:sz w:val="22"/>
          <w:szCs w:val="22"/>
        </w:rPr>
        <w:t xml:space="preserve">За отчетния период дирекцията не е извършвала дейности по горепосочените инструменти, тъй като подобни не са инициирани от водещите по тях институции. </w:t>
      </w:r>
    </w:p>
    <w:p w14:paraId="2D4F3E9F" w14:textId="77777777" w:rsidR="00BB1857" w:rsidRPr="004823C1" w:rsidRDefault="00BB1857" w:rsidP="004823C1">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4823C1">
        <w:rPr>
          <w:b/>
          <w:bCs/>
          <w:i/>
          <w:iCs/>
          <w:color w:val="215E99" w:themeColor="text2" w:themeTint="BF"/>
          <w:sz w:val="22"/>
          <w:szCs w:val="22"/>
        </w:rPr>
        <w:lastRenderedPageBreak/>
        <w:t xml:space="preserve">Изпълнение на функциите на специализирана дирекция от администрацията на Министерския съвет по </w:t>
      </w:r>
      <w:hyperlink r:id="rId26" w:history="1">
        <w:r w:rsidRPr="004823C1">
          <w:rPr>
            <w:b/>
            <w:bCs/>
            <w:i/>
            <w:iCs/>
            <w:color w:val="215E99" w:themeColor="text2" w:themeTint="BF"/>
            <w:sz w:val="22"/>
            <w:szCs w:val="22"/>
          </w:rPr>
          <w:t>чл. 41 от Закона за концесиите</w:t>
        </w:r>
      </w:hyperlink>
      <w:r w:rsidRPr="004823C1">
        <w:rPr>
          <w:b/>
          <w:bCs/>
          <w:i/>
          <w:iCs/>
          <w:color w:val="215E99" w:themeColor="text2" w:themeTint="BF"/>
          <w:sz w:val="22"/>
          <w:szCs w:val="22"/>
        </w:rPr>
        <w:t xml:space="preserve"> (ЗК) – дирекция „Стратегическо развитие, координация и концесии“</w:t>
      </w:r>
    </w:p>
    <w:p w14:paraId="5422261D" w14:textId="77777777" w:rsidR="00BB1857" w:rsidRPr="00BB1857" w:rsidRDefault="00BB1857" w:rsidP="004823C1">
      <w:pPr>
        <w:shd w:val="clear" w:color="auto" w:fill="FFFFFF" w:themeFill="background1"/>
        <w:ind w:left="357" w:firstLine="69"/>
        <w:jc w:val="both"/>
        <w:rPr>
          <w:b/>
          <w:i/>
          <w:color w:val="800000"/>
          <w:sz w:val="22"/>
          <w:szCs w:val="22"/>
        </w:rPr>
      </w:pPr>
      <w:r w:rsidRPr="00BB1857">
        <w:rPr>
          <w:b/>
          <w:i/>
          <w:color w:val="800000"/>
          <w:sz w:val="22"/>
          <w:szCs w:val="22"/>
        </w:rPr>
        <w:t>Дейности за предоставяне на продукта/услугата:</w:t>
      </w:r>
    </w:p>
    <w:p w14:paraId="3D1D03E5" w14:textId="77777777" w:rsidR="00BB1857" w:rsidRPr="00F21886" w:rsidRDefault="00BB1857"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F21886">
        <w:rPr>
          <w:rFonts w:eastAsia="Batang"/>
          <w:b/>
          <w:bCs/>
          <w:sz w:val="22"/>
          <w:szCs w:val="22"/>
          <w:lang w:eastAsia="ko-KR"/>
        </w:rPr>
        <w:t>Поддържане на Националния концесионен регистър, в т.ч.: публикуване в регистъра на документите, определени със ЗК</w:t>
      </w:r>
    </w:p>
    <w:p w14:paraId="1D2B4E79" w14:textId="77777777" w:rsidR="00BB1857" w:rsidRPr="00BB1857" w:rsidRDefault="00BB1857" w:rsidP="004823C1">
      <w:pPr>
        <w:widowControl w:val="0"/>
        <w:shd w:val="clear" w:color="auto" w:fill="FFFFFF" w:themeFill="background1"/>
        <w:autoSpaceDE w:val="0"/>
        <w:autoSpaceDN w:val="0"/>
        <w:adjustRightInd w:val="0"/>
        <w:ind w:left="425"/>
        <w:jc w:val="both"/>
        <w:rPr>
          <w:rFonts w:eastAsia="Batang"/>
          <w:bCs/>
          <w:iCs/>
          <w:sz w:val="22"/>
          <w:szCs w:val="22"/>
        </w:rPr>
      </w:pPr>
      <w:r w:rsidRPr="00BB1857">
        <w:rPr>
          <w:rFonts w:eastAsia="Batang"/>
          <w:bCs/>
          <w:iCs/>
          <w:sz w:val="22"/>
          <w:szCs w:val="22"/>
        </w:rPr>
        <w:t>За отчетния период ДСРКК е извършила следните дейности:</w:t>
      </w:r>
    </w:p>
    <w:p w14:paraId="216E291D" w14:textId="79FBB476" w:rsidR="00BB1857" w:rsidRPr="00BB1857" w:rsidRDefault="00BB1857" w:rsidP="004823C1">
      <w:pPr>
        <w:widowControl w:val="0"/>
        <w:shd w:val="clear" w:color="auto" w:fill="FFFFFF" w:themeFill="background1"/>
        <w:autoSpaceDE w:val="0"/>
        <w:autoSpaceDN w:val="0"/>
        <w:adjustRightInd w:val="0"/>
        <w:ind w:firstLine="425"/>
        <w:jc w:val="both"/>
        <w:rPr>
          <w:sz w:val="22"/>
          <w:szCs w:val="22"/>
          <w:lang w:eastAsia="ko-KR"/>
        </w:rPr>
      </w:pPr>
      <w:r>
        <w:rPr>
          <w:sz w:val="22"/>
          <w:szCs w:val="22"/>
          <w:lang w:eastAsia="ko-KR"/>
        </w:rPr>
        <w:t xml:space="preserve">1. </w:t>
      </w:r>
      <w:r w:rsidRPr="00BB1857">
        <w:rPr>
          <w:sz w:val="22"/>
          <w:szCs w:val="22"/>
          <w:lang w:eastAsia="ko-KR"/>
        </w:rPr>
        <w:t xml:space="preserve">Дейности във връзка с изпълнение на Дейност 4.1 „Поддръжка и надграждане на Централизираната електронна информационна система Национален концесионен регистър (ЦЕИС НКР)“ по Рамков договор № МС-117/09.10.202024 г.: </w:t>
      </w:r>
    </w:p>
    <w:p w14:paraId="1A2BF702" w14:textId="48EB4947" w:rsidR="00BB1857" w:rsidRPr="00E33933" w:rsidRDefault="00BB1857" w:rsidP="004823C1">
      <w:pPr>
        <w:pStyle w:val="ListParagraph"/>
        <w:numPr>
          <w:ilvl w:val="0"/>
          <w:numId w:val="25"/>
        </w:numPr>
        <w:shd w:val="clear" w:color="auto" w:fill="FFFFFF" w:themeFill="background1"/>
        <w:ind w:left="426" w:firstLine="0"/>
        <w:jc w:val="both"/>
        <w:rPr>
          <w:sz w:val="22"/>
          <w:szCs w:val="22"/>
        </w:rPr>
      </w:pPr>
      <w:r w:rsidRPr="00E33933">
        <w:rPr>
          <w:sz w:val="22"/>
          <w:szCs w:val="22"/>
        </w:rPr>
        <w:t xml:space="preserve">Изготвяне и подаване на проектно предложение в системата на Министерството на електронното управление </w:t>
      </w:r>
      <w:r w:rsidR="00E33933">
        <w:rPr>
          <w:sz w:val="22"/>
          <w:szCs w:val="22"/>
        </w:rPr>
        <w:t>–</w:t>
      </w:r>
      <w:r w:rsidRPr="00E33933">
        <w:rPr>
          <w:sz w:val="22"/>
          <w:szCs w:val="22"/>
        </w:rPr>
        <w:t xml:space="preserve"> </w:t>
      </w:r>
      <w:hyperlink r:id="rId27" w:history="1">
        <w:r w:rsidRPr="00426949">
          <w:rPr>
            <w:rFonts w:eastAsia="Times New Roman"/>
            <w:color w:val="215E99" w:themeColor="text2" w:themeTint="BF"/>
            <w:sz w:val="22"/>
            <w:szCs w:val="22"/>
            <w:lang w:val="bg-BG" w:eastAsia="bg-BG"/>
          </w:rPr>
          <w:t>https://budgetcontrol.egov.bg/</w:t>
        </w:r>
      </w:hyperlink>
      <w:r w:rsidRPr="00E33933">
        <w:rPr>
          <w:sz w:val="22"/>
          <w:szCs w:val="22"/>
        </w:rPr>
        <w:t xml:space="preserve"> за утвърждаване. Проектното предложение (проект</w:t>
      </w:r>
      <w:r w:rsidR="00E33933">
        <w:rPr>
          <w:sz w:val="22"/>
          <w:szCs w:val="22"/>
        </w:rPr>
        <w:t>а) е утвърдено на 08.05.2025 г.</w:t>
      </w:r>
      <w:r w:rsidR="00E33933">
        <w:rPr>
          <w:sz w:val="22"/>
          <w:szCs w:val="22"/>
          <w:lang w:val="bg-BG"/>
        </w:rPr>
        <w:t>;</w:t>
      </w:r>
    </w:p>
    <w:p w14:paraId="23AFC76B" w14:textId="1415E5E2" w:rsidR="00BB1857" w:rsidRPr="00E33933" w:rsidRDefault="00BB1857" w:rsidP="004823C1">
      <w:pPr>
        <w:pStyle w:val="ListParagraph"/>
        <w:numPr>
          <w:ilvl w:val="0"/>
          <w:numId w:val="25"/>
        </w:numPr>
        <w:shd w:val="clear" w:color="auto" w:fill="FFFFFF" w:themeFill="background1"/>
        <w:ind w:left="426" w:firstLine="0"/>
        <w:jc w:val="both"/>
        <w:rPr>
          <w:sz w:val="22"/>
          <w:szCs w:val="22"/>
        </w:rPr>
      </w:pPr>
      <w:r w:rsidRPr="00E33933">
        <w:rPr>
          <w:sz w:val="22"/>
          <w:szCs w:val="22"/>
        </w:rPr>
        <w:t>Изготвено допълнение към мотивирано предложение до главния секретар на Министерския съвет, с което е предоставена информация относно напредъка по изпълнението на дейностите, свързани с подписването на заявката. С допълнението към мотивираното предложение е предложено главният секретар да одобри подписването на заявката за изпълнение на проекта. Одобр</w:t>
      </w:r>
      <w:r w:rsidR="00E33933">
        <w:rPr>
          <w:sz w:val="22"/>
          <w:szCs w:val="22"/>
        </w:rPr>
        <w:t>ението е дадено на 03.06.2025 г</w:t>
      </w:r>
      <w:r w:rsidR="00E33933" w:rsidRPr="00500556">
        <w:rPr>
          <w:sz w:val="22"/>
          <w:szCs w:val="22"/>
        </w:rPr>
        <w:t>.;</w:t>
      </w:r>
    </w:p>
    <w:p w14:paraId="2982167C" w14:textId="366AAF9F" w:rsidR="00BB1857" w:rsidRPr="00E33933" w:rsidRDefault="00BB1857" w:rsidP="004823C1">
      <w:pPr>
        <w:pStyle w:val="ListParagraph"/>
        <w:numPr>
          <w:ilvl w:val="0"/>
          <w:numId w:val="25"/>
        </w:numPr>
        <w:shd w:val="clear" w:color="auto" w:fill="FFFFFF" w:themeFill="background1"/>
        <w:ind w:left="426" w:firstLine="0"/>
        <w:jc w:val="both"/>
        <w:rPr>
          <w:sz w:val="22"/>
          <w:szCs w:val="22"/>
        </w:rPr>
      </w:pPr>
      <w:r w:rsidRPr="00E33933">
        <w:rPr>
          <w:sz w:val="22"/>
          <w:szCs w:val="22"/>
        </w:rPr>
        <w:t>Преглед и съгласуване на Заявка № 4.1 от ПГ за 2024 г. по Ра</w:t>
      </w:r>
      <w:r w:rsidR="00DA0267">
        <w:rPr>
          <w:sz w:val="22"/>
          <w:szCs w:val="22"/>
        </w:rPr>
        <w:t>мков договор № МС-117/09.10.20</w:t>
      </w:r>
      <w:r w:rsidRPr="00E33933">
        <w:rPr>
          <w:sz w:val="22"/>
          <w:szCs w:val="22"/>
        </w:rPr>
        <w:t>24 г. Заявката е подписана на 05.06.2025 г.</w:t>
      </w:r>
      <w:r w:rsidR="00E33933" w:rsidRPr="00C6285C">
        <w:rPr>
          <w:sz w:val="22"/>
          <w:szCs w:val="22"/>
        </w:rPr>
        <w:t>;</w:t>
      </w:r>
    </w:p>
    <w:p w14:paraId="7EA558E0" w14:textId="27580C22" w:rsidR="00BB1857" w:rsidRPr="00E33933" w:rsidRDefault="00BB1857" w:rsidP="004823C1">
      <w:pPr>
        <w:pStyle w:val="ListParagraph"/>
        <w:numPr>
          <w:ilvl w:val="0"/>
          <w:numId w:val="25"/>
        </w:numPr>
        <w:shd w:val="clear" w:color="auto" w:fill="FFFFFF" w:themeFill="background1"/>
        <w:ind w:left="426" w:firstLine="0"/>
        <w:jc w:val="both"/>
        <w:rPr>
          <w:sz w:val="22"/>
          <w:szCs w:val="22"/>
        </w:rPr>
      </w:pPr>
      <w:r w:rsidRPr="00E33933">
        <w:rPr>
          <w:sz w:val="22"/>
          <w:szCs w:val="22"/>
        </w:rPr>
        <w:t xml:space="preserve">Изготвена Докладна записка до главния секретар на Министерския съвет с предложение за подпис на изходящо писмо до ИА „Инфраструктура на електронното управление“ за осигуряване на възможност за отдалечен достъп до ресурсите на проект „Национален концесионен регистър“ в инфраструктурата на Държавния хибриден частен облак (ДХЧО) с приложени декларации за поверителност, съгласно </w:t>
      </w:r>
      <w:r w:rsidR="00E33933">
        <w:rPr>
          <w:sz w:val="22"/>
          <w:szCs w:val="22"/>
        </w:rPr>
        <w:t>вътрешните правила на агенцията</w:t>
      </w:r>
      <w:r w:rsidR="00E33933" w:rsidRPr="00C6285C">
        <w:rPr>
          <w:sz w:val="22"/>
          <w:szCs w:val="22"/>
        </w:rPr>
        <w:t>;</w:t>
      </w:r>
    </w:p>
    <w:p w14:paraId="284F94AB" w14:textId="5FEAC466" w:rsidR="00BB1857" w:rsidRPr="00E33933" w:rsidRDefault="00BB1857" w:rsidP="004823C1">
      <w:pPr>
        <w:pStyle w:val="ListParagraph"/>
        <w:numPr>
          <w:ilvl w:val="0"/>
          <w:numId w:val="25"/>
        </w:numPr>
        <w:shd w:val="clear" w:color="auto" w:fill="FFFFFF" w:themeFill="background1"/>
        <w:ind w:left="426" w:firstLine="0"/>
        <w:jc w:val="both"/>
        <w:rPr>
          <w:sz w:val="22"/>
          <w:szCs w:val="22"/>
        </w:rPr>
      </w:pPr>
      <w:r w:rsidRPr="00E33933">
        <w:rPr>
          <w:sz w:val="22"/>
          <w:szCs w:val="22"/>
        </w:rPr>
        <w:t>Изпратено писмо до дирекция „Информационни и комуникационни системи“ за създаване на групов електронен адрес с цел по-добра оперативност между дирекцията и „Информационно обслужван</w:t>
      </w:r>
      <w:r w:rsidR="00E33933">
        <w:rPr>
          <w:sz w:val="22"/>
          <w:szCs w:val="22"/>
        </w:rPr>
        <w:t>е“ АД при изпълнение на проекта</w:t>
      </w:r>
      <w:r w:rsidR="00E33933" w:rsidRPr="00C6285C">
        <w:rPr>
          <w:sz w:val="22"/>
          <w:szCs w:val="22"/>
        </w:rPr>
        <w:t>;</w:t>
      </w:r>
    </w:p>
    <w:p w14:paraId="10073160" w14:textId="7E83704B" w:rsidR="00BB1857" w:rsidRPr="00E33933" w:rsidRDefault="00BB1857" w:rsidP="004823C1">
      <w:pPr>
        <w:pStyle w:val="ListParagraph"/>
        <w:numPr>
          <w:ilvl w:val="0"/>
          <w:numId w:val="25"/>
        </w:numPr>
        <w:shd w:val="clear" w:color="auto" w:fill="FFFFFF" w:themeFill="background1"/>
        <w:ind w:left="426" w:firstLine="0"/>
        <w:jc w:val="both"/>
        <w:rPr>
          <w:sz w:val="22"/>
          <w:szCs w:val="22"/>
        </w:rPr>
      </w:pPr>
      <w:r w:rsidRPr="00E33933">
        <w:rPr>
          <w:sz w:val="22"/>
          <w:szCs w:val="22"/>
        </w:rPr>
        <w:t>Проведена среща с „Информационно обслужване“ АД за обсъждане на уточняващи въпроси, свъ</w:t>
      </w:r>
      <w:r w:rsidR="00E33933">
        <w:rPr>
          <w:sz w:val="22"/>
          <w:szCs w:val="22"/>
        </w:rPr>
        <w:t>рзани с изпълнението на проекта</w:t>
      </w:r>
      <w:r w:rsidR="00E33933" w:rsidRPr="00C6285C">
        <w:rPr>
          <w:sz w:val="22"/>
          <w:szCs w:val="22"/>
        </w:rPr>
        <w:t>;</w:t>
      </w:r>
    </w:p>
    <w:p w14:paraId="7EFDEDC3" w14:textId="21A015C1" w:rsidR="00BB1857" w:rsidRPr="00E33933" w:rsidRDefault="00BB1857" w:rsidP="004823C1">
      <w:pPr>
        <w:pStyle w:val="ListParagraph"/>
        <w:numPr>
          <w:ilvl w:val="0"/>
          <w:numId w:val="25"/>
        </w:numPr>
        <w:shd w:val="clear" w:color="auto" w:fill="FFFFFF" w:themeFill="background1"/>
        <w:ind w:left="426" w:firstLine="0"/>
        <w:jc w:val="both"/>
        <w:rPr>
          <w:sz w:val="22"/>
          <w:szCs w:val="22"/>
        </w:rPr>
      </w:pPr>
      <w:r w:rsidRPr="00E33933">
        <w:rPr>
          <w:sz w:val="22"/>
          <w:szCs w:val="22"/>
        </w:rPr>
        <w:t>Преглед и съгласуване на документ „Встъпителен доклад“ включващ и „план-график“ за изпълнението на проекта, изработен на основание т. 8.4.1. от Техническите параметри, неразделна част от Заявка по ред 4.1 от ПГ 2024 г. по рамков договор № МС-117/09.10.2024 г. (вх. №ПО-16-3093/09.10.2024 г. на „Информационно обслужване“ АД)</w:t>
      </w:r>
      <w:r w:rsidR="00E33933" w:rsidRPr="00C6285C">
        <w:rPr>
          <w:sz w:val="22"/>
          <w:szCs w:val="22"/>
        </w:rPr>
        <w:t>;</w:t>
      </w:r>
    </w:p>
    <w:p w14:paraId="6E975363" w14:textId="77777777" w:rsidR="00BB1857" w:rsidRPr="00E33933" w:rsidRDefault="00BB1857" w:rsidP="004823C1">
      <w:pPr>
        <w:pStyle w:val="ListParagraph"/>
        <w:numPr>
          <w:ilvl w:val="0"/>
          <w:numId w:val="25"/>
        </w:numPr>
        <w:shd w:val="clear" w:color="auto" w:fill="FFFFFF" w:themeFill="background1"/>
        <w:ind w:left="426" w:firstLine="0"/>
        <w:jc w:val="both"/>
        <w:rPr>
          <w:sz w:val="22"/>
          <w:szCs w:val="22"/>
        </w:rPr>
      </w:pPr>
      <w:r w:rsidRPr="00E33933">
        <w:rPr>
          <w:sz w:val="22"/>
          <w:szCs w:val="22"/>
        </w:rPr>
        <w:t>Изготвени съответно приемо-предавателен и предавателно-приемателен  протоколи във връзка с одобряване на встъпителния доклад.</w:t>
      </w:r>
    </w:p>
    <w:p w14:paraId="3E66FF6A" w14:textId="54541A61" w:rsidR="00BB1857" w:rsidRPr="001668B9" w:rsidRDefault="00BB1857" w:rsidP="004823C1">
      <w:pPr>
        <w:pStyle w:val="ListParagraph"/>
        <w:widowControl w:val="0"/>
        <w:numPr>
          <w:ilvl w:val="0"/>
          <w:numId w:val="24"/>
        </w:numPr>
        <w:shd w:val="clear" w:color="auto" w:fill="FFFFFF" w:themeFill="background1"/>
        <w:autoSpaceDE w:val="0"/>
        <w:autoSpaceDN w:val="0"/>
        <w:adjustRightInd w:val="0"/>
        <w:jc w:val="both"/>
        <w:rPr>
          <w:sz w:val="22"/>
          <w:szCs w:val="22"/>
        </w:rPr>
      </w:pPr>
      <w:r w:rsidRPr="001668B9">
        <w:rPr>
          <w:sz w:val="22"/>
          <w:szCs w:val="22"/>
        </w:rPr>
        <w:t>Дейности, свързани с организационното и софтуерно осигуряване на НКР:</w:t>
      </w:r>
    </w:p>
    <w:p w14:paraId="1061687E" w14:textId="40695B5F" w:rsidR="00BB1857" w:rsidRPr="00DC36B7" w:rsidRDefault="00BB1857" w:rsidP="004823C1">
      <w:pPr>
        <w:pStyle w:val="ListParagraph"/>
        <w:numPr>
          <w:ilvl w:val="0"/>
          <w:numId w:val="25"/>
        </w:numPr>
        <w:shd w:val="clear" w:color="auto" w:fill="FFFFFF" w:themeFill="background1"/>
        <w:ind w:left="426" w:firstLine="0"/>
        <w:jc w:val="both"/>
        <w:rPr>
          <w:sz w:val="22"/>
          <w:szCs w:val="22"/>
        </w:rPr>
      </w:pPr>
      <w:r w:rsidRPr="00DC36B7">
        <w:rPr>
          <w:sz w:val="22"/>
          <w:szCs w:val="22"/>
        </w:rPr>
        <w:t>Предоставени са уникални идентификатори за достъп до НКР на лицата по чл. 193, ал. 1 от ЗК: общини Варна, Перник, Руен, Кърджали, Испе</w:t>
      </w:r>
      <w:r w:rsidR="00DC36B7">
        <w:rPr>
          <w:sz w:val="22"/>
          <w:szCs w:val="22"/>
        </w:rPr>
        <w:t>рих, Борован, Хисаря и Казанлък</w:t>
      </w:r>
      <w:r w:rsidR="00DC36B7" w:rsidRPr="00C6285C">
        <w:rPr>
          <w:sz w:val="22"/>
          <w:szCs w:val="22"/>
        </w:rPr>
        <w:t>;</w:t>
      </w:r>
    </w:p>
    <w:p w14:paraId="03F25B3B" w14:textId="77777777" w:rsidR="00BB1857" w:rsidRPr="00DC36B7" w:rsidRDefault="00BB1857" w:rsidP="004823C1">
      <w:pPr>
        <w:pStyle w:val="ListParagraph"/>
        <w:numPr>
          <w:ilvl w:val="0"/>
          <w:numId w:val="25"/>
        </w:numPr>
        <w:shd w:val="clear" w:color="auto" w:fill="FFFFFF" w:themeFill="background1"/>
        <w:ind w:left="426" w:firstLine="0"/>
        <w:jc w:val="both"/>
        <w:rPr>
          <w:sz w:val="22"/>
          <w:szCs w:val="22"/>
        </w:rPr>
      </w:pPr>
      <w:r w:rsidRPr="00DC36B7">
        <w:rPr>
          <w:sz w:val="22"/>
          <w:szCs w:val="22"/>
        </w:rPr>
        <w:t>Изготвени са 2 писма във връзка с отстраняване на допуснати технически грешки и несъответствия от определените от концедентите длъжностни лица при поддържане и приключване на партиди за процедури и за концесии, и публикуване на документи и информация в „Офис 1“ и „Офис 2“ на НКР, в допълнение към предоставените с други писма указания до кметовете на общините;</w:t>
      </w:r>
    </w:p>
    <w:p w14:paraId="03A2956B" w14:textId="77777777" w:rsidR="00BB1857" w:rsidRPr="00DC36B7" w:rsidRDefault="00BB1857" w:rsidP="004823C1">
      <w:pPr>
        <w:pStyle w:val="ListParagraph"/>
        <w:numPr>
          <w:ilvl w:val="0"/>
          <w:numId w:val="25"/>
        </w:numPr>
        <w:shd w:val="clear" w:color="auto" w:fill="FFFFFF" w:themeFill="background1"/>
        <w:ind w:left="426" w:firstLine="0"/>
        <w:jc w:val="both"/>
        <w:rPr>
          <w:sz w:val="22"/>
          <w:szCs w:val="22"/>
        </w:rPr>
      </w:pPr>
      <w:r w:rsidRPr="00DC36B7">
        <w:rPr>
          <w:sz w:val="22"/>
          <w:szCs w:val="22"/>
        </w:rPr>
        <w:t>Публикувани са 2 бр. справки – Справка предварителен контрол за 2024 г. и Справка за обжалванията по ЗК за периода 2018-2024 г., в „Информационния раздел“, подраздел „Мониторинг“, в „Офис 2“ на НКР;</w:t>
      </w:r>
    </w:p>
    <w:p w14:paraId="0F4AD914" w14:textId="77777777" w:rsidR="00BB1857" w:rsidRPr="00DC36B7" w:rsidRDefault="00BB1857" w:rsidP="004823C1">
      <w:pPr>
        <w:pStyle w:val="ListParagraph"/>
        <w:numPr>
          <w:ilvl w:val="0"/>
          <w:numId w:val="25"/>
        </w:numPr>
        <w:shd w:val="clear" w:color="auto" w:fill="FFFFFF" w:themeFill="background1"/>
        <w:ind w:left="426" w:firstLine="0"/>
        <w:jc w:val="both"/>
        <w:rPr>
          <w:sz w:val="22"/>
          <w:szCs w:val="22"/>
        </w:rPr>
      </w:pPr>
      <w:r w:rsidRPr="00DC36B7">
        <w:rPr>
          <w:sz w:val="22"/>
          <w:szCs w:val="22"/>
        </w:rPr>
        <w:t>Публикувани са в „Информационния раздел“, подраздел „Европейска комисия“, в „Офис 2“ на НКР, 3 бр. справки и информация за публикуваните, в обявления в „Официалния вестник“ на Европейския съюз, обявления за 2023 г. и 2024 г.;</w:t>
      </w:r>
    </w:p>
    <w:p w14:paraId="45769860" w14:textId="77777777" w:rsidR="00BB1857" w:rsidRPr="00DC36B7" w:rsidRDefault="00BB1857" w:rsidP="004823C1">
      <w:pPr>
        <w:pStyle w:val="ListParagraph"/>
        <w:numPr>
          <w:ilvl w:val="0"/>
          <w:numId w:val="25"/>
        </w:numPr>
        <w:shd w:val="clear" w:color="auto" w:fill="FFFFFF" w:themeFill="background1"/>
        <w:ind w:left="426" w:firstLine="0"/>
        <w:jc w:val="both"/>
        <w:rPr>
          <w:sz w:val="22"/>
          <w:szCs w:val="22"/>
        </w:rPr>
      </w:pPr>
      <w:r w:rsidRPr="00DC36B7">
        <w:rPr>
          <w:sz w:val="22"/>
          <w:szCs w:val="22"/>
        </w:rPr>
        <w:t>Публикувани са в „Информационния раздел“, в подраздел „Агенция за публичните предприятия и контрол“ (АППК), 2 бр. „Обобщена информация за извършвания от „Агенцията за публични предприятия и контрол“ контрол, съответно за 2023 и 2024 г.;</w:t>
      </w:r>
    </w:p>
    <w:p w14:paraId="71C078FB" w14:textId="77777777" w:rsidR="00BB1857" w:rsidRPr="00DC36B7" w:rsidRDefault="00BB1857" w:rsidP="004823C1">
      <w:pPr>
        <w:pStyle w:val="ListParagraph"/>
        <w:numPr>
          <w:ilvl w:val="0"/>
          <w:numId w:val="25"/>
        </w:numPr>
        <w:shd w:val="clear" w:color="auto" w:fill="FFFFFF" w:themeFill="background1"/>
        <w:ind w:left="426" w:firstLine="0"/>
        <w:jc w:val="both"/>
        <w:rPr>
          <w:sz w:val="22"/>
          <w:szCs w:val="22"/>
        </w:rPr>
      </w:pPr>
      <w:r w:rsidRPr="00DC36B7">
        <w:rPr>
          <w:sz w:val="22"/>
          <w:szCs w:val="22"/>
        </w:rPr>
        <w:lastRenderedPageBreak/>
        <w:t>Публикуван е новият актуализиран план за държавните концесии „Актуализиран план за действие на държавните концесии 2021-2027“, одобрен от Министерския съвет на 24 юни 2025 г.;</w:t>
      </w:r>
    </w:p>
    <w:p w14:paraId="7FEE3AC7" w14:textId="77777777" w:rsidR="00BB1857" w:rsidRPr="00DC36B7" w:rsidRDefault="00BB1857" w:rsidP="004823C1">
      <w:pPr>
        <w:pStyle w:val="ListParagraph"/>
        <w:numPr>
          <w:ilvl w:val="0"/>
          <w:numId w:val="25"/>
        </w:numPr>
        <w:shd w:val="clear" w:color="auto" w:fill="FFFFFF" w:themeFill="background1"/>
        <w:ind w:left="426" w:firstLine="0"/>
        <w:jc w:val="both"/>
        <w:rPr>
          <w:sz w:val="22"/>
          <w:szCs w:val="22"/>
        </w:rPr>
      </w:pPr>
      <w:r w:rsidRPr="00DC36B7">
        <w:rPr>
          <w:sz w:val="22"/>
          <w:szCs w:val="22"/>
        </w:rPr>
        <w:t>Публикувани са в „Информационния раздел“ на НКР10 бр. отчети, Годишните отчети по чл. 132, ал. 2 от ЗК за 2023 г. и за 2024 г.;</w:t>
      </w:r>
    </w:p>
    <w:p w14:paraId="7151DF66" w14:textId="77777777" w:rsidR="00BB1857" w:rsidRPr="00DC36B7" w:rsidRDefault="00BB1857" w:rsidP="004823C1">
      <w:pPr>
        <w:pStyle w:val="ListParagraph"/>
        <w:numPr>
          <w:ilvl w:val="0"/>
          <w:numId w:val="25"/>
        </w:numPr>
        <w:shd w:val="clear" w:color="auto" w:fill="FFFFFF" w:themeFill="background1"/>
        <w:ind w:left="426" w:firstLine="0"/>
        <w:jc w:val="both"/>
        <w:rPr>
          <w:sz w:val="22"/>
          <w:szCs w:val="22"/>
        </w:rPr>
      </w:pPr>
      <w:r w:rsidRPr="00DC36B7">
        <w:rPr>
          <w:sz w:val="22"/>
          <w:szCs w:val="22"/>
        </w:rPr>
        <w:t>Публикуван е в „Офис 2“ на НКР, в папка КСК, приетият на Координационния съвет по концесии „Годишен доклад за състоянието на концесиите за 2022 г.“;</w:t>
      </w:r>
    </w:p>
    <w:p w14:paraId="6CF436AD" w14:textId="77777777" w:rsidR="00BB1857" w:rsidRPr="00DC36B7" w:rsidRDefault="00BB1857" w:rsidP="004823C1">
      <w:pPr>
        <w:pStyle w:val="ListParagraph"/>
        <w:numPr>
          <w:ilvl w:val="0"/>
          <w:numId w:val="25"/>
        </w:numPr>
        <w:shd w:val="clear" w:color="auto" w:fill="FFFFFF" w:themeFill="background1"/>
        <w:ind w:left="426" w:firstLine="0"/>
        <w:jc w:val="both"/>
        <w:rPr>
          <w:sz w:val="22"/>
          <w:szCs w:val="22"/>
        </w:rPr>
      </w:pPr>
      <w:r w:rsidRPr="00DC36B7">
        <w:rPr>
          <w:sz w:val="22"/>
          <w:szCs w:val="22"/>
        </w:rPr>
        <w:t xml:space="preserve">Публикувана е приетата „Методология за извършване на преценка за приложимостта на инструмента на концесията за строителство или на концесията за услуга за предварително идентифицирани проекти“ във връзка с изпълнение на Решение № 311 на Министерския съвет от 2025 г., както и съответната таблица, представляваща въпросник към методологията за оценка на проекти и указанията за нейното попълване;  </w:t>
      </w:r>
    </w:p>
    <w:p w14:paraId="6FE276F7" w14:textId="77777777" w:rsidR="00BB1857" w:rsidRPr="00DC36B7" w:rsidRDefault="00BB1857" w:rsidP="004823C1">
      <w:pPr>
        <w:pStyle w:val="ListParagraph"/>
        <w:numPr>
          <w:ilvl w:val="0"/>
          <w:numId w:val="25"/>
        </w:numPr>
        <w:shd w:val="clear" w:color="auto" w:fill="FFFFFF" w:themeFill="background1"/>
        <w:ind w:left="426" w:firstLine="0"/>
        <w:jc w:val="both"/>
        <w:rPr>
          <w:sz w:val="22"/>
          <w:szCs w:val="22"/>
        </w:rPr>
      </w:pPr>
      <w:r w:rsidRPr="00DC36B7">
        <w:rPr>
          <w:sz w:val="22"/>
          <w:szCs w:val="22"/>
        </w:rPr>
        <w:t>Текущо е актуализирана официалната страница на НКР, раздел „Нормативна уредба“, като са публикувани всички изменения и допълнения в приложимите нормативни актове.</w:t>
      </w:r>
    </w:p>
    <w:p w14:paraId="7D5B5853" w14:textId="77777777" w:rsidR="00BB1857" w:rsidRPr="00C93833" w:rsidRDefault="00BB1857"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C93833">
        <w:rPr>
          <w:rFonts w:eastAsia="Batang"/>
          <w:b/>
          <w:bCs/>
          <w:sz w:val="22"/>
          <w:szCs w:val="22"/>
          <w:lang w:eastAsia="ko-KR"/>
        </w:rPr>
        <w:t>Извършване на мониторинг на прилагането на изискванията за възлагане на концесии по ЗК, чрез наблюдение, анализ и оценка относно наличието на системни проблеми</w:t>
      </w:r>
    </w:p>
    <w:p w14:paraId="34586E46" w14:textId="77777777" w:rsidR="00BB1857" w:rsidRPr="00E97329" w:rsidRDefault="00BB1857" w:rsidP="004823C1">
      <w:pPr>
        <w:widowControl w:val="0"/>
        <w:shd w:val="clear" w:color="auto" w:fill="FFFFFF" w:themeFill="background1"/>
        <w:autoSpaceDE w:val="0"/>
        <w:autoSpaceDN w:val="0"/>
        <w:adjustRightInd w:val="0"/>
        <w:ind w:left="426"/>
        <w:jc w:val="both"/>
        <w:rPr>
          <w:rFonts w:eastAsia="Batang"/>
          <w:bCs/>
          <w:iCs/>
          <w:sz w:val="22"/>
          <w:szCs w:val="22"/>
        </w:rPr>
      </w:pPr>
      <w:r w:rsidRPr="00E97329">
        <w:rPr>
          <w:rFonts w:eastAsia="Batang"/>
          <w:bCs/>
          <w:iCs/>
          <w:sz w:val="22"/>
          <w:szCs w:val="22"/>
        </w:rPr>
        <w:t>За отчетния период ДСРКК е извършила следните дейности:</w:t>
      </w:r>
    </w:p>
    <w:p w14:paraId="3F8B52AA" w14:textId="77777777" w:rsidR="00BB1857" w:rsidRPr="00E97329" w:rsidRDefault="00BB1857" w:rsidP="004823C1">
      <w:pPr>
        <w:numPr>
          <w:ilvl w:val="0"/>
          <w:numId w:val="37"/>
        </w:numPr>
        <w:shd w:val="clear" w:color="auto" w:fill="FFFFFF" w:themeFill="background1"/>
        <w:tabs>
          <w:tab w:val="num" w:pos="993"/>
        </w:tabs>
        <w:ind w:left="0" w:firstLine="426"/>
        <w:jc w:val="both"/>
        <w:rPr>
          <w:sz w:val="22"/>
          <w:szCs w:val="22"/>
        </w:rPr>
      </w:pPr>
      <w:r w:rsidRPr="00E97329">
        <w:rPr>
          <w:sz w:val="22"/>
          <w:szCs w:val="22"/>
        </w:rPr>
        <w:t>Извършена е проверка относно публикуването на годишен отчет по чл. 132, ал. 2 от ЗК за 2023 г. Установени са общо 35 отчета. Информацията, относно публикуваните годишни отчети за 2023 г., е обобщена в табличен вид за публикуване в НКР;</w:t>
      </w:r>
    </w:p>
    <w:p w14:paraId="5EEF186D" w14:textId="77777777" w:rsidR="00BB1857" w:rsidRPr="00E97329" w:rsidRDefault="00BB1857" w:rsidP="004823C1">
      <w:pPr>
        <w:numPr>
          <w:ilvl w:val="0"/>
          <w:numId w:val="37"/>
        </w:numPr>
        <w:shd w:val="clear" w:color="auto" w:fill="FFFFFF" w:themeFill="background1"/>
        <w:tabs>
          <w:tab w:val="num" w:pos="993"/>
        </w:tabs>
        <w:ind w:left="0" w:firstLine="426"/>
        <w:jc w:val="both"/>
        <w:rPr>
          <w:sz w:val="22"/>
          <w:szCs w:val="22"/>
        </w:rPr>
      </w:pPr>
      <w:r w:rsidRPr="00E97329">
        <w:rPr>
          <w:sz w:val="22"/>
          <w:szCs w:val="22"/>
        </w:rPr>
        <w:t>Извършена е проверка на публикуваните в НКР планове за действие от общините за 2023 г. за проследяване изпълнението на заложените указания за съдържание и проследяване на тяхното изпълнение. Резултатите са обобщени в презентационен вид за публикуване в НКР;</w:t>
      </w:r>
    </w:p>
    <w:p w14:paraId="1588F12E" w14:textId="77777777" w:rsidR="00BB1857" w:rsidRPr="00E97329" w:rsidRDefault="00BB1857" w:rsidP="004823C1">
      <w:pPr>
        <w:numPr>
          <w:ilvl w:val="0"/>
          <w:numId w:val="37"/>
        </w:numPr>
        <w:shd w:val="clear" w:color="auto" w:fill="FFFFFF" w:themeFill="background1"/>
        <w:tabs>
          <w:tab w:val="num" w:pos="993"/>
        </w:tabs>
        <w:ind w:left="0" w:firstLine="426"/>
        <w:jc w:val="both"/>
        <w:rPr>
          <w:sz w:val="22"/>
          <w:szCs w:val="22"/>
        </w:rPr>
      </w:pPr>
      <w:r w:rsidRPr="00E97329">
        <w:rPr>
          <w:sz w:val="22"/>
          <w:szCs w:val="22"/>
        </w:rPr>
        <w:t>Проследени са публикуваните по партидите за концесии „Информация за изпълнение на концесионен договор“ за 2023 г. Резултатите са обобщени в презентационен вид за публикуване в НКР;</w:t>
      </w:r>
    </w:p>
    <w:p w14:paraId="4199348C" w14:textId="77777777" w:rsidR="00BB1857" w:rsidRPr="00E97329" w:rsidRDefault="00BB1857" w:rsidP="004823C1">
      <w:pPr>
        <w:numPr>
          <w:ilvl w:val="0"/>
          <w:numId w:val="37"/>
        </w:numPr>
        <w:shd w:val="clear" w:color="auto" w:fill="FFFFFF" w:themeFill="background1"/>
        <w:tabs>
          <w:tab w:val="num" w:pos="993"/>
        </w:tabs>
        <w:ind w:left="0" w:firstLine="426"/>
        <w:jc w:val="both"/>
        <w:rPr>
          <w:sz w:val="22"/>
          <w:szCs w:val="22"/>
        </w:rPr>
      </w:pPr>
      <w:r w:rsidRPr="00E97329">
        <w:rPr>
          <w:sz w:val="22"/>
          <w:szCs w:val="22"/>
        </w:rPr>
        <w:t>Извършен е мониторинг на публикуваните документи към новооткритите партиди за определяне на концесионер. Информацията е обобщена в табличен вид за публикуване в НКР.</w:t>
      </w:r>
    </w:p>
    <w:p w14:paraId="2D81B999" w14:textId="77777777" w:rsidR="00BB1857" w:rsidRPr="00E97329" w:rsidRDefault="00BB1857" w:rsidP="004823C1">
      <w:pPr>
        <w:numPr>
          <w:ilvl w:val="0"/>
          <w:numId w:val="37"/>
        </w:numPr>
        <w:shd w:val="clear" w:color="auto" w:fill="FFFFFF" w:themeFill="background1"/>
        <w:tabs>
          <w:tab w:val="num" w:pos="993"/>
        </w:tabs>
        <w:ind w:left="0" w:firstLine="426"/>
        <w:jc w:val="both"/>
        <w:rPr>
          <w:sz w:val="22"/>
          <w:szCs w:val="22"/>
        </w:rPr>
      </w:pPr>
      <w:r w:rsidRPr="00E97329">
        <w:rPr>
          <w:sz w:val="22"/>
          <w:szCs w:val="22"/>
        </w:rPr>
        <w:t xml:space="preserve">Изпратено е писмо до всички концеденти, съдържащо въпросник с цел събиране на информация относно мониторинга и контрола по изпълнението на концесионните договори за 2023 г. Информацията е получена и обобщена. Обобщените данни са включени в проекта на Годишен доклад за състоянието на концесиите за 2023 г. </w:t>
      </w:r>
    </w:p>
    <w:p w14:paraId="64B9FB25" w14:textId="77777777" w:rsidR="00BB1857" w:rsidRPr="00C93833" w:rsidRDefault="00BB1857"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C93833">
        <w:rPr>
          <w:rFonts w:eastAsia="Batang"/>
          <w:b/>
          <w:bCs/>
          <w:sz w:val="22"/>
          <w:szCs w:val="22"/>
          <w:lang w:eastAsia="ko-KR"/>
        </w:rPr>
        <w:t>Извършване анализ на решенията на КЗК и на ВАС по жалби, подадени по реда на глава шеста от ЗК относно концесии по ЗК:</w:t>
      </w:r>
    </w:p>
    <w:p w14:paraId="4DE4AF1B" w14:textId="77777777" w:rsidR="00BB1857" w:rsidRPr="002502BA" w:rsidRDefault="00BB1857" w:rsidP="004823C1">
      <w:pPr>
        <w:widowControl w:val="0"/>
        <w:shd w:val="clear" w:color="auto" w:fill="FFFFFF" w:themeFill="background1"/>
        <w:autoSpaceDE w:val="0"/>
        <w:autoSpaceDN w:val="0"/>
        <w:adjustRightInd w:val="0"/>
        <w:ind w:left="426"/>
        <w:jc w:val="both"/>
        <w:rPr>
          <w:rFonts w:eastAsia="Batang"/>
          <w:bCs/>
          <w:iCs/>
          <w:sz w:val="22"/>
          <w:szCs w:val="22"/>
        </w:rPr>
      </w:pPr>
      <w:r w:rsidRPr="002502BA">
        <w:rPr>
          <w:rFonts w:eastAsia="Batang"/>
          <w:bCs/>
          <w:iCs/>
          <w:sz w:val="22"/>
          <w:szCs w:val="22"/>
        </w:rPr>
        <w:t>За отчетния период ДСРКК е извършила следните дейности:</w:t>
      </w:r>
    </w:p>
    <w:p w14:paraId="591E7187" w14:textId="56FE8E9E" w:rsidR="00BB1857" w:rsidRPr="002502BA" w:rsidRDefault="00BB1857" w:rsidP="004823C1">
      <w:pPr>
        <w:widowControl w:val="0"/>
        <w:shd w:val="clear" w:color="auto" w:fill="FFFFFF" w:themeFill="background1"/>
        <w:autoSpaceDE w:val="0"/>
        <w:autoSpaceDN w:val="0"/>
        <w:adjustRightInd w:val="0"/>
        <w:ind w:firstLine="426"/>
        <w:jc w:val="both"/>
        <w:rPr>
          <w:rFonts w:eastAsia="Batang"/>
          <w:bCs/>
          <w:iCs/>
          <w:sz w:val="22"/>
          <w:szCs w:val="22"/>
        </w:rPr>
      </w:pPr>
      <w:r w:rsidRPr="002502BA">
        <w:rPr>
          <w:rFonts w:eastAsia="Batang"/>
          <w:bCs/>
          <w:iCs/>
          <w:sz w:val="22"/>
          <w:szCs w:val="22"/>
        </w:rPr>
        <w:t xml:space="preserve">Текущо установяване на постановените решения и определения на КЗК и ВАС. За отчетния период е установено 1 производство пред КЗК и 1 производство пред ВАС. Към 30.06.2025 г. установеното производство пред КЗК е приключило с Решение № 186/20.02.2025 г. на КЗК </w:t>
      </w:r>
      <w:r w:rsidR="002502BA">
        <w:rPr>
          <w:rFonts w:eastAsia="Batang"/>
          <w:bCs/>
          <w:iCs/>
          <w:sz w:val="22"/>
          <w:szCs w:val="22"/>
        </w:rPr>
        <w:t>по</w:t>
      </w:r>
      <w:r w:rsidRPr="002502BA">
        <w:rPr>
          <w:rFonts w:eastAsia="Batang"/>
          <w:bCs/>
          <w:iCs/>
          <w:sz w:val="22"/>
          <w:szCs w:val="22"/>
        </w:rPr>
        <w:t xml:space="preserve"> преписка № KЗK-1130/2024 г., с което КЗК отменя като незаконосъобразно Решение № 805 на Министерския съвет от 22.11.2024 г. за определяне на концесионер на морски плаж „Атанасовска коса“ </w:t>
      </w:r>
      <w:r w:rsidR="002502BA">
        <w:rPr>
          <w:rFonts w:eastAsia="Batang"/>
          <w:bCs/>
          <w:iCs/>
          <w:sz w:val="22"/>
          <w:szCs w:val="22"/>
        </w:rPr>
        <w:t xml:space="preserve">– </w:t>
      </w:r>
      <w:r w:rsidRPr="002502BA">
        <w:rPr>
          <w:rFonts w:eastAsia="Batang"/>
          <w:bCs/>
          <w:iCs/>
          <w:sz w:val="22"/>
          <w:szCs w:val="22"/>
        </w:rPr>
        <w:t xml:space="preserve">част 1, община Бургас, област Бургас (обн., ДВ, бр. 101 от 2024 г.) и връща преписката на концедента за продължаване на процедурата съобразно мотивите, изложени в обжалваното решение. Решението на КЗК е обжалвано в законоустановения срок пред ВАС с касационна жалба от Министерския съвет чрез процесуални представители от ДСРКК и е образувано </w:t>
      </w:r>
      <w:proofErr w:type="spellStart"/>
      <w:r w:rsidRPr="002502BA">
        <w:rPr>
          <w:rFonts w:eastAsia="Batang"/>
          <w:bCs/>
          <w:iCs/>
          <w:sz w:val="22"/>
          <w:szCs w:val="22"/>
        </w:rPr>
        <w:t>а.д</w:t>
      </w:r>
      <w:proofErr w:type="spellEnd"/>
      <w:r w:rsidRPr="002502BA">
        <w:rPr>
          <w:rFonts w:eastAsia="Batang"/>
          <w:bCs/>
          <w:iCs/>
          <w:sz w:val="22"/>
          <w:szCs w:val="22"/>
        </w:rPr>
        <w:t>. № 3098/2025 г. пред ВАС, което към крайната дата на отчетния период е обявено за решаване.</w:t>
      </w:r>
    </w:p>
    <w:p w14:paraId="7FF63642" w14:textId="77777777" w:rsidR="00BB1857" w:rsidRPr="00DC7828" w:rsidRDefault="00BB1857"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DC7828">
        <w:rPr>
          <w:rFonts w:eastAsia="Batang"/>
          <w:b/>
          <w:bCs/>
          <w:sz w:val="22"/>
          <w:szCs w:val="22"/>
          <w:lang w:eastAsia="ko-KR"/>
        </w:rPr>
        <w:t>Извършване на предварителен контрол за спазване на изискванията за възлагане на концесии над европейския праг:</w:t>
      </w:r>
    </w:p>
    <w:p w14:paraId="238C8999" w14:textId="77777777" w:rsidR="00BB1857" w:rsidRPr="002502BA" w:rsidRDefault="00BB1857" w:rsidP="004823C1">
      <w:pPr>
        <w:widowControl w:val="0"/>
        <w:shd w:val="clear" w:color="auto" w:fill="FFFFFF" w:themeFill="background1"/>
        <w:autoSpaceDE w:val="0"/>
        <w:autoSpaceDN w:val="0"/>
        <w:adjustRightInd w:val="0"/>
        <w:ind w:left="426"/>
        <w:jc w:val="both"/>
        <w:rPr>
          <w:rFonts w:eastAsia="Batang"/>
          <w:bCs/>
          <w:iCs/>
          <w:sz w:val="22"/>
          <w:szCs w:val="22"/>
        </w:rPr>
      </w:pPr>
      <w:r w:rsidRPr="002502BA">
        <w:rPr>
          <w:rFonts w:eastAsia="Batang"/>
          <w:bCs/>
          <w:iCs/>
          <w:sz w:val="22"/>
          <w:szCs w:val="22"/>
        </w:rPr>
        <w:t>За отчетния период ДСРКК е извършила следните дейности:</w:t>
      </w:r>
    </w:p>
    <w:p w14:paraId="618783BA" w14:textId="77777777" w:rsidR="00BB1857" w:rsidRPr="00C741A0" w:rsidRDefault="00BB1857" w:rsidP="004823C1">
      <w:pPr>
        <w:numPr>
          <w:ilvl w:val="0"/>
          <w:numId w:val="18"/>
        </w:numPr>
        <w:shd w:val="clear" w:color="auto" w:fill="FFFFFF" w:themeFill="background1"/>
        <w:tabs>
          <w:tab w:val="num" w:pos="0"/>
          <w:tab w:val="left" w:pos="709"/>
        </w:tabs>
        <w:ind w:left="0" w:firstLine="426"/>
        <w:jc w:val="both"/>
        <w:rPr>
          <w:bCs/>
          <w:sz w:val="22"/>
          <w:szCs w:val="22"/>
          <w:lang w:eastAsia="ko-KR"/>
        </w:rPr>
      </w:pPr>
      <w:r w:rsidRPr="00C741A0">
        <w:rPr>
          <w:bCs/>
          <w:sz w:val="22"/>
          <w:szCs w:val="22"/>
          <w:lang w:eastAsia="ko-KR"/>
        </w:rPr>
        <w:t>Изготвена е обобщена информация относно извършения от ДСРКК предварителен контрол през 2024 г. и същата е публикувана в „информационния раздел“, подраздел „Мониторинг“, в НКР;</w:t>
      </w:r>
    </w:p>
    <w:p w14:paraId="26D56BE9" w14:textId="77777777" w:rsidR="00BB1857" w:rsidRPr="00C741A0" w:rsidRDefault="00BB1857" w:rsidP="004823C1">
      <w:pPr>
        <w:numPr>
          <w:ilvl w:val="0"/>
          <w:numId w:val="18"/>
        </w:numPr>
        <w:shd w:val="clear" w:color="auto" w:fill="FFFFFF" w:themeFill="background1"/>
        <w:tabs>
          <w:tab w:val="num" w:pos="0"/>
          <w:tab w:val="left" w:pos="709"/>
        </w:tabs>
        <w:ind w:left="0" w:firstLine="426"/>
        <w:jc w:val="both"/>
        <w:rPr>
          <w:bCs/>
          <w:sz w:val="22"/>
          <w:szCs w:val="22"/>
          <w:lang w:eastAsia="ko-KR"/>
        </w:rPr>
      </w:pPr>
      <w:r w:rsidRPr="00C741A0">
        <w:rPr>
          <w:bCs/>
          <w:sz w:val="22"/>
          <w:szCs w:val="22"/>
          <w:lang w:eastAsia="ko-KR"/>
        </w:rPr>
        <w:t>Изготвени са становища за резултатите от извършения предварителен контрол по проекти на решения за отправяне или приемане на предложение за изменение на концесионен договор преди одобрението им от Министерския съвет за:</w:t>
      </w:r>
    </w:p>
    <w:p w14:paraId="6EF04F0F" w14:textId="0C844222" w:rsidR="00F91FED" w:rsidRPr="00F91FED" w:rsidRDefault="00BB1857" w:rsidP="004823C1">
      <w:pPr>
        <w:pStyle w:val="ListParagraph"/>
        <w:numPr>
          <w:ilvl w:val="0"/>
          <w:numId w:val="25"/>
        </w:numPr>
        <w:shd w:val="clear" w:color="auto" w:fill="FFFFFF" w:themeFill="background1"/>
        <w:ind w:left="426" w:firstLine="0"/>
        <w:jc w:val="both"/>
        <w:rPr>
          <w:sz w:val="22"/>
          <w:szCs w:val="22"/>
        </w:rPr>
      </w:pPr>
      <w:r w:rsidRPr="00F91FED">
        <w:rPr>
          <w:sz w:val="22"/>
          <w:szCs w:val="22"/>
        </w:rPr>
        <w:lastRenderedPageBreak/>
        <w:t>Проект на решение на Министерския съвет за приемане на отправено от концесионера „БМФ Порт Бургас” АД мотивирано предложение за изменение на Договора за предоставяне на концесия върху „Пристанищен терминал Бургас-Изток-2”, част от пристанище за обществен транспорт с национално значение Бургас, сключен между Министерския съвет на Република България и „БМФ Порт Бургас“ ЕАД на 08.09.2011 г., изменен с допълни</w:t>
      </w:r>
      <w:r w:rsidR="007A0BBD" w:rsidRPr="00F91FED">
        <w:rPr>
          <w:sz w:val="22"/>
          <w:szCs w:val="22"/>
        </w:rPr>
        <w:t xml:space="preserve">телни споразумения от </w:t>
      </w:r>
      <w:r w:rsidR="00F91FED" w:rsidRPr="00F91FED">
        <w:rPr>
          <w:sz w:val="22"/>
          <w:szCs w:val="22"/>
        </w:rPr>
        <w:t>20 януари 2012 г., 16 януари 2013 г., 28 февруари 2014 г., 20 март 2014 г., 19 юни 2019 г., 15 юни 2020 г., 22 януари 2021 г., 05 юни и 04 август 2023 г. и 11 ноември 2024 г.;</w:t>
      </w:r>
    </w:p>
    <w:p w14:paraId="7B1A4A14" w14:textId="79304D26" w:rsidR="006F64E0" w:rsidRPr="006F64E0" w:rsidRDefault="00BB1857" w:rsidP="004823C1">
      <w:pPr>
        <w:pStyle w:val="ListParagraph"/>
        <w:numPr>
          <w:ilvl w:val="0"/>
          <w:numId w:val="25"/>
        </w:numPr>
        <w:shd w:val="clear" w:color="auto" w:fill="FFFFFF" w:themeFill="background1"/>
        <w:ind w:left="426" w:firstLine="0"/>
        <w:jc w:val="both"/>
        <w:rPr>
          <w:sz w:val="22"/>
          <w:szCs w:val="22"/>
        </w:rPr>
      </w:pPr>
      <w:r w:rsidRPr="006F64E0">
        <w:rPr>
          <w:sz w:val="22"/>
          <w:szCs w:val="22"/>
        </w:rPr>
        <w:t>Проект на решение на Министерския съвет за приемане на отправено от концесионера „БМФ Порт Бургас” АД мотивирано предложение за изменение на Договора за предоставяне на концесия върху „Пристанищен терминал Бургас</w:t>
      </w:r>
      <w:r w:rsidR="007A0BBD" w:rsidRPr="006F64E0">
        <w:rPr>
          <w:sz w:val="22"/>
          <w:szCs w:val="22"/>
        </w:rPr>
        <w:t>-</w:t>
      </w:r>
      <w:r w:rsidRPr="006F64E0">
        <w:rPr>
          <w:sz w:val="22"/>
          <w:szCs w:val="22"/>
        </w:rPr>
        <w:t>запад”, част от пристанище за обществен транспорт с национално значение Бургас, сключен на 08.09.2011 г. между Министерския съвет на Република България и „БМФ Порт Бургас“ ЕАД, изменен с допълнит</w:t>
      </w:r>
      <w:r w:rsidR="007A0BBD" w:rsidRPr="006F64E0">
        <w:rPr>
          <w:sz w:val="22"/>
          <w:szCs w:val="22"/>
        </w:rPr>
        <w:t xml:space="preserve">елни споразумения от </w:t>
      </w:r>
      <w:r w:rsidR="006F64E0" w:rsidRPr="008C40BE">
        <w:rPr>
          <w:sz w:val="22"/>
          <w:szCs w:val="22"/>
        </w:rPr>
        <w:br/>
      </w:r>
      <w:r w:rsidR="006F64E0" w:rsidRPr="006F64E0">
        <w:rPr>
          <w:sz w:val="22"/>
          <w:szCs w:val="22"/>
        </w:rPr>
        <w:t>28 февруари и 1 септември 2014 г., 1 април и 17 юни 2015 г., 9 март, 19 май и 14 юни 2016 г., 19 юни 2019 г., 15 юни 2020 г., 1 април 2021 г., 5 юни, 4 август и 19 октомври 2023 г. и 3 април, 31 октомври и 11 ноември 2024 г.</w:t>
      </w:r>
    </w:p>
    <w:p w14:paraId="2C1BD011" w14:textId="77777777" w:rsidR="00BB1857" w:rsidRPr="006572D5" w:rsidRDefault="00BB1857"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6572D5">
        <w:rPr>
          <w:rFonts w:eastAsia="Batang"/>
          <w:b/>
          <w:bCs/>
          <w:sz w:val="22"/>
          <w:szCs w:val="22"/>
          <w:lang w:eastAsia="ko-KR"/>
        </w:rPr>
        <w:t>Изготвяне на Годишен доклад за състоянието на концесиите за 2023 г.:</w:t>
      </w:r>
    </w:p>
    <w:p w14:paraId="4209F3EB" w14:textId="77777777" w:rsidR="00BB1857" w:rsidRPr="00CA684C" w:rsidRDefault="00BB1857" w:rsidP="004823C1">
      <w:pPr>
        <w:widowControl w:val="0"/>
        <w:shd w:val="clear" w:color="auto" w:fill="FFFFFF" w:themeFill="background1"/>
        <w:autoSpaceDE w:val="0"/>
        <w:autoSpaceDN w:val="0"/>
        <w:adjustRightInd w:val="0"/>
        <w:ind w:left="426"/>
        <w:jc w:val="both"/>
        <w:rPr>
          <w:rFonts w:eastAsia="Batang"/>
          <w:bCs/>
          <w:iCs/>
          <w:sz w:val="22"/>
          <w:szCs w:val="22"/>
        </w:rPr>
      </w:pPr>
      <w:r w:rsidRPr="00CA684C">
        <w:rPr>
          <w:rFonts w:eastAsia="Batang"/>
          <w:bCs/>
          <w:iCs/>
          <w:sz w:val="22"/>
          <w:szCs w:val="22"/>
        </w:rPr>
        <w:t>За отчетния период ДСРКК е извършила следните дейности:</w:t>
      </w:r>
    </w:p>
    <w:p w14:paraId="12DF4CC0" w14:textId="77777777" w:rsidR="00BB1857" w:rsidRPr="00CA684C" w:rsidRDefault="00BB1857" w:rsidP="004823C1">
      <w:pPr>
        <w:numPr>
          <w:ilvl w:val="0"/>
          <w:numId w:val="19"/>
        </w:numPr>
        <w:shd w:val="clear" w:color="auto" w:fill="FFFFFF" w:themeFill="background1"/>
        <w:tabs>
          <w:tab w:val="left" w:pos="709"/>
          <w:tab w:val="num" w:pos="993"/>
        </w:tabs>
        <w:ind w:left="0" w:firstLine="426"/>
        <w:jc w:val="both"/>
        <w:rPr>
          <w:sz w:val="22"/>
          <w:szCs w:val="22"/>
        </w:rPr>
      </w:pPr>
      <w:r w:rsidRPr="00CA684C">
        <w:rPr>
          <w:sz w:val="22"/>
          <w:szCs w:val="22"/>
        </w:rPr>
        <w:t>Изготвен е въпросник до министри и кметове на общини във връзка с извършения от тях мониторинг и контрол на изпълнението на концесионни договори през 2023 г.;</w:t>
      </w:r>
    </w:p>
    <w:p w14:paraId="1B901514" w14:textId="77777777" w:rsidR="00BB1857" w:rsidRPr="00CA684C" w:rsidRDefault="00BB1857" w:rsidP="004823C1">
      <w:pPr>
        <w:numPr>
          <w:ilvl w:val="0"/>
          <w:numId w:val="19"/>
        </w:numPr>
        <w:shd w:val="clear" w:color="auto" w:fill="FFFFFF" w:themeFill="background1"/>
        <w:tabs>
          <w:tab w:val="left" w:pos="709"/>
          <w:tab w:val="num" w:pos="993"/>
        </w:tabs>
        <w:ind w:left="0" w:firstLine="426"/>
        <w:jc w:val="both"/>
        <w:rPr>
          <w:sz w:val="22"/>
          <w:szCs w:val="22"/>
        </w:rPr>
      </w:pPr>
      <w:r w:rsidRPr="00CA684C">
        <w:rPr>
          <w:sz w:val="22"/>
          <w:szCs w:val="22"/>
        </w:rPr>
        <w:t>Изпратени са писма до министри и кметове на общини с искане и указания за попълване на въпросника;</w:t>
      </w:r>
    </w:p>
    <w:p w14:paraId="01856401" w14:textId="77777777" w:rsidR="00BB1857" w:rsidRPr="00CA684C" w:rsidRDefault="00BB1857" w:rsidP="004823C1">
      <w:pPr>
        <w:numPr>
          <w:ilvl w:val="0"/>
          <w:numId w:val="19"/>
        </w:numPr>
        <w:shd w:val="clear" w:color="auto" w:fill="FFFFFF" w:themeFill="background1"/>
        <w:tabs>
          <w:tab w:val="left" w:pos="709"/>
          <w:tab w:val="num" w:pos="993"/>
        </w:tabs>
        <w:ind w:left="0" w:firstLine="426"/>
        <w:jc w:val="both"/>
        <w:rPr>
          <w:sz w:val="22"/>
          <w:szCs w:val="22"/>
        </w:rPr>
      </w:pPr>
      <w:r w:rsidRPr="00CA684C">
        <w:rPr>
          <w:sz w:val="22"/>
          <w:szCs w:val="22"/>
        </w:rPr>
        <w:t>Събрана и обобщена е получената информация от общо 3-ма министри и 90 кмета на общини във връзка с извършения от тях мониторинг и контрол на изпълнението на концесионни договори през 2022 г.;</w:t>
      </w:r>
    </w:p>
    <w:p w14:paraId="755A35A1" w14:textId="77777777" w:rsidR="00BB1857" w:rsidRPr="00CA684C" w:rsidRDefault="00BB1857" w:rsidP="004823C1">
      <w:pPr>
        <w:numPr>
          <w:ilvl w:val="0"/>
          <w:numId w:val="19"/>
        </w:numPr>
        <w:shd w:val="clear" w:color="auto" w:fill="FFFFFF" w:themeFill="background1"/>
        <w:tabs>
          <w:tab w:val="left" w:pos="709"/>
          <w:tab w:val="num" w:pos="993"/>
        </w:tabs>
        <w:ind w:left="0" w:firstLine="426"/>
        <w:jc w:val="both"/>
        <w:rPr>
          <w:sz w:val="22"/>
          <w:szCs w:val="22"/>
        </w:rPr>
      </w:pPr>
      <w:r w:rsidRPr="00CA684C">
        <w:rPr>
          <w:sz w:val="22"/>
          <w:szCs w:val="22"/>
        </w:rPr>
        <w:t xml:space="preserve">Обобщена е наличната в дирекцията информация относно: </w:t>
      </w:r>
    </w:p>
    <w:p w14:paraId="20C85555" w14:textId="77777777" w:rsidR="00BB1857" w:rsidRPr="00CA684C" w:rsidRDefault="00BB1857" w:rsidP="004823C1">
      <w:pPr>
        <w:pStyle w:val="ListParagraph"/>
        <w:numPr>
          <w:ilvl w:val="0"/>
          <w:numId w:val="25"/>
        </w:numPr>
        <w:shd w:val="clear" w:color="auto" w:fill="FFFFFF" w:themeFill="background1"/>
        <w:ind w:left="709" w:hanging="283"/>
        <w:jc w:val="both"/>
        <w:rPr>
          <w:sz w:val="22"/>
          <w:szCs w:val="22"/>
        </w:rPr>
      </w:pPr>
      <w:r w:rsidRPr="00CA684C">
        <w:rPr>
          <w:sz w:val="22"/>
          <w:szCs w:val="22"/>
        </w:rPr>
        <w:t>Извършения от страна на дирекцията предварителен контрол на основание чл. 41, т. 5, б. „а“ от ЗК през 2023 г.;</w:t>
      </w:r>
    </w:p>
    <w:p w14:paraId="407E55DA" w14:textId="77777777" w:rsidR="00BB1857" w:rsidRPr="00CA684C" w:rsidRDefault="00BB1857" w:rsidP="004823C1">
      <w:pPr>
        <w:pStyle w:val="ListParagraph"/>
        <w:numPr>
          <w:ilvl w:val="0"/>
          <w:numId w:val="25"/>
        </w:numPr>
        <w:shd w:val="clear" w:color="auto" w:fill="FFFFFF" w:themeFill="background1"/>
        <w:ind w:left="709" w:hanging="283"/>
        <w:jc w:val="both"/>
        <w:rPr>
          <w:sz w:val="22"/>
          <w:szCs w:val="22"/>
        </w:rPr>
      </w:pPr>
      <w:r w:rsidRPr="00CA684C">
        <w:rPr>
          <w:sz w:val="22"/>
          <w:szCs w:val="22"/>
        </w:rPr>
        <w:t>Извършения от страна на дирекцията предварителен контрол на основание чл. 41, т. 5, б. „в“ от ЗК през 2023 г.;</w:t>
      </w:r>
    </w:p>
    <w:p w14:paraId="49B059F8" w14:textId="2544C837" w:rsidR="00BB1857" w:rsidRPr="00CA684C" w:rsidRDefault="00BB1857" w:rsidP="004823C1">
      <w:pPr>
        <w:pStyle w:val="ListParagraph"/>
        <w:numPr>
          <w:ilvl w:val="0"/>
          <w:numId w:val="25"/>
        </w:numPr>
        <w:shd w:val="clear" w:color="auto" w:fill="FFFFFF" w:themeFill="background1"/>
        <w:ind w:left="709" w:hanging="283"/>
        <w:jc w:val="both"/>
        <w:rPr>
          <w:sz w:val="22"/>
          <w:szCs w:val="22"/>
        </w:rPr>
      </w:pPr>
      <w:r w:rsidRPr="00CA684C">
        <w:rPr>
          <w:sz w:val="22"/>
          <w:szCs w:val="22"/>
        </w:rPr>
        <w:t>Изготвените от страна на дирекцията методически указания по прилагане н</w:t>
      </w:r>
      <w:r w:rsidR="0069300C">
        <w:rPr>
          <w:sz w:val="22"/>
          <w:szCs w:val="22"/>
        </w:rPr>
        <w:t xml:space="preserve">а ЗК на основание чл. 41, т. 9 </w:t>
      </w:r>
      <w:r w:rsidRPr="00CA684C">
        <w:rPr>
          <w:sz w:val="22"/>
          <w:szCs w:val="22"/>
        </w:rPr>
        <w:t>от ЗК през 2023 г.;</w:t>
      </w:r>
    </w:p>
    <w:p w14:paraId="0D786DC4" w14:textId="77777777" w:rsidR="00BB1857" w:rsidRPr="00CA684C" w:rsidRDefault="00BB1857" w:rsidP="004823C1">
      <w:pPr>
        <w:pStyle w:val="ListParagraph"/>
        <w:numPr>
          <w:ilvl w:val="0"/>
          <w:numId w:val="25"/>
        </w:numPr>
        <w:shd w:val="clear" w:color="auto" w:fill="FFFFFF" w:themeFill="background1"/>
        <w:ind w:left="709" w:hanging="283"/>
        <w:jc w:val="both"/>
        <w:rPr>
          <w:sz w:val="22"/>
          <w:szCs w:val="22"/>
        </w:rPr>
      </w:pPr>
      <w:r w:rsidRPr="00CA684C">
        <w:rPr>
          <w:sz w:val="22"/>
          <w:szCs w:val="22"/>
        </w:rPr>
        <w:t>Публикуваната през 2023 г. информация в НКР относно откритите процедури за определяне на концесионер;</w:t>
      </w:r>
    </w:p>
    <w:p w14:paraId="6017B68B" w14:textId="77777777" w:rsidR="00BB1857" w:rsidRPr="00CA684C" w:rsidRDefault="00BB1857" w:rsidP="004823C1">
      <w:pPr>
        <w:pStyle w:val="ListParagraph"/>
        <w:numPr>
          <w:ilvl w:val="0"/>
          <w:numId w:val="25"/>
        </w:numPr>
        <w:shd w:val="clear" w:color="auto" w:fill="FFFFFF" w:themeFill="background1"/>
        <w:ind w:left="709" w:hanging="283"/>
        <w:jc w:val="both"/>
        <w:rPr>
          <w:sz w:val="22"/>
          <w:szCs w:val="22"/>
        </w:rPr>
      </w:pPr>
      <w:r w:rsidRPr="00CA684C">
        <w:rPr>
          <w:sz w:val="22"/>
          <w:szCs w:val="22"/>
        </w:rPr>
        <w:t>Публикуваната през 2023 г. информация в НКР свързана със сключените концесионни договори за концесии.</w:t>
      </w:r>
    </w:p>
    <w:p w14:paraId="08C2D122" w14:textId="77777777" w:rsidR="00BB1857" w:rsidRPr="00CA684C" w:rsidRDefault="00BB1857" w:rsidP="004823C1">
      <w:pPr>
        <w:numPr>
          <w:ilvl w:val="0"/>
          <w:numId w:val="19"/>
        </w:numPr>
        <w:shd w:val="clear" w:color="auto" w:fill="FFFFFF" w:themeFill="background1"/>
        <w:tabs>
          <w:tab w:val="left" w:pos="709"/>
          <w:tab w:val="num" w:pos="993"/>
        </w:tabs>
        <w:ind w:left="426" w:firstLine="0"/>
        <w:jc w:val="both"/>
        <w:rPr>
          <w:sz w:val="22"/>
          <w:szCs w:val="22"/>
        </w:rPr>
      </w:pPr>
      <w:r w:rsidRPr="00CA684C">
        <w:rPr>
          <w:sz w:val="22"/>
          <w:szCs w:val="22"/>
        </w:rPr>
        <w:t>Изготвен е проект на Годишен доклад за състоянието на концесиите за 2023 г.</w:t>
      </w:r>
    </w:p>
    <w:p w14:paraId="34DDC8A3" w14:textId="77777777" w:rsidR="00BB1857" w:rsidRPr="008C6679" w:rsidRDefault="00BB1857"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8C6679">
        <w:rPr>
          <w:rFonts w:eastAsia="Batang"/>
          <w:b/>
          <w:bCs/>
          <w:sz w:val="22"/>
          <w:szCs w:val="22"/>
          <w:lang w:eastAsia="ko-KR"/>
        </w:rPr>
        <w:t>Осигуряване експертно и технически работата на Координационния съвет по концесиите (КСК):</w:t>
      </w:r>
    </w:p>
    <w:p w14:paraId="3B66F366" w14:textId="77777777" w:rsidR="00BB1857" w:rsidRPr="0069300C" w:rsidRDefault="00BB1857" w:rsidP="004823C1">
      <w:pPr>
        <w:widowControl w:val="0"/>
        <w:shd w:val="clear" w:color="auto" w:fill="FFFFFF" w:themeFill="background1"/>
        <w:autoSpaceDE w:val="0"/>
        <w:autoSpaceDN w:val="0"/>
        <w:adjustRightInd w:val="0"/>
        <w:ind w:left="426"/>
        <w:jc w:val="both"/>
        <w:rPr>
          <w:rFonts w:eastAsia="Batang"/>
          <w:bCs/>
          <w:iCs/>
          <w:sz w:val="22"/>
          <w:szCs w:val="22"/>
        </w:rPr>
      </w:pPr>
      <w:r w:rsidRPr="0069300C">
        <w:rPr>
          <w:rFonts w:eastAsia="Batang"/>
          <w:bCs/>
          <w:iCs/>
          <w:sz w:val="22"/>
          <w:szCs w:val="22"/>
        </w:rPr>
        <w:t>За отчетния период ДСРКК е извършила следните дейности:</w:t>
      </w:r>
    </w:p>
    <w:p w14:paraId="77947641" w14:textId="77777777" w:rsidR="00BB1857" w:rsidRPr="0069300C" w:rsidRDefault="00BB1857" w:rsidP="004823C1">
      <w:pPr>
        <w:numPr>
          <w:ilvl w:val="0"/>
          <w:numId w:val="30"/>
        </w:numPr>
        <w:shd w:val="clear" w:color="auto" w:fill="FFFFFF" w:themeFill="background1"/>
        <w:tabs>
          <w:tab w:val="left" w:pos="709"/>
          <w:tab w:val="left" w:pos="993"/>
        </w:tabs>
        <w:ind w:left="357" w:firstLine="69"/>
        <w:jc w:val="both"/>
        <w:rPr>
          <w:rFonts w:eastAsia="Calibri"/>
          <w:sz w:val="22"/>
          <w:szCs w:val="22"/>
        </w:rPr>
      </w:pPr>
      <w:r w:rsidRPr="0069300C">
        <w:rPr>
          <w:rFonts w:eastAsia="Calibri"/>
          <w:sz w:val="22"/>
          <w:szCs w:val="22"/>
        </w:rPr>
        <w:t>Дейности по конституиране на КСК:</w:t>
      </w:r>
    </w:p>
    <w:p w14:paraId="15899287" w14:textId="0BCB624C" w:rsidR="00BB1857" w:rsidRPr="0069300C" w:rsidRDefault="00BB1857" w:rsidP="004823C1">
      <w:pPr>
        <w:pStyle w:val="ListParagraph"/>
        <w:numPr>
          <w:ilvl w:val="0"/>
          <w:numId w:val="25"/>
        </w:numPr>
        <w:shd w:val="clear" w:color="auto" w:fill="FFFFFF" w:themeFill="background1"/>
        <w:ind w:left="709" w:hanging="283"/>
        <w:jc w:val="both"/>
        <w:rPr>
          <w:sz w:val="22"/>
          <w:szCs w:val="22"/>
        </w:rPr>
      </w:pPr>
      <w:r w:rsidRPr="0069300C">
        <w:rPr>
          <w:sz w:val="22"/>
          <w:szCs w:val="22"/>
        </w:rPr>
        <w:t>Изготвено е писмо от името на главния секретар на МС до министрите за номиниране на заместник-министри, които да бъдат определени за членове на КСК</w:t>
      </w:r>
      <w:r w:rsidR="0069300C">
        <w:rPr>
          <w:sz w:val="22"/>
          <w:szCs w:val="22"/>
        </w:rPr>
        <w:t xml:space="preserve">. Писмото е изпратено на </w:t>
      </w:r>
      <w:r w:rsidR="0069300C">
        <w:rPr>
          <w:sz w:val="22"/>
          <w:szCs w:val="22"/>
          <w:lang w:val="bg-BG"/>
        </w:rPr>
        <w:t>0</w:t>
      </w:r>
      <w:r w:rsidR="0069300C">
        <w:rPr>
          <w:sz w:val="22"/>
          <w:szCs w:val="22"/>
        </w:rPr>
        <w:t>5</w:t>
      </w:r>
      <w:r w:rsidR="0069300C">
        <w:rPr>
          <w:sz w:val="22"/>
          <w:szCs w:val="22"/>
          <w:lang w:val="bg-BG"/>
        </w:rPr>
        <w:t>.03.</w:t>
      </w:r>
      <w:r w:rsidRPr="0069300C">
        <w:rPr>
          <w:sz w:val="22"/>
          <w:szCs w:val="22"/>
        </w:rPr>
        <w:t>2025 г.;</w:t>
      </w:r>
    </w:p>
    <w:p w14:paraId="59C702B5" w14:textId="6E428118" w:rsidR="00BB1857" w:rsidRPr="0069300C" w:rsidRDefault="00BB1857" w:rsidP="004823C1">
      <w:pPr>
        <w:pStyle w:val="ListParagraph"/>
        <w:numPr>
          <w:ilvl w:val="0"/>
          <w:numId w:val="25"/>
        </w:numPr>
        <w:shd w:val="clear" w:color="auto" w:fill="FFFFFF" w:themeFill="background1"/>
        <w:ind w:left="709" w:hanging="283"/>
        <w:jc w:val="both"/>
        <w:rPr>
          <w:sz w:val="22"/>
          <w:szCs w:val="22"/>
        </w:rPr>
      </w:pPr>
      <w:r w:rsidRPr="0069300C">
        <w:rPr>
          <w:sz w:val="22"/>
          <w:szCs w:val="22"/>
        </w:rPr>
        <w:t>Изготвена е докладна записка до главния секретар на МС, с която е предложен проект на заповед на министър-председателя по чл. 38, ал. 3 от Закона за концесиите за определяне на поименния състав на Координационния съвет по концесиите. Издадена е Заповед № Р-59 на м</w:t>
      </w:r>
      <w:r w:rsidR="0069300C">
        <w:rPr>
          <w:sz w:val="22"/>
          <w:szCs w:val="22"/>
        </w:rPr>
        <w:t>инистър-председателя от 14</w:t>
      </w:r>
      <w:r w:rsidR="0069300C">
        <w:rPr>
          <w:sz w:val="22"/>
          <w:szCs w:val="22"/>
          <w:lang w:val="bg-BG"/>
        </w:rPr>
        <w:t>.03.</w:t>
      </w:r>
      <w:r w:rsidRPr="0069300C">
        <w:rPr>
          <w:sz w:val="22"/>
          <w:szCs w:val="22"/>
        </w:rPr>
        <w:t>2025 г.</w:t>
      </w:r>
    </w:p>
    <w:p w14:paraId="42BFC666" w14:textId="0C83670E" w:rsidR="00BB1857" w:rsidRPr="0069300C" w:rsidRDefault="00BB1857" w:rsidP="004823C1">
      <w:pPr>
        <w:numPr>
          <w:ilvl w:val="0"/>
          <w:numId w:val="30"/>
        </w:numPr>
        <w:shd w:val="clear" w:color="auto" w:fill="FFFFFF" w:themeFill="background1"/>
        <w:tabs>
          <w:tab w:val="left" w:pos="709"/>
          <w:tab w:val="left" w:pos="993"/>
        </w:tabs>
        <w:ind w:left="357" w:firstLine="69"/>
        <w:jc w:val="both"/>
        <w:rPr>
          <w:rFonts w:eastAsia="Calibri"/>
          <w:sz w:val="22"/>
          <w:szCs w:val="22"/>
        </w:rPr>
      </w:pPr>
      <w:r w:rsidRPr="0069300C">
        <w:rPr>
          <w:rFonts w:eastAsia="Calibri"/>
          <w:sz w:val="22"/>
          <w:szCs w:val="22"/>
        </w:rPr>
        <w:t>Орган</w:t>
      </w:r>
      <w:r w:rsidR="0069300C">
        <w:rPr>
          <w:rFonts w:eastAsia="Calibri"/>
          <w:sz w:val="22"/>
          <w:szCs w:val="22"/>
        </w:rPr>
        <w:t>изирано е провеждането на 07.05.</w:t>
      </w:r>
      <w:r w:rsidRPr="0069300C">
        <w:rPr>
          <w:rFonts w:eastAsia="Calibri"/>
          <w:sz w:val="22"/>
          <w:szCs w:val="22"/>
        </w:rPr>
        <w:t>2025 г. на първо заседание на КСК, в т.ч.:</w:t>
      </w:r>
    </w:p>
    <w:p w14:paraId="522B1F6E" w14:textId="77777777" w:rsidR="00BB1857" w:rsidRPr="0069300C" w:rsidRDefault="00BB1857" w:rsidP="004823C1">
      <w:pPr>
        <w:pStyle w:val="ListParagraph"/>
        <w:numPr>
          <w:ilvl w:val="0"/>
          <w:numId w:val="25"/>
        </w:numPr>
        <w:shd w:val="clear" w:color="auto" w:fill="FFFFFF" w:themeFill="background1"/>
        <w:ind w:left="709" w:hanging="283"/>
        <w:jc w:val="both"/>
        <w:rPr>
          <w:sz w:val="22"/>
          <w:szCs w:val="22"/>
        </w:rPr>
      </w:pPr>
      <w:r w:rsidRPr="0069300C">
        <w:rPr>
          <w:sz w:val="22"/>
          <w:szCs w:val="22"/>
        </w:rPr>
        <w:t>Изготвен е и е представен на председателя на съвета сценарий за провеждане на заседанието, в т.ч. кратка информация относно ЗК и функциите на КСК;</w:t>
      </w:r>
    </w:p>
    <w:p w14:paraId="5B6199C6" w14:textId="196C7095" w:rsidR="00BB1857" w:rsidRPr="0069300C" w:rsidRDefault="00BB1857" w:rsidP="004823C1">
      <w:pPr>
        <w:pStyle w:val="ListParagraph"/>
        <w:numPr>
          <w:ilvl w:val="0"/>
          <w:numId w:val="25"/>
        </w:numPr>
        <w:shd w:val="clear" w:color="auto" w:fill="FFFFFF" w:themeFill="background1"/>
        <w:ind w:left="709" w:hanging="283"/>
        <w:jc w:val="both"/>
        <w:rPr>
          <w:sz w:val="22"/>
          <w:szCs w:val="22"/>
        </w:rPr>
      </w:pPr>
      <w:r w:rsidRPr="0069300C">
        <w:rPr>
          <w:sz w:val="22"/>
          <w:szCs w:val="22"/>
        </w:rPr>
        <w:t>Изготвена и представена на заседанието, включително презентационно, информация относно възможностите за прилагане на ПЧП чрез възлагане на концесии за строителство и на концесии за услуги</w:t>
      </w:r>
      <w:r w:rsidR="0069300C">
        <w:rPr>
          <w:sz w:val="22"/>
          <w:szCs w:val="22"/>
          <w:lang w:val="bg-BG"/>
        </w:rPr>
        <w:t>;</w:t>
      </w:r>
    </w:p>
    <w:p w14:paraId="4A552077" w14:textId="77777777" w:rsidR="00BB1857" w:rsidRPr="0069300C" w:rsidRDefault="00BB1857" w:rsidP="004823C1">
      <w:pPr>
        <w:pStyle w:val="ListParagraph"/>
        <w:numPr>
          <w:ilvl w:val="0"/>
          <w:numId w:val="25"/>
        </w:numPr>
        <w:shd w:val="clear" w:color="auto" w:fill="FFFFFF" w:themeFill="background1"/>
        <w:ind w:left="709" w:hanging="283"/>
        <w:jc w:val="both"/>
        <w:rPr>
          <w:sz w:val="22"/>
          <w:szCs w:val="22"/>
        </w:rPr>
      </w:pPr>
      <w:r w:rsidRPr="0069300C">
        <w:rPr>
          <w:sz w:val="22"/>
          <w:szCs w:val="22"/>
        </w:rPr>
        <w:lastRenderedPageBreak/>
        <w:t>Изготвен и представен на заседанието проект на Правилник за организацията и дейността на Координационния съвет по концесиите;</w:t>
      </w:r>
    </w:p>
    <w:p w14:paraId="3ECB3F69" w14:textId="3B148989" w:rsidR="00BB1857" w:rsidRPr="0069300C" w:rsidRDefault="00BB1857" w:rsidP="004823C1">
      <w:pPr>
        <w:pStyle w:val="ListParagraph"/>
        <w:numPr>
          <w:ilvl w:val="0"/>
          <w:numId w:val="25"/>
        </w:numPr>
        <w:shd w:val="clear" w:color="auto" w:fill="FFFFFF" w:themeFill="background1"/>
        <w:ind w:left="709" w:hanging="283"/>
        <w:jc w:val="both"/>
        <w:rPr>
          <w:sz w:val="22"/>
          <w:szCs w:val="22"/>
        </w:rPr>
      </w:pPr>
      <w:r w:rsidRPr="0069300C">
        <w:rPr>
          <w:sz w:val="22"/>
          <w:szCs w:val="22"/>
        </w:rPr>
        <w:t>Представена на заседанието информация относно Актуализирания план за действие за държав</w:t>
      </w:r>
      <w:r w:rsidR="0069300C">
        <w:rPr>
          <w:sz w:val="22"/>
          <w:szCs w:val="22"/>
        </w:rPr>
        <w:t>ните концесии за периода 2021</w:t>
      </w:r>
      <w:r w:rsidR="0069300C">
        <w:rPr>
          <w:sz w:val="22"/>
          <w:szCs w:val="22"/>
          <w:lang w:val="bg-BG"/>
        </w:rPr>
        <w:t>-</w:t>
      </w:r>
      <w:r w:rsidRPr="0069300C">
        <w:rPr>
          <w:sz w:val="22"/>
          <w:szCs w:val="22"/>
        </w:rPr>
        <w:t>2027 г. и на реда за неговото актуализиране;</w:t>
      </w:r>
    </w:p>
    <w:p w14:paraId="164C723E" w14:textId="627C0A9B" w:rsidR="00BB1857" w:rsidRPr="0069300C" w:rsidRDefault="00BB1857" w:rsidP="004823C1">
      <w:pPr>
        <w:pStyle w:val="ListParagraph"/>
        <w:numPr>
          <w:ilvl w:val="0"/>
          <w:numId w:val="25"/>
        </w:numPr>
        <w:shd w:val="clear" w:color="auto" w:fill="FFFFFF" w:themeFill="background1"/>
        <w:ind w:left="709" w:hanging="283"/>
        <w:jc w:val="both"/>
        <w:rPr>
          <w:sz w:val="22"/>
          <w:szCs w:val="22"/>
        </w:rPr>
      </w:pPr>
      <w:r w:rsidRPr="0069300C">
        <w:rPr>
          <w:sz w:val="22"/>
          <w:szCs w:val="22"/>
        </w:rPr>
        <w:t xml:space="preserve">Изготвен е протокол от заседанието, който е утвърден от председателя на КСК на </w:t>
      </w:r>
      <w:r w:rsidR="0069300C">
        <w:rPr>
          <w:sz w:val="22"/>
          <w:szCs w:val="22"/>
        </w:rPr>
        <w:br/>
      </w:r>
      <w:r w:rsidR="0069300C">
        <w:rPr>
          <w:sz w:val="22"/>
          <w:szCs w:val="22"/>
          <w:lang w:val="bg-BG"/>
        </w:rPr>
        <w:t>0</w:t>
      </w:r>
      <w:r w:rsidRPr="0069300C">
        <w:rPr>
          <w:sz w:val="22"/>
          <w:szCs w:val="22"/>
        </w:rPr>
        <w:t>9</w:t>
      </w:r>
      <w:r w:rsidR="0069300C">
        <w:rPr>
          <w:sz w:val="22"/>
          <w:szCs w:val="22"/>
          <w:lang w:val="bg-BG"/>
        </w:rPr>
        <w:t>.05.</w:t>
      </w:r>
      <w:r w:rsidRPr="0069300C">
        <w:rPr>
          <w:sz w:val="22"/>
          <w:szCs w:val="22"/>
        </w:rPr>
        <w:t>2025 г.</w:t>
      </w:r>
    </w:p>
    <w:p w14:paraId="0DC778DD" w14:textId="17E331DF" w:rsidR="00BB1857" w:rsidRPr="0069300C" w:rsidRDefault="00BB1857" w:rsidP="004823C1">
      <w:pPr>
        <w:numPr>
          <w:ilvl w:val="0"/>
          <w:numId w:val="30"/>
        </w:numPr>
        <w:shd w:val="clear" w:color="auto" w:fill="FFFFFF" w:themeFill="background1"/>
        <w:tabs>
          <w:tab w:val="left" w:pos="709"/>
          <w:tab w:val="left" w:pos="993"/>
        </w:tabs>
        <w:ind w:left="0" w:firstLine="426"/>
        <w:jc w:val="both"/>
        <w:rPr>
          <w:rFonts w:eastAsia="Calibri"/>
          <w:sz w:val="22"/>
          <w:szCs w:val="22"/>
        </w:rPr>
      </w:pPr>
      <w:r w:rsidRPr="0069300C">
        <w:rPr>
          <w:rFonts w:eastAsia="Calibri"/>
          <w:sz w:val="22"/>
          <w:szCs w:val="22"/>
        </w:rPr>
        <w:t xml:space="preserve">За изпълнение на решенията на КСК от заседанието, проведено на </w:t>
      </w:r>
      <w:r w:rsidR="0069300C">
        <w:rPr>
          <w:rFonts w:eastAsia="Calibri"/>
          <w:sz w:val="22"/>
          <w:szCs w:val="22"/>
        </w:rPr>
        <w:t>0</w:t>
      </w:r>
      <w:r w:rsidRPr="0069300C">
        <w:rPr>
          <w:rFonts w:eastAsia="Calibri"/>
          <w:sz w:val="22"/>
          <w:szCs w:val="22"/>
        </w:rPr>
        <w:t>7</w:t>
      </w:r>
      <w:r w:rsidR="0069300C">
        <w:rPr>
          <w:rFonts w:eastAsia="Calibri"/>
          <w:sz w:val="22"/>
          <w:szCs w:val="22"/>
        </w:rPr>
        <w:t>.05.</w:t>
      </w:r>
      <w:r w:rsidRPr="0069300C">
        <w:rPr>
          <w:rFonts w:eastAsia="Calibri"/>
          <w:sz w:val="22"/>
          <w:szCs w:val="22"/>
        </w:rPr>
        <w:t>2025 г. са извършени следните дейности:</w:t>
      </w:r>
    </w:p>
    <w:p w14:paraId="38745C93" w14:textId="77777777" w:rsidR="00BB1857" w:rsidRPr="0069300C" w:rsidRDefault="00BB1857" w:rsidP="004823C1">
      <w:pPr>
        <w:pStyle w:val="ListParagraph"/>
        <w:numPr>
          <w:ilvl w:val="0"/>
          <w:numId w:val="25"/>
        </w:numPr>
        <w:shd w:val="clear" w:color="auto" w:fill="FFFFFF" w:themeFill="background1"/>
        <w:ind w:left="709" w:hanging="283"/>
        <w:jc w:val="both"/>
        <w:rPr>
          <w:sz w:val="22"/>
          <w:szCs w:val="22"/>
        </w:rPr>
      </w:pPr>
      <w:r w:rsidRPr="0069300C">
        <w:rPr>
          <w:sz w:val="22"/>
          <w:szCs w:val="22"/>
        </w:rPr>
        <w:t>Утвърденият протокол от заседанието е изпратен на членовете на КСК;</w:t>
      </w:r>
    </w:p>
    <w:p w14:paraId="63104645" w14:textId="77777777" w:rsidR="00BB1857" w:rsidRPr="0069300C" w:rsidRDefault="00BB1857" w:rsidP="004823C1">
      <w:pPr>
        <w:pStyle w:val="ListParagraph"/>
        <w:numPr>
          <w:ilvl w:val="0"/>
          <w:numId w:val="25"/>
        </w:numPr>
        <w:shd w:val="clear" w:color="auto" w:fill="FFFFFF" w:themeFill="background1"/>
        <w:ind w:left="709" w:hanging="283"/>
        <w:jc w:val="both"/>
        <w:rPr>
          <w:sz w:val="22"/>
          <w:szCs w:val="22"/>
        </w:rPr>
      </w:pPr>
      <w:r w:rsidRPr="0069300C">
        <w:rPr>
          <w:sz w:val="22"/>
          <w:szCs w:val="22"/>
        </w:rPr>
        <w:t>Изготвен е въпросник за оценка и предварително идентифициране на проекти и указания за попълването на въпросника. Документите са изпратени до определените от КСК ведомства – МТС, МФ, МЕ, МРРБ и АПИ;</w:t>
      </w:r>
    </w:p>
    <w:p w14:paraId="0264C13A" w14:textId="77777777" w:rsidR="00BB1857" w:rsidRPr="0069300C" w:rsidRDefault="00BB1857" w:rsidP="004823C1">
      <w:pPr>
        <w:pStyle w:val="ListParagraph"/>
        <w:numPr>
          <w:ilvl w:val="0"/>
          <w:numId w:val="25"/>
        </w:numPr>
        <w:shd w:val="clear" w:color="auto" w:fill="FFFFFF" w:themeFill="background1"/>
        <w:ind w:left="709" w:hanging="283"/>
        <w:jc w:val="both"/>
        <w:rPr>
          <w:sz w:val="22"/>
          <w:szCs w:val="22"/>
        </w:rPr>
      </w:pPr>
      <w:r w:rsidRPr="0069300C">
        <w:rPr>
          <w:sz w:val="22"/>
          <w:szCs w:val="22"/>
        </w:rPr>
        <w:t>Създадена е организация за изготвяне и приемане на Методология за извършване на преценка за приложимостта на инструмента на концесията за строителство или на концесията за услуга за предварително идентифицирани проекти (Методология).</w:t>
      </w:r>
    </w:p>
    <w:p w14:paraId="6E5580B8" w14:textId="5727AD75" w:rsidR="00BB1857" w:rsidRPr="0069300C" w:rsidRDefault="00BB1857" w:rsidP="004823C1">
      <w:pPr>
        <w:numPr>
          <w:ilvl w:val="0"/>
          <w:numId w:val="30"/>
        </w:numPr>
        <w:shd w:val="clear" w:color="auto" w:fill="FFFFFF" w:themeFill="background1"/>
        <w:tabs>
          <w:tab w:val="left" w:pos="709"/>
          <w:tab w:val="left" w:pos="993"/>
        </w:tabs>
        <w:ind w:left="426" w:firstLine="0"/>
        <w:jc w:val="both"/>
        <w:rPr>
          <w:rFonts w:eastAsia="Calibri"/>
          <w:sz w:val="22"/>
          <w:szCs w:val="22"/>
        </w:rPr>
      </w:pPr>
      <w:r w:rsidRPr="0069300C">
        <w:rPr>
          <w:rFonts w:eastAsia="Calibri"/>
          <w:sz w:val="22"/>
          <w:szCs w:val="22"/>
        </w:rPr>
        <w:t xml:space="preserve">Организирано е провеждането на </w:t>
      </w:r>
      <w:r w:rsidR="0069300C">
        <w:rPr>
          <w:rFonts w:eastAsia="Calibri"/>
          <w:sz w:val="22"/>
          <w:szCs w:val="22"/>
        </w:rPr>
        <w:t>09.06.</w:t>
      </w:r>
      <w:r w:rsidRPr="0069300C">
        <w:rPr>
          <w:rFonts w:eastAsia="Calibri"/>
          <w:sz w:val="22"/>
          <w:szCs w:val="22"/>
        </w:rPr>
        <w:t>2025 г. на второ заседание на КСК, в т.ч.:</w:t>
      </w:r>
    </w:p>
    <w:p w14:paraId="61380AF4" w14:textId="13064722" w:rsidR="00BB1857" w:rsidRPr="00287245" w:rsidRDefault="00BB1857" w:rsidP="004823C1">
      <w:pPr>
        <w:pStyle w:val="ListParagraph"/>
        <w:numPr>
          <w:ilvl w:val="0"/>
          <w:numId w:val="25"/>
        </w:numPr>
        <w:shd w:val="clear" w:color="auto" w:fill="FFFFFF" w:themeFill="background1"/>
        <w:ind w:left="709" w:hanging="283"/>
        <w:jc w:val="both"/>
        <w:rPr>
          <w:sz w:val="22"/>
          <w:szCs w:val="22"/>
        </w:rPr>
      </w:pPr>
      <w:r w:rsidRPr="00287245">
        <w:rPr>
          <w:sz w:val="22"/>
          <w:szCs w:val="22"/>
        </w:rPr>
        <w:t xml:space="preserve">Обобщени са предложенията на министрите и въз основа на тях е изготвен и представен на заседанието проект на нов Актуализиран план за действие за държавните концесии за </w:t>
      </w:r>
      <w:r w:rsidR="00287245">
        <w:rPr>
          <w:sz w:val="22"/>
          <w:szCs w:val="22"/>
        </w:rPr>
        <w:t>периода 2021</w:t>
      </w:r>
      <w:r w:rsidR="00287245">
        <w:rPr>
          <w:sz w:val="22"/>
          <w:szCs w:val="22"/>
          <w:lang w:val="bg-BG"/>
        </w:rPr>
        <w:t>-</w:t>
      </w:r>
      <w:r w:rsidRPr="00287245">
        <w:rPr>
          <w:sz w:val="22"/>
          <w:szCs w:val="22"/>
        </w:rPr>
        <w:t>2027 г.;</w:t>
      </w:r>
    </w:p>
    <w:p w14:paraId="3E092A00" w14:textId="77777777" w:rsidR="00BB1857" w:rsidRPr="00287245" w:rsidRDefault="00BB1857" w:rsidP="004823C1">
      <w:pPr>
        <w:pStyle w:val="ListParagraph"/>
        <w:numPr>
          <w:ilvl w:val="0"/>
          <w:numId w:val="25"/>
        </w:numPr>
        <w:shd w:val="clear" w:color="auto" w:fill="FFFFFF" w:themeFill="background1"/>
        <w:ind w:left="709" w:hanging="283"/>
        <w:jc w:val="both"/>
        <w:rPr>
          <w:sz w:val="22"/>
          <w:szCs w:val="22"/>
        </w:rPr>
      </w:pPr>
      <w:r w:rsidRPr="00287245">
        <w:rPr>
          <w:sz w:val="22"/>
          <w:szCs w:val="22"/>
        </w:rPr>
        <w:t>Изготвен е доклад до КСК, с който е представена изготвената Методология;</w:t>
      </w:r>
    </w:p>
    <w:p w14:paraId="009D2968" w14:textId="77777777" w:rsidR="00BB1857" w:rsidRPr="00287245" w:rsidRDefault="00BB1857" w:rsidP="004823C1">
      <w:pPr>
        <w:pStyle w:val="ListParagraph"/>
        <w:numPr>
          <w:ilvl w:val="0"/>
          <w:numId w:val="25"/>
        </w:numPr>
        <w:shd w:val="clear" w:color="auto" w:fill="FFFFFF" w:themeFill="background1"/>
        <w:ind w:left="709" w:hanging="283"/>
        <w:jc w:val="both"/>
        <w:rPr>
          <w:sz w:val="22"/>
          <w:szCs w:val="22"/>
        </w:rPr>
      </w:pPr>
      <w:r w:rsidRPr="00287245">
        <w:rPr>
          <w:sz w:val="22"/>
          <w:szCs w:val="22"/>
        </w:rPr>
        <w:t>Представен е изготвеният от дирекцията годишен доклад за състоянието на концесиите през 2022 г.;</w:t>
      </w:r>
    </w:p>
    <w:p w14:paraId="284A215F" w14:textId="3C868341" w:rsidR="00BB1857" w:rsidRPr="00287245" w:rsidRDefault="00BB1857" w:rsidP="004823C1">
      <w:pPr>
        <w:pStyle w:val="ListParagraph"/>
        <w:numPr>
          <w:ilvl w:val="0"/>
          <w:numId w:val="25"/>
        </w:numPr>
        <w:shd w:val="clear" w:color="auto" w:fill="FFFFFF" w:themeFill="background1"/>
        <w:ind w:left="709" w:hanging="283"/>
        <w:jc w:val="both"/>
        <w:rPr>
          <w:sz w:val="22"/>
          <w:szCs w:val="22"/>
        </w:rPr>
      </w:pPr>
      <w:r w:rsidRPr="00287245">
        <w:rPr>
          <w:sz w:val="22"/>
          <w:szCs w:val="22"/>
        </w:rPr>
        <w:t xml:space="preserve">Изготвено е и е представено на заседанието становище относно предложение от АППК за приемане от Координационния съвет на насока за отстраняване на системни проблеми, на базата на препоръка, направена в Доклада на за осъществен независим външен контрол по изпълнението на договор за предоставяне на Концесия за минерална вода от сондажи </w:t>
      </w:r>
      <w:r w:rsidR="00287245">
        <w:rPr>
          <w:sz w:val="22"/>
          <w:szCs w:val="22"/>
        </w:rPr>
        <w:br/>
      </w:r>
      <w:r w:rsidRPr="00287245">
        <w:rPr>
          <w:sz w:val="22"/>
          <w:szCs w:val="22"/>
        </w:rPr>
        <w:t>№ 1ВКП и № 1аВП от находище „Михалково“, с. Михалково</w:t>
      </w:r>
    </w:p>
    <w:p w14:paraId="3EEF01E5" w14:textId="4ECDE8DC" w:rsidR="00BB1857" w:rsidRPr="00287245" w:rsidRDefault="00BB1857" w:rsidP="004823C1">
      <w:pPr>
        <w:pStyle w:val="ListParagraph"/>
        <w:numPr>
          <w:ilvl w:val="0"/>
          <w:numId w:val="25"/>
        </w:numPr>
        <w:shd w:val="clear" w:color="auto" w:fill="FFFFFF" w:themeFill="background1"/>
        <w:ind w:left="709" w:hanging="283"/>
        <w:jc w:val="both"/>
        <w:rPr>
          <w:sz w:val="22"/>
          <w:szCs w:val="22"/>
        </w:rPr>
      </w:pPr>
      <w:r w:rsidRPr="00287245">
        <w:rPr>
          <w:sz w:val="22"/>
          <w:szCs w:val="22"/>
        </w:rPr>
        <w:t>Изготвен е и е</w:t>
      </w:r>
      <w:r w:rsidR="00287245">
        <w:rPr>
          <w:sz w:val="22"/>
          <w:szCs w:val="22"/>
        </w:rPr>
        <w:t xml:space="preserve"> представен на председателя на </w:t>
      </w:r>
      <w:r w:rsidR="00287245" w:rsidRPr="00287245">
        <w:rPr>
          <w:sz w:val="22"/>
          <w:szCs w:val="22"/>
        </w:rPr>
        <w:t>съвета</w:t>
      </w:r>
      <w:r w:rsidRPr="00287245">
        <w:rPr>
          <w:sz w:val="22"/>
          <w:szCs w:val="22"/>
        </w:rPr>
        <w:t xml:space="preserve"> сценарий за провеждане на заседанието;</w:t>
      </w:r>
    </w:p>
    <w:p w14:paraId="72287F00" w14:textId="7580868B" w:rsidR="00BB1857" w:rsidRPr="00287245" w:rsidRDefault="00BB1857" w:rsidP="004823C1">
      <w:pPr>
        <w:pStyle w:val="ListParagraph"/>
        <w:numPr>
          <w:ilvl w:val="0"/>
          <w:numId w:val="25"/>
        </w:numPr>
        <w:shd w:val="clear" w:color="auto" w:fill="FFFFFF" w:themeFill="background1"/>
        <w:ind w:left="709" w:hanging="283"/>
        <w:jc w:val="both"/>
        <w:rPr>
          <w:sz w:val="22"/>
          <w:szCs w:val="22"/>
        </w:rPr>
      </w:pPr>
      <w:r w:rsidRPr="00287245">
        <w:rPr>
          <w:sz w:val="22"/>
          <w:szCs w:val="22"/>
        </w:rPr>
        <w:t xml:space="preserve">Изготвен е протокол от заседанието, който е утвърден от председателя на КСК на </w:t>
      </w:r>
      <w:r w:rsidR="00287245">
        <w:rPr>
          <w:sz w:val="22"/>
          <w:szCs w:val="22"/>
        </w:rPr>
        <w:br/>
      </w:r>
      <w:r w:rsidRPr="00287245">
        <w:rPr>
          <w:sz w:val="22"/>
          <w:szCs w:val="22"/>
        </w:rPr>
        <w:t>10</w:t>
      </w:r>
      <w:r w:rsidR="00287245">
        <w:rPr>
          <w:sz w:val="22"/>
          <w:szCs w:val="22"/>
          <w:lang w:val="bg-BG"/>
        </w:rPr>
        <w:t>.06.</w:t>
      </w:r>
      <w:r w:rsidRPr="00287245">
        <w:rPr>
          <w:sz w:val="22"/>
          <w:szCs w:val="22"/>
        </w:rPr>
        <w:t>2025 г.</w:t>
      </w:r>
    </w:p>
    <w:p w14:paraId="169D0C34" w14:textId="65134A9D" w:rsidR="00BB1857" w:rsidRPr="0069300C" w:rsidRDefault="00BB1857" w:rsidP="004823C1">
      <w:pPr>
        <w:numPr>
          <w:ilvl w:val="0"/>
          <w:numId w:val="30"/>
        </w:numPr>
        <w:shd w:val="clear" w:color="auto" w:fill="FFFFFF" w:themeFill="background1"/>
        <w:tabs>
          <w:tab w:val="left" w:pos="709"/>
          <w:tab w:val="left" w:pos="993"/>
        </w:tabs>
        <w:ind w:left="0" w:firstLine="426"/>
        <w:jc w:val="both"/>
        <w:rPr>
          <w:rFonts w:eastAsia="Calibri"/>
          <w:sz w:val="22"/>
          <w:szCs w:val="22"/>
        </w:rPr>
      </w:pPr>
      <w:r w:rsidRPr="0069300C">
        <w:rPr>
          <w:rFonts w:eastAsia="Calibri"/>
          <w:sz w:val="22"/>
          <w:szCs w:val="22"/>
        </w:rPr>
        <w:t xml:space="preserve">За изпълнение на решенията на КСК от заседанието, проведено на </w:t>
      </w:r>
      <w:r w:rsidR="00287245">
        <w:rPr>
          <w:rFonts w:eastAsia="Calibri"/>
          <w:sz w:val="22"/>
          <w:szCs w:val="22"/>
        </w:rPr>
        <w:t>0</w:t>
      </w:r>
      <w:r w:rsidRPr="0069300C">
        <w:rPr>
          <w:rFonts w:eastAsia="Calibri"/>
          <w:sz w:val="22"/>
          <w:szCs w:val="22"/>
        </w:rPr>
        <w:t>7</w:t>
      </w:r>
      <w:r w:rsidR="00287245">
        <w:rPr>
          <w:rFonts w:eastAsia="Calibri"/>
          <w:sz w:val="22"/>
          <w:szCs w:val="22"/>
        </w:rPr>
        <w:t>.05.</w:t>
      </w:r>
      <w:r w:rsidRPr="0069300C">
        <w:rPr>
          <w:rFonts w:eastAsia="Calibri"/>
          <w:sz w:val="22"/>
          <w:szCs w:val="22"/>
        </w:rPr>
        <w:t>2025 г. са извършени следните дейности:</w:t>
      </w:r>
    </w:p>
    <w:p w14:paraId="21E9DB45" w14:textId="77777777" w:rsidR="00BB1857" w:rsidRPr="00287245" w:rsidRDefault="00BB1857" w:rsidP="004823C1">
      <w:pPr>
        <w:pStyle w:val="ListParagraph"/>
        <w:numPr>
          <w:ilvl w:val="0"/>
          <w:numId w:val="25"/>
        </w:numPr>
        <w:shd w:val="clear" w:color="auto" w:fill="FFFFFF" w:themeFill="background1"/>
        <w:ind w:left="709" w:hanging="283"/>
        <w:jc w:val="both"/>
        <w:rPr>
          <w:sz w:val="22"/>
          <w:szCs w:val="22"/>
        </w:rPr>
      </w:pPr>
      <w:r w:rsidRPr="00287245">
        <w:rPr>
          <w:sz w:val="22"/>
          <w:szCs w:val="22"/>
        </w:rPr>
        <w:t>Утвърденият протокол от заседанието е изпратен на членовете на КСК;</w:t>
      </w:r>
    </w:p>
    <w:p w14:paraId="238D9845" w14:textId="77777777" w:rsidR="00BB1857" w:rsidRPr="00287245" w:rsidRDefault="00BB1857" w:rsidP="004823C1">
      <w:pPr>
        <w:pStyle w:val="ListParagraph"/>
        <w:numPr>
          <w:ilvl w:val="0"/>
          <w:numId w:val="25"/>
        </w:numPr>
        <w:shd w:val="clear" w:color="auto" w:fill="FFFFFF" w:themeFill="background1"/>
        <w:ind w:left="709" w:hanging="283"/>
        <w:jc w:val="both"/>
        <w:rPr>
          <w:sz w:val="22"/>
          <w:szCs w:val="22"/>
        </w:rPr>
      </w:pPr>
      <w:r w:rsidRPr="00287245">
        <w:rPr>
          <w:sz w:val="22"/>
          <w:szCs w:val="22"/>
        </w:rPr>
        <w:t>Изготвени са и са изпратени писмо до МФ и до АППК относно изпълнението на решението по т. 5 от заседанието и писмо до министрите за уведомяване за приемането от КСК на Методологията и за произтичащите от това задължения.</w:t>
      </w:r>
    </w:p>
    <w:p w14:paraId="3D65B1DF" w14:textId="77777777" w:rsidR="00BB1857" w:rsidRPr="00674C25" w:rsidRDefault="00BB1857" w:rsidP="004823C1">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674C25">
        <w:rPr>
          <w:rFonts w:eastAsia="Batang"/>
          <w:b/>
          <w:bCs/>
          <w:sz w:val="22"/>
          <w:szCs w:val="22"/>
          <w:lang w:eastAsia="ko-KR"/>
        </w:rPr>
        <w:t>Други задачи, свързани с функциите по чл. 41 от Закона за концесиите, които не са включени в Програмния бюджет.</w:t>
      </w:r>
    </w:p>
    <w:p w14:paraId="01657FDF" w14:textId="77777777" w:rsidR="00BB1857" w:rsidRPr="00E874F0" w:rsidRDefault="00BB1857" w:rsidP="004823C1">
      <w:pPr>
        <w:widowControl w:val="0"/>
        <w:shd w:val="clear" w:color="auto" w:fill="FFFFFF" w:themeFill="background1"/>
        <w:autoSpaceDE w:val="0"/>
        <w:autoSpaceDN w:val="0"/>
        <w:adjustRightInd w:val="0"/>
        <w:ind w:left="426"/>
        <w:jc w:val="both"/>
        <w:rPr>
          <w:rFonts w:eastAsia="Batang"/>
          <w:bCs/>
          <w:iCs/>
          <w:sz w:val="22"/>
          <w:szCs w:val="22"/>
        </w:rPr>
      </w:pPr>
      <w:r w:rsidRPr="00E874F0">
        <w:rPr>
          <w:rFonts w:eastAsia="Batang"/>
          <w:bCs/>
          <w:iCs/>
          <w:sz w:val="22"/>
          <w:szCs w:val="22"/>
        </w:rPr>
        <w:t>За отчетния период ДСРКК е извършила следните дейности:</w:t>
      </w:r>
    </w:p>
    <w:p w14:paraId="2DE748E8" w14:textId="31CC5F4C" w:rsidR="00BB1857" w:rsidRPr="0019089E" w:rsidRDefault="00BB1857" w:rsidP="004823C1">
      <w:pPr>
        <w:pStyle w:val="ListParagraph"/>
        <w:numPr>
          <w:ilvl w:val="6"/>
          <w:numId w:val="24"/>
        </w:numPr>
        <w:shd w:val="clear" w:color="auto" w:fill="FFFFFF" w:themeFill="background1"/>
        <w:tabs>
          <w:tab w:val="left" w:pos="709"/>
          <w:tab w:val="left" w:pos="993"/>
        </w:tabs>
        <w:ind w:left="0" w:firstLine="426"/>
        <w:jc w:val="both"/>
        <w:rPr>
          <w:rFonts w:eastAsia="Calibri"/>
          <w:sz w:val="22"/>
          <w:szCs w:val="22"/>
        </w:rPr>
      </w:pPr>
      <w:r w:rsidRPr="0019089E">
        <w:rPr>
          <w:rFonts w:eastAsia="Calibri"/>
          <w:sz w:val="22"/>
          <w:szCs w:val="22"/>
        </w:rPr>
        <w:t>Осъществяване на координация на правителствената политика за прилагане на инструмента на концесията, в т.ч.:</w:t>
      </w:r>
    </w:p>
    <w:p w14:paraId="1CE4BD48" w14:textId="77777777" w:rsidR="00BB1857" w:rsidRPr="00E874F0" w:rsidRDefault="00BB1857" w:rsidP="004823C1">
      <w:pPr>
        <w:pStyle w:val="ListParagraph"/>
        <w:numPr>
          <w:ilvl w:val="0"/>
          <w:numId w:val="25"/>
        </w:numPr>
        <w:shd w:val="clear" w:color="auto" w:fill="FFFFFF" w:themeFill="background1"/>
        <w:ind w:left="709" w:hanging="283"/>
        <w:jc w:val="both"/>
        <w:rPr>
          <w:sz w:val="22"/>
          <w:szCs w:val="22"/>
        </w:rPr>
      </w:pPr>
      <w:r w:rsidRPr="00E874F0">
        <w:rPr>
          <w:sz w:val="22"/>
          <w:szCs w:val="22"/>
        </w:rPr>
        <w:t>Изготвен е доклад до министър-председателя относно възлагане на строителство и на услуги чрез инструмента на концесията с анализирани данни от докладите на ЕРЕС за преглед на европейския пазар на ПЧП през 2022 г. и 2023 г., информация за ПЧП и концесии във Франция и Гърция, както и публикуваните през 2023 г. и 2024 г. в електронния ежедневник за обществени поръчки на Европейския съюз (TED) обявления за откриване на процедури за възлагане на концесии и обявления за възложени концесии;</w:t>
      </w:r>
    </w:p>
    <w:p w14:paraId="0E3E3FB3" w14:textId="7338B0FF" w:rsidR="00BB1857" w:rsidRPr="00E874F0" w:rsidRDefault="00BB1857" w:rsidP="004823C1">
      <w:pPr>
        <w:pStyle w:val="ListParagraph"/>
        <w:numPr>
          <w:ilvl w:val="0"/>
          <w:numId w:val="25"/>
        </w:numPr>
        <w:shd w:val="clear" w:color="auto" w:fill="FFFFFF" w:themeFill="background1"/>
        <w:ind w:left="709" w:hanging="283"/>
        <w:jc w:val="both"/>
        <w:rPr>
          <w:sz w:val="22"/>
          <w:szCs w:val="22"/>
        </w:rPr>
      </w:pPr>
      <w:r w:rsidRPr="00E874F0">
        <w:rPr>
          <w:sz w:val="22"/>
          <w:szCs w:val="22"/>
        </w:rPr>
        <w:t>По възлагане от заместник министър-председателя и министър на транспорта и съобщенията е проучена практика за строителство и поддържане на пътната инфраструктура във Федерална република Германия (ФРГ). Освен преглед на официалните източници</w:t>
      </w:r>
      <w:r w:rsidR="00E874F0" w:rsidRPr="000476DF">
        <w:rPr>
          <w:rStyle w:val="FootnoteReference"/>
          <w:sz w:val="18"/>
          <w:szCs w:val="18"/>
        </w:rPr>
        <w:footnoteReference w:id="23"/>
      </w:r>
      <w:r w:rsidRPr="00E874F0">
        <w:rPr>
          <w:sz w:val="22"/>
          <w:szCs w:val="22"/>
        </w:rPr>
        <w:t xml:space="preserve"> при </w:t>
      </w:r>
      <w:r w:rsidRPr="00E874F0">
        <w:rPr>
          <w:sz w:val="22"/>
          <w:szCs w:val="22"/>
        </w:rPr>
        <w:lastRenderedPageBreak/>
        <w:t>събирането на информация е проведена и онлайн среща с представител на ФРГ в Европейския експертен център за ПЧП към Европейската инвестиционна банка (EPEC)</w:t>
      </w:r>
    </w:p>
    <w:p w14:paraId="051E6B45" w14:textId="77777777" w:rsidR="00BB1857" w:rsidRPr="0019089E" w:rsidRDefault="00BB1857" w:rsidP="004823C1">
      <w:pPr>
        <w:pStyle w:val="ListParagraph"/>
        <w:numPr>
          <w:ilvl w:val="0"/>
          <w:numId w:val="25"/>
        </w:numPr>
        <w:shd w:val="clear" w:color="auto" w:fill="FFFFFF" w:themeFill="background1"/>
        <w:ind w:left="709" w:hanging="283"/>
        <w:jc w:val="both"/>
        <w:rPr>
          <w:sz w:val="22"/>
          <w:szCs w:val="22"/>
        </w:rPr>
      </w:pPr>
      <w:r w:rsidRPr="0019089E">
        <w:rPr>
          <w:sz w:val="22"/>
          <w:szCs w:val="22"/>
        </w:rPr>
        <w:t>Изготвен е доклад до заместник министър-председателя и министър на транспорта и съобщенията относно използване на модела на публично-частното партньорство за изграждане и поддържане на пътната инфраструктура във Федерална република Германия. С доклада е предложено ДСРКК да изготви доклад за оперативно съвещание на МС относно възможностите за прилагане на ПЧП в България чрез възлагане на концесии за строителство и концесии за услуги.</w:t>
      </w:r>
    </w:p>
    <w:p w14:paraId="7B05D87E" w14:textId="5592209F" w:rsidR="00BB1857" w:rsidRPr="0019089E" w:rsidRDefault="00BB1857" w:rsidP="004823C1">
      <w:pPr>
        <w:pStyle w:val="ListParagraph"/>
        <w:numPr>
          <w:ilvl w:val="0"/>
          <w:numId w:val="25"/>
        </w:numPr>
        <w:shd w:val="clear" w:color="auto" w:fill="FFFFFF" w:themeFill="background1"/>
        <w:ind w:left="709" w:hanging="283"/>
        <w:jc w:val="both"/>
        <w:rPr>
          <w:sz w:val="22"/>
          <w:szCs w:val="22"/>
        </w:rPr>
      </w:pPr>
      <w:r w:rsidRPr="0019089E">
        <w:rPr>
          <w:sz w:val="22"/>
          <w:szCs w:val="22"/>
        </w:rPr>
        <w:t xml:space="preserve">Изготвен е проект на доклад до Министерския съвет от името на заместник министър-председателя и министър на транспорта и съобщенията относно възможностите за прилагане на публично-частното партньорство в България чрез възлагане на концесии за строителство и концесии за услуги на основа на направени проучвания на документи, доклади и уеб базирани референтни материали, събрана и обобщена информация за строителство и услуги, които се възлагат чрез концесия в държави членки на ЕС. За разглеждане на доклада са изготвени графични визуализации на данни и презентационни материали; Докладът е разгледан на оперативното съвещание на МС на </w:t>
      </w:r>
      <w:r w:rsidR="0019089E">
        <w:rPr>
          <w:sz w:val="22"/>
          <w:szCs w:val="22"/>
          <w:lang w:val="bg-BG"/>
        </w:rPr>
        <w:t>0</w:t>
      </w:r>
      <w:r w:rsidR="0019089E">
        <w:rPr>
          <w:sz w:val="22"/>
          <w:szCs w:val="22"/>
        </w:rPr>
        <w:t>2</w:t>
      </w:r>
      <w:r w:rsidR="0019089E">
        <w:rPr>
          <w:sz w:val="22"/>
          <w:szCs w:val="22"/>
          <w:lang w:val="bg-BG"/>
        </w:rPr>
        <w:t>.04.</w:t>
      </w:r>
      <w:r w:rsidRPr="0019089E">
        <w:rPr>
          <w:sz w:val="22"/>
          <w:szCs w:val="22"/>
        </w:rPr>
        <w:t>2025 г.</w:t>
      </w:r>
    </w:p>
    <w:p w14:paraId="2A4F5897" w14:textId="7A1CFE1A" w:rsidR="00BB1857" w:rsidRPr="0019089E" w:rsidRDefault="00BB1857" w:rsidP="004823C1">
      <w:pPr>
        <w:pStyle w:val="ListParagraph"/>
        <w:numPr>
          <w:ilvl w:val="0"/>
          <w:numId w:val="25"/>
        </w:numPr>
        <w:shd w:val="clear" w:color="auto" w:fill="FFFFFF" w:themeFill="background1"/>
        <w:ind w:left="709" w:hanging="283"/>
        <w:jc w:val="both"/>
        <w:rPr>
          <w:sz w:val="22"/>
          <w:szCs w:val="22"/>
        </w:rPr>
      </w:pPr>
      <w:r w:rsidRPr="0019089E">
        <w:rPr>
          <w:sz w:val="22"/>
          <w:szCs w:val="22"/>
        </w:rPr>
        <w:t>Изготвен е пакет от документи от името на заместник министър-председателя и министър на транспорта и съобщенията относно приемане на решение на Министерския съвет за изготвяне на предложения за включване на проекти за концесии в Плана за действие за държавните концесии. Извършено е съгласуване на документите по УПМСНА. Проектът на решение е разгледан</w:t>
      </w:r>
      <w:r w:rsidR="0019089E">
        <w:rPr>
          <w:sz w:val="22"/>
          <w:szCs w:val="22"/>
        </w:rPr>
        <w:t xml:space="preserve"> от МС на заседанието на 14</w:t>
      </w:r>
      <w:r w:rsidR="0019089E">
        <w:rPr>
          <w:sz w:val="22"/>
          <w:szCs w:val="22"/>
          <w:lang w:val="bg-BG"/>
        </w:rPr>
        <w:t>.05.</w:t>
      </w:r>
      <w:r w:rsidRPr="0019089E">
        <w:rPr>
          <w:sz w:val="22"/>
          <w:szCs w:val="22"/>
        </w:rPr>
        <w:t xml:space="preserve">2025 г. </w:t>
      </w:r>
    </w:p>
    <w:p w14:paraId="41066FFF" w14:textId="60BA393A" w:rsidR="00BB1857" w:rsidRPr="0019089E" w:rsidRDefault="00BB1857" w:rsidP="004823C1">
      <w:pPr>
        <w:pStyle w:val="ListParagraph"/>
        <w:numPr>
          <w:ilvl w:val="6"/>
          <w:numId w:val="24"/>
        </w:numPr>
        <w:shd w:val="clear" w:color="auto" w:fill="FFFFFF" w:themeFill="background1"/>
        <w:tabs>
          <w:tab w:val="left" w:pos="709"/>
          <w:tab w:val="left" w:pos="993"/>
        </w:tabs>
        <w:ind w:left="0" w:firstLine="426"/>
        <w:jc w:val="both"/>
        <w:rPr>
          <w:rFonts w:eastAsia="Calibri"/>
          <w:sz w:val="22"/>
          <w:szCs w:val="22"/>
        </w:rPr>
      </w:pPr>
      <w:r w:rsidRPr="0019089E">
        <w:rPr>
          <w:rFonts w:eastAsia="Calibri"/>
          <w:sz w:val="22"/>
          <w:szCs w:val="22"/>
        </w:rPr>
        <w:t xml:space="preserve">Въвеждане на методическа рамка на процеса по идентифициране и преценка на приложимостта на инструмента на концесията за строителство или на концесията за </w:t>
      </w:r>
      <w:r w:rsidR="004823C1">
        <w:rPr>
          <w:rFonts w:eastAsia="Calibri"/>
          <w:sz w:val="22"/>
          <w:szCs w:val="22"/>
        </w:rPr>
        <w:br/>
      </w:r>
      <w:r w:rsidRPr="0019089E">
        <w:rPr>
          <w:rFonts w:eastAsia="Calibri"/>
          <w:sz w:val="22"/>
          <w:szCs w:val="22"/>
        </w:rPr>
        <w:t>услуги, в т.ч.:</w:t>
      </w:r>
    </w:p>
    <w:p w14:paraId="2F036CFE" w14:textId="1041A412" w:rsidR="00BB1857" w:rsidRPr="0019089E" w:rsidRDefault="00BB1857" w:rsidP="004823C1">
      <w:pPr>
        <w:pStyle w:val="ListParagraph"/>
        <w:numPr>
          <w:ilvl w:val="0"/>
          <w:numId w:val="25"/>
        </w:numPr>
        <w:shd w:val="clear" w:color="auto" w:fill="FFFFFF" w:themeFill="background1"/>
        <w:ind w:left="709" w:hanging="283"/>
        <w:jc w:val="both"/>
        <w:rPr>
          <w:sz w:val="22"/>
          <w:szCs w:val="22"/>
        </w:rPr>
      </w:pPr>
      <w:r w:rsidRPr="0019089E">
        <w:rPr>
          <w:sz w:val="22"/>
          <w:szCs w:val="22"/>
        </w:rPr>
        <w:t xml:space="preserve">В изпълнение на т. 5 от РМС № 311 от 14.05.2025 г. е изготвен образец на структурирана информация за идентифициране на общественозначими проекти, изпратена на министрите от заместник министър-председателя и министър на транспорта </w:t>
      </w:r>
      <w:r w:rsidR="0019089E">
        <w:rPr>
          <w:sz w:val="22"/>
          <w:szCs w:val="22"/>
        </w:rPr>
        <w:t>и съобщенията с писмо от 14</w:t>
      </w:r>
      <w:r w:rsidR="0019089E">
        <w:rPr>
          <w:sz w:val="22"/>
          <w:szCs w:val="22"/>
          <w:lang w:val="bg-BG"/>
        </w:rPr>
        <w:t>.05.</w:t>
      </w:r>
      <w:r w:rsidRPr="0019089E">
        <w:rPr>
          <w:sz w:val="22"/>
          <w:szCs w:val="22"/>
        </w:rPr>
        <w:t>2025 г.;</w:t>
      </w:r>
    </w:p>
    <w:p w14:paraId="31792092" w14:textId="334FF852" w:rsidR="00BB1857" w:rsidRPr="0019089E" w:rsidRDefault="00BB1857" w:rsidP="004823C1">
      <w:pPr>
        <w:pStyle w:val="ListParagraph"/>
        <w:numPr>
          <w:ilvl w:val="0"/>
          <w:numId w:val="25"/>
        </w:numPr>
        <w:shd w:val="clear" w:color="auto" w:fill="FFFFFF" w:themeFill="background1"/>
        <w:ind w:left="709" w:hanging="283"/>
        <w:jc w:val="both"/>
        <w:rPr>
          <w:sz w:val="22"/>
          <w:szCs w:val="22"/>
        </w:rPr>
      </w:pPr>
      <w:r w:rsidRPr="0019089E">
        <w:rPr>
          <w:sz w:val="22"/>
          <w:szCs w:val="22"/>
        </w:rPr>
        <w:t>Изготвени са проекти на въпросник и на указания за попълване на въпросника за целите на изготвяне на Методология за извършване на преценка за приложимостта на инструмента на концесията за строителство или на концесията за услуги за предварително идентифицирани проекти (Методология)</w:t>
      </w:r>
      <w:r w:rsidR="0019089E">
        <w:rPr>
          <w:sz w:val="22"/>
          <w:szCs w:val="22"/>
        </w:rPr>
        <w:t>. Същите са изпратени на 13</w:t>
      </w:r>
      <w:r w:rsidR="0019089E">
        <w:rPr>
          <w:sz w:val="22"/>
          <w:szCs w:val="22"/>
          <w:lang w:val="bg-BG"/>
        </w:rPr>
        <w:t>.05.</w:t>
      </w:r>
      <w:r w:rsidRPr="0019089E">
        <w:rPr>
          <w:sz w:val="22"/>
          <w:szCs w:val="22"/>
        </w:rPr>
        <w:t>2025 г. до министрите на финансите, на транспорта и съобщенията, на енергетиката и на регионалното развитие и благоустройството, както и на председателя на Управителния съвет на Агенция „Пътна инфраструктура“;</w:t>
      </w:r>
    </w:p>
    <w:p w14:paraId="0EE341C8" w14:textId="77777777" w:rsidR="00BB1857" w:rsidRPr="0019089E" w:rsidRDefault="00BB1857" w:rsidP="004823C1">
      <w:pPr>
        <w:pStyle w:val="ListParagraph"/>
        <w:numPr>
          <w:ilvl w:val="0"/>
          <w:numId w:val="25"/>
        </w:numPr>
        <w:shd w:val="clear" w:color="auto" w:fill="FFFFFF" w:themeFill="background1"/>
        <w:ind w:left="709" w:hanging="283"/>
        <w:jc w:val="both"/>
        <w:rPr>
          <w:sz w:val="22"/>
          <w:szCs w:val="22"/>
        </w:rPr>
      </w:pPr>
      <w:r w:rsidRPr="0019089E">
        <w:rPr>
          <w:sz w:val="22"/>
          <w:szCs w:val="22"/>
        </w:rPr>
        <w:t>Изготвен е проект на Методология;</w:t>
      </w:r>
    </w:p>
    <w:p w14:paraId="3F5F46BC" w14:textId="77777777" w:rsidR="00BB1857" w:rsidRPr="0019089E" w:rsidRDefault="00BB1857" w:rsidP="004823C1">
      <w:pPr>
        <w:pStyle w:val="ListParagraph"/>
        <w:numPr>
          <w:ilvl w:val="0"/>
          <w:numId w:val="25"/>
        </w:numPr>
        <w:shd w:val="clear" w:color="auto" w:fill="FFFFFF" w:themeFill="background1"/>
        <w:ind w:left="709" w:hanging="283"/>
        <w:jc w:val="both"/>
        <w:rPr>
          <w:sz w:val="22"/>
          <w:szCs w:val="22"/>
        </w:rPr>
      </w:pPr>
      <w:r w:rsidRPr="0019089E">
        <w:rPr>
          <w:sz w:val="22"/>
          <w:szCs w:val="22"/>
        </w:rPr>
        <w:t>Проведени са работни срещи с представители на МТС, МЕ, МРРБ, НЕК, БЕХ и АПИ за обсъждане, допълване и прецизиране на проекта на Методология;</w:t>
      </w:r>
    </w:p>
    <w:p w14:paraId="45297329" w14:textId="17A153E4" w:rsidR="00BB1857" w:rsidRPr="0019089E" w:rsidRDefault="00BB1857" w:rsidP="004823C1">
      <w:pPr>
        <w:pStyle w:val="ListParagraph"/>
        <w:numPr>
          <w:ilvl w:val="0"/>
          <w:numId w:val="25"/>
        </w:numPr>
        <w:shd w:val="clear" w:color="auto" w:fill="FFFFFF" w:themeFill="background1"/>
        <w:ind w:left="709" w:hanging="283"/>
        <w:jc w:val="both"/>
        <w:rPr>
          <w:sz w:val="22"/>
          <w:szCs w:val="22"/>
        </w:rPr>
      </w:pPr>
      <w:r w:rsidRPr="0019089E">
        <w:rPr>
          <w:sz w:val="22"/>
          <w:szCs w:val="22"/>
        </w:rPr>
        <w:t xml:space="preserve">Организирана е и проведена работна </w:t>
      </w:r>
      <w:r w:rsidR="0019089E">
        <w:rPr>
          <w:sz w:val="22"/>
          <w:szCs w:val="22"/>
        </w:rPr>
        <w:t>среща в комплекс „Бояна“ (</w:t>
      </w:r>
      <w:r w:rsidR="0019089E">
        <w:rPr>
          <w:sz w:val="22"/>
          <w:szCs w:val="22"/>
          <w:lang w:val="bg-BG"/>
        </w:rPr>
        <w:t>0</w:t>
      </w:r>
      <w:r w:rsidR="0019089E">
        <w:rPr>
          <w:sz w:val="22"/>
          <w:szCs w:val="22"/>
        </w:rPr>
        <w:t>2</w:t>
      </w:r>
      <w:r w:rsidR="0019089E">
        <w:rPr>
          <w:sz w:val="22"/>
          <w:szCs w:val="22"/>
          <w:lang w:val="bg-BG"/>
        </w:rPr>
        <w:t>.06.</w:t>
      </w:r>
      <w:r w:rsidR="0019089E">
        <w:rPr>
          <w:sz w:val="22"/>
          <w:szCs w:val="22"/>
        </w:rPr>
        <w:t xml:space="preserve">2025 г.) за представяне на </w:t>
      </w:r>
      <w:r w:rsidRPr="0019089E">
        <w:rPr>
          <w:sz w:val="22"/>
          <w:szCs w:val="22"/>
        </w:rPr>
        <w:t>проекта на Методология и за нейното пилотно прилагане за 3 проекта в различни сектори на икономиката (железопътен транспорт, пътна инфраструктура и енергийна инфраструктура);</w:t>
      </w:r>
    </w:p>
    <w:p w14:paraId="6233D611" w14:textId="48D1073C" w:rsidR="00BB1857" w:rsidRPr="0019089E" w:rsidRDefault="00BB1857" w:rsidP="004823C1">
      <w:pPr>
        <w:pStyle w:val="ListParagraph"/>
        <w:numPr>
          <w:ilvl w:val="0"/>
          <w:numId w:val="25"/>
        </w:numPr>
        <w:shd w:val="clear" w:color="auto" w:fill="FFFFFF" w:themeFill="background1"/>
        <w:ind w:left="709" w:hanging="283"/>
        <w:jc w:val="both"/>
        <w:rPr>
          <w:sz w:val="22"/>
          <w:szCs w:val="22"/>
        </w:rPr>
      </w:pPr>
      <w:r w:rsidRPr="0019089E">
        <w:rPr>
          <w:sz w:val="22"/>
          <w:szCs w:val="22"/>
        </w:rPr>
        <w:t xml:space="preserve">Изготвен е пакет от документи за внасяне на проекта на Методология за разглеждане и приемане от КСК на проведеното заседание на </w:t>
      </w:r>
      <w:r w:rsidR="0019089E">
        <w:rPr>
          <w:sz w:val="22"/>
          <w:szCs w:val="22"/>
          <w:lang w:val="bg-BG"/>
        </w:rPr>
        <w:t>0</w:t>
      </w:r>
      <w:r w:rsidR="0019089E">
        <w:rPr>
          <w:sz w:val="22"/>
          <w:szCs w:val="22"/>
        </w:rPr>
        <w:t>9</w:t>
      </w:r>
      <w:r w:rsidR="0019089E">
        <w:rPr>
          <w:sz w:val="22"/>
          <w:szCs w:val="22"/>
          <w:lang w:val="bg-BG"/>
        </w:rPr>
        <w:t>.06.</w:t>
      </w:r>
      <w:r w:rsidRPr="0019089E">
        <w:rPr>
          <w:sz w:val="22"/>
          <w:szCs w:val="22"/>
        </w:rPr>
        <w:t>2025 г.;</w:t>
      </w:r>
    </w:p>
    <w:p w14:paraId="79A832C6" w14:textId="77777777" w:rsidR="00BB1857" w:rsidRPr="0019089E" w:rsidRDefault="00BB1857" w:rsidP="004823C1">
      <w:pPr>
        <w:pStyle w:val="ListParagraph"/>
        <w:numPr>
          <w:ilvl w:val="0"/>
          <w:numId w:val="25"/>
        </w:numPr>
        <w:shd w:val="clear" w:color="auto" w:fill="FFFFFF" w:themeFill="background1"/>
        <w:ind w:left="709" w:hanging="283"/>
        <w:jc w:val="both"/>
        <w:rPr>
          <w:sz w:val="22"/>
          <w:szCs w:val="22"/>
        </w:rPr>
      </w:pPr>
      <w:r w:rsidRPr="0019089E">
        <w:rPr>
          <w:sz w:val="22"/>
          <w:szCs w:val="22"/>
        </w:rPr>
        <w:t>Проведени са работни срещи с представители на МЕ, НЕК, МВнР, МЗ, както и телефонен разговор със служители от МТ за оказване на методическа помощ за идентифицирането на проекти, прилагането на Методологията и подготовката на предложения за включването на проектите в Плана за действие за държавните концесии;</w:t>
      </w:r>
    </w:p>
    <w:p w14:paraId="44B0C5A6" w14:textId="5BB05498" w:rsidR="00BB1857" w:rsidRPr="0019089E" w:rsidRDefault="00BB1857" w:rsidP="004823C1">
      <w:pPr>
        <w:pStyle w:val="ListParagraph"/>
        <w:numPr>
          <w:ilvl w:val="0"/>
          <w:numId w:val="25"/>
        </w:numPr>
        <w:shd w:val="clear" w:color="auto" w:fill="FFFFFF" w:themeFill="background1"/>
        <w:ind w:left="709" w:hanging="283"/>
        <w:jc w:val="both"/>
        <w:rPr>
          <w:sz w:val="22"/>
          <w:szCs w:val="22"/>
        </w:rPr>
      </w:pPr>
      <w:r w:rsidRPr="0019089E">
        <w:rPr>
          <w:sz w:val="22"/>
          <w:szCs w:val="22"/>
        </w:rPr>
        <w:t xml:space="preserve">Изготвена е докладна записка до заместник министър-председателя и министър на транспорта и съобщенията с </w:t>
      </w:r>
      <w:r w:rsidR="0019089E">
        <w:rPr>
          <w:sz w:val="22"/>
          <w:szCs w:val="22"/>
        </w:rPr>
        <w:t>обобщена информация, към 17</w:t>
      </w:r>
      <w:r w:rsidR="0019089E">
        <w:rPr>
          <w:sz w:val="22"/>
          <w:szCs w:val="22"/>
          <w:lang w:val="bg-BG"/>
        </w:rPr>
        <w:t>.06.</w:t>
      </w:r>
      <w:r w:rsidRPr="0019089E">
        <w:rPr>
          <w:sz w:val="22"/>
          <w:szCs w:val="22"/>
        </w:rPr>
        <w:t xml:space="preserve">2025 г., за идентифицираните от министрите общественозначими проекти, за които не е осигурено финансиране в </w:t>
      </w:r>
      <w:r w:rsidRPr="0019089E">
        <w:rPr>
          <w:sz w:val="22"/>
          <w:szCs w:val="22"/>
        </w:rPr>
        <w:lastRenderedPageBreak/>
        <w:t>средносрочната бюджетна прогноза и за които не съществуват очевидни правни пречки за възлагането им чрез концесия.;</w:t>
      </w:r>
    </w:p>
    <w:p w14:paraId="4C9B448D" w14:textId="0230BA3C" w:rsidR="00BB1857" w:rsidRPr="0019089E" w:rsidRDefault="00BB1857" w:rsidP="004823C1">
      <w:pPr>
        <w:pStyle w:val="ListParagraph"/>
        <w:numPr>
          <w:ilvl w:val="0"/>
          <w:numId w:val="25"/>
        </w:numPr>
        <w:shd w:val="clear" w:color="auto" w:fill="FFFFFF" w:themeFill="background1"/>
        <w:ind w:left="709" w:hanging="283"/>
        <w:jc w:val="both"/>
        <w:rPr>
          <w:sz w:val="22"/>
          <w:szCs w:val="22"/>
        </w:rPr>
      </w:pPr>
      <w:r w:rsidRPr="0019089E">
        <w:rPr>
          <w:sz w:val="22"/>
          <w:szCs w:val="22"/>
        </w:rPr>
        <w:t xml:space="preserve">Изготвено е писмо от името на заместник министър-председателя и министър на транспорта и съобщенията, с което е изискано от министрите, които не са идентифицирали проекти, да посочат такива, или да представят мотиви за неизпълнението на т. 1 от РМС № 311 от </w:t>
      </w:r>
      <w:r w:rsidR="0019089E">
        <w:rPr>
          <w:sz w:val="22"/>
          <w:szCs w:val="22"/>
        </w:rPr>
        <w:br/>
      </w:r>
      <w:r w:rsidRPr="0019089E">
        <w:rPr>
          <w:sz w:val="22"/>
          <w:szCs w:val="22"/>
        </w:rPr>
        <w:t>2025 г.;</w:t>
      </w:r>
    </w:p>
    <w:p w14:paraId="7BA1A77E" w14:textId="074E12B3" w:rsidR="00BB1857" w:rsidRPr="0019089E" w:rsidRDefault="00BB1857" w:rsidP="004823C1">
      <w:pPr>
        <w:pStyle w:val="ListParagraph"/>
        <w:numPr>
          <w:ilvl w:val="0"/>
          <w:numId w:val="25"/>
        </w:numPr>
        <w:shd w:val="clear" w:color="auto" w:fill="FFFFFF" w:themeFill="background1"/>
        <w:ind w:left="709" w:hanging="283"/>
        <w:jc w:val="both"/>
        <w:rPr>
          <w:sz w:val="22"/>
          <w:szCs w:val="22"/>
        </w:rPr>
      </w:pPr>
      <w:r w:rsidRPr="0019089E">
        <w:rPr>
          <w:sz w:val="22"/>
          <w:szCs w:val="22"/>
        </w:rPr>
        <w:t>Изготвена е докладна записка до заместник министър-председателя и министър на транспорта и съобщенията с обобщена допълнителна информация за изпълнението на т. 1 от РМС 311/2025 г.</w:t>
      </w:r>
      <w:r w:rsidR="0019089E">
        <w:rPr>
          <w:sz w:val="22"/>
          <w:szCs w:val="22"/>
        </w:rPr>
        <w:t>, към 24</w:t>
      </w:r>
      <w:r w:rsidR="0019089E">
        <w:rPr>
          <w:sz w:val="22"/>
          <w:szCs w:val="22"/>
          <w:lang w:val="bg-BG"/>
        </w:rPr>
        <w:t>.06.</w:t>
      </w:r>
      <w:r w:rsidRPr="0019089E">
        <w:rPr>
          <w:sz w:val="22"/>
          <w:szCs w:val="22"/>
        </w:rPr>
        <w:t xml:space="preserve">2025 г., за идентифицираните от министрите общественозначими проекти, за които не е осигурено финансиране в средносрочната бюджетна прогноза и за които не съществуват очевидни правни пречки за възлагането им чрез концесия. (Рег. № 02.78-15 от </w:t>
      </w:r>
      <w:r w:rsidR="0019089E">
        <w:rPr>
          <w:sz w:val="22"/>
          <w:szCs w:val="22"/>
        </w:rPr>
        <w:t>25.06.2025 г.)</w:t>
      </w:r>
    </w:p>
    <w:p w14:paraId="03A3778D" w14:textId="77777777" w:rsidR="00BB1857" w:rsidRPr="0019089E" w:rsidRDefault="00BB1857" w:rsidP="004823C1">
      <w:pPr>
        <w:pStyle w:val="ListParagraph"/>
        <w:numPr>
          <w:ilvl w:val="6"/>
          <w:numId w:val="24"/>
        </w:numPr>
        <w:shd w:val="clear" w:color="auto" w:fill="FFFFFF" w:themeFill="background1"/>
        <w:tabs>
          <w:tab w:val="left" w:pos="709"/>
          <w:tab w:val="left" w:pos="993"/>
        </w:tabs>
        <w:ind w:left="0" w:firstLine="426"/>
        <w:jc w:val="both"/>
        <w:rPr>
          <w:rFonts w:eastAsia="Calibri"/>
          <w:sz w:val="22"/>
          <w:szCs w:val="22"/>
        </w:rPr>
      </w:pPr>
      <w:r w:rsidRPr="0019089E">
        <w:rPr>
          <w:rFonts w:eastAsia="Calibri"/>
          <w:sz w:val="22"/>
          <w:szCs w:val="22"/>
        </w:rPr>
        <w:t>Изготвено е писмо от директора на дирекция СРКК до председателя на Сметната палата, със становище на дирекцията, във връзка с постъпило запитване от кмета на Община Попово относно вписване на концесионни договори в имотния регистър към Агенцията по вписванията. Изготвено е писмо-отговор от директора на дирекция СРКК до кмета на Община Попово на база предоставеното становище от председателя на Сметната палата.</w:t>
      </w:r>
    </w:p>
    <w:p w14:paraId="312E098E" w14:textId="043BA509" w:rsidR="00BB1857" w:rsidRPr="0019089E" w:rsidRDefault="00BB1857" w:rsidP="004823C1">
      <w:pPr>
        <w:pStyle w:val="ListParagraph"/>
        <w:numPr>
          <w:ilvl w:val="6"/>
          <w:numId w:val="24"/>
        </w:numPr>
        <w:shd w:val="clear" w:color="auto" w:fill="FFFFFF" w:themeFill="background1"/>
        <w:tabs>
          <w:tab w:val="left" w:pos="709"/>
          <w:tab w:val="left" w:pos="993"/>
        </w:tabs>
        <w:ind w:left="0" w:firstLine="426"/>
        <w:jc w:val="both"/>
        <w:rPr>
          <w:rFonts w:eastAsia="Calibri"/>
          <w:sz w:val="22"/>
          <w:szCs w:val="22"/>
        </w:rPr>
      </w:pPr>
      <w:r w:rsidRPr="0019089E">
        <w:rPr>
          <w:rFonts w:eastAsia="Calibri"/>
          <w:sz w:val="22"/>
          <w:szCs w:val="22"/>
        </w:rPr>
        <w:t>Изготвена и предоставена на НСИ информация относно възложени държавни концесии през</w:t>
      </w:r>
      <w:r w:rsidR="0019089E">
        <w:rPr>
          <w:rFonts w:eastAsia="Calibri"/>
          <w:sz w:val="22"/>
          <w:szCs w:val="22"/>
        </w:rPr>
        <w:t xml:space="preserve"> периода 2021</w:t>
      </w:r>
      <w:r w:rsidR="00490A38">
        <w:rPr>
          <w:rFonts w:eastAsia="Calibri"/>
          <w:sz w:val="22"/>
          <w:szCs w:val="22"/>
          <w:lang w:val="bg-BG"/>
        </w:rPr>
        <w:t xml:space="preserve"> </w:t>
      </w:r>
      <w:r w:rsidR="00490A38">
        <w:rPr>
          <w:rFonts w:eastAsia="Calibri"/>
          <w:sz w:val="22"/>
          <w:szCs w:val="22"/>
        </w:rPr>
        <w:t>–</w:t>
      </w:r>
      <w:r w:rsidR="00490A38">
        <w:rPr>
          <w:rFonts w:eastAsia="Calibri"/>
          <w:sz w:val="22"/>
          <w:szCs w:val="22"/>
          <w:lang w:val="bg-BG"/>
        </w:rPr>
        <w:t xml:space="preserve"> </w:t>
      </w:r>
      <w:r w:rsidRPr="0019089E">
        <w:rPr>
          <w:rFonts w:eastAsia="Calibri"/>
          <w:sz w:val="22"/>
          <w:szCs w:val="22"/>
        </w:rPr>
        <w:t xml:space="preserve">2024 г., във връзка с Регулярна мисия на Евростат (ЕК) за нотификационните таблици за дефицита/излишъка и дълга на сектор „Държавно управление" 7 – </w:t>
      </w:r>
      <w:r w:rsidR="0019089E">
        <w:rPr>
          <w:rFonts w:eastAsia="Calibri"/>
          <w:sz w:val="22"/>
          <w:szCs w:val="22"/>
        </w:rPr>
        <w:t>8</w:t>
      </w:r>
      <w:r w:rsidR="006E59A4">
        <w:rPr>
          <w:rFonts w:eastAsia="Calibri"/>
          <w:sz w:val="22"/>
          <w:szCs w:val="22"/>
          <w:lang w:val="bg-BG"/>
        </w:rPr>
        <w:t xml:space="preserve"> май </w:t>
      </w:r>
      <w:r w:rsidRPr="0019089E">
        <w:rPr>
          <w:rFonts w:eastAsia="Calibri"/>
          <w:sz w:val="22"/>
          <w:szCs w:val="22"/>
        </w:rPr>
        <w:t>2025 г.</w:t>
      </w:r>
    </w:p>
    <w:p w14:paraId="4E31624E" w14:textId="26AE9DDA" w:rsidR="00BB1857" w:rsidRPr="0019089E" w:rsidRDefault="00BB1857" w:rsidP="004823C1">
      <w:pPr>
        <w:pStyle w:val="ListParagraph"/>
        <w:numPr>
          <w:ilvl w:val="6"/>
          <w:numId w:val="24"/>
        </w:numPr>
        <w:shd w:val="clear" w:color="auto" w:fill="FFFFFF" w:themeFill="background1"/>
        <w:tabs>
          <w:tab w:val="left" w:pos="709"/>
          <w:tab w:val="left" w:pos="993"/>
        </w:tabs>
        <w:ind w:left="0" w:firstLine="426"/>
        <w:jc w:val="both"/>
        <w:rPr>
          <w:rFonts w:eastAsia="Calibri"/>
          <w:sz w:val="22"/>
          <w:szCs w:val="22"/>
        </w:rPr>
      </w:pPr>
      <w:r w:rsidRPr="0019089E">
        <w:rPr>
          <w:rFonts w:eastAsia="Calibri"/>
          <w:sz w:val="22"/>
          <w:szCs w:val="22"/>
        </w:rPr>
        <w:t>Изготвен е пакет от документи от името на заместник министър-председателя и министър на транспорта и съобщенията относно приемане от МС на проект на Решение за одобряване на Актуализиран план за действие за държавните концесии за периода 2021</w:t>
      </w:r>
      <w:r w:rsidR="00490A38">
        <w:rPr>
          <w:rFonts w:eastAsia="Calibri"/>
          <w:sz w:val="22"/>
          <w:szCs w:val="22"/>
          <w:lang w:val="bg-BG"/>
        </w:rPr>
        <w:t xml:space="preserve"> </w:t>
      </w:r>
      <w:r w:rsidR="00490A38">
        <w:rPr>
          <w:rFonts w:eastAsia="Calibri"/>
          <w:sz w:val="22"/>
          <w:szCs w:val="22"/>
        </w:rPr>
        <w:t>–</w:t>
      </w:r>
      <w:r w:rsidR="00490A38">
        <w:rPr>
          <w:rFonts w:eastAsia="Calibri"/>
          <w:sz w:val="22"/>
          <w:szCs w:val="22"/>
          <w:lang w:val="bg-BG"/>
        </w:rPr>
        <w:t xml:space="preserve"> </w:t>
      </w:r>
      <w:r w:rsidRPr="0019089E">
        <w:rPr>
          <w:rFonts w:eastAsia="Calibri"/>
          <w:sz w:val="22"/>
          <w:szCs w:val="22"/>
        </w:rPr>
        <w:t>2027 г. Във връзка с изпълнение на задачата са изготвени и писма от началника на политическия кабинет на заместник министър-председателя и министър на транспорта и съобщенията за съгласуване по реда на чл. 32 от УПМСНА на проекта на Решение, и на основание чл. 35 от УПМСНА – за внасяне на проекта на Решение за разглеждане от МС. Проектът на решение е разгледан и приет от Министерския съвет на з</w:t>
      </w:r>
      <w:r w:rsidR="0019089E">
        <w:rPr>
          <w:rFonts w:eastAsia="Calibri"/>
          <w:sz w:val="22"/>
          <w:szCs w:val="22"/>
        </w:rPr>
        <w:t>аседанието, проведено на 24</w:t>
      </w:r>
      <w:r w:rsidR="0019089E" w:rsidRPr="00154518">
        <w:rPr>
          <w:rFonts w:eastAsia="Calibri"/>
          <w:sz w:val="22"/>
          <w:szCs w:val="22"/>
        </w:rPr>
        <w:t>.06.</w:t>
      </w:r>
      <w:r w:rsidRPr="0019089E">
        <w:rPr>
          <w:rFonts w:eastAsia="Calibri"/>
          <w:sz w:val="22"/>
          <w:szCs w:val="22"/>
        </w:rPr>
        <w:t>2025 г.</w:t>
      </w:r>
    </w:p>
    <w:p w14:paraId="57951C62" w14:textId="77777777" w:rsidR="00BB1857" w:rsidRPr="0019089E" w:rsidRDefault="00BB1857" w:rsidP="004823C1">
      <w:pPr>
        <w:pStyle w:val="ListParagraph"/>
        <w:numPr>
          <w:ilvl w:val="6"/>
          <w:numId w:val="24"/>
        </w:numPr>
        <w:shd w:val="clear" w:color="auto" w:fill="FFFFFF" w:themeFill="background1"/>
        <w:tabs>
          <w:tab w:val="left" w:pos="709"/>
          <w:tab w:val="left" w:pos="993"/>
        </w:tabs>
        <w:ind w:left="0" w:firstLine="426"/>
        <w:jc w:val="both"/>
        <w:rPr>
          <w:rFonts w:eastAsia="Calibri"/>
          <w:sz w:val="22"/>
          <w:szCs w:val="22"/>
        </w:rPr>
      </w:pPr>
      <w:r w:rsidRPr="0019089E">
        <w:rPr>
          <w:rFonts w:eastAsia="Calibri"/>
          <w:sz w:val="22"/>
          <w:szCs w:val="22"/>
        </w:rPr>
        <w:t xml:space="preserve">Изготвено е писмо от директора на дирекция СРКК до кмета на община Кърджали относно реда и необходимите документи за извършване от дирекция СРКК на предварителен контрол за спазване на изискванията за възлагане на концесии над европейския праг на основание чл. 41, т. 5, буква „а“ от Закона за концесиите. </w:t>
      </w:r>
    </w:p>
    <w:p w14:paraId="0E6EB179" w14:textId="77777777" w:rsidR="00BB1857" w:rsidRPr="0019089E" w:rsidRDefault="00BB1857" w:rsidP="004823C1">
      <w:pPr>
        <w:pStyle w:val="ListParagraph"/>
        <w:numPr>
          <w:ilvl w:val="6"/>
          <w:numId w:val="24"/>
        </w:numPr>
        <w:shd w:val="clear" w:color="auto" w:fill="FFFFFF" w:themeFill="background1"/>
        <w:tabs>
          <w:tab w:val="left" w:pos="709"/>
          <w:tab w:val="left" w:pos="993"/>
        </w:tabs>
        <w:ind w:left="0" w:firstLine="426"/>
        <w:jc w:val="both"/>
        <w:rPr>
          <w:rFonts w:eastAsia="Calibri"/>
          <w:sz w:val="22"/>
          <w:szCs w:val="22"/>
        </w:rPr>
      </w:pPr>
      <w:r w:rsidRPr="0019089E">
        <w:rPr>
          <w:rFonts w:eastAsia="Calibri"/>
          <w:sz w:val="22"/>
          <w:szCs w:val="22"/>
        </w:rPr>
        <w:t xml:space="preserve">Изготвен е и изпратен по електронна поща отговор от името на дирекция СРКК на запитване от Община Павликени относно участие на физическо лице в процедура за определяне на концесионер. </w:t>
      </w:r>
    </w:p>
    <w:p w14:paraId="479B2894" w14:textId="77777777" w:rsidR="00BB1857" w:rsidRPr="0019089E" w:rsidRDefault="00BB1857" w:rsidP="004823C1">
      <w:pPr>
        <w:pStyle w:val="ListParagraph"/>
        <w:numPr>
          <w:ilvl w:val="6"/>
          <w:numId w:val="24"/>
        </w:numPr>
        <w:shd w:val="clear" w:color="auto" w:fill="FFFFFF" w:themeFill="background1"/>
        <w:tabs>
          <w:tab w:val="left" w:pos="709"/>
          <w:tab w:val="left" w:pos="993"/>
        </w:tabs>
        <w:ind w:left="0" w:firstLine="426"/>
        <w:jc w:val="both"/>
        <w:rPr>
          <w:rFonts w:eastAsia="Calibri"/>
          <w:sz w:val="22"/>
          <w:szCs w:val="22"/>
        </w:rPr>
      </w:pPr>
      <w:r w:rsidRPr="0019089E">
        <w:rPr>
          <w:rFonts w:eastAsia="Calibri"/>
          <w:sz w:val="22"/>
          <w:szCs w:val="22"/>
        </w:rPr>
        <w:t>Работа във връзка с Търговско дело № 21 от 2024 г. по искова молба от „Лукойл Нефтохим Бургас“ АД:</w:t>
      </w:r>
    </w:p>
    <w:p w14:paraId="26708365" w14:textId="43877165" w:rsidR="00BB1857" w:rsidRPr="0019089E" w:rsidRDefault="00BB1857" w:rsidP="004823C1">
      <w:pPr>
        <w:shd w:val="clear" w:color="auto" w:fill="FFFFFF" w:themeFill="background1"/>
        <w:spacing w:after="120"/>
        <w:ind w:firstLine="426"/>
        <w:jc w:val="both"/>
        <w:rPr>
          <w:bCs/>
          <w:sz w:val="22"/>
          <w:szCs w:val="22"/>
        </w:rPr>
      </w:pPr>
      <w:r w:rsidRPr="0019089E">
        <w:rPr>
          <w:sz w:val="22"/>
          <w:szCs w:val="22"/>
        </w:rPr>
        <w:t xml:space="preserve">Изготвен е доклад от директора на ДСРКК до главния секретар относно съгласие за включване на адвокат в екипа от адвокати по Договор № МС-42 от </w:t>
      </w:r>
      <w:r w:rsidR="0019089E">
        <w:rPr>
          <w:sz w:val="22"/>
          <w:szCs w:val="22"/>
        </w:rPr>
        <w:t>02.05.</w:t>
      </w:r>
      <w:r w:rsidRPr="0019089E">
        <w:rPr>
          <w:sz w:val="22"/>
          <w:szCs w:val="22"/>
        </w:rPr>
        <w:t>2024 г. за процесуално представителство по търговско дело №</w:t>
      </w:r>
      <w:r w:rsidR="002560DD">
        <w:rPr>
          <w:sz w:val="22"/>
          <w:szCs w:val="22"/>
        </w:rPr>
        <w:t xml:space="preserve"> </w:t>
      </w:r>
      <w:r w:rsidRPr="0019089E">
        <w:rPr>
          <w:sz w:val="22"/>
          <w:szCs w:val="22"/>
        </w:rPr>
        <w:t>20241100900021, Търговско отделение, VІ-17 състав на Софийския градски съд, образувано по исковата молба на „Лукойл Нефтохим Бургас“ АД, сключен между Министерския съвет на Република България и адвокатско дружество „Камбуров и съдружници“, и упълномощаване на адвокатско дружество „Камбуров и съдружници“ и адвокати от дружеството да представляват Министерския съвет по горепосоченото търговско дело, с приложени изготвени: проект на пълномощно от министър-председателя и писмо от главния секретар до адвокатското дружество.</w:t>
      </w:r>
    </w:p>
    <w:p w14:paraId="6508945A" w14:textId="77777777" w:rsidR="00D91A9D" w:rsidRPr="004823C1" w:rsidRDefault="00D91A9D" w:rsidP="004823C1">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4823C1">
        <w:rPr>
          <w:b/>
          <w:bCs/>
          <w:i/>
          <w:iCs/>
          <w:color w:val="215E99" w:themeColor="text2" w:themeTint="BF"/>
          <w:sz w:val="22"/>
          <w:szCs w:val="22"/>
        </w:rPr>
        <w:t>Осигуряване на законосъобразност и целесъобразност на актовете на МС, свързани с търсене и/или проучване на подземни богатства, както и с концесии по Закона за подземните богатства (ЗПБ), Закона за устройството на Черноморското крайбрежие (ЗУЧК) и Закона за водите – (ЗВ) – за добив на минерална вода – дирекция „Стратегическо развитие, координация и концесии“</w:t>
      </w:r>
    </w:p>
    <w:p w14:paraId="15302FF7" w14:textId="77777777" w:rsidR="00D91A9D" w:rsidRPr="00D91A9D" w:rsidRDefault="00D91A9D" w:rsidP="004823C1">
      <w:pPr>
        <w:shd w:val="clear" w:color="auto" w:fill="FFFFFF" w:themeFill="background1"/>
        <w:ind w:left="357" w:firstLine="69"/>
        <w:jc w:val="both"/>
        <w:rPr>
          <w:b/>
          <w:i/>
          <w:color w:val="800000"/>
          <w:sz w:val="22"/>
          <w:szCs w:val="22"/>
        </w:rPr>
      </w:pPr>
      <w:r w:rsidRPr="00D91A9D">
        <w:rPr>
          <w:b/>
          <w:i/>
          <w:color w:val="800000"/>
          <w:sz w:val="22"/>
          <w:szCs w:val="22"/>
        </w:rPr>
        <w:t>Дейности за предоставяне на продукта/услугата:</w:t>
      </w:r>
    </w:p>
    <w:p w14:paraId="74ACE674" w14:textId="77777777" w:rsidR="00D91A9D" w:rsidRPr="00AA5952" w:rsidRDefault="00D91A9D" w:rsidP="00DA0267">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AA5952">
        <w:rPr>
          <w:rFonts w:eastAsia="Batang"/>
          <w:b/>
          <w:bCs/>
          <w:sz w:val="22"/>
          <w:szCs w:val="22"/>
          <w:lang w:eastAsia="ko-KR"/>
        </w:rPr>
        <w:t>Изготвяне на становища при съгласуването по УПМСНА</w:t>
      </w:r>
    </w:p>
    <w:p w14:paraId="2811D42C" w14:textId="77777777" w:rsidR="00D91A9D" w:rsidRPr="00D91A9D" w:rsidRDefault="00D91A9D" w:rsidP="00DA0267">
      <w:pPr>
        <w:shd w:val="clear" w:color="auto" w:fill="FFFFFF" w:themeFill="background1"/>
        <w:tabs>
          <w:tab w:val="num" w:pos="993"/>
        </w:tabs>
        <w:ind w:left="426"/>
        <w:jc w:val="both"/>
        <w:rPr>
          <w:sz w:val="22"/>
          <w:szCs w:val="22"/>
        </w:rPr>
      </w:pPr>
      <w:r w:rsidRPr="00D91A9D">
        <w:rPr>
          <w:sz w:val="22"/>
          <w:szCs w:val="22"/>
        </w:rPr>
        <w:lastRenderedPageBreak/>
        <w:t>За отчетния период ДСРКК е извършила следните дейности:</w:t>
      </w:r>
    </w:p>
    <w:p w14:paraId="4F056257" w14:textId="39B9BD88" w:rsidR="00D91A9D" w:rsidRPr="00D91A9D" w:rsidRDefault="00D91A9D" w:rsidP="00DA0267">
      <w:pPr>
        <w:numPr>
          <w:ilvl w:val="0"/>
          <w:numId w:val="20"/>
        </w:numPr>
        <w:shd w:val="clear" w:color="auto" w:fill="FFFFFF" w:themeFill="background1"/>
        <w:tabs>
          <w:tab w:val="left" w:pos="709"/>
          <w:tab w:val="num" w:pos="993"/>
        </w:tabs>
        <w:ind w:left="426" w:firstLine="0"/>
        <w:jc w:val="both"/>
        <w:rPr>
          <w:sz w:val="22"/>
          <w:szCs w:val="22"/>
          <w:lang w:eastAsia="ko-KR"/>
        </w:rPr>
      </w:pPr>
      <w:r w:rsidRPr="00D91A9D">
        <w:rPr>
          <w:sz w:val="22"/>
          <w:szCs w:val="22"/>
          <w:lang w:eastAsia="ko-KR"/>
        </w:rPr>
        <w:t>Изготвени са 22 становища при съгласуването по</w:t>
      </w:r>
      <w:r>
        <w:rPr>
          <w:sz w:val="22"/>
          <w:szCs w:val="22"/>
          <w:lang w:eastAsia="ko-KR"/>
        </w:rPr>
        <w:t xml:space="preserve"> УПМСНА с бележки и предложения;</w:t>
      </w:r>
    </w:p>
    <w:p w14:paraId="1C9A92F4" w14:textId="77777777" w:rsidR="00D91A9D" w:rsidRPr="00D91A9D" w:rsidRDefault="00D91A9D" w:rsidP="00DA0267">
      <w:pPr>
        <w:numPr>
          <w:ilvl w:val="0"/>
          <w:numId w:val="20"/>
        </w:numPr>
        <w:shd w:val="clear" w:color="auto" w:fill="FFFFFF" w:themeFill="background1"/>
        <w:tabs>
          <w:tab w:val="left" w:pos="709"/>
          <w:tab w:val="num" w:pos="993"/>
        </w:tabs>
        <w:ind w:left="426" w:firstLine="0"/>
        <w:jc w:val="both"/>
        <w:rPr>
          <w:sz w:val="22"/>
          <w:szCs w:val="22"/>
          <w:lang w:eastAsia="ko-KR"/>
        </w:rPr>
      </w:pPr>
      <w:r w:rsidRPr="00D91A9D">
        <w:rPr>
          <w:sz w:val="22"/>
          <w:szCs w:val="22"/>
          <w:lang w:eastAsia="ko-KR"/>
        </w:rPr>
        <w:t>Изготвени са 23 становища при съгласуването по УПМСНА без бележки и предложения.</w:t>
      </w:r>
    </w:p>
    <w:p w14:paraId="4CBCEC00" w14:textId="77777777" w:rsidR="00D91A9D" w:rsidRPr="00AA5952" w:rsidRDefault="00D91A9D" w:rsidP="00DA0267">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AA5952">
        <w:rPr>
          <w:rFonts w:eastAsia="Batang"/>
          <w:b/>
          <w:bCs/>
          <w:sz w:val="22"/>
          <w:szCs w:val="22"/>
          <w:lang w:eastAsia="ko-KR"/>
        </w:rPr>
        <w:t>Окончателно оформяне на актовете на Министерския съвет, свързани с концесии;</w:t>
      </w:r>
    </w:p>
    <w:p w14:paraId="06B6A906" w14:textId="77777777" w:rsidR="00D91A9D" w:rsidRPr="00D91A9D" w:rsidRDefault="00D91A9D" w:rsidP="00DA0267">
      <w:pPr>
        <w:shd w:val="clear" w:color="auto" w:fill="FFFFFF" w:themeFill="background1"/>
        <w:tabs>
          <w:tab w:val="num" w:pos="993"/>
        </w:tabs>
        <w:ind w:left="426"/>
        <w:jc w:val="both"/>
        <w:rPr>
          <w:sz w:val="22"/>
          <w:szCs w:val="22"/>
        </w:rPr>
      </w:pPr>
      <w:r w:rsidRPr="00D91A9D">
        <w:rPr>
          <w:sz w:val="22"/>
          <w:szCs w:val="22"/>
        </w:rPr>
        <w:t>За отчетния период ДСРКК е оформила окончателно 23 акта на Министерския съвет.</w:t>
      </w:r>
    </w:p>
    <w:p w14:paraId="2CA2D1B2" w14:textId="77777777" w:rsidR="00D91A9D" w:rsidRPr="00AA5952" w:rsidRDefault="00D91A9D" w:rsidP="00DA0267">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AA5952">
        <w:rPr>
          <w:rFonts w:eastAsia="Batang"/>
          <w:b/>
          <w:bCs/>
          <w:sz w:val="22"/>
          <w:szCs w:val="22"/>
          <w:lang w:eastAsia="ko-KR"/>
        </w:rPr>
        <w:t>Осъществяване на процесуално представителство по дела, свързани с концесии по ЗПБ, ЗУЧК и ЗВ:</w:t>
      </w:r>
    </w:p>
    <w:p w14:paraId="7D5354B4" w14:textId="77777777" w:rsidR="00D91A9D" w:rsidRPr="00E151FF" w:rsidRDefault="00D91A9D" w:rsidP="00DA0267">
      <w:pPr>
        <w:shd w:val="clear" w:color="auto" w:fill="FFFFFF" w:themeFill="background1"/>
        <w:tabs>
          <w:tab w:val="num" w:pos="993"/>
        </w:tabs>
        <w:ind w:left="426"/>
        <w:jc w:val="both"/>
        <w:rPr>
          <w:sz w:val="22"/>
          <w:szCs w:val="22"/>
        </w:rPr>
      </w:pPr>
      <w:r w:rsidRPr="00E151FF">
        <w:rPr>
          <w:sz w:val="22"/>
          <w:szCs w:val="22"/>
        </w:rPr>
        <w:t>За отчетния период ДСРКК е извършила следните дейности:</w:t>
      </w:r>
    </w:p>
    <w:p w14:paraId="00E582B1" w14:textId="0E4AA302" w:rsidR="00D91A9D" w:rsidRPr="00E151FF" w:rsidRDefault="00D91A9D" w:rsidP="00DA0267">
      <w:pPr>
        <w:pStyle w:val="ListParagraph"/>
        <w:numPr>
          <w:ilvl w:val="2"/>
          <w:numId w:val="27"/>
        </w:numPr>
        <w:shd w:val="clear" w:color="auto" w:fill="FFFFFF" w:themeFill="background1"/>
        <w:tabs>
          <w:tab w:val="clear" w:pos="1800"/>
        </w:tabs>
        <w:ind w:left="0" w:firstLine="426"/>
        <w:jc w:val="both"/>
        <w:rPr>
          <w:sz w:val="22"/>
          <w:szCs w:val="22"/>
        </w:rPr>
      </w:pPr>
      <w:r w:rsidRPr="00E151FF">
        <w:rPr>
          <w:sz w:val="22"/>
          <w:szCs w:val="22"/>
        </w:rPr>
        <w:t xml:space="preserve">Изготвени са общо 2 становища (до АССГ и до ВАС) по жалби от ПП „ПОЛИТИЧЕСКИ КЛУБ „ЕКОГЛАСНОСТ“ ЕООД срещу Решение № 147 на Министерския съвет от </w:t>
      </w:r>
      <w:r w:rsidR="007A2B05">
        <w:rPr>
          <w:sz w:val="22"/>
          <w:szCs w:val="22"/>
        </w:rPr>
        <w:br/>
        <w:t>14</w:t>
      </w:r>
      <w:r w:rsidR="007A2B05">
        <w:rPr>
          <w:sz w:val="22"/>
          <w:szCs w:val="22"/>
          <w:lang w:val="bg-BG"/>
        </w:rPr>
        <w:t>.03.</w:t>
      </w:r>
      <w:r w:rsidRPr="00E151FF">
        <w:rPr>
          <w:sz w:val="22"/>
          <w:szCs w:val="22"/>
        </w:rPr>
        <w:t>2025 г. за даване на съгласие за изменение на договор за предоставяне на концесия за подземни природни богатства – медно-порфирни златосъдържащи руди, чрез добив от находище „Елаците“ – Софийск</w:t>
      </w:r>
      <w:r w:rsidR="007A2B05">
        <w:rPr>
          <w:sz w:val="22"/>
          <w:szCs w:val="22"/>
        </w:rPr>
        <w:t>а област, сключен на 15</w:t>
      </w:r>
      <w:r w:rsidR="007A2B05">
        <w:rPr>
          <w:sz w:val="22"/>
          <w:szCs w:val="22"/>
          <w:lang w:val="bg-BG"/>
        </w:rPr>
        <w:t>.11.</w:t>
      </w:r>
      <w:r w:rsidRPr="00E151FF">
        <w:rPr>
          <w:sz w:val="22"/>
          <w:szCs w:val="22"/>
        </w:rPr>
        <w:t>1999 г. между Министерския съвет на Република България, представляван от заместник-министър председателя и министър</w:t>
      </w:r>
      <w:r w:rsidR="007A2B05">
        <w:rPr>
          <w:sz w:val="22"/>
          <w:szCs w:val="22"/>
        </w:rPr>
        <w:t xml:space="preserve"> на промишлеността и „Елаците-</w:t>
      </w:r>
      <w:r w:rsidRPr="00E151FF">
        <w:rPr>
          <w:sz w:val="22"/>
          <w:szCs w:val="22"/>
        </w:rPr>
        <w:t>мед“ ЕАД, с. Мирково, Софийска област, и за отправяне на предложение до концесионера за изменение и допълнение на концесионния договор (Решение № 147 н</w:t>
      </w:r>
      <w:r w:rsidR="00C22488">
        <w:rPr>
          <w:sz w:val="22"/>
          <w:szCs w:val="22"/>
        </w:rPr>
        <w:t>а Министерския съвет от 14</w:t>
      </w:r>
      <w:r w:rsidR="00C22488">
        <w:rPr>
          <w:sz w:val="22"/>
          <w:szCs w:val="22"/>
          <w:lang w:val="bg-BG"/>
        </w:rPr>
        <w:t>.03.</w:t>
      </w:r>
      <w:r w:rsidRPr="00E151FF">
        <w:rPr>
          <w:sz w:val="22"/>
          <w:szCs w:val="22"/>
        </w:rPr>
        <w:t>2025 г.), по които са образувани:</w:t>
      </w:r>
    </w:p>
    <w:p w14:paraId="7FD3792B" w14:textId="77777777" w:rsidR="00D91A9D" w:rsidRPr="00C22488" w:rsidRDefault="00D91A9D" w:rsidP="00DA0267">
      <w:pPr>
        <w:pStyle w:val="ListParagraph"/>
        <w:numPr>
          <w:ilvl w:val="0"/>
          <w:numId w:val="25"/>
        </w:numPr>
        <w:shd w:val="clear" w:color="auto" w:fill="FFFFFF" w:themeFill="background1"/>
        <w:ind w:left="709" w:hanging="283"/>
        <w:jc w:val="both"/>
        <w:rPr>
          <w:sz w:val="22"/>
          <w:szCs w:val="22"/>
        </w:rPr>
      </w:pPr>
      <w:r w:rsidRPr="00C22488">
        <w:rPr>
          <w:sz w:val="22"/>
          <w:szCs w:val="22"/>
        </w:rPr>
        <w:t>Административно дело № 3253 от 2025 г. по описа на АССГ, 2 отд., 31 с-в и</w:t>
      </w:r>
    </w:p>
    <w:p w14:paraId="6EDC61A7" w14:textId="77777777" w:rsidR="00D91A9D" w:rsidRPr="00C22488" w:rsidRDefault="00D91A9D" w:rsidP="00DA0267">
      <w:pPr>
        <w:pStyle w:val="ListParagraph"/>
        <w:numPr>
          <w:ilvl w:val="0"/>
          <w:numId w:val="25"/>
        </w:numPr>
        <w:shd w:val="clear" w:color="auto" w:fill="FFFFFF" w:themeFill="background1"/>
        <w:ind w:left="709" w:hanging="283"/>
        <w:jc w:val="both"/>
        <w:rPr>
          <w:sz w:val="22"/>
          <w:szCs w:val="22"/>
        </w:rPr>
      </w:pPr>
      <w:r w:rsidRPr="00C22488">
        <w:rPr>
          <w:sz w:val="22"/>
          <w:szCs w:val="22"/>
        </w:rPr>
        <w:t>Административно дело № 4140 от 2025 г. по описа на ВАС, Шесто отделение.</w:t>
      </w:r>
    </w:p>
    <w:p w14:paraId="179B32CA" w14:textId="043EE609" w:rsidR="00D91A9D" w:rsidRPr="00C22488" w:rsidRDefault="00D91A9D" w:rsidP="00DA0267">
      <w:pPr>
        <w:pStyle w:val="ListParagraph"/>
        <w:numPr>
          <w:ilvl w:val="2"/>
          <w:numId w:val="27"/>
        </w:numPr>
        <w:shd w:val="clear" w:color="auto" w:fill="FFFFFF" w:themeFill="background1"/>
        <w:tabs>
          <w:tab w:val="clear" w:pos="1800"/>
        </w:tabs>
        <w:ind w:left="0" w:firstLine="426"/>
        <w:jc w:val="both"/>
        <w:rPr>
          <w:sz w:val="22"/>
          <w:szCs w:val="22"/>
        </w:rPr>
      </w:pPr>
      <w:r w:rsidRPr="00C22488">
        <w:rPr>
          <w:sz w:val="22"/>
          <w:szCs w:val="22"/>
        </w:rPr>
        <w:t>Окомплектована е цялата административна преписка във връзка с приемане на Решение № 147 н</w:t>
      </w:r>
      <w:r w:rsidR="00E512F8">
        <w:rPr>
          <w:sz w:val="22"/>
          <w:szCs w:val="22"/>
        </w:rPr>
        <w:t>а Министерския съвет от 14</w:t>
      </w:r>
      <w:r w:rsidR="00E512F8" w:rsidRPr="003A1DE8">
        <w:rPr>
          <w:sz w:val="22"/>
          <w:szCs w:val="22"/>
        </w:rPr>
        <w:t>.03.</w:t>
      </w:r>
      <w:r w:rsidRPr="00C22488">
        <w:rPr>
          <w:sz w:val="22"/>
          <w:szCs w:val="22"/>
        </w:rPr>
        <w:t>2025 г.</w:t>
      </w:r>
    </w:p>
    <w:p w14:paraId="37F8313F" w14:textId="10FB1B38" w:rsidR="00D91A9D" w:rsidRPr="00C22488" w:rsidRDefault="00D91A9D" w:rsidP="00DA0267">
      <w:pPr>
        <w:pStyle w:val="ListParagraph"/>
        <w:numPr>
          <w:ilvl w:val="2"/>
          <w:numId w:val="27"/>
        </w:numPr>
        <w:shd w:val="clear" w:color="auto" w:fill="FFFFFF" w:themeFill="background1"/>
        <w:tabs>
          <w:tab w:val="clear" w:pos="1800"/>
        </w:tabs>
        <w:ind w:left="0" w:firstLine="426"/>
        <w:jc w:val="both"/>
        <w:rPr>
          <w:sz w:val="22"/>
          <w:szCs w:val="22"/>
        </w:rPr>
      </w:pPr>
      <w:r w:rsidRPr="00C22488">
        <w:rPr>
          <w:sz w:val="22"/>
          <w:szCs w:val="22"/>
        </w:rPr>
        <w:t>Изготвена е молба до ВАС за прекратяване на производството по делото, поради пълна идентичност между страните и обжалвания акт, както по а.д. № 3253 от 2025 г. по описа на АССГ, 2 отд., 31 с-в, така и по адм. дело № 4140 от 2025 г. по описа на ВАС, Шесто отделение, поради влизане в сила на Определение № 15528 от 08.05.2025 г. на АССГ, Вто</w:t>
      </w:r>
      <w:r w:rsidR="00E512F8">
        <w:rPr>
          <w:sz w:val="22"/>
          <w:szCs w:val="22"/>
        </w:rPr>
        <w:t xml:space="preserve">ро отделение, 31 с-в по а.д. № </w:t>
      </w:r>
      <w:r w:rsidRPr="00C22488">
        <w:rPr>
          <w:sz w:val="22"/>
          <w:szCs w:val="22"/>
        </w:rPr>
        <w:t>3253 от 2025 г., с което жалбата пред АССГ е оставена без разглеждане и производството по делото е прекратено.</w:t>
      </w:r>
    </w:p>
    <w:p w14:paraId="47860AC3" w14:textId="3A28166D" w:rsidR="00D91A9D" w:rsidRPr="00C22488" w:rsidRDefault="00D91A9D" w:rsidP="00DA0267">
      <w:pPr>
        <w:pStyle w:val="ListParagraph"/>
        <w:numPr>
          <w:ilvl w:val="2"/>
          <w:numId w:val="27"/>
        </w:numPr>
        <w:shd w:val="clear" w:color="auto" w:fill="FFFFFF" w:themeFill="background1"/>
        <w:tabs>
          <w:tab w:val="clear" w:pos="1800"/>
        </w:tabs>
        <w:ind w:left="0" w:firstLine="426"/>
        <w:jc w:val="both"/>
        <w:rPr>
          <w:sz w:val="22"/>
          <w:szCs w:val="22"/>
        </w:rPr>
      </w:pPr>
      <w:r w:rsidRPr="00C22488">
        <w:rPr>
          <w:sz w:val="22"/>
          <w:szCs w:val="22"/>
        </w:rPr>
        <w:t xml:space="preserve">Изготвена е 1 касационна жалба до ВАС чрез КЗК срещу Решение КЗК № 186 от </w:t>
      </w:r>
      <w:r w:rsidR="00E512F8">
        <w:rPr>
          <w:sz w:val="22"/>
          <w:szCs w:val="22"/>
        </w:rPr>
        <w:br/>
      </w:r>
      <w:r w:rsidRPr="00C22488">
        <w:rPr>
          <w:sz w:val="22"/>
          <w:szCs w:val="22"/>
        </w:rPr>
        <w:t>20.02.2025 г. по преписка КЗК-1130/2024 г., с което КЗК отменя като незаконосъобразно Решение № 805 на Министерския съвет от 22.11.2024 г. за определяне на концесионер на морски плаж „Атанасовска коса“ – част 1, община Бургас, област Бургас (обн., ДВ, бр. 101 от 2024 г.) и връща преписката на концедента за продължаване на процедурата съобразно мотивите, изложени в обжалваното решение.</w:t>
      </w:r>
    </w:p>
    <w:p w14:paraId="7C57C29D" w14:textId="4813D17A" w:rsidR="00D91A9D" w:rsidRPr="00C22488" w:rsidRDefault="00D91A9D" w:rsidP="00DA0267">
      <w:pPr>
        <w:pStyle w:val="ListParagraph"/>
        <w:numPr>
          <w:ilvl w:val="2"/>
          <w:numId w:val="27"/>
        </w:numPr>
        <w:shd w:val="clear" w:color="auto" w:fill="FFFFFF" w:themeFill="background1"/>
        <w:tabs>
          <w:tab w:val="clear" w:pos="1800"/>
        </w:tabs>
        <w:ind w:left="0" w:firstLine="426"/>
        <w:jc w:val="both"/>
        <w:rPr>
          <w:sz w:val="22"/>
          <w:szCs w:val="22"/>
        </w:rPr>
      </w:pPr>
      <w:r w:rsidRPr="00C22488">
        <w:rPr>
          <w:sz w:val="22"/>
          <w:szCs w:val="22"/>
        </w:rPr>
        <w:t xml:space="preserve">Изготвени са докладна </w:t>
      </w:r>
      <w:r w:rsidR="00E512F8">
        <w:rPr>
          <w:sz w:val="22"/>
          <w:szCs w:val="22"/>
        </w:rPr>
        <w:t xml:space="preserve">записка за одобрение на разход </w:t>
      </w:r>
      <w:r w:rsidRPr="00C22488">
        <w:rPr>
          <w:sz w:val="22"/>
          <w:szCs w:val="22"/>
        </w:rPr>
        <w:t>с № 11.00-244/18.03.2025 г. и писмо до ВАС относно платена държавна такса по касационна жалба с № 4007 от 13.03.2025г. срещу Решение 186/2025 на КЗК, постановено по преписка КЗК-1130/2024 г.</w:t>
      </w:r>
    </w:p>
    <w:p w14:paraId="4DD1F0D4" w14:textId="05E39420" w:rsidR="00D91A9D" w:rsidRPr="00C22488" w:rsidRDefault="00D91A9D" w:rsidP="00DA0267">
      <w:pPr>
        <w:pStyle w:val="ListParagraph"/>
        <w:numPr>
          <w:ilvl w:val="2"/>
          <w:numId w:val="27"/>
        </w:numPr>
        <w:shd w:val="clear" w:color="auto" w:fill="FFFFFF" w:themeFill="background1"/>
        <w:tabs>
          <w:tab w:val="clear" w:pos="1800"/>
        </w:tabs>
        <w:ind w:left="0" w:firstLine="426"/>
        <w:jc w:val="both"/>
        <w:rPr>
          <w:sz w:val="22"/>
          <w:szCs w:val="22"/>
        </w:rPr>
      </w:pPr>
      <w:r w:rsidRPr="00C22488">
        <w:rPr>
          <w:sz w:val="22"/>
          <w:szCs w:val="22"/>
        </w:rPr>
        <w:t xml:space="preserve"> Изготвени са писмени бележки по а.д. № 3098/2025 г., образувано по касационна жалба от Мини</w:t>
      </w:r>
      <w:r w:rsidR="00E512F8">
        <w:rPr>
          <w:sz w:val="22"/>
          <w:szCs w:val="22"/>
        </w:rPr>
        <w:t xml:space="preserve">стерския съвет срещу Решение № </w:t>
      </w:r>
      <w:r w:rsidRPr="00C22488">
        <w:rPr>
          <w:sz w:val="22"/>
          <w:szCs w:val="22"/>
        </w:rPr>
        <w:t>186 от 20.02.2025 г. по преписка КЗК-1130/2024 г.</w:t>
      </w:r>
    </w:p>
    <w:p w14:paraId="0A10CF28" w14:textId="0C6A1E60" w:rsidR="00D91A9D" w:rsidRPr="00C22488" w:rsidRDefault="00D91A9D" w:rsidP="00DA0267">
      <w:pPr>
        <w:pStyle w:val="ListParagraph"/>
        <w:numPr>
          <w:ilvl w:val="2"/>
          <w:numId w:val="27"/>
        </w:numPr>
        <w:shd w:val="clear" w:color="auto" w:fill="FFFFFF" w:themeFill="background1"/>
        <w:tabs>
          <w:tab w:val="clear" w:pos="1800"/>
        </w:tabs>
        <w:ind w:left="0" w:firstLine="426"/>
        <w:jc w:val="both"/>
        <w:rPr>
          <w:sz w:val="22"/>
          <w:szCs w:val="22"/>
        </w:rPr>
      </w:pPr>
      <w:r w:rsidRPr="00C22488">
        <w:rPr>
          <w:sz w:val="22"/>
          <w:szCs w:val="22"/>
        </w:rPr>
        <w:t xml:space="preserve">Изготвени са писмени бележки по а.д. № 12007/2024 г. по описа на ВАС, Шесто отделение, образувано по касационна жалба на МС срещу Решение № 23081/11.11.2024 г. на АССГ, Второ отделение, 32-ри с-в, с което е отменен мълчалив отказ на </w:t>
      </w:r>
      <w:r w:rsidR="00E512F8">
        <w:rPr>
          <w:sz w:val="22"/>
          <w:szCs w:val="22"/>
        </w:rPr>
        <w:t xml:space="preserve">МС за предоставяне на концесия </w:t>
      </w:r>
      <w:r w:rsidRPr="00C22488">
        <w:rPr>
          <w:sz w:val="22"/>
          <w:szCs w:val="22"/>
        </w:rPr>
        <w:t>за добив на подземни богатства по чл. 2, ал. 1, т. 6 от ЗПБ – скалнооблицовъчни материали – варовици, от находище „Големия връх“, разположено в землищата на с. Върбешница и с. Горна Кремена, община Мездра, област Враца, на „Йотов Стоун“ ЕАД, гр. Мездра.</w:t>
      </w:r>
    </w:p>
    <w:p w14:paraId="41E7F8B7" w14:textId="77777777" w:rsidR="00D91A9D" w:rsidRPr="00C22488" w:rsidRDefault="00D91A9D" w:rsidP="00DA0267">
      <w:pPr>
        <w:pStyle w:val="ListParagraph"/>
        <w:numPr>
          <w:ilvl w:val="2"/>
          <w:numId w:val="27"/>
        </w:numPr>
        <w:shd w:val="clear" w:color="auto" w:fill="FFFFFF" w:themeFill="background1"/>
        <w:tabs>
          <w:tab w:val="clear" w:pos="1800"/>
        </w:tabs>
        <w:ind w:left="0" w:firstLine="426"/>
        <w:jc w:val="both"/>
        <w:rPr>
          <w:sz w:val="22"/>
          <w:szCs w:val="22"/>
        </w:rPr>
      </w:pPr>
      <w:r w:rsidRPr="00C22488">
        <w:rPr>
          <w:sz w:val="22"/>
          <w:szCs w:val="22"/>
        </w:rPr>
        <w:t>Изготвено е искане до АССГ, Второ отделение, 32-ри състав по а.д. 5446 от 2024 г., образувано по жалба „Йотов Сотун“ ЕАД срещу мълчалив отказ на МС за предоставяне на концесия за добив на подземни богатства, за намаляване на разноските, присъдени в тежест на МС в първоинстанционното производство поради прекомерност.</w:t>
      </w:r>
    </w:p>
    <w:p w14:paraId="7B3D4D62" w14:textId="77777777" w:rsidR="00D91A9D" w:rsidRPr="00C22488" w:rsidRDefault="00D91A9D" w:rsidP="00DA0267">
      <w:pPr>
        <w:pStyle w:val="ListParagraph"/>
        <w:numPr>
          <w:ilvl w:val="2"/>
          <w:numId w:val="27"/>
        </w:numPr>
        <w:shd w:val="clear" w:color="auto" w:fill="FFFFFF" w:themeFill="background1"/>
        <w:tabs>
          <w:tab w:val="clear" w:pos="1800"/>
        </w:tabs>
        <w:ind w:left="0" w:firstLine="426"/>
        <w:jc w:val="both"/>
        <w:rPr>
          <w:sz w:val="22"/>
          <w:szCs w:val="22"/>
        </w:rPr>
      </w:pPr>
      <w:r w:rsidRPr="00C22488">
        <w:rPr>
          <w:sz w:val="22"/>
          <w:szCs w:val="22"/>
        </w:rPr>
        <w:t>Изготвено е становище относно искането за намаляване на разноските, присъдени в тежест на МС с Решение № 23081 от 11.11.2024 г. на АССГ по а.д. № 5446/2024 г., в изпълнение на Разпореждане от 07.03.2025 г. по същото административно дело.</w:t>
      </w:r>
    </w:p>
    <w:p w14:paraId="79CE9EAF" w14:textId="3DF58C49" w:rsidR="00D91A9D" w:rsidRPr="00C22488" w:rsidRDefault="001913F4" w:rsidP="00DA0267">
      <w:pPr>
        <w:pStyle w:val="ListParagraph"/>
        <w:numPr>
          <w:ilvl w:val="2"/>
          <w:numId w:val="27"/>
        </w:numPr>
        <w:shd w:val="clear" w:color="auto" w:fill="FFFFFF" w:themeFill="background1"/>
        <w:tabs>
          <w:tab w:val="clear" w:pos="1800"/>
        </w:tabs>
        <w:ind w:left="0" w:firstLine="426"/>
        <w:jc w:val="both"/>
        <w:rPr>
          <w:sz w:val="22"/>
          <w:szCs w:val="22"/>
        </w:rPr>
      </w:pPr>
      <w:r>
        <w:rPr>
          <w:sz w:val="22"/>
          <w:szCs w:val="22"/>
          <w:lang w:val="bg-BG"/>
        </w:rPr>
        <w:t xml:space="preserve"> </w:t>
      </w:r>
      <w:r w:rsidR="00D91A9D" w:rsidRPr="00C22488">
        <w:rPr>
          <w:sz w:val="22"/>
          <w:szCs w:val="22"/>
        </w:rPr>
        <w:t xml:space="preserve">Изготвена е частна жалба до ВАС чрез АССГ срещу Определение № 1123 от 01.04.2025 г. на АССГ – Второ отделение, 32-ри с-в, постановено по а.д. 5446 от 2024 г., образувано по жалба </w:t>
      </w:r>
      <w:r w:rsidR="00D91A9D" w:rsidRPr="00C22488">
        <w:rPr>
          <w:sz w:val="22"/>
          <w:szCs w:val="22"/>
        </w:rPr>
        <w:lastRenderedPageBreak/>
        <w:t>„Йотов Сотун“ ЕАД срещу мълчалив отказ на МС за предоставяне на концесия за добив на подземни богатства от находище „Големия връх“, на „Йотов Стоун“ ЕАД, гр. Мездра.</w:t>
      </w:r>
    </w:p>
    <w:p w14:paraId="06AAA9F8" w14:textId="1013AB02" w:rsidR="00D91A9D" w:rsidRPr="00C22488" w:rsidRDefault="001913F4" w:rsidP="00DA0267">
      <w:pPr>
        <w:pStyle w:val="ListParagraph"/>
        <w:numPr>
          <w:ilvl w:val="2"/>
          <w:numId w:val="27"/>
        </w:numPr>
        <w:shd w:val="clear" w:color="auto" w:fill="FFFFFF" w:themeFill="background1"/>
        <w:tabs>
          <w:tab w:val="clear" w:pos="1800"/>
        </w:tabs>
        <w:ind w:left="0" w:firstLine="426"/>
        <w:jc w:val="both"/>
        <w:rPr>
          <w:sz w:val="22"/>
          <w:szCs w:val="22"/>
        </w:rPr>
      </w:pPr>
      <w:r>
        <w:rPr>
          <w:sz w:val="22"/>
          <w:szCs w:val="22"/>
          <w:lang w:val="bg-BG"/>
        </w:rPr>
        <w:t xml:space="preserve"> </w:t>
      </w:r>
      <w:r w:rsidR="00D91A9D" w:rsidRPr="00C22488">
        <w:rPr>
          <w:sz w:val="22"/>
          <w:szCs w:val="22"/>
        </w:rPr>
        <w:t>Участие (процесуално представителство) в открито заседание по преписка КЗК-1130/</w:t>
      </w:r>
      <w:r w:rsidR="00E512F8">
        <w:rPr>
          <w:sz w:val="22"/>
          <w:szCs w:val="22"/>
        </w:rPr>
        <w:br/>
      </w:r>
      <w:r w:rsidR="00D91A9D" w:rsidRPr="00C22488">
        <w:rPr>
          <w:sz w:val="22"/>
          <w:szCs w:val="22"/>
        </w:rPr>
        <w:t>2024 г., образувана по жалба от "Ворик бийч" ООД срещу Решение № 805 на</w:t>
      </w:r>
      <w:r w:rsidR="00E512F8">
        <w:rPr>
          <w:sz w:val="22"/>
          <w:szCs w:val="22"/>
        </w:rPr>
        <w:t xml:space="preserve"> Министерския съвет от 22</w:t>
      </w:r>
      <w:r w:rsidR="00E512F8" w:rsidRPr="003A1DE8">
        <w:rPr>
          <w:sz w:val="22"/>
          <w:szCs w:val="22"/>
        </w:rPr>
        <w:t>.11.</w:t>
      </w:r>
      <w:r w:rsidR="00D91A9D" w:rsidRPr="00C22488">
        <w:rPr>
          <w:sz w:val="22"/>
          <w:szCs w:val="22"/>
        </w:rPr>
        <w:t xml:space="preserve">2024 г. за определяне на концесионер на морски плаж "Атанасовска коса" – </w:t>
      </w:r>
      <w:r w:rsidR="00E512F8">
        <w:rPr>
          <w:sz w:val="22"/>
          <w:szCs w:val="22"/>
        </w:rPr>
        <w:br/>
      </w:r>
      <w:r w:rsidR="00D91A9D" w:rsidRPr="00C22488">
        <w:rPr>
          <w:sz w:val="22"/>
          <w:szCs w:val="22"/>
        </w:rPr>
        <w:t>част 1, община Бургас, област Бургас (обн., ДВ, бр. 101 от 29.11.2024 г.);</w:t>
      </w:r>
    </w:p>
    <w:p w14:paraId="5C475573" w14:textId="5D942113" w:rsidR="00D91A9D" w:rsidRPr="00C22488" w:rsidRDefault="001913F4" w:rsidP="00DA0267">
      <w:pPr>
        <w:pStyle w:val="ListParagraph"/>
        <w:numPr>
          <w:ilvl w:val="2"/>
          <w:numId w:val="27"/>
        </w:numPr>
        <w:shd w:val="clear" w:color="auto" w:fill="FFFFFF" w:themeFill="background1"/>
        <w:tabs>
          <w:tab w:val="clear" w:pos="1800"/>
        </w:tabs>
        <w:ind w:left="0" w:firstLine="426"/>
        <w:jc w:val="both"/>
        <w:rPr>
          <w:sz w:val="22"/>
          <w:szCs w:val="22"/>
        </w:rPr>
      </w:pPr>
      <w:r>
        <w:rPr>
          <w:sz w:val="22"/>
          <w:szCs w:val="22"/>
          <w:lang w:val="bg-BG"/>
        </w:rPr>
        <w:t xml:space="preserve"> </w:t>
      </w:r>
      <w:r w:rsidR="00D91A9D" w:rsidRPr="00C22488">
        <w:rPr>
          <w:sz w:val="22"/>
          <w:szCs w:val="22"/>
        </w:rPr>
        <w:t>Участие (процесуално представителство) в открито съдебно заседание по а.д. № 3098/</w:t>
      </w:r>
      <w:r w:rsidR="00E512F8">
        <w:rPr>
          <w:sz w:val="22"/>
          <w:szCs w:val="22"/>
        </w:rPr>
        <w:br/>
      </w:r>
      <w:r w:rsidR="00D91A9D" w:rsidRPr="00C22488">
        <w:rPr>
          <w:sz w:val="22"/>
          <w:szCs w:val="22"/>
        </w:rPr>
        <w:t>2025 г., образувано по касационна жалба от Министерския съвет чрез процесуални представ</w:t>
      </w:r>
      <w:r w:rsidR="00E512F8">
        <w:rPr>
          <w:sz w:val="22"/>
          <w:szCs w:val="22"/>
        </w:rPr>
        <w:t xml:space="preserve">ители от ДСРКК срещу Решение № </w:t>
      </w:r>
      <w:r w:rsidR="00D91A9D" w:rsidRPr="00C22488">
        <w:rPr>
          <w:sz w:val="22"/>
          <w:szCs w:val="22"/>
        </w:rPr>
        <w:t>186 от 20.02.2025 г. по преписка КЗК-1130/2024 г., образувана по жалба от "Ворик бийч" ООД срещу Решение № 805 на М</w:t>
      </w:r>
      <w:r w:rsidR="00E512F8">
        <w:rPr>
          <w:sz w:val="22"/>
          <w:szCs w:val="22"/>
        </w:rPr>
        <w:t>инистерския съвет от 22</w:t>
      </w:r>
      <w:r w:rsidR="00E512F8" w:rsidRPr="003A1DE8">
        <w:rPr>
          <w:sz w:val="22"/>
          <w:szCs w:val="22"/>
        </w:rPr>
        <w:t>.11.</w:t>
      </w:r>
      <w:r w:rsidR="00D91A9D" w:rsidRPr="00C22488">
        <w:rPr>
          <w:sz w:val="22"/>
          <w:szCs w:val="22"/>
        </w:rPr>
        <w:t>2024 г. за определяне на концесионер на морски плаж "Атанасовска коса" – част 1, община Бургас, област Бургас.</w:t>
      </w:r>
    </w:p>
    <w:p w14:paraId="37A60C1F" w14:textId="16C5BC55" w:rsidR="00D91A9D" w:rsidRPr="00C22488" w:rsidRDefault="001913F4" w:rsidP="00DA0267">
      <w:pPr>
        <w:pStyle w:val="ListParagraph"/>
        <w:numPr>
          <w:ilvl w:val="2"/>
          <w:numId w:val="27"/>
        </w:numPr>
        <w:shd w:val="clear" w:color="auto" w:fill="FFFFFF" w:themeFill="background1"/>
        <w:tabs>
          <w:tab w:val="clear" w:pos="1800"/>
        </w:tabs>
        <w:ind w:left="0" w:firstLine="426"/>
        <w:jc w:val="both"/>
        <w:rPr>
          <w:sz w:val="22"/>
          <w:szCs w:val="22"/>
        </w:rPr>
      </w:pPr>
      <w:r>
        <w:rPr>
          <w:sz w:val="22"/>
          <w:szCs w:val="22"/>
          <w:lang w:val="bg-BG"/>
        </w:rPr>
        <w:t xml:space="preserve"> </w:t>
      </w:r>
      <w:r w:rsidR="00D91A9D" w:rsidRPr="00C22488">
        <w:rPr>
          <w:sz w:val="22"/>
          <w:szCs w:val="22"/>
        </w:rPr>
        <w:t>Изготвени са 3 писма до Министерството на енергетиката относно подадени жалби срещу актове на МС.</w:t>
      </w:r>
    </w:p>
    <w:p w14:paraId="782BD7F3" w14:textId="3AD6C7F8" w:rsidR="00D91A9D" w:rsidRPr="00C22488" w:rsidRDefault="001913F4" w:rsidP="00DA0267">
      <w:pPr>
        <w:pStyle w:val="ListParagraph"/>
        <w:numPr>
          <w:ilvl w:val="2"/>
          <w:numId w:val="27"/>
        </w:numPr>
        <w:shd w:val="clear" w:color="auto" w:fill="FFFFFF" w:themeFill="background1"/>
        <w:tabs>
          <w:tab w:val="clear" w:pos="1800"/>
        </w:tabs>
        <w:ind w:left="0" w:firstLine="426"/>
        <w:jc w:val="both"/>
        <w:rPr>
          <w:sz w:val="22"/>
          <w:szCs w:val="22"/>
        </w:rPr>
      </w:pPr>
      <w:r>
        <w:rPr>
          <w:sz w:val="22"/>
          <w:szCs w:val="22"/>
          <w:lang w:val="bg-BG"/>
        </w:rPr>
        <w:t xml:space="preserve"> </w:t>
      </w:r>
      <w:r w:rsidR="00D91A9D" w:rsidRPr="00C22488">
        <w:rPr>
          <w:sz w:val="22"/>
          <w:szCs w:val="22"/>
        </w:rPr>
        <w:t>Изготвени са две докладни записки относно упълномощаване от министър-председателя на правоспособни юристи от ДСРКК за осъществяване на правна защита и процесуално представителство на МС пред съдилищата и Комисията за защита на конкуренцията и проекти на 4 бр. пълномощни от министър-председателя.</w:t>
      </w:r>
    </w:p>
    <w:p w14:paraId="45088B8D" w14:textId="77777777" w:rsidR="00D91A9D" w:rsidRPr="00547C2A" w:rsidRDefault="00D91A9D" w:rsidP="00DA0267">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547C2A">
        <w:rPr>
          <w:rFonts w:eastAsia="Batang"/>
          <w:b/>
          <w:bCs/>
          <w:sz w:val="22"/>
          <w:szCs w:val="22"/>
          <w:lang w:eastAsia="ko-KR"/>
        </w:rPr>
        <w:t>Участие в конкурсните и тръжни комисии за предоставяне на разрешения за търсене и проучване на ПБ и на концесии за добив на ПБ и за възлагане на концесии за морски плажове:</w:t>
      </w:r>
    </w:p>
    <w:p w14:paraId="73DE66E1" w14:textId="77777777" w:rsidR="00D91A9D" w:rsidRPr="000C3BD8" w:rsidRDefault="00D91A9D" w:rsidP="00DA0267">
      <w:pPr>
        <w:shd w:val="clear" w:color="auto" w:fill="FFFFFF" w:themeFill="background1"/>
        <w:tabs>
          <w:tab w:val="num" w:pos="993"/>
        </w:tabs>
        <w:ind w:left="426"/>
        <w:jc w:val="both"/>
        <w:rPr>
          <w:sz w:val="22"/>
          <w:szCs w:val="22"/>
        </w:rPr>
      </w:pPr>
      <w:r w:rsidRPr="000C3BD8">
        <w:rPr>
          <w:sz w:val="22"/>
          <w:szCs w:val="22"/>
        </w:rPr>
        <w:t>За отчетния период ДСРКК е извършила следните дейности:</w:t>
      </w:r>
    </w:p>
    <w:p w14:paraId="361DAA98" w14:textId="77777777" w:rsidR="00D91A9D" w:rsidRPr="000C3BD8" w:rsidRDefault="00D91A9D" w:rsidP="00DA0267">
      <w:pPr>
        <w:shd w:val="clear" w:color="auto" w:fill="FFFFFF" w:themeFill="background1"/>
        <w:tabs>
          <w:tab w:val="num" w:pos="993"/>
        </w:tabs>
        <w:ind w:left="426"/>
        <w:jc w:val="both"/>
        <w:rPr>
          <w:sz w:val="22"/>
          <w:szCs w:val="22"/>
        </w:rPr>
      </w:pPr>
      <w:r w:rsidRPr="000C3BD8">
        <w:rPr>
          <w:sz w:val="22"/>
          <w:szCs w:val="22"/>
        </w:rPr>
        <w:t>Взето е участие в 7 заседания на конкурсните комисии, както следва:</w:t>
      </w:r>
    </w:p>
    <w:p w14:paraId="2B264F94" w14:textId="77777777" w:rsidR="00D91A9D" w:rsidRPr="000C3BD8" w:rsidRDefault="00D91A9D" w:rsidP="00DA0267">
      <w:pPr>
        <w:numPr>
          <w:ilvl w:val="0"/>
          <w:numId w:val="31"/>
        </w:numPr>
        <w:shd w:val="clear" w:color="auto" w:fill="FFFFFF" w:themeFill="background1"/>
        <w:tabs>
          <w:tab w:val="left" w:pos="709"/>
        </w:tabs>
        <w:ind w:left="0" w:firstLine="426"/>
        <w:jc w:val="both"/>
        <w:rPr>
          <w:sz w:val="22"/>
          <w:szCs w:val="22"/>
        </w:rPr>
      </w:pPr>
      <w:r w:rsidRPr="000C3BD8">
        <w:rPr>
          <w:sz w:val="22"/>
          <w:szCs w:val="22"/>
        </w:rPr>
        <w:t xml:space="preserve">Конкурсна комисия за предоставяне на разрешение за проучване на строителни материали, подземни богатства по чл. 2, ал. 1, т. 5 от ЗПБ, в площ „Стара могила”, разположена на територията на община Първомай, област Пловдив. </w:t>
      </w:r>
    </w:p>
    <w:p w14:paraId="77C7A9BE" w14:textId="77777777" w:rsidR="00D91A9D" w:rsidRPr="000C3BD8" w:rsidRDefault="00D91A9D" w:rsidP="00DA0267">
      <w:pPr>
        <w:numPr>
          <w:ilvl w:val="0"/>
          <w:numId w:val="31"/>
        </w:numPr>
        <w:shd w:val="clear" w:color="auto" w:fill="FFFFFF" w:themeFill="background1"/>
        <w:tabs>
          <w:tab w:val="left" w:pos="709"/>
        </w:tabs>
        <w:ind w:left="0" w:firstLine="426"/>
        <w:jc w:val="both"/>
        <w:rPr>
          <w:sz w:val="22"/>
          <w:szCs w:val="22"/>
        </w:rPr>
      </w:pPr>
      <w:r w:rsidRPr="000C3BD8">
        <w:rPr>
          <w:sz w:val="22"/>
          <w:szCs w:val="22"/>
        </w:rPr>
        <w:t>Конкурсна комисия за предоставяне на разрешение за проучване на строителни материали, подземни богатства по чл. 2, ал. 1, т. 5 от ЗПБ, в площ „</w:t>
      </w:r>
      <w:proofErr w:type="spellStart"/>
      <w:r w:rsidRPr="000C3BD8">
        <w:rPr>
          <w:sz w:val="22"/>
          <w:szCs w:val="22"/>
        </w:rPr>
        <w:t>Глоката</w:t>
      </w:r>
      <w:proofErr w:type="spellEnd"/>
      <w:r w:rsidRPr="000C3BD8">
        <w:rPr>
          <w:sz w:val="22"/>
          <w:szCs w:val="22"/>
        </w:rPr>
        <w:t>”, разположена в землището на гр. Долни Дъбник, община Долни Дъбник, област Плевен.</w:t>
      </w:r>
    </w:p>
    <w:p w14:paraId="41C7DB14" w14:textId="4928292D" w:rsidR="00D91A9D" w:rsidRPr="000C3BD8" w:rsidRDefault="000C3BD8" w:rsidP="00DA0267">
      <w:pPr>
        <w:numPr>
          <w:ilvl w:val="0"/>
          <w:numId w:val="31"/>
        </w:numPr>
        <w:shd w:val="clear" w:color="auto" w:fill="FFFFFF" w:themeFill="background1"/>
        <w:tabs>
          <w:tab w:val="left" w:pos="709"/>
        </w:tabs>
        <w:ind w:left="0" w:firstLine="426"/>
        <w:jc w:val="both"/>
        <w:rPr>
          <w:sz w:val="22"/>
          <w:szCs w:val="22"/>
        </w:rPr>
      </w:pPr>
      <w:r>
        <w:rPr>
          <w:sz w:val="22"/>
          <w:szCs w:val="22"/>
        </w:rPr>
        <w:t>Участие на 27.06.</w:t>
      </w:r>
      <w:r w:rsidR="00D91A9D" w:rsidRPr="000C3BD8">
        <w:rPr>
          <w:sz w:val="22"/>
          <w:szCs w:val="22"/>
        </w:rPr>
        <w:t>2025 г. в първо заседание на конкурсната комисия, назначена със Заповед № Е-РД-16-291/03.06.2025г. на министъра на енергетиката, за провеждане на конкурс за предоставяне на разрешение за проучване в площ "Гранитово-2", област Видин.</w:t>
      </w:r>
    </w:p>
    <w:p w14:paraId="2B2C6E40" w14:textId="77777777" w:rsidR="00D91A9D" w:rsidRPr="00A6018D" w:rsidRDefault="00D91A9D" w:rsidP="00DA0267">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A6018D">
        <w:rPr>
          <w:rFonts w:eastAsia="Batang"/>
          <w:b/>
          <w:bCs/>
          <w:sz w:val="22"/>
          <w:szCs w:val="22"/>
          <w:lang w:eastAsia="ko-KR"/>
        </w:rPr>
        <w:t>Участие в комисиите за контрол по изпълнението на концесионните договори за добив на ПБ и за морски плажове:</w:t>
      </w:r>
    </w:p>
    <w:p w14:paraId="628E5AE0" w14:textId="77777777" w:rsidR="00D91A9D" w:rsidRPr="000C3BD8" w:rsidRDefault="00D91A9D" w:rsidP="00DA0267">
      <w:pPr>
        <w:shd w:val="clear" w:color="auto" w:fill="FFFFFF" w:themeFill="background1"/>
        <w:tabs>
          <w:tab w:val="num" w:pos="993"/>
        </w:tabs>
        <w:ind w:left="426"/>
        <w:jc w:val="both"/>
        <w:rPr>
          <w:sz w:val="22"/>
          <w:szCs w:val="22"/>
        </w:rPr>
      </w:pPr>
      <w:r w:rsidRPr="000C3BD8">
        <w:rPr>
          <w:sz w:val="22"/>
          <w:szCs w:val="22"/>
        </w:rPr>
        <w:t>За отчетния период ДСРКК е извършила следните дейности:</w:t>
      </w:r>
    </w:p>
    <w:p w14:paraId="0A41241C" w14:textId="4D6C2FD5" w:rsidR="00D91A9D" w:rsidRPr="009550D4" w:rsidRDefault="00D91A9D" w:rsidP="00DA0267">
      <w:pPr>
        <w:pStyle w:val="ListParagraph"/>
        <w:numPr>
          <w:ilvl w:val="3"/>
          <w:numId w:val="27"/>
        </w:numPr>
        <w:shd w:val="clear" w:color="auto" w:fill="FFFFFF" w:themeFill="background1"/>
        <w:tabs>
          <w:tab w:val="clear" w:pos="2520"/>
          <w:tab w:val="num" w:pos="426"/>
          <w:tab w:val="left" w:pos="709"/>
        </w:tabs>
        <w:ind w:left="0" w:firstLine="426"/>
        <w:jc w:val="both"/>
        <w:rPr>
          <w:sz w:val="22"/>
          <w:szCs w:val="22"/>
        </w:rPr>
      </w:pPr>
      <w:r w:rsidRPr="009550D4">
        <w:rPr>
          <w:sz w:val="22"/>
          <w:szCs w:val="22"/>
        </w:rPr>
        <w:t>Взето е участие в 8 заседания на 5 комисии за контрол на изпълнението на концесионни договори за добив на ПБ за:</w:t>
      </w:r>
    </w:p>
    <w:p w14:paraId="00130CC2" w14:textId="77777777" w:rsidR="00D91A9D" w:rsidRPr="00F87C18" w:rsidRDefault="00D91A9D" w:rsidP="00DA0267">
      <w:pPr>
        <w:numPr>
          <w:ilvl w:val="0"/>
          <w:numId w:val="35"/>
        </w:numPr>
        <w:shd w:val="clear" w:color="auto" w:fill="FFFFFF" w:themeFill="background1"/>
        <w:tabs>
          <w:tab w:val="num" w:pos="0"/>
          <w:tab w:val="left" w:pos="993"/>
        </w:tabs>
        <w:autoSpaceDE w:val="0"/>
        <w:autoSpaceDN w:val="0"/>
        <w:adjustRightInd w:val="0"/>
        <w:ind w:left="567" w:hanging="141"/>
        <w:jc w:val="both"/>
        <w:rPr>
          <w:rFonts w:eastAsia="Batang"/>
          <w:sz w:val="22"/>
          <w:szCs w:val="22"/>
          <w:lang w:eastAsia="ko-KR"/>
        </w:rPr>
      </w:pPr>
      <w:r w:rsidRPr="00F87C18">
        <w:rPr>
          <w:rFonts w:eastAsia="Batang"/>
          <w:sz w:val="22"/>
          <w:szCs w:val="22"/>
          <w:lang w:eastAsia="ko-KR"/>
        </w:rPr>
        <w:t xml:space="preserve">метални полезни изкопаеми, неметални полезни изкопаеми - индустриални минерали и минни отпадъци; </w:t>
      </w:r>
    </w:p>
    <w:p w14:paraId="75DD25FF" w14:textId="77777777" w:rsidR="00D91A9D" w:rsidRPr="00F87C18" w:rsidRDefault="00D91A9D" w:rsidP="00DA0267">
      <w:pPr>
        <w:numPr>
          <w:ilvl w:val="0"/>
          <w:numId w:val="35"/>
        </w:numPr>
        <w:shd w:val="clear" w:color="auto" w:fill="FFFFFF" w:themeFill="background1"/>
        <w:tabs>
          <w:tab w:val="num" w:pos="0"/>
          <w:tab w:val="left" w:pos="993"/>
        </w:tabs>
        <w:autoSpaceDE w:val="0"/>
        <w:autoSpaceDN w:val="0"/>
        <w:adjustRightInd w:val="0"/>
        <w:ind w:left="567" w:hanging="141"/>
        <w:jc w:val="both"/>
        <w:rPr>
          <w:rFonts w:eastAsia="Batang"/>
          <w:sz w:val="22"/>
          <w:szCs w:val="22"/>
          <w:lang w:eastAsia="ko-KR"/>
        </w:rPr>
      </w:pPr>
      <w:r w:rsidRPr="00F87C18">
        <w:rPr>
          <w:rFonts w:eastAsia="Batang"/>
          <w:sz w:val="22"/>
          <w:szCs w:val="22"/>
          <w:lang w:eastAsia="ko-KR"/>
        </w:rPr>
        <w:t>нефт и природен газ, твърди горива, строителни материали – суровини за циментовата промишленост, гипс, вар и глини;</w:t>
      </w:r>
    </w:p>
    <w:p w14:paraId="40079855" w14:textId="77777777" w:rsidR="00D91A9D" w:rsidRPr="00F87C18" w:rsidRDefault="00D91A9D" w:rsidP="00DA0267">
      <w:pPr>
        <w:numPr>
          <w:ilvl w:val="0"/>
          <w:numId w:val="35"/>
        </w:numPr>
        <w:shd w:val="clear" w:color="auto" w:fill="FFFFFF" w:themeFill="background1"/>
        <w:tabs>
          <w:tab w:val="num" w:pos="0"/>
          <w:tab w:val="left" w:pos="993"/>
        </w:tabs>
        <w:autoSpaceDE w:val="0"/>
        <w:autoSpaceDN w:val="0"/>
        <w:adjustRightInd w:val="0"/>
        <w:ind w:left="567" w:hanging="141"/>
        <w:jc w:val="both"/>
        <w:rPr>
          <w:rFonts w:eastAsia="Batang"/>
          <w:sz w:val="22"/>
          <w:szCs w:val="22"/>
          <w:lang w:eastAsia="ko-KR"/>
        </w:rPr>
      </w:pPr>
      <w:r w:rsidRPr="00F87C18">
        <w:rPr>
          <w:rFonts w:eastAsia="Batang"/>
          <w:sz w:val="22"/>
          <w:szCs w:val="22"/>
          <w:lang w:eastAsia="ko-KR"/>
        </w:rPr>
        <w:t>строителни материали от находища, намиращи се в области Плевен, Ловеч, Пловдив, Кърджали, Габрово, Велико Търново, Русе, Разград и Търговище и скалнооблицовъчни материали от находища, разположени на територията на цялата страна;</w:t>
      </w:r>
    </w:p>
    <w:p w14:paraId="7E6BBD55" w14:textId="66E8818B" w:rsidR="00D91A9D" w:rsidRPr="00F87C18" w:rsidRDefault="00D91A9D" w:rsidP="00DA0267">
      <w:pPr>
        <w:numPr>
          <w:ilvl w:val="0"/>
          <w:numId w:val="35"/>
        </w:numPr>
        <w:shd w:val="clear" w:color="auto" w:fill="FFFFFF" w:themeFill="background1"/>
        <w:tabs>
          <w:tab w:val="num" w:pos="0"/>
          <w:tab w:val="left" w:pos="993"/>
        </w:tabs>
        <w:autoSpaceDE w:val="0"/>
        <w:autoSpaceDN w:val="0"/>
        <w:adjustRightInd w:val="0"/>
        <w:ind w:left="567" w:hanging="141"/>
        <w:jc w:val="both"/>
        <w:rPr>
          <w:rFonts w:eastAsia="Batang"/>
          <w:sz w:val="22"/>
          <w:szCs w:val="22"/>
          <w:lang w:eastAsia="ko-KR"/>
        </w:rPr>
      </w:pPr>
      <w:r w:rsidRPr="00F87C18">
        <w:rPr>
          <w:rFonts w:eastAsia="Batang"/>
          <w:sz w:val="22"/>
          <w:szCs w:val="22"/>
          <w:lang w:eastAsia="ko-KR"/>
        </w:rPr>
        <w:t xml:space="preserve">строителни материали /източна България/ </w:t>
      </w:r>
      <w:r w:rsidR="00F87C18" w:rsidRPr="00F87C18">
        <w:rPr>
          <w:rFonts w:eastAsia="Batang"/>
          <w:sz w:val="22"/>
          <w:szCs w:val="22"/>
          <w:lang w:eastAsia="ko-KR"/>
        </w:rPr>
        <w:t>–</w:t>
      </w:r>
      <w:r w:rsidRPr="00F87C18">
        <w:rPr>
          <w:rFonts w:eastAsia="Batang"/>
          <w:sz w:val="22"/>
          <w:szCs w:val="22"/>
          <w:lang w:eastAsia="ko-KR"/>
        </w:rPr>
        <w:t xml:space="preserve"> Силистра, Добрич, Шумен, Варна, Бургас, Сливен, Стара Загора, Ямбол и Хасково;</w:t>
      </w:r>
    </w:p>
    <w:p w14:paraId="064B5886" w14:textId="00BAD652" w:rsidR="00D91A9D" w:rsidRPr="00F87C18" w:rsidRDefault="00D91A9D" w:rsidP="00DA0267">
      <w:pPr>
        <w:numPr>
          <w:ilvl w:val="0"/>
          <w:numId w:val="35"/>
        </w:numPr>
        <w:shd w:val="clear" w:color="auto" w:fill="FFFFFF" w:themeFill="background1"/>
        <w:tabs>
          <w:tab w:val="num" w:pos="0"/>
          <w:tab w:val="left" w:pos="993"/>
        </w:tabs>
        <w:autoSpaceDE w:val="0"/>
        <w:autoSpaceDN w:val="0"/>
        <w:adjustRightInd w:val="0"/>
        <w:ind w:left="567" w:hanging="141"/>
        <w:jc w:val="both"/>
        <w:rPr>
          <w:rFonts w:eastAsia="Batang"/>
          <w:sz w:val="22"/>
          <w:szCs w:val="22"/>
          <w:lang w:eastAsia="ko-KR"/>
        </w:rPr>
      </w:pPr>
      <w:r w:rsidRPr="00F87C18">
        <w:rPr>
          <w:rFonts w:eastAsia="Batang"/>
          <w:sz w:val="22"/>
          <w:szCs w:val="22"/>
          <w:lang w:eastAsia="ko-KR"/>
        </w:rPr>
        <w:t xml:space="preserve">строителни материали /западна България/ </w:t>
      </w:r>
      <w:r w:rsidR="00F87C18" w:rsidRPr="00F87C18">
        <w:rPr>
          <w:rFonts w:eastAsia="Batang"/>
          <w:sz w:val="22"/>
          <w:szCs w:val="22"/>
          <w:lang w:eastAsia="ko-KR"/>
        </w:rPr>
        <w:t>–</w:t>
      </w:r>
      <w:r w:rsidRPr="00F87C18">
        <w:rPr>
          <w:rFonts w:eastAsia="Batang"/>
          <w:sz w:val="22"/>
          <w:szCs w:val="22"/>
          <w:lang w:eastAsia="ko-KR"/>
        </w:rPr>
        <w:t xml:space="preserve"> Видин, Монтана, Враца, София-град, Софийска, Перник, Кюстендил, Пазарджик, Благоевград и Смолян.</w:t>
      </w:r>
    </w:p>
    <w:p w14:paraId="138FBCDD" w14:textId="77777777" w:rsidR="00D91A9D" w:rsidRPr="00F87C18" w:rsidRDefault="00D91A9D" w:rsidP="00DA0267">
      <w:pPr>
        <w:pStyle w:val="ListParagraph"/>
        <w:numPr>
          <w:ilvl w:val="3"/>
          <w:numId w:val="27"/>
        </w:numPr>
        <w:shd w:val="clear" w:color="auto" w:fill="FFFFFF" w:themeFill="background1"/>
        <w:tabs>
          <w:tab w:val="clear" w:pos="2520"/>
          <w:tab w:val="num" w:pos="426"/>
          <w:tab w:val="left" w:pos="709"/>
        </w:tabs>
        <w:ind w:left="0" w:firstLine="426"/>
        <w:jc w:val="both"/>
        <w:rPr>
          <w:sz w:val="22"/>
          <w:szCs w:val="22"/>
        </w:rPr>
      </w:pPr>
      <w:r w:rsidRPr="00F87C18">
        <w:rPr>
          <w:sz w:val="22"/>
          <w:szCs w:val="22"/>
        </w:rPr>
        <w:t>Взето е участие в 1 заседание на Комисията за контрол на действията на длъжностните лица по чл. 8ю, ал. 9 от Закона за устройството на Черноморското крайбрежие.</w:t>
      </w:r>
    </w:p>
    <w:p w14:paraId="69393A21" w14:textId="77777777" w:rsidR="005A4ECE" w:rsidRDefault="005A4ECE">
      <w:pPr>
        <w:rPr>
          <w:rFonts w:eastAsia="Batang"/>
          <w:b/>
          <w:bCs/>
          <w:i/>
          <w:iCs/>
          <w:color w:val="215E99" w:themeColor="text2" w:themeTint="BF"/>
          <w:sz w:val="22"/>
          <w:szCs w:val="22"/>
          <w:lang w:val="x-none" w:eastAsia="ko-KR"/>
        </w:rPr>
      </w:pPr>
      <w:r>
        <w:rPr>
          <w:b/>
          <w:bCs/>
          <w:i/>
          <w:iCs/>
          <w:color w:val="215E99" w:themeColor="text2" w:themeTint="BF"/>
          <w:sz w:val="22"/>
          <w:szCs w:val="22"/>
        </w:rPr>
        <w:br w:type="page"/>
      </w:r>
    </w:p>
    <w:p w14:paraId="68651C5F" w14:textId="4111F6E3" w:rsidR="007559BE" w:rsidRPr="004823C1" w:rsidRDefault="007559BE" w:rsidP="004823C1">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4823C1">
        <w:rPr>
          <w:b/>
          <w:bCs/>
          <w:i/>
          <w:iCs/>
          <w:color w:val="215E99" w:themeColor="text2" w:themeTint="BF"/>
          <w:sz w:val="22"/>
          <w:szCs w:val="22"/>
        </w:rPr>
        <w:lastRenderedPageBreak/>
        <w:t>Подобряване на нормативната рамка за концесиите</w:t>
      </w:r>
    </w:p>
    <w:p w14:paraId="09FE5469" w14:textId="77777777" w:rsidR="007559BE" w:rsidRPr="007559BE" w:rsidRDefault="007559BE" w:rsidP="009255B5">
      <w:pPr>
        <w:shd w:val="clear" w:color="auto" w:fill="FFFFFF" w:themeFill="background1"/>
        <w:ind w:left="357" w:firstLine="69"/>
        <w:jc w:val="both"/>
        <w:rPr>
          <w:b/>
          <w:i/>
          <w:color w:val="800000"/>
          <w:sz w:val="22"/>
          <w:szCs w:val="22"/>
        </w:rPr>
      </w:pPr>
      <w:r w:rsidRPr="007559BE">
        <w:rPr>
          <w:b/>
          <w:i/>
          <w:color w:val="800000"/>
          <w:sz w:val="22"/>
          <w:szCs w:val="22"/>
        </w:rPr>
        <w:t>Дейности за предоставяне на продукта/услугата:</w:t>
      </w:r>
    </w:p>
    <w:p w14:paraId="7CF90932" w14:textId="77777777" w:rsidR="007559BE" w:rsidRPr="003618EB" w:rsidRDefault="007559BE" w:rsidP="009255B5">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3618EB">
        <w:rPr>
          <w:rFonts w:eastAsia="Batang"/>
          <w:b/>
          <w:bCs/>
          <w:sz w:val="22"/>
          <w:szCs w:val="22"/>
          <w:lang w:eastAsia="ko-KR"/>
        </w:rPr>
        <w:t>Ръководство и участие в работата на МРГ, създадена със Заповед № Р-143 от 2023 г. на министър-председателя, изменена със Заповед № Р-202 от 2023 г.</w:t>
      </w:r>
    </w:p>
    <w:p w14:paraId="78E2C72F" w14:textId="77777777" w:rsidR="007559BE" w:rsidRPr="007559BE" w:rsidRDefault="007559BE" w:rsidP="009255B5">
      <w:pPr>
        <w:shd w:val="clear" w:color="auto" w:fill="FFFFFF" w:themeFill="background1"/>
        <w:tabs>
          <w:tab w:val="num" w:pos="993"/>
        </w:tabs>
        <w:ind w:left="426"/>
        <w:jc w:val="both"/>
        <w:rPr>
          <w:sz w:val="22"/>
          <w:szCs w:val="22"/>
        </w:rPr>
      </w:pPr>
      <w:r w:rsidRPr="007559BE">
        <w:rPr>
          <w:sz w:val="22"/>
          <w:szCs w:val="22"/>
        </w:rPr>
        <w:t>За отчетния период ДСРКК е извършила следните дейности:</w:t>
      </w:r>
    </w:p>
    <w:p w14:paraId="2F005860" w14:textId="77777777" w:rsidR="007559BE" w:rsidRPr="00350E73" w:rsidRDefault="007559BE" w:rsidP="009255B5">
      <w:pPr>
        <w:numPr>
          <w:ilvl w:val="0"/>
          <w:numId w:val="32"/>
        </w:numPr>
        <w:shd w:val="clear" w:color="auto" w:fill="FFFFFF" w:themeFill="background1"/>
        <w:tabs>
          <w:tab w:val="num" w:pos="0"/>
          <w:tab w:val="left" w:pos="709"/>
          <w:tab w:val="left" w:pos="993"/>
        </w:tabs>
        <w:autoSpaceDE w:val="0"/>
        <w:autoSpaceDN w:val="0"/>
        <w:adjustRightInd w:val="0"/>
        <w:ind w:left="0" w:firstLine="426"/>
        <w:jc w:val="both"/>
        <w:rPr>
          <w:sz w:val="22"/>
          <w:szCs w:val="22"/>
          <w:lang w:eastAsia="ko-KR"/>
        </w:rPr>
      </w:pPr>
      <w:r w:rsidRPr="00350E73">
        <w:rPr>
          <w:sz w:val="22"/>
          <w:szCs w:val="22"/>
          <w:lang w:eastAsia="ko-KR"/>
        </w:rPr>
        <w:t>Изготвен е доклад до министър-председателя от заместник-министър председателя и министър на финансите – г-жа Людмила Петкова и проект на заповед за изменение на Заповед № Р-143 от 2023 г. на министър-председателя, изменена със Заповед № Р-202 от 2023;</w:t>
      </w:r>
    </w:p>
    <w:p w14:paraId="3B4B2FEB" w14:textId="783C55BA" w:rsidR="007559BE" w:rsidRPr="00350E73" w:rsidRDefault="007559BE" w:rsidP="009255B5">
      <w:pPr>
        <w:numPr>
          <w:ilvl w:val="0"/>
          <w:numId w:val="32"/>
        </w:numPr>
        <w:shd w:val="clear" w:color="auto" w:fill="FFFFFF" w:themeFill="background1"/>
        <w:tabs>
          <w:tab w:val="num" w:pos="0"/>
          <w:tab w:val="left" w:pos="709"/>
          <w:tab w:val="left" w:pos="993"/>
        </w:tabs>
        <w:autoSpaceDE w:val="0"/>
        <w:autoSpaceDN w:val="0"/>
        <w:adjustRightInd w:val="0"/>
        <w:ind w:left="0" w:firstLine="426"/>
        <w:jc w:val="both"/>
        <w:rPr>
          <w:sz w:val="22"/>
          <w:szCs w:val="22"/>
        </w:rPr>
      </w:pPr>
      <w:r w:rsidRPr="00350E73">
        <w:rPr>
          <w:bCs/>
          <w:sz w:val="22"/>
          <w:szCs w:val="22"/>
        </w:rPr>
        <w:t xml:space="preserve">Изготвено е писмо от главния секретар на МС до министъра на финансите и министъра на енергетиката относно изготвените от Работната група законопроект на Закон за изменение и допълнение на  ЗПБ и Проект на методика за определяне на конкретния и на минималния размер на концесионното плащане за добив на подземни богатства по ЗПБ, във връзка с § 5 от Преходните и заключителните разпоредби на Законопроекта за държавния бюджет на Република България за </w:t>
      </w:r>
      <w:r w:rsidR="00D053B7">
        <w:rPr>
          <w:bCs/>
          <w:sz w:val="22"/>
          <w:szCs w:val="22"/>
        </w:rPr>
        <w:br/>
      </w:r>
      <w:r w:rsidRPr="00350E73">
        <w:rPr>
          <w:bCs/>
          <w:sz w:val="22"/>
          <w:szCs w:val="22"/>
        </w:rPr>
        <w:t>2025 г.;</w:t>
      </w:r>
    </w:p>
    <w:p w14:paraId="4E7A2A6E" w14:textId="77777777" w:rsidR="007559BE" w:rsidRPr="00350E73" w:rsidRDefault="007559BE" w:rsidP="009255B5">
      <w:pPr>
        <w:numPr>
          <w:ilvl w:val="0"/>
          <w:numId w:val="32"/>
        </w:numPr>
        <w:shd w:val="clear" w:color="auto" w:fill="FFFFFF" w:themeFill="background1"/>
        <w:tabs>
          <w:tab w:val="num" w:pos="0"/>
          <w:tab w:val="left" w:pos="709"/>
        </w:tabs>
        <w:autoSpaceDE w:val="0"/>
        <w:autoSpaceDN w:val="0"/>
        <w:adjustRightInd w:val="0"/>
        <w:ind w:left="0" w:firstLine="426"/>
        <w:jc w:val="both"/>
        <w:rPr>
          <w:sz w:val="22"/>
          <w:szCs w:val="22"/>
          <w:lang w:eastAsia="ko-KR"/>
        </w:rPr>
      </w:pPr>
      <w:r w:rsidRPr="00350E73">
        <w:rPr>
          <w:bCs/>
          <w:sz w:val="22"/>
          <w:szCs w:val="22"/>
        </w:rPr>
        <w:t xml:space="preserve">Изготвено е писмо от главния секретар на МС до министъра на финансите </w:t>
      </w:r>
      <w:r w:rsidRPr="00350E73">
        <w:rPr>
          <w:rFonts w:eastAsia="Batang"/>
          <w:sz w:val="22"/>
          <w:szCs w:val="22"/>
          <w:lang w:eastAsia="ko-KR"/>
        </w:rPr>
        <w:t>с молба за информация от необходимост от актуализация на състава на Работната група или за отправяне на предложение за отмяна на заповедта на министър-председателя за нейното създаване;</w:t>
      </w:r>
    </w:p>
    <w:p w14:paraId="3FBA928E" w14:textId="77777777" w:rsidR="007559BE" w:rsidRPr="00350E73" w:rsidRDefault="007559BE" w:rsidP="009255B5">
      <w:pPr>
        <w:numPr>
          <w:ilvl w:val="0"/>
          <w:numId w:val="32"/>
        </w:numPr>
        <w:shd w:val="clear" w:color="auto" w:fill="FFFFFF" w:themeFill="background1"/>
        <w:tabs>
          <w:tab w:val="num" w:pos="0"/>
          <w:tab w:val="left" w:pos="709"/>
          <w:tab w:val="left" w:pos="993"/>
        </w:tabs>
        <w:spacing w:after="120"/>
        <w:ind w:left="0" w:firstLine="426"/>
        <w:jc w:val="both"/>
        <w:rPr>
          <w:bCs/>
          <w:sz w:val="22"/>
          <w:szCs w:val="22"/>
        </w:rPr>
      </w:pPr>
      <w:r w:rsidRPr="00350E73">
        <w:rPr>
          <w:bCs/>
          <w:sz w:val="22"/>
          <w:szCs w:val="22"/>
        </w:rPr>
        <w:t>Изготвени са доклад от главния секретар на МС до министър-председателя и проект на Заповед за отмяна на Заповед № Р-143 от 2023 г. на министър-председателя, изменена със Заповед № Р-202 от 2023 и със Заповед № Р-5 от 2025 г.</w:t>
      </w:r>
    </w:p>
    <w:p w14:paraId="01BB476A" w14:textId="77777777" w:rsidR="00417D7D" w:rsidRPr="009255B5" w:rsidRDefault="00417D7D" w:rsidP="009255B5">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9255B5">
        <w:rPr>
          <w:b/>
          <w:bCs/>
          <w:i/>
          <w:iCs/>
          <w:color w:val="215E99" w:themeColor="text2" w:themeTint="BF"/>
          <w:sz w:val="22"/>
          <w:szCs w:val="22"/>
        </w:rPr>
        <w:t>Други задачи, произтичащи от Бюджетна програма 0300.01.02 “Координация и мониторинг на хоризонтални политики”, както и задачи, възложени от главния секретар и от директора на дирекцията/началника на отдел „Концесии“</w:t>
      </w:r>
    </w:p>
    <w:p w14:paraId="08AF66FB" w14:textId="77777777" w:rsidR="00417D7D" w:rsidRPr="008B4EFD" w:rsidRDefault="00417D7D" w:rsidP="009255B5">
      <w:pPr>
        <w:shd w:val="clear" w:color="auto" w:fill="FFFFFF" w:themeFill="background1"/>
        <w:ind w:left="357" w:firstLine="69"/>
        <w:jc w:val="both"/>
        <w:rPr>
          <w:b/>
          <w:i/>
          <w:color w:val="800000"/>
          <w:sz w:val="22"/>
          <w:szCs w:val="22"/>
        </w:rPr>
      </w:pPr>
      <w:r w:rsidRPr="008B4EFD">
        <w:rPr>
          <w:b/>
          <w:i/>
          <w:color w:val="800000"/>
          <w:sz w:val="22"/>
          <w:szCs w:val="22"/>
        </w:rPr>
        <w:t>Дейности за предоставяне на продукта/услугата:</w:t>
      </w:r>
    </w:p>
    <w:p w14:paraId="6026ECFA" w14:textId="34A14F3D"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rFonts w:eastAsia="Batang"/>
          <w:sz w:val="22"/>
          <w:szCs w:val="22"/>
          <w:lang w:eastAsia="ko-KR"/>
        </w:rPr>
      </w:pPr>
      <w:r w:rsidRPr="008B4EFD">
        <w:rPr>
          <w:sz w:val="22"/>
          <w:szCs w:val="22"/>
          <w:lang w:eastAsia="ko-KR"/>
        </w:rPr>
        <w:t>Изготвено е писмо-отговор от директора на ДСРКК до Министерството на енергетиката относно решение № 865 на Ми</w:t>
      </w:r>
      <w:r w:rsidR="008B4EFD">
        <w:rPr>
          <w:sz w:val="22"/>
          <w:szCs w:val="22"/>
          <w:lang w:eastAsia="ko-KR"/>
        </w:rPr>
        <w:t>нистерския съвет от 13.12.</w:t>
      </w:r>
      <w:r w:rsidRPr="008B4EFD">
        <w:rPr>
          <w:sz w:val="22"/>
          <w:szCs w:val="22"/>
          <w:lang w:eastAsia="ko-KR"/>
        </w:rPr>
        <w:t xml:space="preserve">2024 г. за предоставяне на концесия за добив на подземни богатства по чл. 2, ал. 1, т. 4 от ЗПБ – твърди горива </w:t>
      </w:r>
      <w:r w:rsidR="008B4EFD">
        <w:rPr>
          <w:sz w:val="22"/>
          <w:szCs w:val="22"/>
          <w:lang w:eastAsia="ko-KR"/>
        </w:rPr>
        <w:t>–</w:t>
      </w:r>
      <w:r w:rsidRPr="008B4EFD">
        <w:rPr>
          <w:sz w:val="22"/>
          <w:szCs w:val="22"/>
          <w:lang w:eastAsia="ko-KR"/>
        </w:rPr>
        <w:t xml:space="preserve"> кафяви въглища, от участък „Стара </w:t>
      </w:r>
      <w:proofErr w:type="spellStart"/>
      <w:r w:rsidRPr="008B4EFD">
        <w:rPr>
          <w:sz w:val="22"/>
          <w:szCs w:val="22"/>
          <w:lang w:eastAsia="ko-KR"/>
        </w:rPr>
        <w:t>Тева</w:t>
      </w:r>
      <w:proofErr w:type="spellEnd"/>
      <w:r w:rsidRPr="008B4EFD">
        <w:rPr>
          <w:sz w:val="22"/>
          <w:szCs w:val="22"/>
          <w:lang w:eastAsia="ko-KR"/>
        </w:rPr>
        <w:t>“ на находище „Пернишки въглищен басейн“, разположен на територията на община Перник, област Перник, на „Мин индъстри“ ЕООД, гр. Перник (обн., Д</w:t>
      </w:r>
      <w:r w:rsidR="008B4EFD">
        <w:rPr>
          <w:sz w:val="22"/>
          <w:szCs w:val="22"/>
          <w:lang w:eastAsia="ko-KR"/>
        </w:rPr>
        <w:t>В, бр. 106 от 17.12.</w:t>
      </w:r>
      <w:r w:rsidRPr="008B4EFD">
        <w:rPr>
          <w:sz w:val="22"/>
          <w:szCs w:val="22"/>
          <w:lang w:eastAsia="ko-KR"/>
        </w:rPr>
        <w:t>2024 г.);</w:t>
      </w:r>
    </w:p>
    <w:p w14:paraId="505E2D07"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 xml:space="preserve">Изготвено е писмо от директора на ДСРКК до директора на дирекция „Процесуално представителство пред съда на Европейския съюз“ в Министерството на външните работи във връзка с Дело C-810/24, </w:t>
      </w:r>
      <w:proofErr w:type="spellStart"/>
      <w:r w:rsidRPr="008B4EFD">
        <w:rPr>
          <w:sz w:val="22"/>
          <w:szCs w:val="22"/>
          <w:lang w:eastAsia="ko-KR"/>
        </w:rPr>
        <w:t>Urban</w:t>
      </w:r>
      <w:proofErr w:type="spellEnd"/>
      <w:r w:rsidRPr="008B4EFD">
        <w:rPr>
          <w:sz w:val="22"/>
          <w:szCs w:val="22"/>
          <w:lang w:eastAsia="ko-KR"/>
        </w:rPr>
        <w:t xml:space="preserve"> </w:t>
      </w:r>
      <w:proofErr w:type="spellStart"/>
      <w:r w:rsidRPr="008B4EFD">
        <w:rPr>
          <w:sz w:val="22"/>
          <w:szCs w:val="22"/>
          <w:lang w:eastAsia="ko-KR"/>
        </w:rPr>
        <w:t>Vision</w:t>
      </w:r>
      <w:proofErr w:type="spellEnd"/>
      <w:r w:rsidRPr="008B4EFD">
        <w:rPr>
          <w:sz w:val="22"/>
          <w:szCs w:val="22"/>
          <w:lang w:eastAsia="ko-KR"/>
        </w:rPr>
        <w:t xml:space="preserve"> пред Съда на Европейския съюз, образувано по преюдициално запитване на юрисдикция в Италия;</w:t>
      </w:r>
    </w:p>
    <w:p w14:paraId="47F24933"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Изготвено е становище от името на директора на ДСРКК до главния секретар на МС относно позиция на Българска браншова камара „Пътища“ относно предстоящото внасяне и обсъждане на Държавния бюджет за 2025 г.;</w:t>
      </w:r>
    </w:p>
    <w:p w14:paraId="34EEF355"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 xml:space="preserve">Изготвено е становище от името на директорите на ДСРКК и ДКВЕС до главния секретар относно сигнал от Национален таксиметров синдикат относно възможно извършено нарушение по чл. 15, ал.1 и чл. 21 от Закона за защита на конкуренцията (ЗЗК), както и на чл. 101 и чл. 102 от Договора за функционирането на Европейския съюз (ДФЕС), извършено от концесионера на Летище София „СОФ </w:t>
      </w:r>
      <w:proofErr w:type="spellStart"/>
      <w:r w:rsidRPr="008B4EFD">
        <w:rPr>
          <w:sz w:val="22"/>
          <w:szCs w:val="22"/>
          <w:lang w:eastAsia="ko-KR"/>
        </w:rPr>
        <w:t>Кънект</w:t>
      </w:r>
      <w:proofErr w:type="spellEnd"/>
      <w:r w:rsidRPr="008B4EFD">
        <w:rPr>
          <w:sz w:val="22"/>
          <w:szCs w:val="22"/>
          <w:lang w:eastAsia="ko-KR"/>
        </w:rPr>
        <w:t>“ АД чрез въвеждане в действие на система за контролиран достъп и таксуване на таксиметрови автомобили;</w:t>
      </w:r>
    </w:p>
    <w:p w14:paraId="4DF9DA7F"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Изготвено е писмо-отговор от името на дирекция СРКК, изпратено по електронната поща на дирекцията, до община Асеновград във връзка с Уведомление за промяна в обстоятелствата от „ТОП ФИШ ТУРС“ ООД, във връзка с договор за концесия между община Асеновград и „ТОП ФИШ ТУРС“ ООД от 11.11.2014 г., партида в НКР № О-001003, концесия за услуга на язовир в местността "Еловица", област Пловдив, община Асеновград, населено място Тополово;</w:t>
      </w:r>
    </w:p>
    <w:p w14:paraId="05401315"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Изготвено е становище от името на дирекция СРКК по проект на Решение на Министерския съвет за одобряване на проект на Закон за водоснабдяването и канализацията;</w:t>
      </w:r>
    </w:p>
    <w:p w14:paraId="0628B10C" w14:textId="45C72D7F"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Изготвено е писмо от името на главния секретар на МС до МЕ и МОСВ относно сигнал до министър-председателя на Република България с искане за частично спиране изпълнението на Решение № 147 н</w:t>
      </w:r>
      <w:r w:rsidR="008B4EFD">
        <w:rPr>
          <w:sz w:val="22"/>
          <w:szCs w:val="22"/>
          <w:lang w:eastAsia="ko-KR"/>
        </w:rPr>
        <w:t>а Министерския съвет от 14.03.</w:t>
      </w:r>
      <w:r w:rsidRPr="008B4EFD">
        <w:rPr>
          <w:sz w:val="22"/>
          <w:szCs w:val="22"/>
          <w:lang w:eastAsia="ko-KR"/>
        </w:rPr>
        <w:t>2025 г. и извършване на проверка на дейността при добив на мед в районите на находище „Елаците“;</w:t>
      </w:r>
    </w:p>
    <w:p w14:paraId="621CD779"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lastRenderedPageBreak/>
        <w:t>Изготвени са доклад от името на директорите на дирекции СРКК и Правна до главния секретар на МС и доклад от името на главния секретар на МС до министър-председателя във връзка с предложения от областните управители на област Бургас и област Добрич за промени в нормативната уредба относно определени морски плажове, както и относно въпроси по приложението на чл. 7, ал. 11 и ал. 12 от ЗУЧК;</w:t>
      </w:r>
    </w:p>
    <w:p w14:paraId="07832D0E"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Изготвено е писмо от името на главния секретар на МС до МРРБ и АППК във връзка със заявление от г-н Христо Стоянов Николов за проявен интерес за покупка на имот – база за отдих, намираща се на язовир „Малко Шарково“ – община Болярово, област Ямбол, собственост на „Водоснабдяване и канализация“ ЕООД, гр. Ямбол;</w:t>
      </w:r>
    </w:p>
    <w:p w14:paraId="4E641B5F"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Изготвено е писмо от директора на дирекция СРКК до директора на дирекция КМА относно писмо от областния управител на област Бургас относно повишаване на административния капацитет на Областна администрация Бургас за изпълнение на функциите на областния управител по Закона за устройство на Черноморското крайбрежие;</w:t>
      </w:r>
    </w:p>
    <w:p w14:paraId="717AE892"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Изготвено е становище относно Доклад за приоритетните проблеми, свързани с правомощията на областните управители и с функциите на областните администрации (по възлагане от главния секретар на МС). Становището е представено на началника на отдел „Регионална координация“.</w:t>
      </w:r>
    </w:p>
    <w:p w14:paraId="133919CF"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Изготвено е писмо от името на главния секретар на МС до МРРБ и областния управител на област София относно постъпило писмо от министъра на правосъдието свързано с имоти – държавна собственост, необходими на Министерство на правосъдието;</w:t>
      </w:r>
    </w:p>
    <w:p w14:paraId="109FDBEA"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Изготвено е писмо от името на дирекция СРКК до г-жа Надя Митова, касаещо прекратен договор за концесия за услуга на хижа „</w:t>
      </w:r>
      <w:proofErr w:type="spellStart"/>
      <w:r w:rsidRPr="008B4EFD">
        <w:rPr>
          <w:sz w:val="22"/>
          <w:szCs w:val="22"/>
          <w:lang w:eastAsia="ko-KR"/>
        </w:rPr>
        <w:t>Селимица</w:t>
      </w:r>
      <w:proofErr w:type="spellEnd"/>
      <w:r w:rsidRPr="008B4EFD">
        <w:rPr>
          <w:sz w:val="22"/>
          <w:szCs w:val="22"/>
          <w:lang w:eastAsia="ko-KR"/>
        </w:rPr>
        <w:t>“ в с. Кладница, област Перник, община Перник, населено място Кладница;</w:t>
      </w:r>
    </w:p>
    <w:p w14:paraId="5FC45EF2" w14:textId="03888B4A"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Изготвено е писмо от името на директора на дирекция СРКК до длъжностно лице, упълномощено по Закона за достъп до обществена информация (ЗДОИ), съгласно т. 2 от Заповед № В-19 от 16.01.2025 г. на министър-председателя, относно постъпило заявление от Боян Димитров Юруков, съдържащо искане за предоставяне на информация по ЗДОИ</w:t>
      </w:r>
      <w:r w:rsidR="00081DF3">
        <w:rPr>
          <w:sz w:val="22"/>
          <w:szCs w:val="22"/>
          <w:lang w:eastAsia="ko-KR"/>
        </w:rPr>
        <w:t xml:space="preserve"> </w:t>
      </w:r>
      <w:r w:rsidRPr="008B4EFD">
        <w:rPr>
          <w:sz w:val="22"/>
          <w:szCs w:val="22"/>
          <w:lang w:eastAsia="ko-KR"/>
        </w:rPr>
        <w:t>– списък с имоти, включени в Програмата за упражняване правата върху имоти – държавна собственост, и върху имоти – собственост на държавни публични предприятия;</w:t>
      </w:r>
    </w:p>
    <w:p w14:paraId="0B7B59EF"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Изготвено е писмо от името на главния секретар на МС до МЗХ относно постъпило искане от кмета на Община Павел баня за безвъзмездно предоставяне на имот – частна държавна собственост;</w:t>
      </w:r>
    </w:p>
    <w:p w14:paraId="1635EE82" w14:textId="3AD62F5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 xml:space="preserve">Изготвено е писмо от името на директора на дирекция СРКК до МЕ относно определяне на членове на конкурсна комисия за предоставяне на разрешение за проучване на строителни материали, подземни богатства по чл. 2, ал. 1, т. 5 от </w:t>
      </w:r>
      <w:proofErr w:type="spellStart"/>
      <w:r w:rsidRPr="008B4EFD">
        <w:rPr>
          <w:sz w:val="22"/>
          <w:szCs w:val="22"/>
          <w:lang w:eastAsia="ko-KR"/>
        </w:rPr>
        <w:t>ЗПБв</w:t>
      </w:r>
      <w:proofErr w:type="spellEnd"/>
      <w:r w:rsidRPr="008B4EFD">
        <w:rPr>
          <w:sz w:val="22"/>
          <w:szCs w:val="22"/>
          <w:lang w:eastAsia="ko-KR"/>
        </w:rPr>
        <w:t xml:space="preserve"> площ „</w:t>
      </w:r>
      <w:proofErr w:type="spellStart"/>
      <w:r w:rsidRPr="008B4EFD">
        <w:rPr>
          <w:sz w:val="22"/>
          <w:szCs w:val="22"/>
          <w:lang w:eastAsia="ko-KR"/>
        </w:rPr>
        <w:t>Адата</w:t>
      </w:r>
      <w:proofErr w:type="spellEnd"/>
      <w:r w:rsidRPr="008B4EFD">
        <w:rPr>
          <w:sz w:val="22"/>
          <w:szCs w:val="22"/>
          <w:lang w:eastAsia="ko-KR"/>
        </w:rPr>
        <w:t xml:space="preserve"> </w:t>
      </w:r>
      <w:r w:rsidR="002D145F">
        <w:rPr>
          <w:sz w:val="22"/>
          <w:szCs w:val="22"/>
          <w:lang w:eastAsia="ko-KR"/>
        </w:rPr>
        <w:t>–</w:t>
      </w:r>
      <w:r w:rsidRPr="008B4EFD">
        <w:rPr>
          <w:sz w:val="22"/>
          <w:szCs w:val="22"/>
          <w:lang w:eastAsia="ko-KR"/>
        </w:rPr>
        <w:t xml:space="preserve"> север“, разположена в землището на гр. Първомай, община Първомай, област Пловдив;</w:t>
      </w:r>
    </w:p>
    <w:p w14:paraId="2E0BAC0C" w14:textId="42D1049C"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 xml:space="preserve">Изготвено е становище по чл. 32 от УПМСНА (без бележки и предложения) по проект на решение на Министерския съвет за приемане на отправено от концесионера „БМФ Порт Бургас” АД мотивирано предложение за изменение на Договора за предоставяне на концесия върху „Пристанищен терминал Бургас Изток-2”, част от пристанище за обществен транспорт с национално значение Бургас, сключен между Министерския съвет на Република България и „БМФ Порт Бургас” ЕАД на </w:t>
      </w:r>
      <w:r w:rsidR="00081DF3">
        <w:rPr>
          <w:sz w:val="22"/>
          <w:szCs w:val="22"/>
          <w:lang w:eastAsia="ko-KR"/>
        </w:rPr>
        <w:t>0</w:t>
      </w:r>
      <w:r w:rsidRPr="008B4EFD">
        <w:rPr>
          <w:sz w:val="22"/>
          <w:szCs w:val="22"/>
          <w:lang w:eastAsia="ko-KR"/>
        </w:rPr>
        <w:t>8.09.2011 г.,</w:t>
      </w:r>
    </w:p>
    <w:p w14:paraId="10D41264"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Изготвено е становище по чл. 32 от УПМСНА по проект на Решение на Министерския съвет за приемане на отправени от концесионера „</w:t>
      </w:r>
      <w:proofErr w:type="spellStart"/>
      <w:r w:rsidRPr="008B4EFD">
        <w:rPr>
          <w:sz w:val="22"/>
          <w:szCs w:val="22"/>
          <w:lang w:eastAsia="ko-KR"/>
        </w:rPr>
        <w:t>Тимбарк</w:t>
      </w:r>
      <w:proofErr w:type="spellEnd"/>
      <w:r w:rsidRPr="008B4EFD">
        <w:rPr>
          <w:sz w:val="22"/>
          <w:szCs w:val="22"/>
          <w:lang w:eastAsia="ko-KR"/>
        </w:rPr>
        <w:t xml:space="preserve"> България“ ЕООД предложения за изменение на Договора за предоставяне на концесия за част от минералната вода – изключителна държавна собственост, от сондаж № 5 „Горски пункт“ на находище „Велинград-Чепино“, община Велинград, област Пазарджик, сключен на 3 май 2000 г. между Министерския съвет на Република България, представляван от министъра на околната среда и водите и „</w:t>
      </w:r>
      <w:proofErr w:type="spellStart"/>
      <w:r w:rsidRPr="008B4EFD">
        <w:rPr>
          <w:sz w:val="22"/>
          <w:szCs w:val="22"/>
          <w:lang w:eastAsia="ko-KR"/>
        </w:rPr>
        <w:t>Акварекс</w:t>
      </w:r>
      <w:proofErr w:type="spellEnd"/>
      <w:r w:rsidRPr="008B4EFD">
        <w:rPr>
          <w:sz w:val="22"/>
          <w:szCs w:val="22"/>
          <w:lang w:eastAsia="ko-KR"/>
        </w:rPr>
        <w:t>-В“ АД и за даване на съгласие за удължаване на срока на концесията;</w:t>
      </w:r>
    </w:p>
    <w:p w14:paraId="32D24B7D" w14:textId="214BA349"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 xml:space="preserve">Изготвено е становище по чл. 32 от УПМСНА по проект на протоколно решение на Министерския съвет за одобряване на Годишния отчет на министъра на туризма относно изпълнението на концесионните договори през 2023 г. за морски плажове и относно изпълнението </w:t>
      </w:r>
      <w:r w:rsidRPr="008B4EFD">
        <w:rPr>
          <w:sz w:val="22"/>
          <w:szCs w:val="22"/>
          <w:lang w:eastAsia="ko-KR"/>
        </w:rPr>
        <w:lastRenderedPageBreak/>
        <w:t>през 2023 г. на включените в Актуализирания план за действие за държавните концесии проекти за концесии за м</w:t>
      </w:r>
      <w:r w:rsidR="00081DF3">
        <w:rPr>
          <w:sz w:val="22"/>
          <w:szCs w:val="22"/>
          <w:lang w:eastAsia="ko-KR"/>
        </w:rPr>
        <w:t>орски плажове за периода 2021</w:t>
      </w:r>
      <w:r w:rsidR="00A83805">
        <w:rPr>
          <w:sz w:val="22"/>
          <w:szCs w:val="22"/>
          <w:lang w:eastAsia="ko-KR"/>
        </w:rPr>
        <w:t xml:space="preserve"> – </w:t>
      </w:r>
      <w:r w:rsidRPr="008B4EFD">
        <w:rPr>
          <w:sz w:val="22"/>
          <w:szCs w:val="22"/>
          <w:lang w:eastAsia="ko-KR"/>
        </w:rPr>
        <w:t>2027 г.;</w:t>
      </w:r>
    </w:p>
    <w:p w14:paraId="48A6C6FD"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Изготвено е становище по чл. 32 от УПМСНА по проект на решение на Министерския съвет за безвъзмездно предоставяне за управление на имоти – публична държавна собственост, на Министерството на туризма;</w:t>
      </w:r>
    </w:p>
    <w:p w14:paraId="412CA3D0"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 е доклад от директора на дирекция СРКК до главния секретар на МС относно Отчитане на изпълнението на ежегодните цели на дирекцията  за 2024 г. и на плановете за работа на отдел „Координация на политики“ и на отдел „Концесии“ и становище относно изготвяне и отчитане на целите на дирекция (звено) от структурата на администрацията на Министерския съвет (АМС) и свързаните с това правомощия на главния секретар на МС;</w:t>
      </w:r>
    </w:p>
    <w:p w14:paraId="68953C79"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 xml:space="preserve">Изготвено е писмо-отговор от директора на дирекция СРКК до директора на дирекция „Природни ресурси, концесии и контрол“ (ПРКК) в МЕ относно сключване на допълнително споразумение към Договор за предоставяне на концесия за подземни богатства – </w:t>
      </w:r>
      <w:proofErr w:type="spellStart"/>
      <w:r w:rsidRPr="008B4EFD">
        <w:rPr>
          <w:sz w:val="22"/>
          <w:szCs w:val="22"/>
          <w:lang w:eastAsia="ko-KR"/>
        </w:rPr>
        <w:t>златосъдържащи</w:t>
      </w:r>
      <w:proofErr w:type="spellEnd"/>
      <w:r w:rsidRPr="008B4EFD">
        <w:rPr>
          <w:sz w:val="22"/>
          <w:szCs w:val="22"/>
          <w:lang w:eastAsia="ko-KR"/>
        </w:rPr>
        <w:t xml:space="preserve"> руди чрез добив от находище „Чала“, Хасковска област;</w:t>
      </w:r>
    </w:p>
    <w:p w14:paraId="403DECF6"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Изготвено е писмо от главния секретар на МС до министъра на околната среда и водите и министъра на енергетиката с копие до председателя на ОбС-Ботевград относно писмо до министър-председателя от председателя на ОбС-Ботевград с приложено Решение № 59 от 27.03.2025 г. на ОбС-Ботевград за приемане на Декларация относно търсене и проучване на метални полезни изкопаеми в площ „ЕЕ-1“, намираща се на територията на общините Ботевград, Своге и Мездра;</w:t>
      </w:r>
    </w:p>
    <w:p w14:paraId="22B86EA3"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Изготвено е писмо от директора на дирекция СРКК до МЕ относно определяне на членове на конкурсна комисия за предоставяне на разрешение за проучване на строителни материали, подземни богатства по чл. 2, ал. 1, т. 5 от ЗПБ в площ „Обретеник“, разположена в землището на с. Обретеник, община Борово, област Русе;</w:t>
      </w:r>
    </w:p>
    <w:p w14:paraId="187931D1" w14:textId="3963E975"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 xml:space="preserve">Изготвено е писмо от директора на дирекция СРКК до </w:t>
      </w:r>
      <w:proofErr w:type="spellStart"/>
      <w:r w:rsidRPr="008B4EFD">
        <w:rPr>
          <w:sz w:val="22"/>
          <w:szCs w:val="22"/>
          <w:lang w:eastAsia="ko-KR"/>
        </w:rPr>
        <w:t>и.д</w:t>
      </w:r>
      <w:proofErr w:type="spellEnd"/>
      <w:r w:rsidRPr="008B4EFD">
        <w:rPr>
          <w:sz w:val="22"/>
          <w:szCs w:val="22"/>
          <w:lang w:eastAsia="ko-KR"/>
        </w:rPr>
        <w:t xml:space="preserve">. директора на дирекция „Координация и модернизация на администрацията“ относно включване в оперативната програма на МС за втората половина на 2025 г. на изменение в Тарифата за таксите, които се събират в производства по глава шеста от ЗК пред КЗК и пред ВАС, приета с Постановление </w:t>
      </w:r>
      <w:r w:rsidR="00081DF3">
        <w:rPr>
          <w:sz w:val="22"/>
          <w:szCs w:val="22"/>
          <w:lang w:eastAsia="ko-KR"/>
        </w:rPr>
        <w:br/>
      </w:r>
      <w:r w:rsidRPr="008B4EFD">
        <w:rPr>
          <w:sz w:val="22"/>
          <w:szCs w:val="22"/>
          <w:lang w:eastAsia="ko-KR"/>
        </w:rPr>
        <w:t>№ 177 на Министерския съвет от 2018 г. в изпълнение на § 6, ал. 1, т. 2 от Закона за въвеждане на еврото в Република България;</w:t>
      </w:r>
    </w:p>
    <w:p w14:paraId="7C78E727" w14:textId="2548E31D"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Изготвено е писмо от директора на дирекция СРКК до председателя на ОбС-Мездра с копие до МЕ, МОСВ, Омбудсмана на РБ и областния управител на област Враца относно Решение № 238 на Общинс</w:t>
      </w:r>
      <w:r w:rsidR="00081DF3">
        <w:rPr>
          <w:sz w:val="22"/>
          <w:szCs w:val="22"/>
          <w:lang w:eastAsia="ko-KR"/>
        </w:rPr>
        <w:t>ки съвет – гр. Мездра от 29.05.</w:t>
      </w:r>
      <w:r w:rsidRPr="008B4EFD">
        <w:rPr>
          <w:sz w:val="22"/>
          <w:szCs w:val="22"/>
          <w:lang w:eastAsia="ko-KR"/>
        </w:rPr>
        <w:t>2025 г. относно търсене и проучване на метални полезни изкопаеми в площ „ЕЕ-1“, намираща се на територията на общините Ботевград, Своге и Мездра;</w:t>
      </w:r>
    </w:p>
    <w:p w14:paraId="4548C744" w14:textId="150B9333"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Изготвено е писмо от директора на дирекция СРКК до директора на дирекция ПРКК в МЕ, с копие до Димитър Монов, относно запитване, постъпило по електронната поща от г-н Монов за наличие на концесионен договор за добив на подземни богатства и по-конкретно предоставена ли е концесия на „фирмата, строяща скоростен път Ботевград-Мездра“ за добив на подземни богатства (камък, добит п</w:t>
      </w:r>
      <w:r w:rsidR="00081DF3">
        <w:rPr>
          <w:sz w:val="22"/>
          <w:szCs w:val="22"/>
          <w:lang w:eastAsia="ko-KR"/>
        </w:rPr>
        <w:t xml:space="preserve">о време на изкопните дейности) </w:t>
      </w:r>
      <w:r w:rsidRPr="008B4EFD">
        <w:rPr>
          <w:sz w:val="22"/>
          <w:szCs w:val="22"/>
          <w:lang w:eastAsia="ko-KR"/>
        </w:rPr>
        <w:t>при изграждането на пътя и улиците на град Мездра;</w:t>
      </w:r>
    </w:p>
    <w:p w14:paraId="14115E89"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Изготвено е писмо от директора на дирекция СРКК до МЕ относно определяне на членове на конкурсна комисия за предоставяне на разрешение за проучване на строителни материали, подземни богатства по чл. 2, ал. 1, т. 5 от ЗПБ в площ „</w:t>
      </w:r>
      <w:proofErr w:type="spellStart"/>
      <w:r w:rsidRPr="008B4EFD">
        <w:rPr>
          <w:sz w:val="22"/>
          <w:szCs w:val="22"/>
          <w:lang w:eastAsia="ko-KR"/>
        </w:rPr>
        <w:t>Гайдарка</w:t>
      </w:r>
      <w:proofErr w:type="spellEnd"/>
      <w:r w:rsidRPr="008B4EFD">
        <w:rPr>
          <w:sz w:val="22"/>
          <w:szCs w:val="22"/>
          <w:lang w:eastAsia="ko-KR"/>
        </w:rPr>
        <w:t>“, разположена в землищата на с. Войнягово, община Карлово и с. Михилци, община Хисаря, област Пловдив.</w:t>
      </w:r>
    </w:p>
    <w:p w14:paraId="796477A5"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Изготвено е писмо от главния секретар на МС до министъра на енергетиката с копие до МОСВ, кмета на община „Родопи“ и областния управител на област Пловдив, относно искане от кмета на община „Родопи“ за прекратяване на процедурата за инвестиционно предложение „Изграждане кариера за добив на пясъци и дребни чакъли“ в площ „</w:t>
      </w:r>
      <w:proofErr w:type="spellStart"/>
      <w:r w:rsidRPr="008B4EFD">
        <w:rPr>
          <w:sz w:val="22"/>
          <w:szCs w:val="22"/>
          <w:lang w:eastAsia="ko-KR"/>
        </w:rPr>
        <w:t>Иванчовата</w:t>
      </w:r>
      <w:proofErr w:type="spellEnd"/>
      <w:r w:rsidRPr="008B4EFD">
        <w:rPr>
          <w:sz w:val="22"/>
          <w:szCs w:val="22"/>
          <w:lang w:eastAsia="ko-KR"/>
        </w:rPr>
        <w:t xml:space="preserve"> чука”, в землището на с. Първенец, община „Родопи“, област Пловдив;</w:t>
      </w:r>
    </w:p>
    <w:p w14:paraId="1E4EF8E4"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Изготвено е становище от директора на дирекция СРКК до директора на дирекция „Правна“ в АМС относно постъпило писмо до министър-председателя от областния управител на област Бургас с искане за актуализиране на Тарифата за таксите, които се събират по Закона за държавната собственост, приета с ПМС № 26 от 2011 г.</w:t>
      </w:r>
    </w:p>
    <w:p w14:paraId="56AF17B9"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 xml:space="preserve">Изготвено е писмо-отговор от директора на дирекция СРКК до директора на дирекция „Правителствена канцелария“ с копие до главния секретар на МС относно предоставяне на </w:t>
      </w:r>
      <w:r w:rsidRPr="008B4EFD">
        <w:rPr>
          <w:sz w:val="22"/>
          <w:szCs w:val="22"/>
          <w:lang w:eastAsia="ko-KR"/>
        </w:rPr>
        <w:lastRenderedPageBreak/>
        <w:t xml:space="preserve">информация за вътрешноведомствени актове, приложими към дейността на дирекция „Стратегическо развитие, координация и концесии“ в АМС с приложена изготвена справка; </w:t>
      </w:r>
    </w:p>
    <w:p w14:paraId="162DE655"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Изготвено е писмо от името на директора на дирекция СРКК до МЕ относно определяне на представители за включване в състава на работна група за разглеждане и обсъждане на проект на Наредба за определяне на концесионното плащане за добив на подземни богатства по ЗПБ;</w:t>
      </w:r>
    </w:p>
    <w:p w14:paraId="79EA0159"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Изготвено е писмо от името на директора на дирекция СРКК до МЕ относно определяне на членове на конкурсна комисия за предоставяне на разрешение за проучване на строителни материали, подземни богатства по чл. 2, ал. 1, т. 5 от ЗПБ в площ „Вълков камък-2“, разположена в землищата на с. Обретеник, с. Екзарх Йосиф и с. Горно Абланово, община Борово, област Русе;</w:t>
      </w:r>
    </w:p>
    <w:p w14:paraId="2142B58F"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Изготвено е становище на дирекция СРКК до директора на дирекция „Административно и правно обслужване“ в АМС относно ангажиментите на концесионера по концесионния договор за доставката на водоснабдителни и канализационни услуги за Столична община – „Софийска вода“ АД, във връзка с поддържането на язовирната стена и съоръженията към нея в изправност и останалите ремонтни дейности, свързани със сигурността на язовир „Бели Искър“;</w:t>
      </w:r>
    </w:p>
    <w:p w14:paraId="173BFD1A"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Извършено е проучване на концесиите в България във връзка с поискана от ЕПЕК информация с цел установяване на финансово приключили през 2024 г. проекти, които изискват външно финансиране и са на стойност над 10 милиона евро. Изготвен е отговор до ЕПЕК, изпратен по електронна поща;</w:t>
      </w:r>
    </w:p>
    <w:p w14:paraId="7369933A"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Изготвен е отговор във връзка с постъпилото от името на Работната група на експертите по ПЧП, подпомагаща полското централно звено за ПЧП, искане за информация за проекти за ПЧП (изпратен по електронна поща);</w:t>
      </w:r>
    </w:p>
    <w:p w14:paraId="34420E88"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Попълнен, с информация от компетентността на дирекция СРКК, и изпратен, по електронна поща до МФ, въпросник на ГД „Икономически и финансови въпроси“ на ЕК относно практиките за управление на публични инвестиции в ЕС;</w:t>
      </w:r>
    </w:p>
    <w:p w14:paraId="653457FD"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Предоставена е актуална информация относно регулаторната рамка за ПЧП в Република България, чрез попълване на анкета на Групата на Световната банка като част от Проучването на ГСВ „Сравнителен анализ на развитието на инфраструктурата“, за 2024 г. (изпратена по електронна поща);</w:t>
      </w:r>
    </w:p>
    <w:p w14:paraId="242063EC" w14:textId="77777777"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 xml:space="preserve">Извършено е проучване и е изготвен отговор до КЗК във връзка с въпросник на ЕК, свързан с разработването на насоки по прилагане на Регламента за чуждестранните субсидии, които нарушават вътрешния пазар (изпратен по електронна поща); </w:t>
      </w:r>
    </w:p>
    <w:p w14:paraId="09A61481" w14:textId="3259382E" w:rsidR="00417D7D" w:rsidRPr="008B4EF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8B4EFD">
        <w:rPr>
          <w:sz w:val="22"/>
          <w:szCs w:val="22"/>
          <w:lang w:eastAsia="ko-KR"/>
        </w:rPr>
        <w:t>Участие в разработването на проект на Програма за упражняване правата върху имоти – държавна собственост и върху имоти собственост на публични държавни предприятия:</w:t>
      </w:r>
    </w:p>
    <w:p w14:paraId="436D3C14" w14:textId="77777777" w:rsidR="00417D7D" w:rsidRPr="000763AC" w:rsidRDefault="00417D7D" w:rsidP="009255B5">
      <w:pPr>
        <w:pStyle w:val="ListParagraph"/>
        <w:numPr>
          <w:ilvl w:val="0"/>
          <w:numId w:val="25"/>
        </w:numPr>
        <w:shd w:val="clear" w:color="auto" w:fill="FFFFFF" w:themeFill="background1"/>
        <w:ind w:left="709" w:hanging="283"/>
        <w:jc w:val="both"/>
        <w:rPr>
          <w:sz w:val="22"/>
          <w:szCs w:val="22"/>
        </w:rPr>
      </w:pPr>
      <w:r w:rsidRPr="000763AC">
        <w:rPr>
          <w:sz w:val="22"/>
          <w:szCs w:val="22"/>
        </w:rPr>
        <w:t>Проведени са работни срещи с представители на МРРБ и АППК;</w:t>
      </w:r>
    </w:p>
    <w:p w14:paraId="50A6B357" w14:textId="77777777" w:rsidR="00417D7D" w:rsidRPr="000763AC" w:rsidRDefault="00417D7D" w:rsidP="009255B5">
      <w:pPr>
        <w:pStyle w:val="ListParagraph"/>
        <w:numPr>
          <w:ilvl w:val="0"/>
          <w:numId w:val="25"/>
        </w:numPr>
        <w:shd w:val="clear" w:color="auto" w:fill="FFFFFF" w:themeFill="background1"/>
        <w:ind w:left="709" w:hanging="283"/>
        <w:jc w:val="both"/>
        <w:rPr>
          <w:sz w:val="22"/>
          <w:szCs w:val="22"/>
        </w:rPr>
      </w:pPr>
      <w:r w:rsidRPr="000763AC">
        <w:rPr>
          <w:sz w:val="22"/>
          <w:szCs w:val="22"/>
        </w:rPr>
        <w:t>Разработено е предложение за проект на Концепция за управлението и разпореждането с имотите – държавна собственост;</w:t>
      </w:r>
    </w:p>
    <w:p w14:paraId="263AF5E9" w14:textId="77777777" w:rsidR="00417D7D" w:rsidRPr="000763AC" w:rsidRDefault="00417D7D" w:rsidP="009255B5">
      <w:pPr>
        <w:pStyle w:val="ListParagraph"/>
        <w:numPr>
          <w:ilvl w:val="0"/>
          <w:numId w:val="25"/>
        </w:numPr>
        <w:shd w:val="clear" w:color="auto" w:fill="FFFFFF" w:themeFill="background1"/>
        <w:ind w:left="709" w:hanging="283"/>
        <w:jc w:val="both"/>
        <w:rPr>
          <w:sz w:val="22"/>
          <w:szCs w:val="22"/>
        </w:rPr>
      </w:pPr>
      <w:r w:rsidRPr="000763AC">
        <w:rPr>
          <w:sz w:val="22"/>
          <w:szCs w:val="22"/>
        </w:rPr>
        <w:t>Разработени са предложения за проект на Програма за упражняване правата върху имоти – държавна собственост и върху имоти собственост на публични държавни предприятия;</w:t>
      </w:r>
    </w:p>
    <w:p w14:paraId="3EF8B54D" w14:textId="77777777" w:rsidR="00417D7D" w:rsidRPr="000763AC" w:rsidRDefault="00417D7D" w:rsidP="009255B5">
      <w:pPr>
        <w:pStyle w:val="ListParagraph"/>
        <w:numPr>
          <w:ilvl w:val="0"/>
          <w:numId w:val="25"/>
        </w:numPr>
        <w:shd w:val="clear" w:color="auto" w:fill="FFFFFF" w:themeFill="background1"/>
        <w:ind w:left="709" w:hanging="283"/>
        <w:jc w:val="both"/>
        <w:rPr>
          <w:sz w:val="22"/>
          <w:szCs w:val="22"/>
        </w:rPr>
      </w:pPr>
      <w:r w:rsidRPr="000763AC">
        <w:rPr>
          <w:sz w:val="22"/>
          <w:szCs w:val="22"/>
        </w:rPr>
        <w:t>Изготвени са 3 писма от името на главния секретар на МС до всички областните управители и министерства относно предоставяне на информация за имоти държавна собственост, нуждата от които е отпаднала и за тези, чието управление, ползване и поддържане създава финансови и организационни затруднения;</w:t>
      </w:r>
    </w:p>
    <w:p w14:paraId="665013A7" w14:textId="77777777" w:rsidR="00417D7D" w:rsidRPr="000763AC" w:rsidRDefault="00417D7D" w:rsidP="009255B5">
      <w:pPr>
        <w:pStyle w:val="ListParagraph"/>
        <w:numPr>
          <w:ilvl w:val="0"/>
          <w:numId w:val="25"/>
        </w:numPr>
        <w:shd w:val="clear" w:color="auto" w:fill="FFFFFF" w:themeFill="background1"/>
        <w:ind w:left="709" w:hanging="283"/>
        <w:jc w:val="both"/>
        <w:rPr>
          <w:sz w:val="22"/>
          <w:szCs w:val="22"/>
        </w:rPr>
      </w:pPr>
      <w:r w:rsidRPr="000763AC">
        <w:rPr>
          <w:sz w:val="22"/>
          <w:szCs w:val="22"/>
        </w:rPr>
        <w:t>Изготвени са 21 писма от името на главния секретар на МС до областни управители относно определени от тях имоти – държавна собственост, нуждата от които е отпаднала;</w:t>
      </w:r>
    </w:p>
    <w:p w14:paraId="290ECEDA" w14:textId="77777777" w:rsidR="00417D7D" w:rsidRPr="000763AC" w:rsidRDefault="00417D7D" w:rsidP="009255B5">
      <w:pPr>
        <w:pStyle w:val="ListParagraph"/>
        <w:numPr>
          <w:ilvl w:val="0"/>
          <w:numId w:val="25"/>
        </w:numPr>
        <w:shd w:val="clear" w:color="auto" w:fill="FFFFFF" w:themeFill="background1"/>
        <w:ind w:left="709" w:hanging="283"/>
        <w:jc w:val="both"/>
        <w:rPr>
          <w:sz w:val="22"/>
          <w:szCs w:val="22"/>
        </w:rPr>
      </w:pPr>
      <w:r w:rsidRPr="000763AC">
        <w:rPr>
          <w:sz w:val="22"/>
          <w:szCs w:val="22"/>
        </w:rPr>
        <w:t>Изготвени са 9 писма от името на главния секретар на МС до министерства относно определени от тях имоти – държавна собственост, нуждата от които е отпаднала.</w:t>
      </w:r>
    </w:p>
    <w:p w14:paraId="38224B3A" w14:textId="77777777" w:rsidR="00417D7D" w:rsidRPr="000763AC" w:rsidRDefault="00417D7D" w:rsidP="009255B5">
      <w:pPr>
        <w:pStyle w:val="ListParagraph"/>
        <w:numPr>
          <w:ilvl w:val="0"/>
          <w:numId w:val="25"/>
        </w:numPr>
        <w:shd w:val="clear" w:color="auto" w:fill="FFFFFF" w:themeFill="background1"/>
        <w:ind w:left="709" w:hanging="283"/>
        <w:jc w:val="both"/>
        <w:rPr>
          <w:sz w:val="22"/>
          <w:szCs w:val="22"/>
        </w:rPr>
      </w:pPr>
      <w:r w:rsidRPr="000763AC">
        <w:rPr>
          <w:sz w:val="22"/>
          <w:szCs w:val="22"/>
        </w:rPr>
        <w:t>Изготвено е писмо от името на главния секретар на МС до министъра на регионалното развитие и благоустройството относно предоставяне на информация за имоти – държавна собственост и за имоти – собственост на държавни публични предприятия, събрана и обобщена от администрацията на Министерския съвет;</w:t>
      </w:r>
    </w:p>
    <w:p w14:paraId="16ACB53B" w14:textId="77777777" w:rsidR="00417D7D" w:rsidRPr="000763AC" w:rsidRDefault="00417D7D" w:rsidP="009255B5">
      <w:pPr>
        <w:pStyle w:val="ListParagraph"/>
        <w:numPr>
          <w:ilvl w:val="0"/>
          <w:numId w:val="25"/>
        </w:numPr>
        <w:shd w:val="clear" w:color="auto" w:fill="FFFFFF" w:themeFill="background1"/>
        <w:ind w:left="709" w:hanging="283"/>
        <w:jc w:val="both"/>
        <w:rPr>
          <w:sz w:val="22"/>
          <w:szCs w:val="22"/>
        </w:rPr>
      </w:pPr>
      <w:r w:rsidRPr="000763AC">
        <w:rPr>
          <w:sz w:val="22"/>
          <w:szCs w:val="22"/>
        </w:rPr>
        <w:t xml:space="preserve">Изготвено е писмо от името на главния секретар на МС до министъра на земеделието и храните, с което е изпратено по компетентност постъпило в МС искане от кмета на Община Павел баня за иницииране на процедура по чл. 54 от Закона за държавната собственост за </w:t>
      </w:r>
      <w:r w:rsidRPr="000763AC">
        <w:rPr>
          <w:sz w:val="22"/>
          <w:szCs w:val="22"/>
        </w:rPr>
        <w:lastRenderedPageBreak/>
        <w:t>безвъзмездно прехвърляне в полза на Община Павел баня на собствеността върху имот – частна държавна собственост, предоставен за ползване на ДП „Югоизточно държавно предприятие“.</w:t>
      </w:r>
    </w:p>
    <w:p w14:paraId="7AB16502" w14:textId="77777777" w:rsidR="00417D7D" w:rsidRPr="00383AD2"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383AD2">
        <w:rPr>
          <w:sz w:val="22"/>
          <w:szCs w:val="22"/>
          <w:lang w:eastAsia="ko-KR"/>
        </w:rPr>
        <w:t xml:space="preserve">Във връзка с определяне от главния секретар на МС на експерт от дирекция СРКК като лице за контакт, до което Министерството на външните работи (МВнР) да изпраща постъпващите нови предложения и проекти на правни актове, свързани с ограничителните мерки на Европейския съюз, е извършен преглед с оглед изразяване на становище по компетентност на постъпили от МВнР проекти на правни актове и предложения, свързани с налагането на ограничителните мерки на ЕС от три санкционни пакета (16-ти, 17-ти и 18-ти санкционен пакет – частично, тъй като пакетът е приет извън отчетния период) – общо над 117 проекта на документи. Чрез АИСМС постъпилите проекти са насочвани към компетентните дирекции от АМС и съветник към политическия кабинет на министър-председателя, на вниманието на главния секретар на МС и на началника на политическия кабинет на министър-председателя. </w:t>
      </w:r>
    </w:p>
    <w:p w14:paraId="027CEFFF" w14:textId="77777777" w:rsidR="00417D7D" w:rsidRPr="00383AD2"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383AD2">
        <w:rPr>
          <w:sz w:val="22"/>
          <w:szCs w:val="22"/>
          <w:lang w:eastAsia="ko-KR"/>
        </w:rPr>
        <w:t xml:space="preserve">Взето е участие (онлайн) на експерти от отдел КК в срещи на Експертната група на правителствените експерти по обществени поръчки към ЕК (EXPP), проведени на 31.01.2025 г. и на 27.03.2025 г. (изготвено резюме от втората среща). </w:t>
      </w:r>
    </w:p>
    <w:p w14:paraId="0E0FBD44" w14:textId="7C5D4DA2" w:rsidR="00417D7D" w:rsidRDefault="00417D7D" w:rsidP="009255B5">
      <w:pPr>
        <w:numPr>
          <w:ilvl w:val="0"/>
          <w:numId w:val="38"/>
        </w:numPr>
        <w:shd w:val="clear" w:color="auto" w:fill="FFFFFF" w:themeFill="background1"/>
        <w:tabs>
          <w:tab w:val="num" w:pos="0"/>
          <w:tab w:val="left" w:pos="851"/>
          <w:tab w:val="left" w:pos="993"/>
          <w:tab w:val="left" w:pos="1134"/>
        </w:tabs>
        <w:ind w:left="0" w:firstLine="426"/>
        <w:jc w:val="both"/>
        <w:rPr>
          <w:sz w:val="22"/>
          <w:szCs w:val="22"/>
          <w:lang w:eastAsia="ko-KR"/>
        </w:rPr>
      </w:pPr>
      <w:r w:rsidRPr="00383AD2">
        <w:rPr>
          <w:sz w:val="22"/>
          <w:szCs w:val="22"/>
          <w:lang w:eastAsia="ko-KR"/>
        </w:rPr>
        <w:t>Взето е участие (онлайн) на експерти от отдел КК в конференция, организирана от ОИСР, за управление на инфраструктурата, проведена на 24.04.2025 г.</w:t>
      </w:r>
    </w:p>
    <w:p w14:paraId="4BB7D658" w14:textId="77777777" w:rsidR="00125017" w:rsidRPr="009255B5" w:rsidRDefault="00125017" w:rsidP="009255B5">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9255B5">
        <w:rPr>
          <w:b/>
          <w:bCs/>
          <w:i/>
          <w:iCs/>
          <w:color w:val="215E99" w:themeColor="text2" w:themeTint="BF"/>
          <w:sz w:val="22"/>
          <w:szCs w:val="22"/>
        </w:rPr>
        <w:t xml:space="preserve">Консолидиране на националната стратегическа рамка и усъвършенстване на процесите по целеполагане в държавната администрация, наблюдение, отчитане на изпълнението и оценка на националните стратегически документи – дирекция „Стратегическо развитие, координация и концесии“ </w:t>
      </w:r>
    </w:p>
    <w:p w14:paraId="26F02603" w14:textId="77777777" w:rsidR="00125017" w:rsidRPr="00125017" w:rsidRDefault="00125017" w:rsidP="003A7DFF">
      <w:pPr>
        <w:shd w:val="clear" w:color="auto" w:fill="FFFFFF" w:themeFill="background1"/>
        <w:ind w:left="357" w:firstLine="69"/>
        <w:jc w:val="both"/>
        <w:rPr>
          <w:b/>
          <w:i/>
          <w:color w:val="800000"/>
          <w:sz w:val="22"/>
          <w:szCs w:val="22"/>
        </w:rPr>
      </w:pPr>
      <w:r w:rsidRPr="00125017">
        <w:rPr>
          <w:b/>
          <w:i/>
          <w:color w:val="800000"/>
          <w:sz w:val="22"/>
          <w:szCs w:val="22"/>
        </w:rPr>
        <w:t>Дейности за предоставяне на продукта/услугата:</w:t>
      </w:r>
    </w:p>
    <w:p w14:paraId="65EF04E6" w14:textId="77777777" w:rsidR="00125017" w:rsidRPr="00125017" w:rsidRDefault="00125017" w:rsidP="003A7DFF">
      <w:pPr>
        <w:shd w:val="clear" w:color="auto" w:fill="FFFFFF" w:themeFill="background1"/>
        <w:tabs>
          <w:tab w:val="num" w:pos="993"/>
        </w:tabs>
        <w:ind w:firstLine="426"/>
        <w:jc w:val="both"/>
        <w:rPr>
          <w:sz w:val="22"/>
          <w:szCs w:val="22"/>
        </w:rPr>
      </w:pPr>
      <w:r w:rsidRPr="00125017">
        <w:rPr>
          <w:sz w:val="22"/>
          <w:szCs w:val="22"/>
        </w:rPr>
        <w:t>За отчетния период (от 14.03.2025 г.) са изпълнени следните дейности за предоставяне на продукта/услугата:</w:t>
      </w:r>
    </w:p>
    <w:p w14:paraId="1D9BD428" w14:textId="77777777" w:rsidR="00125017" w:rsidRPr="001B5811" w:rsidRDefault="00125017" w:rsidP="003A7DFF">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1B5811">
        <w:rPr>
          <w:rFonts w:eastAsia="Batang"/>
          <w:b/>
          <w:bCs/>
          <w:sz w:val="22"/>
          <w:szCs w:val="22"/>
          <w:lang w:eastAsia="ko-KR"/>
        </w:rPr>
        <w:t>Създаване и насърчаване прилагането на единни стандарти по отношение на стратегическите документи и процеса по тяхното разработване, наблюдение и отчитане:</w:t>
      </w:r>
    </w:p>
    <w:p w14:paraId="7E26CBE2" w14:textId="52EB7F9D" w:rsidR="00125017" w:rsidRPr="00125017" w:rsidRDefault="00125017" w:rsidP="003A7DFF">
      <w:pPr>
        <w:pStyle w:val="ListParagraph"/>
        <w:numPr>
          <w:ilvl w:val="0"/>
          <w:numId w:val="25"/>
        </w:numPr>
        <w:shd w:val="clear" w:color="auto" w:fill="FFFFFF" w:themeFill="background1"/>
        <w:ind w:left="709" w:hanging="283"/>
        <w:jc w:val="both"/>
        <w:rPr>
          <w:sz w:val="22"/>
          <w:szCs w:val="22"/>
        </w:rPr>
      </w:pPr>
      <w:r w:rsidRPr="00125017">
        <w:rPr>
          <w:sz w:val="22"/>
          <w:szCs w:val="22"/>
        </w:rPr>
        <w:t xml:space="preserve">Изготвени становища по проекти на стратегически документи, съгласувани по реда на </w:t>
      </w:r>
      <w:r>
        <w:rPr>
          <w:sz w:val="22"/>
          <w:szCs w:val="22"/>
        </w:rPr>
        <w:br/>
        <w:t>чл. 32 от УПМСНА</w:t>
      </w:r>
      <w:r>
        <w:rPr>
          <w:sz w:val="22"/>
          <w:szCs w:val="22"/>
          <w:lang w:val="bg-BG"/>
        </w:rPr>
        <w:t>;</w:t>
      </w:r>
    </w:p>
    <w:p w14:paraId="316896A3" w14:textId="2FA478C7" w:rsidR="00125017" w:rsidRPr="00125017" w:rsidRDefault="00125017" w:rsidP="003A7DFF">
      <w:pPr>
        <w:pStyle w:val="ListParagraph"/>
        <w:numPr>
          <w:ilvl w:val="0"/>
          <w:numId w:val="25"/>
        </w:numPr>
        <w:shd w:val="clear" w:color="auto" w:fill="FFFFFF" w:themeFill="background1"/>
        <w:ind w:left="709" w:hanging="283"/>
        <w:jc w:val="both"/>
        <w:rPr>
          <w:sz w:val="22"/>
          <w:szCs w:val="22"/>
        </w:rPr>
      </w:pPr>
      <w:r w:rsidRPr="00125017">
        <w:rPr>
          <w:sz w:val="22"/>
          <w:szCs w:val="22"/>
        </w:rPr>
        <w:t>Изготвени становища по проекти на нормативни актове, които съдържат изисквания за разработване, наблюдение и отчитане на стратегически документи, внесени за съгласув</w:t>
      </w:r>
      <w:r>
        <w:rPr>
          <w:sz w:val="22"/>
          <w:szCs w:val="22"/>
        </w:rPr>
        <w:t>ане по реда на чл. 32 от УПМСНА</w:t>
      </w:r>
      <w:r>
        <w:rPr>
          <w:sz w:val="22"/>
          <w:szCs w:val="22"/>
          <w:lang w:val="bg-BG"/>
        </w:rPr>
        <w:t>;</w:t>
      </w:r>
    </w:p>
    <w:p w14:paraId="1467B6AC" w14:textId="77777777" w:rsidR="00125017" w:rsidRPr="00125017" w:rsidRDefault="00125017" w:rsidP="003A7DFF">
      <w:pPr>
        <w:pStyle w:val="ListParagraph"/>
        <w:numPr>
          <w:ilvl w:val="0"/>
          <w:numId w:val="25"/>
        </w:numPr>
        <w:shd w:val="clear" w:color="auto" w:fill="FFFFFF" w:themeFill="background1"/>
        <w:ind w:left="709" w:hanging="283"/>
        <w:jc w:val="both"/>
        <w:rPr>
          <w:sz w:val="22"/>
          <w:szCs w:val="22"/>
        </w:rPr>
      </w:pPr>
      <w:r w:rsidRPr="00125017">
        <w:rPr>
          <w:sz w:val="22"/>
          <w:szCs w:val="22"/>
        </w:rPr>
        <w:t xml:space="preserve">Осигурена методическа помощ на органите на изпълнителната власт и на администрациите за осигуряване на обратна връзка и консултация в процеса по разработване на стратегически документи и чрез предоставяне на бележки и предложения по проекти на стратегически документи. </w:t>
      </w:r>
    </w:p>
    <w:p w14:paraId="0E6C2FDD" w14:textId="77777777" w:rsidR="00125017" w:rsidRPr="001B5811" w:rsidRDefault="00125017" w:rsidP="003A7DFF">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1B5811">
        <w:rPr>
          <w:rFonts w:eastAsia="Batang"/>
          <w:b/>
          <w:bCs/>
          <w:sz w:val="22"/>
          <w:szCs w:val="22"/>
          <w:lang w:eastAsia="ko-KR"/>
        </w:rPr>
        <w:t>Подпомагане на работата на Съвета за икономически анализи:</w:t>
      </w:r>
    </w:p>
    <w:p w14:paraId="6774DDF1" w14:textId="7389203A" w:rsidR="00125017" w:rsidRPr="00125017" w:rsidRDefault="00125017" w:rsidP="003A7DFF">
      <w:pPr>
        <w:pStyle w:val="ListParagraph"/>
        <w:numPr>
          <w:ilvl w:val="0"/>
          <w:numId w:val="25"/>
        </w:numPr>
        <w:shd w:val="clear" w:color="auto" w:fill="FFFFFF" w:themeFill="background1"/>
        <w:ind w:left="709" w:hanging="283"/>
        <w:jc w:val="both"/>
        <w:rPr>
          <w:sz w:val="22"/>
          <w:szCs w:val="22"/>
        </w:rPr>
      </w:pPr>
      <w:r w:rsidRPr="00125017">
        <w:rPr>
          <w:sz w:val="22"/>
          <w:szCs w:val="22"/>
        </w:rPr>
        <w:t>Изготвен и приет от Съвета Годишен доклад за 2024 г.</w:t>
      </w:r>
      <w:r w:rsidR="00E079A1">
        <w:rPr>
          <w:sz w:val="22"/>
          <w:szCs w:val="22"/>
          <w:lang w:val="bg-BG"/>
        </w:rPr>
        <w:t>;</w:t>
      </w:r>
    </w:p>
    <w:p w14:paraId="09734A49" w14:textId="1CBEFE49" w:rsidR="00125017" w:rsidRPr="00125017" w:rsidRDefault="00125017" w:rsidP="003A7DFF">
      <w:pPr>
        <w:pStyle w:val="ListParagraph"/>
        <w:numPr>
          <w:ilvl w:val="0"/>
          <w:numId w:val="25"/>
        </w:numPr>
        <w:shd w:val="clear" w:color="auto" w:fill="FFFFFF" w:themeFill="background1"/>
        <w:ind w:left="709" w:hanging="283"/>
        <w:jc w:val="both"/>
        <w:rPr>
          <w:sz w:val="22"/>
          <w:szCs w:val="22"/>
        </w:rPr>
      </w:pPr>
      <w:r w:rsidRPr="00125017">
        <w:rPr>
          <w:sz w:val="22"/>
          <w:szCs w:val="22"/>
        </w:rPr>
        <w:t>Организирана и проведена Трета годишна конференция на Съвета за икономически анализи, проведена на 23-ти и 24-ти юни в Софийския университет „Свети Климент Охридски“. Конференцията е организирана съвместно със Стопанския факултет на Софийския Университет и European Ec</w:t>
      </w:r>
      <w:r w:rsidR="00E079A1">
        <w:rPr>
          <w:sz w:val="22"/>
          <w:szCs w:val="22"/>
        </w:rPr>
        <w:t>onomic Association</w:t>
      </w:r>
      <w:r w:rsidR="00E079A1">
        <w:rPr>
          <w:sz w:val="22"/>
          <w:szCs w:val="22"/>
          <w:lang w:val="bg-BG"/>
        </w:rPr>
        <w:t>;</w:t>
      </w:r>
    </w:p>
    <w:p w14:paraId="26F57CEE" w14:textId="524C864D" w:rsidR="00125017" w:rsidRPr="00125017" w:rsidRDefault="00125017" w:rsidP="003A7DFF">
      <w:pPr>
        <w:pStyle w:val="ListParagraph"/>
        <w:numPr>
          <w:ilvl w:val="0"/>
          <w:numId w:val="25"/>
        </w:numPr>
        <w:shd w:val="clear" w:color="auto" w:fill="FFFFFF" w:themeFill="background1"/>
        <w:ind w:left="709" w:hanging="283"/>
        <w:jc w:val="both"/>
        <w:rPr>
          <w:sz w:val="22"/>
          <w:szCs w:val="22"/>
        </w:rPr>
      </w:pPr>
      <w:r w:rsidRPr="00125017">
        <w:rPr>
          <w:sz w:val="22"/>
          <w:szCs w:val="22"/>
        </w:rPr>
        <w:t xml:space="preserve">Регулярно актуализирана електронна страница на </w:t>
      </w:r>
      <w:r w:rsidR="00E079A1">
        <w:rPr>
          <w:sz w:val="22"/>
          <w:szCs w:val="22"/>
        </w:rPr>
        <w:t>Съвета за икономически анализи</w:t>
      </w:r>
      <w:r w:rsidR="00E079A1">
        <w:rPr>
          <w:sz w:val="22"/>
          <w:szCs w:val="22"/>
          <w:lang w:val="bg-BG"/>
        </w:rPr>
        <w:t>;</w:t>
      </w:r>
    </w:p>
    <w:p w14:paraId="32C688F5" w14:textId="77777777" w:rsidR="00125017" w:rsidRPr="00E079A1" w:rsidRDefault="00125017" w:rsidP="003A7DFF">
      <w:pPr>
        <w:pStyle w:val="ListParagraph"/>
        <w:numPr>
          <w:ilvl w:val="0"/>
          <w:numId w:val="25"/>
        </w:numPr>
        <w:shd w:val="clear" w:color="auto" w:fill="FFFFFF" w:themeFill="background1"/>
        <w:ind w:left="709" w:hanging="283"/>
        <w:jc w:val="both"/>
        <w:rPr>
          <w:sz w:val="22"/>
          <w:szCs w:val="22"/>
        </w:rPr>
      </w:pPr>
      <w:r w:rsidRPr="00125017">
        <w:rPr>
          <w:sz w:val="22"/>
          <w:szCs w:val="22"/>
        </w:rPr>
        <w:t>Осигурени данни</w:t>
      </w:r>
      <w:r w:rsidRPr="00E079A1">
        <w:rPr>
          <w:sz w:val="22"/>
          <w:szCs w:val="22"/>
        </w:rPr>
        <w:t xml:space="preserve"> и подпомогнато изготвяне и публикуване на един анализ на Съвета.</w:t>
      </w:r>
    </w:p>
    <w:p w14:paraId="3FC3290C" w14:textId="77777777" w:rsidR="00125017" w:rsidRPr="001B5811" w:rsidRDefault="00125017" w:rsidP="003A7DFF">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1B5811">
        <w:rPr>
          <w:rFonts w:eastAsia="Batang"/>
          <w:b/>
          <w:bCs/>
          <w:sz w:val="22"/>
          <w:szCs w:val="22"/>
          <w:lang w:eastAsia="ko-KR"/>
        </w:rPr>
        <w:t>Изготвяне на План за действие за изпълнението на Националната програма за развитие БЪЛГАРИЯ 2030 за периода 2025-2028 г. (НПР БЪЛГАРИЯ 2030)</w:t>
      </w:r>
    </w:p>
    <w:p w14:paraId="3D0A813C" w14:textId="5ABE4E0D" w:rsidR="00125017" w:rsidRPr="00E079A1" w:rsidRDefault="00125017" w:rsidP="003A7DFF">
      <w:pPr>
        <w:pStyle w:val="ListParagraph"/>
        <w:numPr>
          <w:ilvl w:val="0"/>
          <w:numId w:val="25"/>
        </w:numPr>
        <w:shd w:val="clear" w:color="auto" w:fill="FFFFFF" w:themeFill="background1"/>
        <w:ind w:left="709" w:hanging="283"/>
        <w:jc w:val="both"/>
        <w:rPr>
          <w:sz w:val="22"/>
          <w:szCs w:val="22"/>
        </w:rPr>
      </w:pPr>
      <w:r w:rsidRPr="00E079A1">
        <w:rPr>
          <w:sz w:val="22"/>
          <w:szCs w:val="22"/>
        </w:rPr>
        <w:t>Проектът на План е изпратен за междуведомст</w:t>
      </w:r>
      <w:r w:rsidR="00E079A1">
        <w:rPr>
          <w:sz w:val="22"/>
          <w:szCs w:val="22"/>
        </w:rPr>
        <w:t>вено съгласуване по реда на чл.</w:t>
      </w:r>
      <w:r w:rsidR="00E079A1">
        <w:rPr>
          <w:sz w:val="22"/>
          <w:szCs w:val="22"/>
          <w:lang w:val="bg-BG"/>
        </w:rPr>
        <w:t xml:space="preserve"> </w:t>
      </w:r>
      <w:r w:rsidRPr="00E079A1">
        <w:rPr>
          <w:sz w:val="22"/>
          <w:szCs w:val="22"/>
        </w:rPr>
        <w:t xml:space="preserve">32 от УПМСНА (писмо с рег. № 02.70-16 от </w:t>
      </w:r>
      <w:r w:rsidR="00E079A1">
        <w:rPr>
          <w:sz w:val="22"/>
          <w:szCs w:val="22"/>
          <w:lang w:val="bg-BG"/>
        </w:rPr>
        <w:t>0</w:t>
      </w:r>
      <w:r w:rsidRPr="00E079A1">
        <w:rPr>
          <w:sz w:val="22"/>
          <w:szCs w:val="22"/>
        </w:rPr>
        <w:t>4.03.2025 г.). Към настоящия момент процедурата не е завършена, тъй като не е получена подписана финансова обосновка от Министъра на финансите.</w:t>
      </w:r>
    </w:p>
    <w:p w14:paraId="1B587B76" w14:textId="1A923E1A" w:rsidR="00125017" w:rsidRPr="001B5811" w:rsidRDefault="00125017" w:rsidP="003A7DFF">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1B5811">
        <w:rPr>
          <w:rFonts w:eastAsia="Batang"/>
          <w:b/>
          <w:bCs/>
          <w:sz w:val="22"/>
          <w:szCs w:val="22"/>
          <w:lang w:eastAsia="ko-KR"/>
        </w:rPr>
        <w:t xml:space="preserve">Изпълнение на функциите на секретариат на междуведомствената работна група, създадена със заповед на министър-председателя, за организация и координация на подготовката на Социален план за климата съгласно Регламент (ЕС) 2023/955 на Европейския </w:t>
      </w:r>
      <w:r w:rsidRPr="001B5811">
        <w:rPr>
          <w:rFonts w:eastAsia="Batang"/>
          <w:b/>
          <w:bCs/>
          <w:sz w:val="22"/>
          <w:szCs w:val="22"/>
          <w:lang w:eastAsia="ko-KR"/>
        </w:rPr>
        <w:lastRenderedPageBreak/>
        <w:t>парламент и на Съвета от 10</w:t>
      </w:r>
      <w:r w:rsidR="00E079A1" w:rsidRPr="001B5811">
        <w:rPr>
          <w:rFonts w:eastAsia="Batang"/>
          <w:b/>
          <w:bCs/>
          <w:sz w:val="22"/>
          <w:szCs w:val="22"/>
          <w:lang w:eastAsia="ko-KR"/>
        </w:rPr>
        <w:t>.05.</w:t>
      </w:r>
      <w:r w:rsidRPr="001B5811">
        <w:rPr>
          <w:rFonts w:eastAsia="Batang"/>
          <w:b/>
          <w:bCs/>
          <w:sz w:val="22"/>
          <w:szCs w:val="22"/>
          <w:lang w:eastAsia="ko-KR"/>
        </w:rPr>
        <w:t>2023 г</w:t>
      </w:r>
      <w:r w:rsidR="00E079A1" w:rsidRPr="001B5811">
        <w:rPr>
          <w:rFonts w:eastAsia="Batang"/>
          <w:b/>
          <w:bCs/>
          <w:sz w:val="22"/>
          <w:szCs w:val="22"/>
          <w:lang w:eastAsia="ko-KR"/>
        </w:rPr>
        <w:t>.</w:t>
      </w:r>
      <w:r w:rsidRPr="001B5811">
        <w:rPr>
          <w:rFonts w:eastAsia="Batang"/>
          <w:b/>
          <w:bCs/>
          <w:sz w:val="22"/>
          <w:szCs w:val="22"/>
          <w:lang w:eastAsia="ko-KR"/>
        </w:rPr>
        <w:t xml:space="preserve"> за създаване на Социален фонд за климата и за изменение на Регламент (ЕС) 2021/1060</w:t>
      </w:r>
    </w:p>
    <w:p w14:paraId="2C8520A1" w14:textId="54E5E73B" w:rsidR="00125017" w:rsidRPr="00E079A1" w:rsidRDefault="00E079A1" w:rsidP="003A7DFF">
      <w:pPr>
        <w:pStyle w:val="ListParagraph"/>
        <w:numPr>
          <w:ilvl w:val="0"/>
          <w:numId w:val="25"/>
        </w:numPr>
        <w:shd w:val="clear" w:color="auto" w:fill="FFFFFF" w:themeFill="background1"/>
        <w:ind w:left="709" w:hanging="283"/>
        <w:jc w:val="both"/>
        <w:rPr>
          <w:sz w:val="22"/>
          <w:szCs w:val="22"/>
        </w:rPr>
      </w:pPr>
      <w:r>
        <w:rPr>
          <w:sz w:val="22"/>
          <w:szCs w:val="22"/>
        </w:rPr>
        <w:t xml:space="preserve">Одобрено е </w:t>
      </w:r>
      <w:r w:rsidR="00125017" w:rsidRPr="00E079A1">
        <w:rPr>
          <w:sz w:val="22"/>
          <w:szCs w:val="22"/>
        </w:rPr>
        <w:t xml:space="preserve">Постановление № 24 на МС от </w:t>
      </w:r>
      <w:r>
        <w:rPr>
          <w:sz w:val="22"/>
          <w:szCs w:val="22"/>
          <w:lang w:val="bg-BG"/>
        </w:rPr>
        <w:t>0</w:t>
      </w:r>
      <w:r w:rsidR="00125017" w:rsidRPr="00E079A1">
        <w:rPr>
          <w:sz w:val="22"/>
          <w:szCs w:val="22"/>
        </w:rPr>
        <w:t>8</w:t>
      </w:r>
      <w:r>
        <w:rPr>
          <w:sz w:val="22"/>
          <w:szCs w:val="22"/>
          <w:lang w:val="bg-BG"/>
        </w:rPr>
        <w:t>.04.</w:t>
      </w:r>
      <w:r w:rsidR="00125017" w:rsidRPr="00E079A1">
        <w:rPr>
          <w:sz w:val="22"/>
          <w:szCs w:val="22"/>
        </w:rPr>
        <w:t>2025 г</w:t>
      </w:r>
      <w:r>
        <w:rPr>
          <w:sz w:val="22"/>
          <w:szCs w:val="22"/>
          <w:lang w:val="bg-BG"/>
        </w:rPr>
        <w:t>.</w:t>
      </w:r>
      <w:r w:rsidR="00125017" w:rsidRPr="00E079A1">
        <w:rPr>
          <w:sz w:val="22"/>
          <w:szCs w:val="22"/>
        </w:rPr>
        <w:t xml:space="preserve"> за организация и координация на подготовката на Социалния план за климата на Република България и за определяне на органите и структурите, отговорни за неговата подготовка и управление, и на техните основни функции;</w:t>
      </w:r>
    </w:p>
    <w:p w14:paraId="0A419443" w14:textId="77777777" w:rsidR="00125017" w:rsidRPr="00E079A1" w:rsidRDefault="00125017" w:rsidP="003A7DFF">
      <w:pPr>
        <w:pStyle w:val="ListParagraph"/>
        <w:numPr>
          <w:ilvl w:val="0"/>
          <w:numId w:val="25"/>
        </w:numPr>
        <w:shd w:val="clear" w:color="auto" w:fill="FFFFFF" w:themeFill="background1"/>
        <w:ind w:left="709" w:hanging="283"/>
        <w:jc w:val="both"/>
        <w:rPr>
          <w:sz w:val="22"/>
          <w:szCs w:val="22"/>
        </w:rPr>
      </w:pPr>
      <w:r w:rsidRPr="00E079A1">
        <w:rPr>
          <w:sz w:val="22"/>
          <w:szCs w:val="22"/>
        </w:rPr>
        <w:t>С Постановлението е определено, че при осъществяване на координацията по въпросите, свързани с изпълнението на Плана, заместник министър-председателят по чл. 5, ал. 1, т. 2 от Устройствения правилник на Министерския съвет и на неговата администрация се подпомага от дирекция „Централно координационно звено“ (чл. 11 на Постановление № 24 на МС от 2025 г.). Последната става и секретариат на междуведомствената работна група (чл. 6, ал. 4 на Постановление № 24 на МС от 2025 г.). Въпреки това ангажираните служители от дирекция СРКК продължават усилено да работят по подготовката на Социалния план за климата, първият вариант на който е публикуван за обществено обсъждане на 20.06.2025 г.</w:t>
      </w:r>
    </w:p>
    <w:p w14:paraId="10E184AB" w14:textId="77777777" w:rsidR="00125017" w:rsidRPr="001B5811" w:rsidRDefault="00125017" w:rsidP="003A7DFF">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1B5811">
        <w:rPr>
          <w:rFonts w:eastAsia="Batang"/>
          <w:b/>
          <w:bCs/>
          <w:sz w:val="22"/>
          <w:szCs w:val="22"/>
          <w:lang w:eastAsia="ko-KR"/>
        </w:rPr>
        <w:t>Създаден механизъм за подготовка и представяне на Втори доброволен национален преглед на изпълнението на Целите на Организацията на обединените нации за устойчиво развитие:</w:t>
      </w:r>
    </w:p>
    <w:p w14:paraId="36AB3BAF" w14:textId="4560CAF2" w:rsidR="00125017" w:rsidRPr="00E079A1" w:rsidRDefault="00125017" w:rsidP="003A7DFF">
      <w:pPr>
        <w:pStyle w:val="ListParagraph"/>
        <w:numPr>
          <w:ilvl w:val="0"/>
          <w:numId w:val="25"/>
        </w:numPr>
        <w:shd w:val="clear" w:color="auto" w:fill="FFFFFF" w:themeFill="background1"/>
        <w:ind w:left="709" w:hanging="283"/>
        <w:jc w:val="both"/>
        <w:rPr>
          <w:sz w:val="22"/>
          <w:szCs w:val="22"/>
        </w:rPr>
      </w:pPr>
      <w:r w:rsidRPr="00E079A1">
        <w:rPr>
          <w:sz w:val="22"/>
          <w:szCs w:val="22"/>
        </w:rPr>
        <w:t xml:space="preserve">Проектът на Втория национален доброволен преглед е съгласуван по реда на чл. 32 на УПМСНА. Прегледът е одобрен с </w:t>
      </w:r>
      <w:r w:rsidR="00E079A1">
        <w:rPr>
          <w:sz w:val="22"/>
          <w:szCs w:val="22"/>
        </w:rPr>
        <w:t>Решение № 246 на МС от 25</w:t>
      </w:r>
      <w:r w:rsidR="00E079A1">
        <w:rPr>
          <w:sz w:val="22"/>
          <w:szCs w:val="22"/>
          <w:lang w:val="bg-BG"/>
        </w:rPr>
        <w:t>.04.</w:t>
      </w:r>
      <w:r w:rsidRPr="00E079A1">
        <w:rPr>
          <w:sz w:val="22"/>
          <w:szCs w:val="22"/>
        </w:rPr>
        <w:t xml:space="preserve">2025 г.; </w:t>
      </w:r>
    </w:p>
    <w:p w14:paraId="621D7ED1" w14:textId="77777777" w:rsidR="00125017" w:rsidRPr="00E079A1" w:rsidRDefault="00125017" w:rsidP="003A7DFF">
      <w:pPr>
        <w:pStyle w:val="ListParagraph"/>
        <w:numPr>
          <w:ilvl w:val="0"/>
          <w:numId w:val="25"/>
        </w:numPr>
        <w:shd w:val="clear" w:color="auto" w:fill="FFFFFF" w:themeFill="background1"/>
        <w:ind w:left="709" w:hanging="283"/>
        <w:jc w:val="both"/>
        <w:rPr>
          <w:sz w:val="22"/>
          <w:szCs w:val="22"/>
        </w:rPr>
      </w:pPr>
      <w:r w:rsidRPr="00E079A1">
        <w:rPr>
          <w:sz w:val="22"/>
          <w:szCs w:val="22"/>
        </w:rPr>
        <w:t>Окончателният текст е изпратен до Министерството на външните работи (МВнР) за осъществяване на  координация на представянето му;</w:t>
      </w:r>
    </w:p>
    <w:p w14:paraId="2096F464" w14:textId="77777777" w:rsidR="00125017" w:rsidRPr="00E079A1" w:rsidRDefault="00125017" w:rsidP="003A7DFF">
      <w:pPr>
        <w:pStyle w:val="ListParagraph"/>
        <w:numPr>
          <w:ilvl w:val="0"/>
          <w:numId w:val="25"/>
        </w:numPr>
        <w:shd w:val="clear" w:color="auto" w:fill="FFFFFF" w:themeFill="background1"/>
        <w:ind w:left="709" w:hanging="283"/>
        <w:jc w:val="both"/>
        <w:rPr>
          <w:sz w:val="22"/>
          <w:szCs w:val="22"/>
        </w:rPr>
      </w:pPr>
      <w:r w:rsidRPr="00E079A1">
        <w:rPr>
          <w:sz w:val="22"/>
          <w:szCs w:val="22"/>
        </w:rPr>
        <w:t>Изготвени и изпратени на МВнР информационни материали във връзка с представянето на Втория национален доброволен преглед.</w:t>
      </w:r>
    </w:p>
    <w:p w14:paraId="25B28DF1" w14:textId="1EB7A598" w:rsidR="00125017" w:rsidRPr="00990E90" w:rsidRDefault="00125017" w:rsidP="003A7DFF">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990E90">
        <w:rPr>
          <w:rFonts w:eastAsia="Batang"/>
          <w:b/>
          <w:bCs/>
          <w:sz w:val="22"/>
          <w:szCs w:val="22"/>
          <w:lang w:eastAsia="ko-KR"/>
        </w:rPr>
        <w:t xml:space="preserve">Участие в работни групи при разработване и обсъждане на проекти на стратегически </w:t>
      </w:r>
      <w:r w:rsidR="00E079A1" w:rsidRPr="00990E90">
        <w:rPr>
          <w:rFonts w:eastAsia="Batang"/>
          <w:b/>
          <w:bCs/>
          <w:sz w:val="22"/>
          <w:szCs w:val="22"/>
          <w:lang w:eastAsia="ko-KR"/>
        </w:rPr>
        <w:br/>
      </w:r>
      <w:r w:rsidRPr="00990E90">
        <w:rPr>
          <w:rFonts w:eastAsia="Batang"/>
          <w:b/>
          <w:bCs/>
          <w:sz w:val="22"/>
          <w:szCs w:val="22"/>
          <w:lang w:eastAsia="ko-KR"/>
        </w:rPr>
        <w:t xml:space="preserve">документи </w:t>
      </w:r>
      <w:r w:rsidR="00E079A1" w:rsidRPr="00990E90">
        <w:rPr>
          <w:rFonts w:eastAsia="Batang"/>
          <w:b/>
          <w:bCs/>
          <w:sz w:val="22"/>
          <w:szCs w:val="22"/>
          <w:lang w:eastAsia="ko-KR"/>
        </w:rPr>
        <w:t>–</w:t>
      </w:r>
      <w:r w:rsidRPr="00990E90">
        <w:rPr>
          <w:rFonts w:eastAsia="Batang"/>
          <w:b/>
          <w:bCs/>
          <w:sz w:val="22"/>
          <w:szCs w:val="22"/>
          <w:lang w:eastAsia="ko-KR"/>
        </w:rPr>
        <w:t xml:space="preserve"> с осъществяването на тази дейност е осигурена методическа помощ и консултации на администрациите в изпълнителната власт при създаването на стратегически документи. </w:t>
      </w:r>
    </w:p>
    <w:p w14:paraId="5952FDA1" w14:textId="3A364A10" w:rsidR="00125017" w:rsidRPr="00990E90" w:rsidRDefault="00125017" w:rsidP="003A7DFF">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990E90">
        <w:rPr>
          <w:rFonts w:eastAsia="Batang"/>
          <w:b/>
          <w:bCs/>
          <w:sz w:val="22"/>
          <w:szCs w:val="22"/>
          <w:lang w:eastAsia="ko-KR"/>
        </w:rPr>
        <w:t>Участие в заседанията на Комитетите за наблюдение на програмите, финансирани от Европейските фондове при споделено управление (2021</w:t>
      </w:r>
      <w:r w:rsidR="00990E90">
        <w:rPr>
          <w:rFonts w:eastAsia="Batang"/>
          <w:b/>
          <w:bCs/>
          <w:sz w:val="22"/>
          <w:szCs w:val="22"/>
          <w:lang w:eastAsia="ko-KR"/>
        </w:rPr>
        <w:t xml:space="preserve"> – </w:t>
      </w:r>
      <w:r w:rsidRPr="00990E90">
        <w:rPr>
          <w:rFonts w:eastAsia="Batang"/>
          <w:b/>
          <w:bCs/>
          <w:sz w:val="22"/>
          <w:szCs w:val="22"/>
          <w:lang w:eastAsia="ko-KR"/>
        </w:rPr>
        <w:t>2027).</w:t>
      </w:r>
    </w:p>
    <w:p w14:paraId="1DAA29CB" w14:textId="77777777" w:rsidR="00125017" w:rsidRPr="00990E90" w:rsidRDefault="00125017" w:rsidP="003A7DFF">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990E90">
        <w:rPr>
          <w:rFonts w:eastAsia="Batang"/>
          <w:b/>
          <w:bCs/>
          <w:sz w:val="22"/>
          <w:szCs w:val="22"/>
          <w:lang w:eastAsia="ko-KR"/>
        </w:rPr>
        <w:t xml:space="preserve">Подпомагане на Националния статистически институт (НСИ) при изпълнението на инвестиция К10.И10 „Модернизирана система за стратегическо планиране“ от Националния план за възстановяване и устойчивост: </w:t>
      </w:r>
    </w:p>
    <w:p w14:paraId="241222CB" w14:textId="21CF7635" w:rsidR="00125017" w:rsidRPr="00E079A1" w:rsidRDefault="00125017" w:rsidP="003A7DFF">
      <w:pPr>
        <w:pStyle w:val="ListParagraph"/>
        <w:numPr>
          <w:ilvl w:val="0"/>
          <w:numId w:val="25"/>
        </w:numPr>
        <w:shd w:val="clear" w:color="auto" w:fill="FFFFFF" w:themeFill="background1"/>
        <w:ind w:left="709" w:hanging="283"/>
        <w:jc w:val="both"/>
        <w:rPr>
          <w:sz w:val="22"/>
          <w:szCs w:val="22"/>
        </w:rPr>
      </w:pPr>
      <w:r w:rsidRPr="00E079A1">
        <w:rPr>
          <w:sz w:val="22"/>
          <w:szCs w:val="22"/>
        </w:rPr>
        <w:t>Участие в регулярни работни ср</w:t>
      </w:r>
      <w:r w:rsidR="00E079A1">
        <w:rPr>
          <w:sz w:val="22"/>
          <w:szCs w:val="22"/>
        </w:rPr>
        <w:t>ещи по проекта по покана на НСИ</w:t>
      </w:r>
      <w:r w:rsidR="00E079A1">
        <w:rPr>
          <w:sz w:val="22"/>
          <w:szCs w:val="22"/>
          <w:lang w:val="bg-BG"/>
        </w:rPr>
        <w:t>;</w:t>
      </w:r>
    </w:p>
    <w:p w14:paraId="66CD9B9D" w14:textId="77777777" w:rsidR="00125017" w:rsidRPr="00E079A1" w:rsidRDefault="00125017" w:rsidP="003A7DFF">
      <w:pPr>
        <w:pStyle w:val="ListParagraph"/>
        <w:numPr>
          <w:ilvl w:val="0"/>
          <w:numId w:val="25"/>
        </w:numPr>
        <w:shd w:val="clear" w:color="auto" w:fill="FFFFFF" w:themeFill="background1"/>
        <w:ind w:left="709" w:hanging="283"/>
        <w:jc w:val="both"/>
        <w:rPr>
          <w:sz w:val="22"/>
          <w:szCs w:val="22"/>
        </w:rPr>
      </w:pPr>
      <w:r w:rsidRPr="00E079A1">
        <w:rPr>
          <w:sz w:val="22"/>
          <w:szCs w:val="22"/>
        </w:rPr>
        <w:t>Подпомагане на НСИ в процеса на изпълнение на Втория етап от системен проект за надграждане на информационната система „Мониторстат“ до инструмент за стратегическо планиране, мониторинг на изпълнението и отчетност на стратегическите документи на централно ниво.</w:t>
      </w:r>
    </w:p>
    <w:p w14:paraId="066EAB72" w14:textId="77777777" w:rsidR="00125017" w:rsidRPr="00224C25" w:rsidRDefault="00125017" w:rsidP="003A7DFF">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224C25">
        <w:rPr>
          <w:rFonts w:eastAsia="Batang"/>
          <w:b/>
          <w:bCs/>
          <w:sz w:val="22"/>
          <w:szCs w:val="22"/>
          <w:lang w:eastAsia="ko-KR"/>
        </w:rPr>
        <w:t>Координация на изпълнението на проект 24BG23 „Засилване на капацитета за разработване и мониторинг на публични политики“, финансиран от Инструмента за техническа подкрепа:</w:t>
      </w:r>
    </w:p>
    <w:p w14:paraId="5EB3EEC8" w14:textId="77777777" w:rsidR="00125017" w:rsidRPr="00BE3E2F" w:rsidRDefault="00125017" w:rsidP="003A7DFF">
      <w:pPr>
        <w:pStyle w:val="ListParagraph"/>
        <w:numPr>
          <w:ilvl w:val="0"/>
          <w:numId w:val="25"/>
        </w:numPr>
        <w:shd w:val="clear" w:color="auto" w:fill="FFFFFF" w:themeFill="background1"/>
        <w:ind w:left="709" w:hanging="283"/>
        <w:jc w:val="both"/>
        <w:rPr>
          <w:sz w:val="22"/>
          <w:szCs w:val="22"/>
        </w:rPr>
      </w:pPr>
      <w:r w:rsidRPr="00BE3E2F">
        <w:rPr>
          <w:sz w:val="22"/>
          <w:szCs w:val="22"/>
        </w:rPr>
        <w:t xml:space="preserve">Изготвени документи с предложение за актуализиране на екипа за управление на проекта. </w:t>
      </w:r>
    </w:p>
    <w:p w14:paraId="37DC5B9A" w14:textId="211EE4D2" w:rsidR="00125017" w:rsidRPr="00BE3E2F" w:rsidRDefault="00125017" w:rsidP="003A7DFF">
      <w:pPr>
        <w:pStyle w:val="ListParagraph"/>
        <w:numPr>
          <w:ilvl w:val="0"/>
          <w:numId w:val="25"/>
        </w:numPr>
        <w:shd w:val="clear" w:color="auto" w:fill="FFFFFF" w:themeFill="background1"/>
        <w:ind w:left="709" w:hanging="283"/>
        <w:jc w:val="both"/>
        <w:rPr>
          <w:sz w:val="22"/>
          <w:szCs w:val="22"/>
        </w:rPr>
      </w:pPr>
      <w:r w:rsidRPr="00BE3E2F">
        <w:rPr>
          <w:sz w:val="22"/>
          <w:szCs w:val="22"/>
        </w:rPr>
        <w:t xml:space="preserve">Организирана и проведена мисия на представители на Организацията за икономическо сътрудничество и развитие, изпълнител </w:t>
      </w:r>
      <w:r w:rsidR="00BE3E2F">
        <w:rPr>
          <w:sz w:val="22"/>
          <w:szCs w:val="22"/>
        </w:rPr>
        <w:t>по проекта, в периода 10-13</w:t>
      </w:r>
      <w:r w:rsidR="00BE3E2F">
        <w:rPr>
          <w:sz w:val="22"/>
          <w:szCs w:val="22"/>
          <w:lang w:val="bg-BG"/>
        </w:rPr>
        <w:t>.06.</w:t>
      </w:r>
      <w:r w:rsidRPr="00BE3E2F">
        <w:rPr>
          <w:sz w:val="22"/>
          <w:szCs w:val="22"/>
        </w:rPr>
        <w:t xml:space="preserve">2025 г. По време на мисията са проведени срещи с 19 институции, обсъдени са възможни сфери за внедряване на иновативни подходи при разработването и изпълнението на стратегически документи и публични политики и са дискутирани с ресорните министерства предложения за ключови показатели за наблюдение по 6 области на политика, разработени от ОИСР. </w:t>
      </w:r>
    </w:p>
    <w:p w14:paraId="1BB300D5" w14:textId="77777777" w:rsidR="00125017" w:rsidRPr="00BE3E2F" w:rsidRDefault="00125017" w:rsidP="003A7DFF">
      <w:pPr>
        <w:pStyle w:val="ListParagraph"/>
        <w:numPr>
          <w:ilvl w:val="0"/>
          <w:numId w:val="25"/>
        </w:numPr>
        <w:shd w:val="clear" w:color="auto" w:fill="FFFFFF" w:themeFill="background1"/>
        <w:ind w:left="709" w:hanging="283"/>
        <w:jc w:val="both"/>
        <w:rPr>
          <w:sz w:val="22"/>
          <w:szCs w:val="22"/>
        </w:rPr>
      </w:pPr>
      <w:r w:rsidRPr="00BE3E2F">
        <w:rPr>
          <w:sz w:val="22"/>
          <w:szCs w:val="22"/>
        </w:rPr>
        <w:t xml:space="preserve">Изпратено е допитване и са събрани, анализирани и обобщени предложения за внедряване на иновативни подходи при разработването и изпълнението на стратегически документи и публични политики. Информацията е изпратена до ОИСР с оглед избиране и осъществяване на 3 пилотни инициативи по темата в рамките на проекта. </w:t>
      </w:r>
    </w:p>
    <w:p w14:paraId="3D33B5B5" w14:textId="77777777" w:rsidR="00125017" w:rsidRPr="00BE3E2F" w:rsidRDefault="00125017" w:rsidP="003A7DFF">
      <w:pPr>
        <w:pStyle w:val="ListParagraph"/>
        <w:numPr>
          <w:ilvl w:val="0"/>
          <w:numId w:val="25"/>
        </w:numPr>
        <w:shd w:val="clear" w:color="auto" w:fill="FFFFFF" w:themeFill="background1"/>
        <w:ind w:left="709" w:hanging="283"/>
        <w:jc w:val="both"/>
        <w:rPr>
          <w:sz w:val="22"/>
          <w:szCs w:val="22"/>
        </w:rPr>
      </w:pPr>
      <w:r w:rsidRPr="00BE3E2F">
        <w:rPr>
          <w:sz w:val="22"/>
          <w:szCs w:val="22"/>
        </w:rPr>
        <w:t xml:space="preserve">Извършен преглед и изготвени коментари по 273 предложения за ключови показатели за наблюдение по 13 области на политика, изготвени от ОИСР. </w:t>
      </w:r>
    </w:p>
    <w:p w14:paraId="2DED1E7A" w14:textId="77777777" w:rsidR="00125017" w:rsidRPr="00224C25" w:rsidRDefault="00125017" w:rsidP="003A7DFF">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224C25">
        <w:rPr>
          <w:rFonts w:eastAsia="Batang"/>
          <w:b/>
          <w:bCs/>
          <w:sz w:val="22"/>
          <w:szCs w:val="22"/>
          <w:lang w:eastAsia="ko-KR"/>
        </w:rPr>
        <w:lastRenderedPageBreak/>
        <w:t>Координация на изпълнението на проект 24BG06 „Укрепване на капацитета на Центъра за управление за изпълнение на сложни приоритети и адресиране на кризи и мегатенденции, чрез партньорски обмен и обучение“, финансиран от Инструмента за техническа подкрепа:</w:t>
      </w:r>
    </w:p>
    <w:p w14:paraId="7CB6FBB8" w14:textId="77777777" w:rsidR="00125017" w:rsidRPr="00BE3E2F" w:rsidRDefault="00125017" w:rsidP="003A7DFF">
      <w:pPr>
        <w:pStyle w:val="ListParagraph"/>
        <w:numPr>
          <w:ilvl w:val="0"/>
          <w:numId w:val="25"/>
        </w:numPr>
        <w:shd w:val="clear" w:color="auto" w:fill="FFFFFF" w:themeFill="background1"/>
        <w:ind w:left="709" w:hanging="283"/>
        <w:jc w:val="both"/>
        <w:rPr>
          <w:sz w:val="22"/>
          <w:szCs w:val="22"/>
        </w:rPr>
      </w:pPr>
      <w:r w:rsidRPr="00BE3E2F">
        <w:rPr>
          <w:sz w:val="22"/>
          <w:szCs w:val="22"/>
        </w:rPr>
        <w:t xml:space="preserve">Изготвени документи с предложение за актуализиране на екипа за управление на проекта. </w:t>
      </w:r>
    </w:p>
    <w:p w14:paraId="12E3B40A" w14:textId="77777777" w:rsidR="00125017" w:rsidRPr="00BE3E2F" w:rsidRDefault="00125017" w:rsidP="003A7DFF">
      <w:pPr>
        <w:pStyle w:val="ListParagraph"/>
        <w:numPr>
          <w:ilvl w:val="0"/>
          <w:numId w:val="25"/>
        </w:numPr>
        <w:shd w:val="clear" w:color="auto" w:fill="FFFFFF" w:themeFill="background1"/>
        <w:ind w:left="709" w:hanging="283"/>
        <w:jc w:val="both"/>
        <w:rPr>
          <w:sz w:val="22"/>
          <w:szCs w:val="22"/>
        </w:rPr>
      </w:pPr>
      <w:r w:rsidRPr="00BE3E2F">
        <w:rPr>
          <w:sz w:val="22"/>
          <w:szCs w:val="22"/>
        </w:rPr>
        <w:t xml:space="preserve">Извършен преглед, изготвени бележки и предложения по работна версия на проект на доклад по темата: Подобряване на прилагането на Целите на ООН за устойчиво развитие от перспективата на Центъра за управление, изготвен от ОИСР като изпълнител по проекта. </w:t>
      </w:r>
    </w:p>
    <w:p w14:paraId="447E9037" w14:textId="77777777" w:rsidR="00125017" w:rsidRPr="00BE3E2F" w:rsidRDefault="00125017" w:rsidP="003A7DFF">
      <w:pPr>
        <w:pStyle w:val="ListParagraph"/>
        <w:numPr>
          <w:ilvl w:val="0"/>
          <w:numId w:val="25"/>
        </w:numPr>
        <w:shd w:val="clear" w:color="auto" w:fill="FFFFFF" w:themeFill="background1"/>
        <w:ind w:left="709" w:hanging="283"/>
        <w:jc w:val="both"/>
        <w:rPr>
          <w:sz w:val="22"/>
          <w:szCs w:val="22"/>
        </w:rPr>
      </w:pPr>
      <w:r w:rsidRPr="00BE3E2F">
        <w:rPr>
          <w:sz w:val="22"/>
          <w:szCs w:val="22"/>
        </w:rPr>
        <w:t xml:space="preserve">Проведени работни срещи с ОИСР за обсъждане на бележките по проекта на доклад. Участие в три срещи с всички представители по проекта. </w:t>
      </w:r>
    </w:p>
    <w:p w14:paraId="466F6ABE" w14:textId="77777777" w:rsidR="00125017" w:rsidRPr="00224C25" w:rsidRDefault="00125017" w:rsidP="003A7DFF">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224C25">
        <w:rPr>
          <w:rFonts w:eastAsia="Batang"/>
          <w:b/>
          <w:bCs/>
          <w:sz w:val="22"/>
          <w:szCs w:val="22"/>
          <w:lang w:eastAsia="ko-KR"/>
        </w:rPr>
        <w:t>Администриране на секция „Стратегически документи“ на Портала за обществени консултации.</w:t>
      </w:r>
    </w:p>
    <w:p w14:paraId="3D62EEB8" w14:textId="77777777" w:rsidR="00BE3E2F" w:rsidRPr="003A7DFF" w:rsidRDefault="00BE3E2F" w:rsidP="003A7DFF">
      <w:pPr>
        <w:pStyle w:val="ListParagraph"/>
        <w:numPr>
          <w:ilvl w:val="0"/>
          <w:numId w:val="69"/>
        </w:numPr>
        <w:shd w:val="clear" w:color="auto" w:fill="FFFFFF" w:themeFill="background1"/>
        <w:spacing w:before="120"/>
        <w:jc w:val="both"/>
        <w:rPr>
          <w:b/>
          <w:bCs/>
          <w:i/>
          <w:color w:val="215E99" w:themeColor="text2" w:themeTint="BF"/>
          <w:sz w:val="22"/>
          <w:szCs w:val="22"/>
        </w:rPr>
      </w:pPr>
      <w:r w:rsidRPr="003A7DFF">
        <w:rPr>
          <w:b/>
          <w:bCs/>
          <w:i/>
          <w:color w:val="215E99" w:themeColor="text2" w:themeTint="BF"/>
          <w:sz w:val="22"/>
          <w:szCs w:val="22"/>
        </w:rPr>
        <w:t xml:space="preserve">Други задачи, които не са включени в Програмния бюджет. </w:t>
      </w:r>
    </w:p>
    <w:p w14:paraId="176CD38D" w14:textId="63C88013" w:rsidR="00BE3E2F" w:rsidRPr="00E8570E" w:rsidRDefault="00BE3E2F" w:rsidP="003A7DFF">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E8570E">
        <w:rPr>
          <w:rFonts w:eastAsia="Batang"/>
          <w:b/>
          <w:bCs/>
          <w:sz w:val="22"/>
          <w:szCs w:val="22"/>
          <w:lang w:eastAsia="ko-KR"/>
        </w:rPr>
        <w:t xml:space="preserve">Осигуряване организационно-технически работата на Съвета за координация и сътрудничество (СКС), създаден с Постановление № 101 на МС от 2023 г. </w:t>
      </w:r>
      <w:r w:rsidR="00B723CA" w:rsidRPr="00E8570E">
        <w:rPr>
          <w:rFonts w:eastAsia="Batang"/>
          <w:b/>
          <w:bCs/>
          <w:sz w:val="22"/>
          <w:szCs w:val="22"/>
          <w:lang w:eastAsia="ko-KR"/>
        </w:rPr>
        <w:t>–</w:t>
      </w:r>
      <w:r w:rsidRPr="00E8570E">
        <w:rPr>
          <w:rFonts w:eastAsia="Batang"/>
          <w:b/>
          <w:bCs/>
          <w:sz w:val="22"/>
          <w:szCs w:val="22"/>
          <w:lang w:eastAsia="ko-KR"/>
        </w:rPr>
        <w:t xml:space="preserve"> със Заповед № Р-145/2023 г. на министър-председателя дирекцията е определена за секретариат на СКС</w:t>
      </w:r>
    </w:p>
    <w:p w14:paraId="44FC7F5F" w14:textId="77777777" w:rsidR="00BE3E2F" w:rsidRPr="00B723CA" w:rsidRDefault="00BE3E2F" w:rsidP="003A7DFF">
      <w:pPr>
        <w:shd w:val="clear" w:color="auto" w:fill="FFFFFF" w:themeFill="background1"/>
        <w:tabs>
          <w:tab w:val="num" w:pos="993"/>
        </w:tabs>
        <w:ind w:left="426"/>
        <w:jc w:val="both"/>
        <w:rPr>
          <w:sz w:val="22"/>
          <w:szCs w:val="22"/>
        </w:rPr>
      </w:pPr>
      <w:r w:rsidRPr="00B723CA">
        <w:rPr>
          <w:sz w:val="22"/>
          <w:szCs w:val="22"/>
        </w:rPr>
        <w:t>За отчетния период дирекцията е извършила следните дейности:</w:t>
      </w:r>
    </w:p>
    <w:p w14:paraId="25AF2D5D" w14:textId="77777777" w:rsidR="00BE3E2F" w:rsidRPr="00B723CA" w:rsidRDefault="00BE3E2F" w:rsidP="003A7DFF">
      <w:pPr>
        <w:numPr>
          <w:ilvl w:val="0"/>
          <w:numId w:val="39"/>
        </w:numPr>
        <w:shd w:val="clear" w:color="auto" w:fill="FFFFFF" w:themeFill="background1"/>
        <w:tabs>
          <w:tab w:val="num" w:pos="993"/>
        </w:tabs>
        <w:ind w:left="0" w:firstLine="426"/>
        <w:jc w:val="both"/>
        <w:rPr>
          <w:b/>
          <w:sz w:val="22"/>
          <w:szCs w:val="22"/>
        </w:rPr>
      </w:pPr>
      <w:r w:rsidRPr="00B723CA">
        <w:rPr>
          <w:sz w:val="22"/>
          <w:szCs w:val="22"/>
          <w:lang w:eastAsia="ko-KR"/>
        </w:rPr>
        <w:t>Изготвен на доклад до главния секретар на МС относно изменение и допълнение на Постановление № 101 на Министерския съвет от 2023 г. (ПМС № 101 от 2023 г.) за създаване на Национален механизъм за определяне на политиките и за координация в сферата на мерките за борба с изпирането на пари и финансирането на тероризма – Съвет за координация и сътрудничество.</w:t>
      </w:r>
    </w:p>
    <w:p w14:paraId="4C6C180F" w14:textId="77777777" w:rsidR="00BE3E2F" w:rsidRPr="00B723CA" w:rsidRDefault="00BE3E2F" w:rsidP="003A7DFF">
      <w:pPr>
        <w:numPr>
          <w:ilvl w:val="0"/>
          <w:numId w:val="39"/>
        </w:numPr>
        <w:shd w:val="clear" w:color="auto" w:fill="FFFFFF" w:themeFill="background1"/>
        <w:tabs>
          <w:tab w:val="num" w:pos="993"/>
        </w:tabs>
        <w:ind w:left="0" w:firstLine="426"/>
        <w:jc w:val="both"/>
        <w:rPr>
          <w:sz w:val="22"/>
          <w:szCs w:val="22"/>
          <w:lang w:eastAsia="ko-KR"/>
        </w:rPr>
      </w:pPr>
      <w:r w:rsidRPr="00B723CA">
        <w:rPr>
          <w:sz w:val="22"/>
          <w:szCs w:val="22"/>
          <w:lang w:eastAsia="ko-KR"/>
        </w:rPr>
        <w:t>Изготвен пакет документи по проект на Постановление на МС за изменение и допълнение на ПМС № 101 от 2023 г. с оглед настъпилите персонални промени в състава на Министерския съвет.</w:t>
      </w:r>
    </w:p>
    <w:p w14:paraId="69E3D808" w14:textId="77777777" w:rsidR="00BE3E2F" w:rsidRPr="00B723CA" w:rsidRDefault="00BE3E2F" w:rsidP="003A7DFF">
      <w:pPr>
        <w:numPr>
          <w:ilvl w:val="0"/>
          <w:numId w:val="39"/>
        </w:numPr>
        <w:shd w:val="clear" w:color="auto" w:fill="FFFFFF" w:themeFill="background1"/>
        <w:tabs>
          <w:tab w:val="num" w:pos="993"/>
        </w:tabs>
        <w:ind w:left="0" w:firstLine="426"/>
        <w:jc w:val="both"/>
        <w:rPr>
          <w:sz w:val="22"/>
          <w:szCs w:val="22"/>
          <w:lang w:eastAsia="ko-KR"/>
        </w:rPr>
      </w:pPr>
      <w:r w:rsidRPr="00B723CA">
        <w:rPr>
          <w:sz w:val="22"/>
          <w:szCs w:val="22"/>
          <w:lang w:eastAsia="ko-KR"/>
        </w:rPr>
        <w:t>Изготвена заповед за определяне на председател, заместник-председател, секретар и секретариат на СКС.</w:t>
      </w:r>
    </w:p>
    <w:p w14:paraId="4ABE6282" w14:textId="77777777" w:rsidR="00B723CA" w:rsidRPr="003A7DFF" w:rsidRDefault="00B723CA" w:rsidP="003A7DFF">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3A7DFF">
        <w:rPr>
          <w:b/>
          <w:bCs/>
          <w:i/>
          <w:iCs/>
          <w:color w:val="215E99" w:themeColor="text2" w:themeTint="BF"/>
          <w:sz w:val="22"/>
          <w:szCs w:val="22"/>
        </w:rPr>
        <w:t>Консолидиране на националната стратегическа рамка и усъвършенстване на процесите по целеполагане в държавната администрация, наблюдение, отчитане на изпълнението и оценка на националните стратегически документи – дирекция „Стратегическо планиране” (закрита с ПМС № 15 от 2025 г., в сила от 14.03.2025 г.)</w:t>
      </w:r>
    </w:p>
    <w:p w14:paraId="04D601CD" w14:textId="77777777" w:rsidR="00B723CA" w:rsidRPr="00B723CA" w:rsidRDefault="00B723CA" w:rsidP="00A86FEA">
      <w:pPr>
        <w:shd w:val="clear" w:color="auto" w:fill="FFFFFF" w:themeFill="background1"/>
        <w:ind w:left="425"/>
        <w:jc w:val="both"/>
        <w:rPr>
          <w:b/>
          <w:i/>
          <w:color w:val="800000"/>
          <w:sz w:val="22"/>
          <w:szCs w:val="22"/>
        </w:rPr>
      </w:pPr>
      <w:r w:rsidRPr="00B723CA">
        <w:rPr>
          <w:b/>
          <w:i/>
          <w:color w:val="800000"/>
          <w:sz w:val="22"/>
          <w:szCs w:val="22"/>
        </w:rPr>
        <w:t>Дейности за предоставяне на продукта/услугата:</w:t>
      </w:r>
    </w:p>
    <w:p w14:paraId="210FD085" w14:textId="77777777" w:rsidR="00B723CA" w:rsidRPr="00B723CA" w:rsidRDefault="00B723CA" w:rsidP="003A7DFF">
      <w:pPr>
        <w:shd w:val="clear" w:color="auto" w:fill="FFFFFF" w:themeFill="background1"/>
        <w:tabs>
          <w:tab w:val="num" w:pos="993"/>
        </w:tabs>
        <w:ind w:firstLine="426"/>
        <w:jc w:val="both"/>
        <w:rPr>
          <w:sz w:val="22"/>
          <w:szCs w:val="22"/>
        </w:rPr>
      </w:pPr>
      <w:r w:rsidRPr="00B723CA">
        <w:rPr>
          <w:sz w:val="22"/>
          <w:szCs w:val="22"/>
        </w:rPr>
        <w:t>За отчетния период (01.01-14.03.2025 г.) са изпълнени следните дейности за предоставяне на продукта/услугата:</w:t>
      </w:r>
    </w:p>
    <w:p w14:paraId="20A981A0" w14:textId="77777777" w:rsidR="00B723CA" w:rsidRPr="0055079F" w:rsidRDefault="00B723CA" w:rsidP="003A7DFF">
      <w:pPr>
        <w:numPr>
          <w:ilvl w:val="0"/>
          <w:numId w:val="17"/>
        </w:numPr>
        <w:shd w:val="clear" w:color="auto" w:fill="FFFFFF" w:themeFill="background1"/>
        <w:tabs>
          <w:tab w:val="clear" w:pos="360"/>
          <w:tab w:val="num" w:pos="709"/>
        </w:tabs>
        <w:ind w:left="0" w:firstLine="425"/>
        <w:jc w:val="both"/>
        <w:rPr>
          <w:rFonts w:eastAsia="Batang"/>
          <w:sz w:val="22"/>
          <w:szCs w:val="22"/>
          <w:lang w:eastAsia="ko-KR"/>
        </w:rPr>
      </w:pPr>
      <w:r w:rsidRPr="0055079F">
        <w:rPr>
          <w:rFonts w:eastAsia="Batang"/>
          <w:sz w:val="22"/>
          <w:szCs w:val="22"/>
          <w:lang w:eastAsia="ko-KR"/>
        </w:rPr>
        <w:t xml:space="preserve">Осигуряване на методическа помощ на органите на изпълнителната власт и на администрациите, които ги подпомагат, при формулиране и отчитане на годишните цели на администрацията: </w:t>
      </w:r>
    </w:p>
    <w:p w14:paraId="21DEA4FA" w14:textId="1CC948B8" w:rsidR="00B723CA" w:rsidRPr="00B723CA" w:rsidRDefault="00B723CA" w:rsidP="003A7DFF">
      <w:pPr>
        <w:pStyle w:val="ListParagraph"/>
        <w:numPr>
          <w:ilvl w:val="0"/>
          <w:numId w:val="25"/>
        </w:numPr>
        <w:shd w:val="clear" w:color="auto" w:fill="FFFFFF" w:themeFill="background1"/>
        <w:ind w:left="0" w:firstLine="426"/>
        <w:jc w:val="both"/>
        <w:rPr>
          <w:sz w:val="22"/>
          <w:szCs w:val="22"/>
        </w:rPr>
      </w:pPr>
      <w:r w:rsidRPr="00B723CA">
        <w:rPr>
          <w:sz w:val="22"/>
          <w:szCs w:val="22"/>
        </w:rPr>
        <w:t>Изготвени бележки, коментари и предложения по представените от всички институции (над 150 администрации) проекти на ежегодни цели за 2025 г. и отчети на целите за 2024 г.</w:t>
      </w:r>
      <w:r w:rsidR="00134AFE">
        <w:rPr>
          <w:sz w:val="22"/>
          <w:szCs w:val="22"/>
          <w:lang w:val="bg-BG"/>
        </w:rPr>
        <w:t>;</w:t>
      </w:r>
    </w:p>
    <w:p w14:paraId="756BDA17" w14:textId="690808EF" w:rsidR="00B723CA" w:rsidRPr="00B723CA" w:rsidRDefault="00B723CA" w:rsidP="003A7DFF">
      <w:pPr>
        <w:pStyle w:val="ListParagraph"/>
        <w:numPr>
          <w:ilvl w:val="0"/>
          <w:numId w:val="25"/>
        </w:numPr>
        <w:shd w:val="clear" w:color="auto" w:fill="FFFFFF" w:themeFill="background1"/>
        <w:ind w:left="0" w:firstLine="426"/>
        <w:jc w:val="both"/>
        <w:rPr>
          <w:sz w:val="22"/>
          <w:szCs w:val="22"/>
        </w:rPr>
      </w:pPr>
      <w:r w:rsidRPr="00B723CA">
        <w:rPr>
          <w:sz w:val="22"/>
          <w:szCs w:val="22"/>
        </w:rPr>
        <w:t xml:space="preserve">Всички министерства и почти всички второстепенни разпоредители с бюджетни средства </w:t>
      </w:r>
      <w:r>
        <w:rPr>
          <w:sz w:val="22"/>
          <w:szCs w:val="22"/>
        </w:rPr>
        <w:t>–</w:t>
      </w:r>
      <w:r w:rsidRPr="00B723CA">
        <w:rPr>
          <w:sz w:val="22"/>
          <w:szCs w:val="22"/>
        </w:rPr>
        <w:t xml:space="preserve"> държавни агенции, държавни комисии, изпълнителни агенции, областни администрации и др. са представили ежегодни цели в предвидения формат.</w:t>
      </w:r>
      <w:r w:rsidR="00134AFE" w:rsidRPr="00680484">
        <w:rPr>
          <w:sz w:val="22"/>
          <w:szCs w:val="22"/>
        </w:rPr>
        <w:t>;</w:t>
      </w:r>
    </w:p>
    <w:p w14:paraId="459AAB4D" w14:textId="77777777" w:rsidR="00B723CA" w:rsidRPr="00B723CA" w:rsidRDefault="00B723CA" w:rsidP="003A7DFF">
      <w:pPr>
        <w:pStyle w:val="ListParagraph"/>
        <w:numPr>
          <w:ilvl w:val="0"/>
          <w:numId w:val="25"/>
        </w:numPr>
        <w:shd w:val="clear" w:color="auto" w:fill="FFFFFF" w:themeFill="background1"/>
        <w:ind w:left="0" w:firstLine="426"/>
        <w:jc w:val="both"/>
        <w:rPr>
          <w:sz w:val="22"/>
          <w:szCs w:val="22"/>
        </w:rPr>
      </w:pPr>
      <w:r w:rsidRPr="00B723CA">
        <w:rPr>
          <w:sz w:val="22"/>
          <w:szCs w:val="22"/>
        </w:rPr>
        <w:t>Изготвен проект на ежегодни цели на администрацията на Министерския съвет за 2025 г.</w:t>
      </w:r>
    </w:p>
    <w:p w14:paraId="7E326E2E" w14:textId="5A6CB3EB" w:rsidR="00B723CA" w:rsidRPr="0055079F" w:rsidRDefault="00B723CA" w:rsidP="003A7DFF">
      <w:pPr>
        <w:numPr>
          <w:ilvl w:val="0"/>
          <w:numId w:val="17"/>
        </w:numPr>
        <w:shd w:val="clear" w:color="auto" w:fill="FFFFFF" w:themeFill="background1"/>
        <w:tabs>
          <w:tab w:val="clear" w:pos="360"/>
          <w:tab w:val="num" w:pos="709"/>
        </w:tabs>
        <w:ind w:left="0" w:firstLine="425"/>
        <w:jc w:val="both"/>
        <w:rPr>
          <w:rFonts w:eastAsia="Batang"/>
          <w:sz w:val="22"/>
          <w:szCs w:val="22"/>
          <w:lang w:eastAsia="ko-KR"/>
        </w:rPr>
      </w:pPr>
      <w:r w:rsidRPr="0055079F">
        <w:rPr>
          <w:rFonts w:eastAsia="Batang"/>
          <w:sz w:val="22"/>
          <w:szCs w:val="22"/>
          <w:lang w:eastAsia="ko-KR"/>
        </w:rPr>
        <w:t>Принос към разработването на Доклада за състоянието на администрацията през 2024 г., съгласно по чл.62 от Закона за администрацията:</w:t>
      </w:r>
    </w:p>
    <w:p w14:paraId="6FB9C688" w14:textId="2F4156B6" w:rsidR="00B723CA" w:rsidRPr="00B723CA" w:rsidRDefault="00B723CA" w:rsidP="003A7DFF">
      <w:pPr>
        <w:pStyle w:val="ListParagraph"/>
        <w:numPr>
          <w:ilvl w:val="0"/>
          <w:numId w:val="25"/>
        </w:numPr>
        <w:shd w:val="clear" w:color="auto" w:fill="FFFFFF" w:themeFill="background1"/>
        <w:ind w:left="0" w:firstLine="426"/>
        <w:jc w:val="both"/>
        <w:rPr>
          <w:sz w:val="22"/>
          <w:szCs w:val="22"/>
        </w:rPr>
      </w:pPr>
      <w:r w:rsidRPr="00B723CA">
        <w:rPr>
          <w:sz w:val="22"/>
          <w:szCs w:val="22"/>
        </w:rPr>
        <w:t>Изготвени въпроси, включени във Въпросника за годишен отчет в Информационната система на държавната администрация (ИИСДА) и извършени консулта</w:t>
      </w:r>
      <w:r w:rsidR="00134AFE">
        <w:rPr>
          <w:sz w:val="22"/>
          <w:szCs w:val="22"/>
        </w:rPr>
        <w:t>ции при попълване на въпросника</w:t>
      </w:r>
      <w:r w:rsidR="00134AFE" w:rsidRPr="00680484">
        <w:rPr>
          <w:sz w:val="22"/>
          <w:szCs w:val="22"/>
        </w:rPr>
        <w:t>;</w:t>
      </w:r>
    </w:p>
    <w:p w14:paraId="450237EE" w14:textId="77777777" w:rsidR="00B723CA" w:rsidRPr="00B723CA" w:rsidRDefault="00B723CA" w:rsidP="003A7DFF">
      <w:pPr>
        <w:pStyle w:val="ListParagraph"/>
        <w:numPr>
          <w:ilvl w:val="0"/>
          <w:numId w:val="25"/>
        </w:numPr>
        <w:shd w:val="clear" w:color="auto" w:fill="FFFFFF" w:themeFill="background1"/>
        <w:ind w:left="0" w:firstLine="426"/>
        <w:jc w:val="both"/>
        <w:rPr>
          <w:sz w:val="22"/>
          <w:szCs w:val="22"/>
        </w:rPr>
      </w:pPr>
      <w:r w:rsidRPr="00B723CA">
        <w:rPr>
          <w:sz w:val="22"/>
          <w:szCs w:val="22"/>
        </w:rPr>
        <w:t>Обобщена и анализирана информация от всички институции. Изготвен анализ, с изводи и препоръки, включен в обособена нова т. I.3. „Планиране и изпълнение на стратегическите и ежегодните цели в дейността на администрацията“ в раздел „Административни структури“.</w:t>
      </w:r>
    </w:p>
    <w:p w14:paraId="0BE764C8" w14:textId="77777777" w:rsidR="00B723CA" w:rsidRPr="0055079F" w:rsidRDefault="00B723CA" w:rsidP="003A7DFF">
      <w:pPr>
        <w:numPr>
          <w:ilvl w:val="0"/>
          <w:numId w:val="17"/>
        </w:numPr>
        <w:shd w:val="clear" w:color="auto" w:fill="FFFFFF" w:themeFill="background1"/>
        <w:tabs>
          <w:tab w:val="clear" w:pos="360"/>
          <w:tab w:val="num" w:pos="709"/>
        </w:tabs>
        <w:ind w:left="0" w:firstLine="425"/>
        <w:jc w:val="both"/>
        <w:rPr>
          <w:rFonts w:eastAsia="Batang"/>
          <w:sz w:val="22"/>
          <w:szCs w:val="22"/>
          <w:lang w:eastAsia="ko-KR"/>
        </w:rPr>
      </w:pPr>
      <w:r w:rsidRPr="0055079F">
        <w:rPr>
          <w:rFonts w:eastAsia="Batang"/>
          <w:sz w:val="22"/>
          <w:szCs w:val="22"/>
          <w:lang w:eastAsia="ko-KR"/>
        </w:rPr>
        <w:t>Създаване и насърчаване прилагането на единни стандарти по отношение на стратегическите документи и процеса по тяхното разработване, наблюдение и отчитане:</w:t>
      </w:r>
    </w:p>
    <w:p w14:paraId="47121377" w14:textId="173F2194" w:rsidR="00B723CA" w:rsidRPr="00B723CA" w:rsidRDefault="00B723CA" w:rsidP="003A7DFF">
      <w:pPr>
        <w:pStyle w:val="ListParagraph"/>
        <w:numPr>
          <w:ilvl w:val="0"/>
          <w:numId w:val="25"/>
        </w:numPr>
        <w:shd w:val="clear" w:color="auto" w:fill="FFFFFF" w:themeFill="background1"/>
        <w:ind w:left="0" w:firstLine="426"/>
        <w:jc w:val="both"/>
        <w:rPr>
          <w:sz w:val="22"/>
          <w:szCs w:val="22"/>
        </w:rPr>
      </w:pPr>
      <w:r w:rsidRPr="00B723CA">
        <w:rPr>
          <w:sz w:val="22"/>
          <w:szCs w:val="22"/>
        </w:rPr>
        <w:lastRenderedPageBreak/>
        <w:t>Изготвени становища по проекти на стратегически документи, съгласувани по реда на чл. 32 от УПМСНА и на чл. 3, ал. 3 от ПМС № 77 от 2023 г. (отменено с ПМС № 11 от 19.</w:t>
      </w:r>
      <w:r w:rsidRPr="00680484">
        <w:rPr>
          <w:sz w:val="22"/>
          <w:szCs w:val="22"/>
        </w:rPr>
        <w:t>0</w:t>
      </w:r>
      <w:r w:rsidRPr="00B723CA">
        <w:rPr>
          <w:sz w:val="22"/>
          <w:szCs w:val="22"/>
        </w:rPr>
        <w:t>2.2025 г.), както и по предложения за разработване на нови документи от Националната стратегическа ра</w:t>
      </w:r>
      <w:r>
        <w:rPr>
          <w:sz w:val="22"/>
          <w:szCs w:val="22"/>
        </w:rPr>
        <w:t xml:space="preserve">мка по реда на чл. 3, ал. 1 от </w:t>
      </w:r>
      <w:r w:rsidRPr="00B723CA">
        <w:rPr>
          <w:sz w:val="22"/>
          <w:szCs w:val="22"/>
        </w:rPr>
        <w:t>ПМС № 77 от 2023 г. (отмен</w:t>
      </w:r>
      <w:r w:rsidR="00134AFE">
        <w:rPr>
          <w:sz w:val="22"/>
          <w:szCs w:val="22"/>
        </w:rPr>
        <w:t>ено с ПМС № 11 от 19.2.2025 г.)</w:t>
      </w:r>
      <w:r w:rsidR="00134AFE" w:rsidRPr="00680484">
        <w:rPr>
          <w:sz w:val="22"/>
          <w:szCs w:val="22"/>
        </w:rPr>
        <w:t>;</w:t>
      </w:r>
    </w:p>
    <w:p w14:paraId="1B819429" w14:textId="32E566ED" w:rsidR="00B723CA" w:rsidRPr="00B723CA" w:rsidRDefault="00B723CA" w:rsidP="003A7DFF">
      <w:pPr>
        <w:pStyle w:val="ListParagraph"/>
        <w:numPr>
          <w:ilvl w:val="0"/>
          <w:numId w:val="25"/>
        </w:numPr>
        <w:shd w:val="clear" w:color="auto" w:fill="FFFFFF" w:themeFill="background1"/>
        <w:ind w:left="0" w:firstLine="426"/>
        <w:jc w:val="both"/>
        <w:rPr>
          <w:sz w:val="22"/>
          <w:szCs w:val="22"/>
        </w:rPr>
      </w:pPr>
      <w:r w:rsidRPr="00B723CA">
        <w:rPr>
          <w:sz w:val="22"/>
          <w:szCs w:val="22"/>
        </w:rPr>
        <w:t>Изготвени становища по проекти на нормативни актове, които съдържат изисквания за разработване, наблюдение и отчитане на стратегически документи, внесени за съгласув</w:t>
      </w:r>
      <w:r w:rsidR="00134AFE">
        <w:rPr>
          <w:sz w:val="22"/>
          <w:szCs w:val="22"/>
        </w:rPr>
        <w:t>ане по реда на чл. 32 от УПМСНА</w:t>
      </w:r>
      <w:r w:rsidR="00134AFE" w:rsidRPr="00680484">
        <w:rPr>
          <w:sz w:val="22"/>
          <w:szCs w:val="22"/>
        </w:rPr>
        <w:t>;</w:t>
      </w:r>
    </w:p>
    <w:p w14:paraId="551DB578" w14:textId="77777777" w:rsidR="00B723CA" w:rsidRPr="00B723CA" w:rsidRDefault="00B723CA" w:rsidP="003A7DFF">
      <w:pPr>
        <w:pStyle w:val="ListParagraph"/>
        <w:numPr>
          <w:ilvl w:val="0"/>
          <w:numId w:val="25"/>
        </w:numPr>
        <w:shd w:val="clear" w:color="auto" w:fill="FFFFFF" w:themeFill="background1"/>
        <w:ind w:left="0" w:firstLine="426"/>
        <w:jc w:val="both"/>
        <w:rPr>
          <w:sz w:val="22"/>
          <w:szCs w:val="22"/>
        </w:rPr>
      </w:pPr>
      <w:r w:rsidRPr="00B723CA">
        <w:rPr>
          <w:sz w:val="22"/>
          <w:szCs w:val="22"/>
        </w:rPr>
        <w:t xml:space="preserve">Осигурена методическа помощ на органите на изпълнителната власт и на администрациите чрез организирани и проведени срещи за осигуряване на обратна връзка и консултация в процеса по разработване на стратегически документи и чрез предоставяне на бележки и предложения по проекти на стратегически документи. </w:t>
      </w:r>
    </w:p>
    <w:p w14:paraId="5A8C07D6" w14:textId="6067029C" w:rsidR="00B723CA" w:rsidRPr="0055079F" w:rsidRDefault="00B723CA" w:rsidP="003A7DFF">
      <w:pPr>
        <w:numPr>
          <w:ilvl w:val="0"/>
          <w:numId w:val="17"/>
        </w:numPr>
        <w:shd w:val="clear" w:color="auto" w:fill="FFFFFF" w:themeFill="background1"/>
        <w:tabs>
          <w:tab w:val="clear" w:pos="360"/>
          <w:tab w:val="num" w:pos="709"/>
        </w:tabs>
        <w:ind w:left="0" w:firstLine="425"/>
        <w:jc w:val="both"/>
        <w:rPr>
          <w:rFonts w:eastAsia="Batang"/>
          <w:sz w:val="22"/>
          <w:szCs w:val="22"/>
          <w:lang w:eastAsia="ko-KR"/>
        </w:rPr>
      </w:pPr>
      <w:r w:rsidRPr="0055079F">
        <w:rPr>
          <w:rFonts w:eastAsia="Batang"/>
          <w:sz w:val="22"/>
          <w:szCs w:val="22"/>
          <w:lang w:eastAsia="ko-KR"/>
        </w:rPr>
        <w:t>Подпомагане на Съвета за развитие (закрит с ПМС № 11 от 19.02.2025 г.):</w:t>
      </w:r>
    </w:p>
    <w:p w14:paraId="49157562" w14:textId="36FB1326" w:rsidR="00B723CA" w:rsidRPr="00B723CA" w:rsidRDefault="00B723CA" w:rsidP="003A7DFF">
      <w:pPr>
        <w:pStyle w:val="ListParagraph"/>
        <w:numPr>
          <w:ilvl w:val="0"/>
          <w:numId w:val="25"/>
        </w:numPr>
        <w:shd w:val="clear" w:color="auto" w:fill="FFFFFF" w:themeFill="background1"/>
        <w:ind w:left="0" w:firstLine="426"/>
        <w:jc w:val="both"/>
        <w:rPr>
          <w:sz w:val="22"/>
          <w:szCs w:val="22"/>
        </w:rPr>
      </w:pPr>
      <w:r w:rsidRPr="00B723CA">
        <w:rPr>
          <w:sz w:val="22"/>
          <w:szCs w:val="22"/>
        </w:rPr>
        <w:t>Прегледани и подготвени за включване в дневния ред на неприсъствени заседания/писмени процедури на Съвета за развитие 4 броя преписки относно документи от националната стратегическа рамка и доклади за състоянието на определени области на политики, внесени за ра</w:t>
      </w:r>
      <w:r w:rsidR="00134AFE">
        <w:rPr>
          <w:sz w:val="22"/>
          <w:szCs w:val="22"/>
        </w:rPr>
        <w:t>зглеждане от Съвета за развитие</w:t>
      </w:r>
      <w:r w:rsidR="00134AFE" w:rsidRPr="00680484">
        <w:rPr>
          <w:sz w:val="22"/>
          <w:szCs w:val="22"/>
        </w:rPr>
        <w:t>;</w:t>
      </w:r>
    </w:p>
    <w:p w14:paraId="574505DE" w14:textId="77777777" w:rsidR="00B723CA" w:rsidRPr="00B723CA" w:rsidRDefault="00B723CA" w:rsidP="003A7DFF">
      <w:pPr>
        <w:pStyle w:val="ListParagraph"/>
        <w:numPr>
          <w:ilvl w:val="0"/>
          <w:numId w:val="25"/>
        </w:numPr>
        <w:shd w:val="clear" w:color="auto" w:fill="FFFFFF" w:themeFill="background1"/>
        <w:ind w:left="0" w:firstLine="426"/>
        <w:jc w:val="both"/>
        <w:rPr>
          <w:sz w:val="22"/>
          <w:szCs w:val="22"/>
        </w:rPr>
      </w:pPr>
      <w:r w:rsidRPr="00B723CA">
        <w:rPr>
          <w:sz w:val="22"/>
          <w:szCs w:val="22"/>
        </w:rPr>
        <w:t>Принос при изготвяне на материали за провеждането на 1 неприсъствено заседание/писмена процедура на Съвета за развитие, в т.ч. изготвено писмо, формуляр за неприсъствено приемане на решения, протокол за приемане на решения.</w:t>
      </w:r>
    </w:p>
    <w:p w14:paraId="0DFF0A9D" w14:textId="77777777" w:rsidR="00B723CA" w:rsidRPr="0055079F" w:rsidRDefault="00B723CA" w:rsidP="003A7DFF">
      <w:pPr>
        <w:numPr>
          <w:ilvl w:val="0"/>
          <w:numId w:val="17"/>
        </w:numPr>
        <w:shd w:val="clear" w:color="auto" w:fill="FFFFFF" w:themeFill="background1"/>
        <w:tabs>
          <w:tab w:val="clear" w:pos="360"/>
          <w:tab w:val="num" w:pos="709"/>
        </w:tabs>
        <w:ind w:left="0" w:firstLine="425"/>
        <w:jc w:val="both"/>
        <w:rPr>
          <w:rFonts w:eastAsia="Batang"/>
          <w:sz w:val="22"/>
          <w:szCs w:val="22"/>
          <w:lang w:eastAsia="ko-KR"/>
        </w:rPr>
      </w:pPr>
      <w:r w:rsidRPr="0055079F">
        <w:rPr>
          <w:rFonts w:eastAsia="Batang"/>
          <w:sz w:val="22"/>
          <w:szCs w:val="22"/>
          <w:lang w:eastAsia="ko-KR"/>
        </w:rPr>
        <w:t>Подпомагане на работата на Съвета за икономически анализи:</w:t>
      </w:r>
    </w:p>
    <w:p w14:paraId="0C46F145" w14:textId="4D92F987" w:rsidR="00B723CA" w:rsidRPr="00B723CA" w:rsidRDefault="00B723CA" w:rsidP="003A7DFF">
      <w:pPr>
        <w:pStyle w:val="ListParagraph"/>
        <w:numPr>
          <w:ilvl w:val="0"/>
          <w:numId w:val="25"/>
        </w:numPr>
        <w:shd w:val="clear" w:color="auto" w:fill="FFFFFF" w:themeFill="background1"/>
        <w:ind w:left="0" w:firstLine="426"/>
        <w:jc w:val="both"/>
        <w:rPr>
          <w:sz w:val="22"/>
          <w:szCs w:val="22"/>
        </w:rPr>
      </w:pPr>
      <w:r w:rsidRPr="00B723CA">
        <w:rPr>
          <w:sz w:val="22"/>
          <w:szCs w:val="22"/>
        </w:rPr>
        <w:t>Изготвено и прието Решение на Министерския съвет за определяне на председател на</w:t>
      </w:r>
      <w:r w:rsidR="00134AFE">
        <w:rPr>
          <w:sz w:val="22"/>
          <w:szCs w:val="22"/>
        </w:rPr>
        <w:t xml:space="preserve"> Съвета за икономически анализи</w:t>
      </w:r>
      <w:r w:rsidR="00134AFE" w:rsidRPr="00680484">
        <w:rPr>
          <w:sz w:val="22"/>
          <w:szCs w:val="22"/>
        </w:rPr>
        <w:t>;</w:t>
      </w:r>
    </w:p>
    <w:p w14:paraId="18A29B71" w14:textId="7726C47C" w:rsidR="00B723CA" w:rsidRPr="00B723CA" w:rsidRDefault="00B723CA" w:rsidP="003A7DFF">
      <w:pPr>
        <w:pStyle w:val="ListParagraph"/>
        <w:numPr>
          <w:ilvl w:val="0"/>
          <w:numId w:val="25"/>
        </w:numPr>
        <w:shd w:val="clear" w:color="auto" w:fill="FFFFFF" w:themeFill="background1"/>
        <w:ind w:left="0" w:firstLine="426"/>
        <w:jc w:val="both"/>
        <w:rPr>
          <w:sz w:val="22"/>
          <w:szCs w:val="22"/>
        </w:rPr>
      </w:pPr>
      <w:r w:rsidRPr="00B723CA">
        <w:rPr>
          <w:sz w:val="22"/>
          <w:szCs w:val="22"/>
        </w:rPr>
        <w:t xml:space="preserve">Регулярно актуализирана електронна страница на </w:t>
      </w:r>
      <w:r w:rsidR="00134AFE">
        <w:rPr>
          <w:sz w:val="22"/>
          <w:szCs w:val="22"/>
        </w:rPr>
        <w:t>Съвета за икономически анализи</w:t>
      </w:r>
      <w:r w:rsidR="00134AFE" w:rsidRPr="00680484">
        <w:rPr>
          <w:sz w:val="22"/>
          <w:szCs w:val="22"/>
        </w:rPr>
        <w:t>;</w:t>
      </w:r>
    </w:p>
    <w:p w14:paraId="3131FA72" w14:textId="732E83E9" w:rsidR="00B723CA" w:rsidRPr="00B723CA" w:rsidRDefault="00B723CA" w:rsidP="003A7DFF">
      <w:pPr>
        <w:pStyle w:val="ListParagraph"/>
        <w:numPr>
          <w:ilvl w:val="0"/>
          <w:numId w:val="25"/>
        </w:numPr>
        <w:shd w:val="clear" w:color="auto" w:fill="FFFFFF" w:themeFill="background1"/>
        <w:ind w:left="0" w:firstLine="426"/>
        <w:jc w:val="both"/>
        <w:rPr>
          <w:sz w:val="22"/>
          <w:szCs w:val="22"/>
        </w:rPr>
      </w:pPr>
      <w:r w:rsidRPr="00B723CA">
        <w:rPr>
          <w:sz w:val="22"/>
          <w:szCs w:val="22"/>
        </w:rPr>
        <w:t>Осигурени данни и подпомогнато изготвяне и публи</w:t>
      </w:r>
      <w:r w:rsidR="00134AFE">
        <w:rPr>
          <w:sz w:val="22"/>
          <w:szCs w:val="22"/>
        </w:rPr>
        <w:t>куване на един анализ на Съвета</w:t>
      </w:r>
      <w:r w:rsidR="00134AFE" w:rsidRPr="00680484">
        <w:rPr>
          <w:sz w:val="22"/>
          <w:szCs w:val="22"/>
        </w:rPr>
        <w:t>;</w:t>
      </w:r>
    </w:p>
    <w:p w14:paraId="6561AA53" w14:textId="77777777" w:rsidR="00B723CA" w:rsidRPr="00B723CA" w:rsidRDefault="00B723CA" w:rsidP="003A7DFF">
      <w:pPr>
        <w:pStyle w:val="ListParagraph"/>
        <w:numPr>
          <w:ilvl w:val="0"/>
          <w:numId w:val="25"/>
        </w:numPr>
        <w:shd w:val="clear" w:color="auto" w:fill="FFFFFF" w:themeFill="background1"/>
        <w:ind w:left="0" w:firstLine="426"/>
        <w:jc w:val="both"/>
        <w:rPr>
          <w:sz w:val="22"/>
          <w:szCs w:val="22"/>
        </w:rPr>
      </w:pPr>
      <w:r w:rsidRPr="00B723CA">
        <w:rPr>
          <w:sz w:val="22"/>
          <w:szCs w:val="22"/>
        </w:rPr>
        <w:t>Осъществена координация при подготовката на Третата годишна конференция на Съвета.</w:t>
      </w:r>
    </w:p>
    <w:p w14:paraId="3F96B35E" w14:textId="77777777" w:rsidR="00B723CA" w:rsidRPr="0055079F" w:rsidRDefault="00B723CA" w:rsidP="003A7DFF">
      <w:pPr>
        <w:numPr>
          <w:ilvl w:val="0"/>
          <w:numId w:val="17"/>
        </w:numPr>
        <w:shd w:val="clear" w:color="auto" w:fill="FFFFFF" w:themeFill="background1"/>
        <w:tabs>
          <w:tab w:val="clear" w:pos="360"/>
          <w:tab w:val="num" w:pos="709"/>
        </w:tabs>
        <w:ind w:left="0" w:firstLine="425"/>
        <w:jc w:val="both"/>
        <w:rPr>
          <w:rFonts w:eastAsia="Batang"/>
          <w:sz w:val="22"/>
          <w:szCs w:val="22"/>
          <w:lang w:eastAsia="ko-KR"/>
        </w:rPr>
      </w:pPr>
      <w:r w:rsidRPr="0055079F">
        <w:rPr>
          <w:rFonts w:eastAsia="Batang"/>
          <w:sz w:val="22"/>
          <w:szCs w:val="22"/>
          <w:lang w:eastAsia="ko-KR"/>
        </w:rPr>
        <w:t>Изготвяне на План за действие за изпълнението на Националната програма за развитие БЪЛГАРИЯ 2030 за периода 2025-2028 г. (НПР БЪЛГАРИЯ 2030)</w:t>
      </w:r>
    </w:p>
    <w:p w14:paraId="136BEBE7" w14:textId="77777777" w:rsidR="00B723CA" w:rsidRPr="00134AFE" w:rsidRDefault="00B723CA" w:rsidP="003A7DFF">
      <w:pPr>
        <w:pStyle w:val="ListParagraph"/>
        <w:numPr>
          <w:ilvl w:val="0"/>
          <w:numId w:val="25"/>
        </w:numPr>
        <w:shd w:val="clear" w:color="auto" w:fill="FFFFFF" w:themeFill="background1"/>
        <w:ind w:left="0" w:firstLine="426"/>
        <w:jc w:val="both"/>
        <w:rPr>
          <w:sz w:val="22"/>
          <w:szCs w:val="22"/>
        </w:rPr>
      </w:pPr>
      <w:r w:rsidRPr="00134AFE">
        <w:rPr>
          <w:sz w:val="22"/>
          <w:szCs w:val="22"/>
        </w:rPr>
        <w:t xml:space="preserve">Разработен проект на План за действие за изпълнението за периода 2025-2028 г. </w:t>
      </w:r>
    </w:p>
    <w:p w14:paraId="2E45ACB9" w14:textId="7A2BEA9D" w:rsidR="00B723CA" w:rsidRPr="00134AFE" w:rsidRDefault="00B723CA" w:rsidP="003A7DFF">
      <w:pPr>
        <w:pStyle w:val="ListParagraph"/>
        <w:numPr>
          <w:ilvl w:val="0"/>
          <w:numId w:val="25"/>
        </w:numPr>
        <w:shd w:val="clear" w:color="auto" w:fill="FFFFFF" w:themeFill="background1"/>
        <w:ind w:left="0" w:firstLine="426"/>
        <w:jc w:val="both"/>
        <w:rPr>
          <w:sz w:val="22"/>
          <w:szCs w:val="22"/>
        </w:rPr>
      </w:pPr>
      <w:r w:rsidRPr="00134AFE">
        <w:rPr>
          <w:sz w:val="22"/>
          <w:szCs w:val="22"/>
        </w:rPr>
        <w:t xml:space="preserve">Планът е одобрен от Координационния комитет за управление, наблюдение, контрол и отчитане на изпълнението на НПР БЪЛГАРИЯ 2030 с проведена писмена </w:t>
      </w:r>
      <w:r w:rsidR="00134AFE">
        <w:rPr>
          <w:sz w:val="22"/>
          <w:szCs w:val="22"/>
        </w:rPr>
        <w:t xml:space="preserve">процедура в периода </w:t>
      </w:r>
      <w:r w:rsidR="00134AFE" w:rsidRPr="00680484">
        <w:rPr>
          <w:sz w:val="22"/>
          <w:szCs w:val="22"/>
        </w:rPr>
        <w:t>0</w:t>
      </w:r>
      <w:r w:rsidR="00134AFE">
        <w:rPr>
          <w:sz w:val="22"/>
          <w:szCs w:val="22"/>
        </w:rPr>
        <w:t>9-13</w:t>
      </w:r>
      <w:r w:rsidR="00134AFE" w:rsidRPr="00680484">
        <w:rPr>
          <w:sz w:val="22"/>
          <w:szCs w:val="22"/>
        </w:rPr>
        <w:t>.01.</w:t>
      </w:r>
      <w:r w:rsidRPr="00134AFE">
        <w:rPr>
          <w:sz w:val="22"/>
          <w:szCs w:val="22"/>
        </w:rPr>
        <w:t xml:space="preserve">2025 г. </w:t>
      </w:r>
    </w:p>
    <w:p w14:paraId="42000AB3" w14:textId="3E5A7D0A" w:rsidR="00B723CA" w:rsidRPr="00134AFE" w:rsidRDefault="00B723CA" w:rsidP="003A7DFF">
      <w:pPr>
        <w:pStyle w:val="ListParagraph"/>
        <w:numPr>
          <w:ilvl w:val="0"/>
          <w:numId w:val="25"/>
        </w:numPr>
        <w:shd w:val="clear" w:color="auto" w:fill="FFFFFF" w:themeFill="background1"/>
        <w:ind w:left="0" w:firstLine="426"/>
        <w:jc w:val="both"/>
        <w:rPr>
          <w:sz w:val="22"/>
          <w:szCs w:val="22"/>
        </w:rPr>
      </w:pPr>
      <w:r w:rsidRPr="00134AFE">
        <w:rPr>
          <w:sz w:val="22"/>
          <w:szCs w:val="22"/>
        </w:rPr>
        <w:t xml:space="preserve">Изпратен за междуведомствено съгласуване по реда на чл. 32 от УПМСНА на </w:t>
      </w:r>
      <w:r w:rsidR="00134AFE">
        <w:rPr>
          <w:sz w:val="22"/>
          <w:szCs w:val="22"/>
          <w:lang w:val="bg-BG"/>
        </w:rPr>
        <w:t>0</w:t>
      </w:r>
      <w:r w:rsidRPr="00134AFE">
        <w:rPr>
          <w:sz w:val="22"/>
          <w:szCs w:val="22"/>
        </w:rPr>
        <w:t xml:space="preserve">4.03.2025 г. </w:t>
      </w:r>
    </w:p>
    <w:p w14:paraId="2CFC3BA4" w14:textId="22D702B3" w:rsidR="00B723CA" w:rsidRPr="0055079F" w:rsidRDefault="00B723CA" w:rsidP="003A7DFF">
      <w:pPr>
        <w:numPr>
          <w:ilvl w:val="0"/>
          <w:numId w:val="17"/>
        </w:numPr>
        <w:shd w:val="clear" w:color="auto" w:fill="FFFFFF" w:themeFill="background1"/>
        <w:tabs>
          <w:tab w:val="clear" w:pos="360"/>
          <w:tab w:val="num" w:pos="709"/>
        </w:tabs>
        <w:ind w:left="0" w:firstLine="425"/>
        <w:jc w:val="both"/>
        <w:rPr>
          <w:rFonts w:eastAsia="Batang"/>
          <w:sz w:val="22"/>
          <w:szCs w:val="22"/>
          <w:lang w:eastAsia="ko-KR"/>
        </w:rPr>
      </w:pPr>
      <w:r w:rsidRPr="0055079F">
        <w:rPr>
          <w:rFonts w:eastAsia="Batang"/>
          <w:sz w:val="22"/>
          <w:szCs w:val="22"/>
          <w:lang w:eastAsia="ko-KR"/>
        </w:rPr>
        <w:t>Изпълнение на функциите на секретариат на междуведомствената работна група, създадена със заповед на министър-председателя, за организация и координация на подготовката на Социален план за климата съгласно Регламент (ЕС) 2023/955 на Европейския парламент и на Съвета от 10</w:t>
      </w:r>
      <w:r w:rsidR="00134AFE" w:rsidRPr="0055079F">
        <w:rPr>
          <w:rFonts w:eastAsia="Batang"/>
          <w:sz w:val="22"/>
          <w:szCs w:val="22"/>
          <w:lang w:eastAsia="ko-KR"/>
        </w:rPr>
        <w:t>.05.</w:t>
      </w:r>
      <w:r w:rsidRPr="0055079F">
        <w:rPr>
          <w:rFonts w:eastAsia="Batang"/>
          <w:sz w:val="22"/>
          <w:szCs w:val="22"/>
          <w:lang w:eastAsia="ko-KR"/>
        </w:rPr>
        <w:t>2023 г</w:t>
      </w:r>
      <w:r w:rsidR="00134AFE" w:rsidRPr="0055079F">
        <w:rPr>
          <w:rFonts w:eastAsia="Batang"/>
          <w:sz w:val="22"/>
          <w:szCs w:val="22"/>
          <w:lang w:eastAsia="ko-KR"/>
        </w:rPr>
        <w:t>.</w:t>
      </w:r>
      <w:r w:rsidRPr="0055079F">
        <w:rPr>
          <w:rFonts w:eastAsia="Batang"/>
          <w:sz w:val="22"/>
          <w:szCs w:val="22"/>
          <w:lang w:eastAsia="ko-KR"/>
        </w:rPr>
        <w:t xml:space="preserve"> за създаване на Социален фонд за климата и за изменение на Регламент (ЕС) 2021/1060</w:t>
      </w:r>
    </w:p>
    <w:p w14:paraId="6388BB12" w14:textId="66E433EC" w:rsidR="00B723CA" w:rsidRPr="00134AFE" w:rsidRDefault="00B723CA" w:rsidP="003A7DFF">
      <w:pPr>
        <w:pStyle w:val="ListParagraph"/>
        <w:numPr>
          <w:ilvl w:val="0"/>
          <w:numId w:val="25"/>
        </w:numPr>
        <w:shd w:val="clear" w:color="auto" w:fill="FFFFFF" w:themeFill="background1"/>
        <w:ind w:left="0" w:firstLine="426"/>
        <w:jc w:val="both"/>
        <w:rPr>
          <w:sz w:val="22"/>
          <w:szCs w:val="22"/>
        </w:rPr>
      </w:pPr>
      <w:r w:rsidRPr="00134AFE">
        <w:rPr>
          <w:sz w:val="22"/>
          <w:szCs w:val="22"/>
        </w:rPr>
        <w:t>Изготвен проект на постановление за организация и координация на подготовката на Социалния план за климата на Република България и за определяне на органите и структурите, отговорни за неговата подготовка и управлени</w:t>
      </w:r>
      <w:r w:rsidR="00134AFE">
        <w:rPr>
          <w:sz w:val="22"/>
          <w:szCs w:val="22"/>
        </w:rPr>
        <w:t>е, и на техните основни функции</w:t>
      </w:r>
      <w:r w:rsidR="00134AFE" w:rsidRPr="009C5F93">
        <w:rPr>
          <w:sz w:val="22"/>
          <w:szCs w:val="22"/>
        </w:rPr>
        <w:t>;</w:t>
      </w:r>
    </w:p>
    <w:p w14:paraId="0F7DA019" w14:textId="0D1E0DCE" w:rsidR="00B723CA" w:rsidRPr="00134AFE" w:rsidRDefault="00B723CA" w:rsidP="003A7DFF">
      <w:pPr>
        <w:pStyle w:val="ListParagraph"/>
        <w:numPr>
          <w:ilvl w:val="0"/>
          <w:numId w:val="25"/>
        </w:numPr>
        <w:shd w:val="clear" w:color="auto" w:fill="FFFFFF" w:themeFill="background1"/>
        <w:ind w:left="0" w:firstLine="426"/>
        <w:jc w:val="both"/>
        <w:rPr>
          <w:sz w:val="22"/>
          <w:szCs w:val="22"/>
        </w:rPr>
      </w:pPr>
      <w:r w:rsidRPr="00134AFE">
        <w:rPr>
          <w:sz w:val="22"/>
          <w:szCs w:val="22"/>
        </w:rPr>
        <w:t>Проектът на постановление е изпратен за междуведомствено съгласуване по реда на чл. 32 от УПМСНА и са проведени обществени ко</w:t>
      </w:r>
      <w:r w:rsidR="00134AFE">
        <w:rPr>
          <w:sz w:val="22"/>
          <w:szCs w:val="22"/>
        </w:rPr>
        <w:t>нсултации в периода 27.02-13.03</w:t>
      </w:r>
      <w:r w:rsidR="00134AFE" w:rsidRPr="009C5F93">
        <w:rPr>
          <w:sz w:val="22"/>
          <w:szCs w:val="22"/>
        </w:rPr>
        <w:t>;</w:t>
      </w:r>
    </w:p>
    <w:p w14:paraId="61738A8A" w14:textId="63B365AE" w:rsidR="00B723CA" w:rsidRPr="00134AFE" w:rsidRDefault="00B723CA" w:rsidP="003A7DFF">
      <w:pPr>
        <w:pStyle w:val="ListParagraph"/>
        <w:numPr>
          <w:ilvl w:val="0"/>
          <w:numId w:val="25"/>
        </w:numPr>
        <w:shd w:val="clear" w:color="auto" w:fill="FFFFFF" w:themeFill="background1"/>
        <w:ind w:left="0" w:firstLine="426"/>
        <w:jc w:val="both"/>
        <w:rPr>
          <w:sz w:val="22"/>
          <w:szCs w:val="22"/>
        </w:rPr>
      </w:pPr>
      <w:r w:rsidRPr="00134AFE">
        <w:rPr>
          <w:sz w:val="22"/>
          <w:szCs w:val="22"/>
        </w:rPr>
        <w:t>Изготвени документи за определяне на председател на междуведомствената работна група за организация и координация на подготовка</w:t>
      </w:r>
      <w:r w:rsidR="00134AFE">
        <w:rPr>
          <w:sz w:val="22"/>
          <w:szCs w:val="22"/>
        </w:rPr>
        <w:t>та на Социален план за климата</w:t>
      </w:r>
      <w:r w:rsidR="00134AFE" w:rsidRPr="009C5F93">
        <w:rPr>
          <w:sz w:val="22"/>
          <w:szCs w:val="22"/>
        </w:rPr>
        <w:t>;</w:t>
      </w:r>
    </w:p>
    <w:p w14:paraId="2896B776" w14:textId="3874EE8F" w:rsidR="00B723CA" w:rsidRPr="00134AFE" w:rsidRDefault="00B723CA" w:rsidP="003A7DFF">
      <w:pPr>
        <w:pStyle w:val="ListParagraph"/>
        <w:numPr>
          <w:ilvl w:val="0"/>
          <w:numId w:val="25"/>
        </w:numPr>
        <w:shd w:val="clear" w:color="auto" w:fill="FFFFFF" w:themeFill="background1"/>
        <w:ind w:left="0" w:firstLine="426"/>
        <w:jc w:val="both"/>
        <w:rPr>
          <w:sz w:val="22"/>
          <w:szCs w:val="22"/>
        </w:rPr>
      </w:pPr>
      <w:r w:rsidRPr="00134AFE">
        <w:rPr>
          <w:sz w:val="22"/>
          <w:szCs w:val="22"/>
        </w:rPr>
        <w:t>Проведено заседание на заседание на междуведомствената работна група за организация и координация на подготовката на</w:t>
      </w:r>
      <w:r w:rsidR="00134AFE">
        <w:rPr>
          <w:sz w:val="22"/>
          <w:szCs w:val="22"/>
        </w:rPr>
        <w:t xml:space="preserve"> Социален план за климата на 14</w:t>
      </w:r>
      <w:r w:rsidR="00134AFE" w:rsidRPr="009C5F93">
        <w:rPr>
          <w:sz w:val="22"/>
          <w:szCs w:val="22"/>
        </w:rPr>
        <w:t>.02.</w:t>
      </w:r>
      <w:r w:rsidRPr="00134AFE">
        <w:rPr>
          <w:sz w:val="22"/>
          <w:szCs w:val="22"/>
        </w:rPr>
        <w:t>2025 г.</w:t>
      </w:r>
      <w:r w:rsidR="00134AFE" w:rsidRPr="009C5F93">
        <w:rPr>
          <w:sz w:val="22"/>
          <w:szCs w:val="22"/>
        </w:rPr>
        <w:t>;</w:t>
      </w:r>
    </w:p>
    <w:p w14:paraId="3908EFDA" w14:textId="77777777" w:rsidR="00B723CA" w:rsidRPr="00134AFE" w:rsidRDefault="00B723CA" w:rsidP="003A7DFF">
      <w:pPr>
        <w:pStyle w:val="ListParagraph"/>
        <w:numPr>
          <w:ilvl w:val="0"/>
          <w:numId w:val="25"/>
        </w:numPr>
        <w:shd w:val="clear" w:color="auto" w:fill="FFFFFF" w:themeFill="background1"/>
        <w:ind w:left="0" w:firstLine="426"/>
        <w:jc w:val="both"/>
        <w:rPr>
          <w:sz w:val="22"/>
          <w:szCs w:val="22"/>
        </w:rPr>
      </w:pPr>
      <w:r w:rsidRPr="00134AFE">
        <w:rPr>
          <w:sz w:val="22"/>
          <w:szCs w:val="22"/>
        </w:rPr>
        <w:t>Организирани и проведени редица срещи на експертни екипи за изготвяне на подход за разработване на дефиниции и събиране на данни, необходими за целите на плана;</w:t>
      </w:r>
    </w:p>
    <w:p w14:paraId="26E64AB3" w14:textId="4B20CB3C" w:rsidR="00B723CA" w:rsidRPr="00134AFE" w:rsidRDefault="00B723CA" w:rsidP="003A7DFF">
      <w:pPr>
        <w:pStyle w:val="ListParagraph"/>
        <w:numPr>
          <w:ilvl w:val="0"/>
          <w:numId w:val="25"/>
        </w:numPr>
        <w:shd w:val="clear" w:color="auto" w:fill="FFFFFF" w:themeFill="background1"/>
        <w:ind w:left="0" w:firstLine="426"/>
        <w:jc w:val="both"/>
        <w:rPr>
          <w:sz w:val="22"/>
          <w:szCs w:val="22"/>
        </w:rPr>
      </w:pPr>
      <w:r w:rsidRPr="00134AFE">
        <w:rPr>
          <w:sz w:val="22"/>
          <w:szCs w:val="22"/>
        </w:rPr>
        <w:t>Изготвен проект на анализ и обобщени предложения за мерки, които да залегнат в</w:t>
      </w:r>
      <w:r w:rsidR="00134AFE">
        <w:rPr>
          <w:sz w:val="22"/>
          <w:szCs w:val="22"/>
        </w:rPr>
        <w:t xml:space="preserve"> проекта на План</w:t>
      </w:r>
      <w:r w:rsidR="00134AFE" w:rsidRPr="009C5F93">
        <w:rPr>
          <w:sz w:val="22"/>
          <w:szCs w:val="22"/>
        </w:rPr>
        <w:t>;</w:t>
      </w:r>
    </w:p>
    <w:p w14:paraId="6BCC79F6" w14:textId="464D9912" w:rsidR="00B723CA" w:rsidRPr="00134AFE" w:rsidRDefault="00B723CA" w:rsidP="003A7DFF">
      <w:pPr>
        <w:pStyle w:val="ListParagraph"/>
        <w:numPr>
          <w:ilvl w:val="0"/>
          <w:numId w:val="25"/>
        </w:numPr>
        <w:shd w:val="clear" w:color="auto" w:fill="FFFFFF" w:themeFill="background1"/>
        <w:ind w:left="0" w:firstLine="426"/>
        <w:jc w:val="both"/>
        <w:rPr>
          <w:sz w:val="22"/>
          <w:szCs w:val="22"/>
        </w:rPr>
      </w:pPr>
      <w:r w:rsidRPr="00134AFE">
        <w:rPr>
          <w:sz w:val="22"/>
          <w:szCs w:val="22"/>
        </w:rPr>
        <w:t>Изготвени предложения за дефиниции за уязвими домакинства, уязвими микропредприятия и уязвими ползватели на транспорт, както и за разпределение на фи</w:t>
      </w:r>
      <w:r w:rsidR="00134AFE">
        <w:rPr>
          <w:sz w:val="22"/>
          <w:szCs w:val="22"/>
        </w:rPr>
        <w:t>нансовите ресурси по компоненти</w:t>
      </w:r>
      <w:r w:rsidR="00134AFE" w:rsidRPr="009C5F93">
        <w:rPr>
          <w:sz w:val="22"/>
          <w:szCs w:val="22"/>
        </w:rPr>
        <w:t>;</w:t>
      </w:r>
    </w:p>
    <w:p w14:paraId="1E6FB068" w14:textId="440B6A58" w:rsidR="00B723CA" w:rsidRPr="00134AFE" w:rsidRDefault="00B723CA" w:rsidP="003A7DFF">
      <w:pPr>
        <w:pStyle w:val="ListParagraph"/>
        <w:numPr>
          <w:ilvl w:val="0"/>
          <w:numId w:val="25"/>
        </w:numPr>
        <w:shd w:val="clear" w:color="auto" w:fill="FFFFFF" w:themeFill="background1"/>
        <w:ind w:left="0" w:firstLine="426"/>
        <w:jc w:val="both"/>
        <w:rPr>
          <w:sz w:val="22"/>
          <w:szCs w:val="22"/>
        </w:rPr>
      </w:pPr>
      <w:r w:rsidRPr="00134AFE">
        <w:rPr>
          <w:sz w:val="22"/>
          <w:szCs w:val="22"/>
        </w:rPr>
        <w:lastRenderedPageBreak/>
        <w:t>Взето участие в заседанията на работната група към ЕК по въпросите, свързани с изменението на климата (ф</w:t>
      </w:r>
      <w:r w:rsidR="00134AFE">
        <w:rPr>
          <w:sz w:val="22"/>
          <w:szCs w:val="22"/>
        </w:rPr>
        <w:t>ормат Социален план за климата)</w:t>
      </w:r>
      <w:r w:rsidR="00134AFE" w:rsidRPr="009C5F93">
        <w:rPr>
          <w:sz w:val="22"/>
          <w:szCs w:val="22"/>
        </w:rPr>
        <w:t>;</w:t>
      </w:r>
    </w:p>
    <w:p w14:paraId="3DCF37C2" w14:textId="77777777" w:rsidR="00B723CA" w:rsidRPr="00134AFE" w:rsidRDefault="00B723CA" w:rsidP="003A7DFF">
      <w:pPr>
        <w:pStyle w:val="ListParagraph"/>
        <w:numPr>
          <w:ilvl w:val="0"/>
          <w:numId w:val="25"/>
        </w:numPr>
        <w:shd w:val="clear" w:color="auto" w:fill="FFFFFF" w:themeFill="background1"/>
        <w:ind w:left="0" w:firstLine="426"/>
        <w:jc w:val="both"/>
        <w:rPr>
          <w:sz w:val="22"/>
          <w:szCs w:val="22"/>
        </w:rPr>
      </w:pPr>
      <w:r w:rsidRPr="00134AFE">
        <w:rPr>
          <w:sz w:val="22"/>
          <w:szCs w:val="22"/>
        </w:rPr>
        <w:t>Проведени срещи и дискусии с представители на Европейската комисия и заинтересовани страни относно анализа и потенциалните мерки, които да залегнат в Плана.</w:t>
      </w:r>
    </w:p>
    <w:p w14:paraId="3F8BF5E2" w14:textId="77777777" w:rsidR="00B723CA" w:rsidRPr="00E932AC" w:rsidRDefault="00B723CA" w:rsidP="003A7DFF">
      <w:pPr>
        <w:numPr>
          <w:ilvl w:val="0"/>
          <w:numId w:val="17"/>
        </w:numPr>
        <w:shd w:val="clear" w:color="auto" w:fill="FFFFFF" w:themeFill="background1"/>
        <w:tabs>
          <w:tab w:val="clear" w:pos="360"/>
          <w:tab w:val="num" w:pos="709"/>
        </w:tabs>
        <w:ind w:left="0" w:firstLine="425"/>
        <w:jc w:val="both"/>
        <w:rPr>
          <w:rFonts w:eastAsia="Batang"/>
          <w:sz w:val="22"/>
          <w:szCs w:val="22"/>
          <w:lang w:eastAsia="ko-KR"/>
        </w:rPr>
      </w:pPr>
      <w:r w:rsidRPr="00E932AC">
        <w:rPr>
          <w:rFonts w:eastAsia="Batang"/>
          <w:sz w:val="22"/>
          <w:szCs w:val="22"/>
          <w:lang w:eastAsia="ko-KR"/>
        </w:rPr>
        <w:t>Създаден механизъм за подготовка и представяне на Втори доброволен национален преглед на изпълнението на Целите на Организацията на обединените нации за устойчиво развитие:</w:t>
      </w:r>
    </w:p>
    <w:p w14:paraId="7764A5D5" w14:textId="7A48650E" w:rsidR="00B723CA" w:rsidRPr="009C1909" w:rsidRDefault="00B723CA" w:rsidP="003A7DFF">
      <w:pPr>
        <w:pStyle w:val="ListParagraph"/>
        <w:numPr>
          <w:ilvl w:val="0"/>
          <w:numId w:val="25"/>
        </w:numPr>
        <w:shd w:val="clear" w:color="auto" w:fill="FFFFFF" w:themeFill="background1"/>
        <w:ind w:left="0" w:firstLine="426"/>
        <w:jc w:val="both"/>
        <w:rPr>
          <w:sz w:val="22"/>
          <w:szCs w:val="22"/>
        </w:rPr>
      </w:pPr>
      <w:r w:rsidRPr="009C1909">
        <w:rPr>
          <w:sz w:val="22"/>
          <w:szCs w:val="22"/>
        </w:rPr>
        <w:t xml:space="preserve">Изготвен и съгласуван проект на Втория доброволен преглед, като са проведени обществени консултации </w:t>
      </w:r>
      <w:r w:rsidR="009C1909">
        <w:rPr>
          <w:sz w:val="22"/>
          <w:szCs w:val="22"/>
        </w:rPr>
        <w:t>през м. януари</w:t>
      </w:r>
      <w:r w:rsidR="009C1909" w:rsidRPr="009C5F93">
        <w:rPr>
          <w:sz w:val="22"/>
          <w:szCs w:val="22"/>
        </w:rPr>
        <w:t>;</w:t>
      </w:r>
    </w:p>
    <w:p w14:paraId="6B3AC833" w14:textId="163756ED" w:rsidR="00B723CA" w:rsidRPr="009C1909" w:rsidRDefault="00B723CA" w:rsidP="003A7DFF">
      <w:pPr>
        <w:pStyle w:val="ListParagraph"/>
        <w:numPr>
          <w:ilvl w:val="0"/>
          <w:numId w:val="25"/>
        </w:numPr>
        <w:shd w:val="clear" w:color="auto" w:fill="FFFFFF" w:themeFill="background1"/>
        <w:ind w:left="0" w:firstLine="426"/>
        <w:jc w:val="both"/>
        <w:rPr>
          <w:sz w:val="22"/>
          <w:szCs w:val="22"/>
        </w:rPr>
      </w:pPr>
      <w:r w:rsidRPr="009C1909">
        <w:rPr>
          <w:sz w:val="22"/>
          <w:szCs w:val="22"/>
        </w:rPr>
        <w:t xml:space="preserve">Изготвени документи за иницииране на процедура за междуведомствено съгласуване и внасяне за разглеждане на </w:t>
      </w:r>
      <w:r w:rsidR="009C1909">
        <w:rPr>
          <w:sz w:val="22"/>
          <w:szCs w:val="22"/>
        </w:rPr>
        <w:t>прегледа от Министерския съвет</w:t>
      </w:r>
      <w:r w:rsidR="009C1909" w:rsidRPr="009C5F93">
        <w:rPr>
          <w:sz w:val="22"/>
          <w:szCs w:val="22"/>
        </w:rPr>
        <w:t>;</w:t>
      </w:r>
    </w:p>
    <w:p w14:paraId="491F350D" w14:textId="1B508D2A" w:rsidR="00B723CA" w:rsidRPr="009C1909" w:rsidRDefault="00B723CA" w:rsidP="003A7DFF">
      <w:pPr>
        <w:pStyle w:val="ListParagraph"/>
        <w:numPr>
          <w:ilvl w:val="0"/>
          <w:numId w:val="25"/>
        </w:numPr>
        <w:shd w:val="clear" w:color="auto" w:fill="FFFFFF" w:themeFill="background1"/>
        <w:ind w:left="0" w:firstLine="426"/>
        <w:jc w:val="both"/>
        <w:rPr>
          <w:sz w:val="22"/>
          <w:szCs w:val="22"/>
        </w:rPr>
      </w:pPr>
      <w:r w:rsidRPr="009C1909">
        <w:rPr>
          <w:sz w:val="22"/>
          <w:szCs w:val="22"/>
        </w:rPr>
        <w:t>Осъществена координация с МВнР, с оглед организацията по представянето на Прегледа на политическия ф</w:t>
      </w:r>
      <w:r w:rsidR="009C1909">
        <w:rPr>
          <w:sz w:val="22"/>
          <w:szCs w:val="22"/>
        </w:rPr>
        <w:t>орум на ООН</w:t>
      </w:r>
      <w:r w:rsidR="009C1909" w:rsidRPr="009C5F93">
        <w:rPr>
          <w:sz w:val="22"/>
          <w:szCs w:val="22"/>
        </w:rPr>
        <w:t>;</w:t>
      </w:r>
    </w:p>
    <w:p w14:paraId="4D431C8C" w14:textId="77777777" w:rsidR="00B723CA" w:rsidRPr="009C1909" w:rsidRDefault="00B723CA" w:rsidP="003A7DFF">
      <w:pPr>
        <w:pStyle w:val="ListParagraph"/>
        <w:numPr>
          <w:ilvl w:val="0"/>
          <w:numId w:val="25"/>
        </w:numPr>
        <w:shd w:val="clear" w:color="auto" w:fill="FFFFFF" w:themeFill="background1"/>
        <w:ind w:left="0" w:firstLine="426"/>
        <w:jc w:val="both"/>
        <w:rPr>
          <w:sz w:val="22"/>
          <w:szCs w:val="22"/>
        </w:rPr>
      </w:pPr>
      <w:r w:rsidRPr="009C1909">
        <w:rPr>
          <w:sz w:val="22"/>
          <w:szCs w:val="22"/>
        </w:rPr>
        <w:t>Взето участие и представена информация относно напредъка в извършване на прегледа в рамките на редица кръгли маси, организирани от водещите институции по отделните цели.</w:t>
      </w:r>
    </w:p>
    <w:p w14:paraId="15F03D12" w14:textId="6BF7F11F" w:rsidR="00B723CA" w:rsidRPr="00E932AC" w:rsidRDefault="00B723CA" w:rsidP="003A7DFF">
      <w:pPr>
        <w:numPr>
          <w:ilvl w:val="0"/>
          <w:numId w:val="17"/>
        </w:numPr>
        <w:shd w:val="clear" w:color="auto" w:fill="FFFFFF" w:themeFill="background1"/>
        <w:tabs>
          <w:tab w:val="clear" w:pos="360"/>
          <w:tab w:val="num" w:pos="709"/>
        </w:tabs>
        <w:ind w:left="0" w:firstLine="425"/>
        <w:jc w:val="both"/>
        <w:rPr>
          <w:rFonts w:eastAsia="Batang"/>
          <w:sz w:val="22"/>
          <w:szCs w:val="22"/>
          <w:lang w:eastAsia="ko-KR"/>
        </w:rPr>
      </w:pPr>
      <w:r w:rsidRPr="00E932AC">
        <w:rPr>
          <w:rFonts w:eastAsia="Batang"/>
          <w:sz w:val="22"/>
          <w:szCs w:val="22"/>
          <w:lang w:eastAsia="ko-KR"/>
        </w:rPr>
        <w:t xml:space="preserve">Участие в работни групи при разработване и обсъждане на проекти на стратегически документи </w:t>
      </w:r>
      <w:r w:rsidR="009C1909" w:rsidRPr="00E932AC">
        <w:rPr>
          <w:rFonts w:eastAsia="Batang"/>
          <w:sz w:val="22"/>
          <w:szCs w:val="22"/>
          <w:lang w:eastAsia="ko-KR"/>
        </w:rPr>
        <w:t>–</w:t>
      </w:r>
      <w:r w:rsidRPr="00E932AC">
        <w:rPr>
          <w:rFonts w:eastAsia="Batang"/>
          <w:sz w:val="22"/>
          <w:szCs w:val="22"/>
          <w:lang w:eastAsia="ko-KR"/>
        </w:rPr>
        <w:t xml:space="preserve"> с осъществяването на тази дейност е осигурена методическа помощ и консултации на администрациите в изпълнителната власт при създаването на стратегически документи. </w:t>
      </w:r>
    </w:p>
    <w:p w14:paraId="562F930F" w14:textId="15305CB7" w:rsidR="00B723CA" w:rsidRPr="00E932AC" w:rsidRDefault="00B723CA" w:rsidP="003A7DFF">
      <w:pPr>
        <w:numPr>
          <w:ilvl w:val="0"/>
          <w:numId w:val="17"/>
        </w:numPr>
        <w:shd w:val="clear" w:color="auto" w:fill="FFFFFF" w:themeFill="background1"/>
        <w:tabs>
          <w:tab w:val="clear" w:pos="360"/>
          <w:tab w:val="num" w:pos="709"/>
        </w:tabs>
        <w:ind w:left="0" w:firstLine="425"/>
        <w:jc w:val="both"/>
        <w:rPr>
          <w:rFonts w:eastAsia="Batang"/>
          <w:sz w:val="22"/>
          <w:szCs w:val="22"/>
          <w:lang w:eastAsia="ko-KR"/>
        </w:rPr>
      </w:pPr>
      <w:r w:rsidRPr="00E932AC">
        <w:rPr>
          <w:rFonts w:eastAsia="Batang"/>
          <w:sz w:val="22"/>
          <w:szCs w:val="22"/>
          <w:lang w:eastAsia="ko-KR"/>
        </w:rPr>
        <w:t>Участие в екипа за реализиране на Мярка № 1 „Концептуална рамка за открито управление“ от Националния план за действие в рамките на инициативата „Партнь</w:t>
      </w:r>
      <w:r w:rsidR="009C1909" w:rsidRPr="00E932AC">
        <w:rPr>
          <w:rFonts w:eastAsia="Batang"/>
          <w:sz w:val="22"/>
          <w:szCs w:val="22"/>
          <w:lang w:eastAsia="ko-KR"/>
        </w:rPr>
        <w:t>орство за открито управление“.</w:t>
      </w:r>
    </w:p>
    <w:p w14:paraId="266A7A34" w14:textId="77777777" w:rsidR="00B723CA" w:rsidRPr="00E932AC" w:rsidRDefault="00B723CA" w:rsidP="003A7DFF">
      <w:pPr>
        <w:numPr>
          <w:ilvl w:val="0"/>
          <w:numId w:val="17"/>
        </w:numPr>
        <w:shd w:val="clear" w:color="auto" w:fill="FFFFFF" w:themeFill="background1"/>
        <w:tabs>
          <w:tab w:val="clear" w:pos="360"/>
          <w:tab w:val="num" w:pos="709"/>
        </w:tabs>
        <w:ind w:left="0" w:firstLine="425"/>
        <w:jc w:val="both"/>
        <w:rPr>
          <w:rFonts w:eastAsia="Batang"/>
          <w:sz w:val="22"/>
          <w:szCs w:val="22"/>
          <w:lang w:eastAsia="ko-KR"/>
        </w:rPr>
      </w:pPr>
      <w:r w:rsidRPr="00E932AC">
        <w:rPr>
          <w:rFonts w:eastAsia="Batang"/>
          <w:sz w:val="22"/>
          <w:szCs w:val="22"/>
          <w:lang w:eastAsia="ko-KR"/>
        </w:rPr>
        <w:t>Участие в заседанията на Комитетите за наблюдение на програмите, финансирани от Европейските фондове при споделено управление (2021-2027).</w:t>
      </w:r>
    </w:p>
    <w:p w14:paraId="484E336C" w14:textId="77777777" w:rsidR="00B723CA" w:rsidRPr="00E932AC" w:rsidRDefault="00B723CA" w:rsidP="003A7DFF">
      <w:pPr>
        <w:numPr>
          <w:ilvl w:val="0"/>
          <w:numId w:val="17"/>
        </w:numPr>
        <w:shd w:val="clear" w:color="auto" w:fill="FFFFFF" w:themeFill="background1"/>
        <w:tabs>
          <w:tab w:val="clear" w:pos="360"/>
          <w:tab w:val="num" w:pos="709"/>
        </w:tabs>
        <w:ind w:left="0" w:firstLine="425"/>
        <w:jc w:val="both"/>
        <w:rPr>
          <w:rFonts w:eastAsia="Batang"/>
          <w:sz w:val="22"/>
          <w:szCs w:val="22"/>
          <w:lang w:eastAsia="ko-KR"/>
        </w:rPr>
      </w:pPr>
      <w:r w:rsidRPr="00E932AC">
        <w:rPr>
          <w:rFonts w:eastAsia="Batang"/>
          <w:sz w:val="22"/>
          <w:szCs w:val="22"/>
          <w:lang w:eastAsia="ko-KR"/>
        </w:rPr>
        <w:t xml:space="preserve">Участие в Работна група 31 „Европейски семестър“ към Съвета по европейските въпроси. </w:t>
      </w:r>
    </w:p>
    <w:p w14:paraId="53ED6454" w14:textId="21EA219B" w:rsidR="00B723CA" w:rsidRPr="00E932AC" w:rsidRDefault="00B723CA" w:rsidP="003A7DFF">
      <w:pPr>
        <w:numPr>
          <w:ilvl w:val="0"/>
          <w:numId w:val="17"/>
        </w:numPr>
        <w:shd w:val="clear" w:color="auto" w:fill="FFFFFF" w:themeFill="background1"/>
        <w:tabs>
          <w:tab w:val="clear" w:pos="360"/>
          <w:tab w:val="num" w:pos="709"/>
        </w:tabs>
        <w:ind w:left="0" w:firstLine="425"/>
        <w:jc w:val="both"/>
        <w:rPr>
          <w:rFonts w:eastAsia="Batang"/>
          <w:sz w:val="22"/>
          <w:szCs w:val="22"/>
          <w:lang w:eastAsia="ko-KR"/>
        </w:rPr>
      </w:pPr>
      <w:r w:rsidRPr="00E932AC">
        <w:rPr>
          <w:rFonts w:eastAsia="Batang"/>
          <w:sz w:val="22"/>
          <w:szCs w:val="22"/>
          <w:lang w:eastAsia="ko-KR"/>
        </w:rPr>
        <w:t xml:space="preserve">Подпомагане на НСИ при изпълнението на инвестиция К10.И10 „Модернизирана система за стратегическо планиране“ от Националния план за възстановяване и устойчивост </w:t>
      </w:r>
      <w:r w:rsidR="004428A1" w:rsidRPr="00E932AC">
        <w:rPr>
          <w:rFonts w:eastAsia="Batang"/>
          <w:sz w:val="22"/>
          <w:szCs w:val="22"/>
          <w:lang w:eastAsia="ko-KR"/>
        </w:rPr>
        <w:t>–</w:t>
      </w:r>
      <w:r w:rsidRPr="00E932AC">
        <w:rPr>
          <w:rFonts w:eastAsia="Batang"/>
          <w:sz w:val="22"/>
          <w:szCs w:val="22"/>
          <w:lang w:eastAsia="ko-KR"/>
        </w:rPr>
        <w:t xml:space="preserve"> проект „Технологичен инструмент за по-добро стратегическо планиране и управление на изпълнението на националните стратегически документи“, финансиран от Европейската комисия. </w:t>
      </w:r>
    </w:p>
    <w:p w14:paraId="552ED822" w14:textId="70342811" w:rsidR="00B723CA" w:rsidRPr="009C1909" w:rsidRDefault="00B723CA" w:rsidP="003A7DFF">
      <w:pPr>
        <w:pStyle w:val="ListParagraph"/>
        <w:numPr>
          <w:ilvl w:val="0"/>
          <w:numId w:val="25"/>
        </w:numPr>
        <w:shd w:val="clear" w:color="auto" w:fill="FFFFFF" w:themeFill="background1"/>
        <w:ind w:left="0" w:firstLine="426"/>
        <w:jc w:val="both"/>
        <w:rPr>
          <w:sz w:val="22"/>
          <w:szCs w:val="22"/>
        </w:rPr>
      </w:pPr>
      <w:r w:rsidRPr="009C1909">
        <w:rPr>
          <w:sz w:val="22"/>
          <w:szCs w:val="22"/>
        </w:rPr>
        <w:t>Участие в регулярни работни ср</w:t>
      </w:r>
      <w:r w:rsidR="009C1909">
        <w:rPr>
          <w:sz w:val="22"/>
          <w:szCs w:val="22"/>
        </w:rPr>
        <w:t>ещи по проекта по покана на НСИ</w:t>
      </w:r>
      <w:r w:rsidR="009C1909" w:rsidRPr="004428A1">
        <w:rPr>
          <w:sz w:val="22"/>
          <w:szCs w:val="22"/>
        </w:rPr>
        <w:t>;</w:t>
      </w:r>
    </w:p>
    <w:p w14:paraId="01268698" w14:textId="77777777" w:rsidR="00B723CA" w:rsidRPr="009C1909" w:rsidRDefault="00B723CA" w:rsidP="003A7DFF">
      <w:pPr>
        <w:pStyle w:val="ListParagraph"/>
        <w:numPr>
          <w:ilvl w:val="0"/>
          <w:numId w:val="25"/>
        </w:numPr>
        <w:shd w:val="clear" w:color="auto" w:fill="FFFFFF" w:themeFill="background1"/>
        <w:ind w:left="0" w:firstLine="426"/>
        <w:jc w:val="both"/>
        <w:rPr>
          <w:sz w:val="22"/>
          <w:szCs w:val="22"/>
        </w:rPr>
      </w:pPr>
      <w:r w:rsidRPr="009C1909">
        <w:rPr>
          <w:sz w:val="22"/>
          <w:szCs w:val="22"/>
        </w:rPr>
        <w:t>Подпомагане на НСИ в процеса на актуализиране на системния проект за изпълнение на Втори етап от надграждането на информационната система „Мониторстат“.</w:t>
      </w:r>
    </w:p>
    <w:p w14:paraId="0B31DEEA" w14:textId="77777777" w:rsidR="00B723CA" w:rsidRPr="00E932AC" w:rsidRDefault="00B723CA" w:rsidP="003A7DFF">
      <w:pPr>
        <w:numPr>
          <w:ilvl w:val="0"/>
          <w:numId w:val="17"/>
        </w:numPr>
        <w:shd w:val="clear" w:color="auto" w:fill="FFFFFF" w:themeFill="background1"/>
        <w:tabs>
          <w:tab w:val="clear" w:pos="360"/>
          <w:tab w:val="num" w:pos="709"/>
        </w:tabs>
        <w:ind w:left="0" w:firstLine="425"/>
        <w:jc w:val="both"/>
        <w:rPr>
          <w:rFonts w:eastAsia="Batang"/>
          <w:sz w:val="22"/>
          <w:szCs w:val="22"/>
          <w:lang w:eastAsia="ko-KR"/>
        </w:rPr>
      </w:pPr>
      <w:r w:rsidRPr="00E932AC">
        <w:rPr>
          <w:rFonts w:eastAsia="Batang"/>
          <w:sz w:val="22"/>
          <w:szCs w:val="22"/>
          <w:lang w:eastAsia="ko-KR"/>
        </w:rPr>
        <w:t>Координация на изпълнението на проект 23BG02 „Укрепване на стратегическия подход и иновациите в държавната администрация“, финансиран от Инструмента за техническа подкрепа (TSI):</w:t>
      </w:r>
    </w:p>
    <w:p w14:paraId="13415EDF" w14:textId="5573FFE5" w:rsidR="00B723CA" w:rsidRPr="009C1909" w:rsidRDefault="00B723CA" w:rsidP="003A7DFF">
      <w:pPr>
        <w:pStyle w:val="ListParagraph"/>
        <w:numPr>
          <w:ilvl w:val="0"/>
          <w:numId w:val="25"/>
        </w:numPr>
        <w:shd w:val="clear" w:color="auto" w:fill="FFFFFF" w:themeFill="background1"/>
        <w:ind w:left="0" w:firstLine="426"/>
        <w:jc w:val="both"/>
        <w:rPr>
          <w:sz w:val="22"/>
          <w:szCs w:val="22"/>
        </w:rPr>
      </w:pPr>
      <w:r w:rsidRPr="009C1909">
        <w:rPr>
          <w:sz w:val="22"/>
          <w:szCs w:val="22"/>
        </w:rPr>
        <w:t>Извършен преглед, изготвени конкретни бележки и предложения по финалните доклади по отделните дейности, представени от изпъл</w:t>
      </w:r>
      <w:r w:rsidR="009C1909">
        <w:rPr>
          <w:sz w:val="22"/>
          <w:szCs w:val="22"/>
        </w:rPr>
        <w:t>нителя „Екорис Саут Ийст Юръп“</w:t>
      </w:r>
      <w:r w:rsidR="009C1909" w:rsidRPr="00AF0723">
        <w:rPr>
          <w:sz w:val="22"/>
          <w:szCs w:val="22"/>
        </w:rPr>
        <w:t>;</w:t>
      </w:r>
    </w:p>
    <w:p w14:paraId="4DE15CC4" w14:textId="21FC3082" w:rsidR="00B723CA" w:rsidRPr="009C1909" w:rsidRDefault="00B723CA" w:rsidP="003A7DFF">
      <w:pPr>
        <w:pStyle w:val="ListParagraph"/>
        <w:numPr>
          <w:ilvl w:val="0"/>
          <w:numId w:val="25"/>
        </w:numPr>
        <w:shd w:val="clear" w:color="auto" w:fill="FFFFFF" w:themeFill="background1"/>
        <w:ind w:left="0" w:firstLine="426"/>
        <w:jc w:val="both"/>
        <w:rPr>
          <w:sz w:val="22"/>
          <w:szCs w:val="22"/>
        </w:rPr>
      </w:pPr>
      <w:r w:rsidRPr="009C1909">
        <w:rPr>
          <w:sz w:val="22"/>
          <w:szCs w:val="22"/>
        </w:rPr>
        <w:t>Проведени работни срещи с изпълнителя „Екорис Саут Ийст Юръп“ за обсъждане на необходимите редакции и проследяв</w:t>
      </w:r>
      <w:r w:rsidR="009C1909">
        <w:rPr>
          <w:sz w:val="22"/>
          <w:szCs w:val="22"/>
        </w:rPr>
        <w:t>ане на напредъка в изпълнението</w:t>
      </w:r>
      <w:r w:rsidR="009C1909" w:rsidRPr="00AF0723">
        <w:rPr>
          <w:sz w:val="22"/>
          <w:szCs w:val="22"/>
        </w:rPr>
        <w:t>;</w:t>
      </w:r>
    </w:p>
    <w:p w14:paraId="59B0972E" w14:textId="6230BC29" w:rsidR="00B723CA" w:rsidRPr="009C1909" w:rsidRDefault="00B723CA" w:rsidP="003A7DFF">
      <w:pPr>
        <w:pStyle w:val="ListParagraph"/>
        <w:numPr>
          <w:ilvl w:val="0"/>
          <w:numId w:val="25"/>
        </w:numPr>
        <w:shd w:val="clear" w:color="auto" w:fill="FFFFFF" w:themeFill="background1"/>
        <w:ind w:left="0" w:firstLine="426"/>
        <w:jc w:val="both"/>
        <w:rPr>
          <w:sz w:val="22"/>
          <w:szCs w:val="22"/>
        </w:rPr>
      </w:pPr>
      <w:r w:rsidRPr="009C1909">
        <w:rPr>
          <w:sz w:val="22"/>
          <w:szCs w:val="22"/>
        </w:rPr>
        <w:t>Участие в регулярни ежемесечни срещи между изпълнителя „Екорис Саут Ийс</w:t>
      </w:r>
      <w:r w:rsidR="009C1909">
        <w:rPr>
          <w:sz w:val="22"/>
          <w:szCs w:val="22"/>
        </w:rPr>
        <w:t>т Юръп“ и Европейската комисия</w:t>
      </w:r>
      <w:r w:rsidR="009C1909" w:rsidRPr="00AF0723">
        <w:rPr>
          <w:sz w:val="22"/>
          <w:szCs w:val="22"/>
        </w:rPr>
        <w:t>;</w:t>
      </w:r>
    </w:p>
    <w:p w14:paraId="66A4A097" w14:textId="77777777" w:rsidR="00B723CA" w:rsidRPr="009C1909" w:rsidRDefault="00B723CA" w:rsidP="003A7DFF">
      <w:pPr>
        <w:pStyle w:val="ListParagraph"/>
        <w:numPr>
          <w:ilvl w:val="0"/>
          <w:numId w:val="25"/>
        </w:numPr>
        <w:shd w:val="clear" w:color="auto" w:fill="FFFFFF" w:themeFill="background1"/>
        <w:ind w:left="0" w:firstLine="426"/>
        <w:jc w:val="both"/>
        <w:rPr>
          <w:sz w:val="22"/>
          <w:szCs w:val="22"/>
        </w:rPr>
      </w:pPr>
      <w:r w:rsidRPr="009C1909">
        <w:rPr>
          <w:sz w:val="22"/>
          <w:szCs w:val="22"/>
        </w:rPr>
        <w:t>Изготвено становище до Европейската комисия относно приемането на изпълнението по проекта.</w:t>
      </w:r>
    </w:p>
    <w:p w14:paraId="417C174E" w14:textId="77777777" w:rsidR="00B723CA" w:rsidRPr="00E932AC" w:rsidRDefault="00B723CA" w:rsidP="003A7DFF">
      <w:pPr>
        <w:numPr>
          <w:ilvl w:val="0"/>
          <w:numId w:val="17"/>
        </w:numPr>
        <w:shd w:val="clear" w:color="auto" w:fill="FFFFFF" w:themeFill="background1"/>
        <w:tabs>
          <w:tab w:val="clear" w:pos="360"/>
          <w:tab w:val="num" w:pos="709"/>
        </w:tabs>
        <w:ind w:left="0" w:firstLine="425"/>
        <w:jc w:val="both"/>
        <w:rPr>
          <w:rFonts w:eastAsia="Batang"/>
          <w:sz w:val="22"/>
          <w:szCs w:val="22"/>
          <w:lang w:eastAsia="ko-KR"/>
        </w:rPr>
      </w:pPr>
      <w:r w:rsidRPr="00E932AC">
        <w:rPr>
          <w:rFonts w:eastAsia="Batang"/>
          <w:sz w:val="22"/>
          <w:szCs w:val="22"/>
          <w:lang w:eastAsia="ko-KR"/>
        </w:rPr>
        <w:t>Координация на изпълнението на проект 24BG23 „Засилване на капацитета за разработване и мониторинг на публични политики“, финансиран от Инструмента за техническа подкрепа:</w:t>
      </w:r>
    </w:p>
    <w:p w14:paraId="5096D66A" w14:textId="2443EEB0" w:rsidR="00B723CA" w:rsidRPr="009C1909" w:rsidRDefault="00B723CA" w:rsidP="003A7DFF">
      <w:pPr>
        <w:pStyle w:val="ListParagraph"/>
        <w:numPr>
          <w:ilvl w:val="0"/>
          <w:numId w:val="25"/>
        </w:numPr>
        <w:shd w:val="clear" w:color="auto" w:fill="FFFFFF" w:themeFill="background1"/>
        <w:ind w:left="0" w:firstLine="426"/>
        <w:jc w:val="both"/>
        <w:rPr>
          <w:sz w:val="22"/>
          <w:szCs w:val="22"/>
        </w:rPr>
      </w:pPr>
      <w:r w:rsidRPr="009C1909">
        <w:rPr>
          <w:sz w:val="22"/>
          <w:szCs w:val="22"/>
        </w:rPr>
        <w:t>Проведени работни срещи с ОИСР за обсъждане на об</w:t>
      </w:r>
      <w:r w:rsidR="009C1909">
        <w:rPr>
          <w:sz w:val="22"/>
          <w:szCs w:val="22"/>
        </w:rPr>
        <w:t>хвата на дейностите за България</w:t>
      </w:r>
      <w:r w:rsidR="009C1909" w:rsidRPr="00AF0723">
        <w:rPr>
          <w:sz w:val="22"/>
          <w:szCs w:val="22"/>
        </w:rPr>
        <w:t>;</w:t>
      </w:r>
    </w:p>
    <w:p w14:paraId="45AC7A7F" w14:textId="0FB65DC7" w:rsidR="00B723CA" w:rsidRPr="009C1909" w:rsidRDefault="00B723CA" w:rsidP="003A7DFF">
      <w:pPr>
        <w:pStyle w:val="ListParagraph"/>
        <w:numPr>
          <w:ilvl w:val="0"/>
          <w:numId w:val="25"/>
        </w:numPr>
        <w:shd w:val="clear" w:color="auto" w:fill="FFFFFF" w:themeFill="background1"/>
        <w:ind w:left="0" w:firstLine="426"/>
        <w:jc w:val="both"/>
        <w:rPr>
          <w:sz w:val="22"/>
          <w:szCs w:val="22"/>
        </w:rPr>
      </w:pPr>
      <w:r w:rsidRPr="009C1909">
        <w:rPr>
          <w:sz w:val="22"/>
          <w:szCs w:val="22"/>
        </w:rPr>
        <w:t>Дадени указания и списък с примерни области на политика за целите на създаване на каталог</w:t>
      </w:r>
      <w:r w:rsidR="009C1909">
        <w:rPr>
          <w:sz w:val="22"/>
          <w:szCs w:val="22"/>
        </w:rPr>
        <w:t xml:space="preserve"> от индикатори за всяка област</w:t>
      </w:r>
      <w:r w:rsidR="009C1909" w:rsidRPr="00AF0723">
        <w:rPr>
          <w:sz w:val="22"/>
          <w:szCs w:val="22"/>
        </w:rPr>
        <w:t>;</w:t>
      </w:r>
    </w:p>
    <w:p w14:paraId="04E439C0" w14:textId="68B36CF6" w:rsidR="00B723CA" w:rsidRPr="009C1909" w:rsidRDefault="00B723CA" w:rsidP="003A7DFF">
      <w:pPr>
        <w:pStyle w:val="ListParagraph"/>
        <w:numPr>
          <w:ilvl w:val="0"/>
          <w:numId w:val="25"/>
        </w:numPr>
        <w:shd w:val="clear" w:color="auto" w:fill="FFFFFF" w:themeFill="background1"/>
        <w:ind w:left="0" w:firstLine="426"/>
        <w:jc w:val="both"/>
        <w:rPr>
          <w:sz w:val="22"/>
          <w:szCs w:val="22"/>
        </w:rPr>
      </w:pPr>
      <w:r w:rsidRPr="009C1909">
        <w:rPr>
          <w:sz w:val="22"/>
          <w:szCs w:val="22"/>
        </w:rPr>
        <w:t>Изготвени бележки и коментари по представените показатели по пилотни области на политика</w:t>
      </w:r>
      <w:r w:rsidR="009C1909" w:rsidRPr="00AF0723">
        <w:rPr>
          <w:sz w:val="22"/>
          <w:szCs w:val="22"/>
        </w:rPr>
        <w:t>.</w:t>
      </w:r>
    </w:p>
    <w:p w14:paraId="7C14C7BE" w14:textId="539EAD0A" w:rsidR="00B723CA" w:rsidRPr="00E932AC" w:rsidRDefault="004C5981" w:rsidP="003A7DFF">
      <w:pPr>
        <w:numPr>
          <w:ilvl w:val="0"/>
          <w:numId w:val="17"/>
        </w:numPr>
        <w:shd w:val="clear" w:color="auto" w:fill="FFFFFF" w:themeFill="background1"/>
        <w:tabs>
          <w:tab w:val="clear" w:pos="360"/>
          <w:tab w:val="num" w:pos="709"/>
        </w:tabs>
        <w:ind w:left="0" w:firstLine="425"/>
        <w:jc w:val="both"/>
        <w:rPr>
          <w:rFonts w:eastAsia="Batang"/>
          <w:sz w:val="22"/>
          <w:szCs w:val="22"/>
          <w:lang w:eastAsia="ko-KR"/>
        </w:rPr>
      </w:pPr>
      <w:r w:rsidRPr="00E932AC">
        <w:rPr>
          <w:rFonts w:eastAsia="Batang"/>
          <w:sz w:val="22"/>
          <w:szCs w:val="22"/>
          <w:lang w:eastAsia="ko-KR"/>
        </w:rPr>
        <w:t>К</w:t>
      </w:r>
      <w:r w:rsidR="00B723CA" w:rsidRPr="00E932AC">
        <w:rPr>
          <w:rFonts w:eastAsia="Batang"/>
          <w:sz w:val="22"/>
          <w:szCs w:val="22"/>
          <w:lang w:eastAsia="ko-KR"/>
        </w:rPr>
        <w:t>оординация на изпълнението на проект 24BG06 „Укрепване на капацитета на Центъра за управление за изпълнение на сложни приоритети и адресиране на кризи и мегатенденции, чрез партньорски обмен и обучение“, финансиран от Инструмента за техническа подкрепа:</w:t>
      </w:r>
    </w:p>
    <w:p w14:paraId="443FAF19" w14:textId="01096D23" w:rsidR="00B723CA" w:rsidRPr="00787185" w:rsidRDefault="00B723CA" w:rsidP="003A7DFF">
      <w:pPr>
        <w:pStyle w:val="ListParagraph"/>
        <w:numPr>
          <w:ilvl w:val="0"/>
          <w:numId w:val="25"/>
        </w:numPr>
        <w:shd w:val="clear" w:color="auto" w:fill="FFFFFF" w:themeFill="background1"/>
        <w:ind w:left="0" w:firstLine="426"/>
        <w:jc w:val="both"/>
        <w:rPr>
          <w:sz w:val="22"/>
          <w:szCs w:val="22"/>
        </w:rPr>
      </w:pPr>
      <w:r w:rsidRPr="00787185">
        <w:rPr>
          <w:sz w:val="22"/>
          <w:szCs w:val="22"/>
        </w:rPr>
        <w:lastRenderedPageBreak/>
        <w:t>Проведени работни срещи с ОИСР за обсъждане на обхвата на анализите за България и планираната за м. януари 2025 г. първа проучвателна мисия. Участие в срещи с в</w:t>
      </w:r>
      <w:r w:rsidR="00787185">
        <w:rPr>
          <w:sz w:val="22"/>
          <w:szCs w:val="22"/>
        </w:rPr>
        <w:t>сички представители по проекта</w:t>
      </w:r>
      <w:r w:rsidR="00787185" w:rsidRPr="00A401C2">
        <w:rPr>
          <w:sz w:val="22"/>
          <w:szCs w:val="22"/>
        </w:rPr>
        <w:t>;</w:t>
      </w:r>
    </w:p>
    <w:p w14:paraId="5A2D1B49" w14:textId="38FC4DFE" w:rsidR="00B723CA" w:rsidRPr="00787185" w:rsidRDefault="00B723CA" w:rsidP="003A7DFF">
      <w:pPr>
        <w:pStyle w:val="ListParagraph"/>
        <w:numPr>
          <w:ilvl w:val="0"/>
          <w:numId w:val="25"/>
        </w:numPr>
        <w:shd w:val="clear" w:color="auto" w:fill="FFFFFF" w:themeFill="background1"/>
        <w:ind w:left="0" w:firstLine="426"/>
        <w:jc w:val="both"/>
        <w:rPr>
          <w:sz w:val="22"/>
          <w:szCs w:val="22"/>
        </w:rPr>
      </w:pPr>
      <w:r w:rsidRPr="00787185">
        <w:rPr>
          <w:sz w:val="22"/>
          <w:szCs w:val="22"/>
        </w:rPr>
        <w:t xml:space="preserve">Организирана и проведена мисия на представители на Организацията за икономическо сътрудничество и </w:t>
      </w:r>
      <w:r w:rsidR="00787185">
        <w:rPr>
          <w:sz w:val="22"/>
          <w:szCs w:val="22"/>
        </w:rPr>
        <w:t>развитие в периода 28-29</w:t>
      </w:r>
      <w:r w:rsidR="00787185" w:rsidRPr="00A401C2">
        <w:rPr>
          <w:sz w:val="22"/>
          <w:szCs w:val="22"/>
        </w:rPr>
        <w:t>.01.</w:t>
      </w:r>
      <w:r w:rsidRPr="00787185">
        <w:rPr>
          <w:sz w:val="22"/>
          <w:szCs w:val="22"/>
        </w:rPr>
        <w:t>2025 г. По време на мисията е обсъден обхватът на анализите за България, проведени са срещи със заинтересованите страни и е извършен преглед на текущото състояние, с оглед формулиране на препоръки за подобряване на процесите.</w:t>
      </w:r>
    </w:p>
    <w:p w14:paraId="3CBD7172" w14:textId="77777777" w:rsidR="00B723CA" w:rsidRPr="00E932AC" w:rsidRDefault="00B723CA" w:rsidP="003A7DFF">
      <w:pPr>
        <w:numPr>
          <w:ilvl w:val="0"/>
          <w:numId w:val="17"/>
        </w:numPr>
        <w:shd w:val="clear" w:color="auto" w:fill="FFFFFF" w:themeFill="background1"/>
        <w:tabs>
          <w:tab w:val="clear" w:pos="360"/>
          <w:tab w:val="num" w:pos="709"/>
        </w:tabs>
        <w:ind w:left="0" w:firstLine="425"/>
        <w:jc w:val="both"/>
        <w:rPr>
          <w:rFonts w:eastAsia="Batang"/>
          <w:sz w:val="22"/>
          <w:szCs w:val="22"/>
          <w:lang w:eastAsia="ko-KR"/>
        </w:rPr>
      </w:pPr>
      <w:r w:rsidRPr="00E932AC">
        <w:rPr>
          <w:rFonts w:eastAsia="Batang"/>
          <w:sz w:val="22"/>
          <w:szCs w:val="22"/>
          <w:lang w:eastAsia="ko-KR"/>
        </w:rPr>
        <w:t>Администриране на секция „Стратегически документи“ на Портала за обществени консултации.</w:t>
      </w:r>
    </w:p>
    <w:p w14:paraId="4AB5EA32" w14:textId="77777777" w:rsidR="00B723CA" w:rsidRPr="00134AFE" w:rsidRDefault="00B723CA" w:rsidP="003A7DFF">
      <w:pPr>
        <w:pStyle w:val="ListParagraph"/>
        <w:numPr>
          <w:ilvl w:val="0"/>
          <w:numId w:val="25"/>
        </w:numPr>
        <w:shd w:val="clear" w:color="auto" w:fill="FFFFFF" w:themeFill="background1"/>
        <w:ind w:left="0" w:firstLine="426"/>
        <w:jc w:val="both"/>
        <w:rPr>
          <w:sz w:val="22"/>
          <w:szCs w:val="22"/>
        </w:rPr>
      </w:pPr>
      <w:r w:rsidRPr="00134AFE">
        <w:rPr>
          <w:sz w:val="22"/>
          <w:szCs w:val="22"/>
        </w:rPr>
        <w:t xml:space="preserve">Предоставена обратна връзка в процеса по надграждане на секция „Стратегически документи“ на Портала за обществени консултации. </w:t>
      </w:r>
    </w:p>
    <w:p w14:paraId="0328E943" w14:textId="13C5610C" w:rsidR="00B723CA" w:rsidRPr="00E932AC" w:rsidRDefault="00B723CA" w:rsidP="003A7DFF">
      <w:pPr>
        <w:numPr>
          <w:ilvl w:val="0"/>
          <w:numId w:val="17"/>
        </w:numPr>
        <w:shd w:val="clear" w:color="auto" w:fill="FFFFFF" w:themeFill="background1"/>
        <w:tabs>
          <w:tab w:val="clear" w:pos="360"/>
          <w:tab w:val="num" w:pos="709"/>
        </w:tabs>
        <w:ind w:left="0" w:firstLine="425"/>
        <w:jc w:val="both"/>
        <w:rPr>
          <w:rFonts w:eastAsia="Batang"/>
          <w:sz w:val="22"/>
          <w:szCs w:val="22"/>
          <w:lang w:eastAsia="ko-KR"/>
        </w:rPr>
      </w:pPr>
      <w:r w:rsidRPr="00E932AC">
        <w:rPr>
          <w:rFonts w:eastAsia="Batang"/>
          <w:sz w:val="22"/>
          <w:szCs w:val="22"/>
          <w:lang w:eastAsia="ko-KR"/>
        </w:rPr>
        <w:t>Окончателно оформяне на актовете на Министерския съвет, свързани с приемане или одобряване на стратегически документи, на отчети за тяхното изпълнение и на доклади за състоянието на определени</w:t>
      </w:r>
      <w:r w:rsidR="001429B6" w:rsidRPr="00E932AC">
        <w:rPr>
          <w:rFonts w:eastAsia="Batang"/>
          <w:sz w:val="22"/>
          <w:szCs w:val="22"/>
          <w:lang w:eastAsia="ko-KR"/>
        </w:rPr>
        <w:t xml:space="preserve"> области на държавна политика. </w:t>
      </w:r>
    </w:p>
    <w:p w14:paraId="782A6FED" w14:textId="77777777" w:rsidR="0041597F" w:rsidRPr="003A7DFF" w:rsidRDefault="0041597F" w:rsidP="003A7DFF">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3A7DFF">
        <w:rPr>
          <w:b/>
          <w:bCs/>
          <w:i/>
          <w:iCs/>
          <w:color w:val="215E99" w:themeColor="text2" w:themeTint="BF"/>
          <w:sz w:val="22"/>
          <w:szCs w:val="22"/>
        </w:rPr>
        <w:t>Координация и подпомагане дейността на инспекторатите – Главен инспекторат</w:t>
      </w:r>
    </w:p>
    <w:p w14:paraId="0F14D355" w14:textId="77777777" w:rsidR="0041597F" w:rsidRPr="00A86FEA" w:rsidRDefault="0041597F" w:rsidP="00A86FEA">
      <w:pPr>
        <w:shd w:val="clear" w:color="auto" w:fill="FFFFFF" w:themeFill="background1"/>
        <w:tabs>
          <w:tab w:val="num" w:pos="709"/>
        </w:tabs>
        <w:ind w:left="425"/>
        <w:jc w:val="both"/>
        <w:rPr>
          <w:b/>
          <w:i/>
          <w:color w:val="800000"/>
          <w:sz w:val="22"/>
          <w:szCs w:val="22"/>
        </w:rPr>
      </w:pPr>
      <w:r w:rsidRPr="00A86FEA">
        <w:rPr>
          <w:b/>
          <w:i/>
          <w:color w:val="800000"/>
          <w:sz w:val="22"/>
          <w:szCs w:val="22"/>
        </w:rPr>
        <w:t>Дейности за предоставяне на продукта/услугата:</w:t>
      </w:r>
    </w:p>
    <w:p w14:paraId="5F0A44DE" w14:textId="550FB0D9" w:rsidR="0041597F" w:rsidRPr="00133961" w:rsidRDefault="0041597F" w:rsidP="00A86FEA">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133961">
        <w:rPr>
          <w:rFonts w:eastAsia="Batang"/>
          <w:b/>
          <w:bCs/>
          <w:sz w:val="22"/>
          <w:szCs w:val="22"/>
          <w:lang w:eastAsia="ko-KR"/>
        </w:rPr>
        <w:t xml:space="preserve">Оценка на дейността на инспекторатите по реда, определен в наредбата по чл. 46б, </w:t>
      </w:r>
      <w:r w:rsidR="00133961">
        <w:rPr>
          <w:rFonts w:eastAsia="Batang"/>
          <w:b/>
          <w:bCs/>
          <w:sz w:val="22"/>
          <w:szCs w:val="22"/>
          <w:lang w:eastAsia="ko-KR"/>
        </w:rPr>
        <w:br/>
      </w:r>
      <w:r w:rsidRPr="00133961">
        <w:rPr>
          <w:rFonts w:eastAsia="Batang"/>
          <w:b/>
          <w:bCs/>
          <w:sz w:val="22"/>
          <w:szCs w:val="22"/>
          <w:lang w:eastAsia="ko-KR"/>
        </w:rPr>
        <w:t>ал. 2 от Закона за администрацията</w:t>
      </w:r>
    </w:p>
    <w:p w14:paraId="2800D124" w14:textId="26577D3A" w:rsidR="0041597F" w:rsidRDefault="00245FE2" w:rsidP="00A86FEA">
      <w:pPr>
        <w:shd w:val="clear" w:color="auto" w:fill="FFFFFF" w:themeFill="background1"/>
        <w:tabs>
          <w:tab w:val="num" w:pos="0"/>
          <w:tab w:val="num" w:pos="567"/>
          <w:tab w:val="num" w:pos="644"/>
          <w:tab w:val="num" w:pos="993"/>
        </w:tabs>
        <w:ind w:firstLine="426"/>
        <w:jc w:val="both"/>
        <w:rPr>
          <w:sz w:val="22"/>
          <w:szCs w:val="22"/>
        </w:rPr>
      </w:pPr>
      <w:r>
        <w:rPr>
          <w:rFonts w:eastAsia="Batang"/>
          <w:sz w:val="22"/>
          <w:szCs w:val="22"/>
          <w:lang w:eastAsia="ko-KR"/>
        </w:rPr>
        <w:t>Съгласн</w:t>
      </w:r>
      <w:r w:rsidR="00D11916">
        <w:rPr>
          <w:rFonts w:eastAsia="Batang"/>
          <w:sz w:val="22"/>
          <w:szCs w:val="22"/>
          <w:lang w:eastAsia="ko-KR"/>
        </w:rPr>
        <w:t xml:space="preserve">о </w:t>
      </w:r>
      <w:r w:rsidR="0041597F" w:rsidRPr="00245FE2">
        <w:rPr>
          <w:sz w:val="22"/>
          <w:szCs w:val="22"/>
        </w:rPr>
        <w:t>чл. 46а, ал. 2, т. 2 от Закона за администрацията (ЗА) и чл. 41, ал. 1 от Наредбата за структурата и минималната численост на инспекторатите, реда и начина за осъществяване на дейността им и взаимодействието със специализираните контролни органи (НСМЧИРНОДВСКО) Главния инспекторат дава оценка относно дейността на инспекторатите чрез извършване на проверки. В изпълнение на тези разпоредби през първото полугодие на 2025 г. са стартирани 4 броя планови проверки за оценка на дейността на инспекторатите по чл.</w:t>
      </w:r>
      <w:r>
        <w:rPr>
          <w:sz w:val="22"/>
          <w:szCs w:val="22"/>
        </w:rPr>
        <w:t xml:space="preserve"> 46 от ЗА </w:t>
      </w:r>
      <w:proofErr w:type="spellStart"/>
      <w:r>
        <w:rPr>
          <w:sz w:val="22"/>
          <w:szCs w:val="22"/>
        </w:rPr>
        <w:t>за</w:t>
      </w:r>
      <w:proofErr w:type="spellEnd"/>
      <w:r w:rsidR="0041597F" w:rsidRPr="00245FE2">
        <w:rPr>
          <w:sz w:val="22"/>
          <w:szCs w:val="22"/>
        </w:rPr>
        <w:t xml:space="preserve"> периода</w:t>
      </w:r>
      <w:r>
        <w:rPr>
          <w:sz w:val="22"/>
          <w:szCs w:val="22"/>
        </w:rPr>
        <w:t xml:space="preserve"> от </w:t>
      </w:r>
      <w:r w:rsidR="00FF6015">
        <w:rPr>
          <w:sz w:val="22"/>
          <w:szCs w:val="22"/>
        </w:rPr>
        <w:br/>
      </w:r>
      <w:r>
        <w:rPr>
          <w:sz w:val="22"/>
          <w:szCs w:val="22"/>
        </w:rPr>
        <w:t xml:space="preserve">01.01.2022 г. до 31.12.2024 г., </w:t>
      </w:r>
      <w:r w:rsidR="0041597F" w:rsidRPr="00245FE2">
        <w:rPr>
          <w:sz w:val="22"/>
          <w:szCs w:val="22"/>
        </w:rPr>
        <w:t xml:space="preserve">както следва: </w:t>
      </w:r>
    </w:p>
    <w:p w14:paraId="42641969" w14:textId="1737D865" w:rsidR="0041597F" w:rsidRPr="00245FE2" w:rsidRDefault="00AB2A87"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Pr>
          <w:sz w:val="22"/>
          <w:szCs w:val="22"/>
        </w:rPr>
        <w:t xml:space="preserve">- със </w:t>
      </w:r>
      <w:bookmarkStart w:id="15" w:name="_Hlk204094240"/>
      <w:r w:rsidR="0041597F" w:rsidRPr="00245FE2">
        <w:rPr>
          <w:rFonts w:eastAsia="Batang"/>
          <w:sz w:val="22"/>
          <w:szCs w:val="22"/>
          <w:lang w:eastAsia="ko-KR"/>
        </w:rPr>
        <w:t>заповед № Р-56 от 14.03.2025 г. на министър-председателя е възложено извършването на планова проверка за оценка на дейността на Инспектората по чл. 46 от ЗА към министъра на туризма;</w:t>
      </w:r>
    </w:p>
    <w:bookmarkEnd w:id="15"/>
    <w:p w14:paraId="152FA7FD" w14:textId="77777777" w:rsidR="0041597F" w:rsidRPr="00FF6015" w:rsidRDefault="0041597F" w:rsidP="00A86FEA">
      <w:pPr>
        <w:shd w:val="clear" w:color="auto" w:fill="FFFFFF" w:themeFill="background1"/>
        <w:tabs>
          <w:tab w:val="num" w:pos="0"/>
          <w:tab w:val="num" w:pos="567"/>
          <w:tab w:val="num" w:pos="644"/>
          <w:tab w:val="num" w:pos="993"/>
        </w:tabs>
        <w:ind w:firstLine="426"/>
        <w:jc w:val="both"/>
        <w:rPr>
          <w:sz w:val="22"/>
          <w:szCs w:val="22"/>
        </w:rPr>
      </w:pPr>
      <w:r w:rsidRPr="00FF6015">
        <w:rPr>
          <w:sz w:val="22"/>
          <w:szCs w:val="22"/>
        </w:rPr>
        <w:t>- със заповед № Р-57 от 14.03.2025 г. на министър-председателя е възложено извършването на планова проверка за оценка на дейността на Инспектората по чл. 46 от ЗА към министъра на младежта и спорта;</w:t>
      </w:r>
    </w:p>
    <w:p w14:paraId="604C5C64" w14:textId="77777777" w:rsidR="0041597F" w:rsidRPr="00FF6015" w:rsidRDefault="0041597F" w:rsidP="00A86FEA">
      <w:pPr>
        <w:shd w:val="clear" w:color="auto" w:fill="FFFFFF" w:themeFill="background1"/>
        <w:tabs>
          <w:tab w:val="num" w:pos="0"/>
          <w:tab w:val="num" w:pos="567"/>
          <w:tab w:val="num" w:pos="644"/>
          <w:tab w:val="num" w:pos="993"/>
        </w:tabs>
        <w:ind w:firstLine="426"/>
        <w:jc w:val="both"/>
        <w:rPr>
          <w:sz w:val="22"/>
          <w:szCs w:val="22"/>
        </w:rPr>
      </w:pPr>
      <w:r w:rsidRPr="00FF6015">
        <w:rPr>
          <w:sz w:val="22"/>
          <w:szCs w:val="22"/>
        </w:rPr>
        <w:t>- със заповед № Р-58 от 14.03.2025 г. на министър-председателя е възложено извършването на планова проверка за оценка на дейността на Инспектората по чл. 46 от ЗА към министъра на културата;</w:t>
      </w:r>
    </w:p>
    <w:p w14:paraId="6C814D1B" w14:textId="77777777" w:rsidR="0041597F" w:rsidRPr="00FF6015" w:rsidRDefault="0041597F" w:rsidP="00A86FEA">
      <w:pPr>
        <w:shd w:val="clear" w:color="auto" w:fill="FFFFFF" w:themeFill="background1"/>
        <w:tabs>
          <w:tab w:val="num" w:pos="0"/>
          <w:tab w:val="num" w:pos="567"/>
          <w:tab w:val="num" w:pos="644"/>
          <w:tab w:val="num" w:pos="993"/>
        </w:tabs>
        <w:ind w:firstLine="426"/>
        <w:jc w:val="both"/>
        <w:rPr>
          <w:sz w:val="22"/>
          <w:szCs w:val="22"/>
        </w:rPr>
      </w:pPr>
      <w:r w:rsidRPr="00FF6015">
        <w:rPr>
          <w:sz w:val="22"/>
          <w:szCs w:val="22"/>
        </w:rPr>
        <w:t>- със заповед № Р-129 от 19.06.2025 г. на министър-председателя е възложено извършването на планова проверка за оценка на дейността на Инспектората по чл. 46 от ЗА към председателя на Държавна агенция „Държавен резерв и военновременни запаси“.</w:t>
      </w:r>
    </w:p>
    <w:p w14:paraId="3777EA6A" w14:textId="77777777" w:rsidR="0041597F" w:rsidRPr="002C3CFD"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bookmarkStart w:id="16" w:name="_Hlk204245376"/>
      <w:bookmarkStart w:id="17" w:name="_Hlk204246403"/>
      <w:r w:rsidRPr="002C3CFD">
        <w:rPr>
          <w:rFonts w:eastAsia="Batang"/>
          <w:sz w:val="22"/>
          <w:szCs w:val="22"/>
          <w:lang w:eastAsia="ko-KR"/>
        </w:rPr>
        <w:t xml:space="preserve">До края на отчетния период са приключили първите три проверки, за резултатите от които са изготвени доклади, одобрени от министър-председателя. </w:t>
      </w:r>
      <w:bookmarkEnd w:id="16"/>
      <w:r w:rsidRPr="002C3CFD">
        <w:rPr>
          <w:rFonts w:eastAsia="Batang"/>
          <w:sz w:val="22"/>
          <w:szCs w:val="22"/>
          <w:lang w:eastAsia="ko-KR"/>
        </w:rPr>
        <w:t xml:space="preserve">Дейността на два от инспекторатите е оценена като „незадоволителна“ и на един инспекторат – като „добра“. </w:t>
      </w:r>
    </w:p>
    <w:p w14:paraId="0E68A3AD" w14:textId="5A04090C" w:rsidR="0041597F" w:rsidRPr="00AB2A87"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AB2A87">
        <w:rPr>
          <w:rFonts w:eastAsia="Batang"/>
          <w:sz w:val="22"/>
          <w:szCs w:val="22"/>
          <w:lang w:eastAsia="ko-KR"/>
        </w:rPr>
        <w:t>В резултат на една от извършените проверки е предложено органът по назначаването да образува производство за установяване на конфликт на интереси по отношение на държавен инспектор</w:t>
      </w:r>
      <w:r w:rsidR="00AB2A87">
        <w:rPr>
          <w:rFonts w:eastAsia="Batang"/>
          <w:sz w:val="22"/>
          <w:szCs w:val="22"/>
          <w:lang w:eastAsia="ko-KR"/>
        </w:rPr>
        <w:t xml:space="preserve"> от Инспекторат по чл. 46 от ЗА.</w:t>
      </w:r>
    </w:p>
    <w:bookmarkEnd w:id="17"/>
    <w:p w14:paraId="621574AD" w14:textId="77777777" w:rsidR="0041597F" w:rsidRPr="001A38DC" w:rsidRDefault="0041597F" w:rsidP="00A86FEA">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1A38DC">
        <w:rPr>
          <w:rFonts w:eastAsia="Batang"/>
          <w:b/>
          <w:bCs/>
          <w:sz w:val="22"/>
          <w:szCs w:val="22"/>
          <w:lang w:eastAsia="ko-KR"/>
        </w:rPr>
        <w:t>Провеждане на срещи с ръководители и служители от инспекторатите, включително и Годишна среща на инспекторатите по чл. 46 от Закона за администрацията, както и оказване на методическа помощ по конкретни казуси, свързани с прилагането на нормативни актове, във връзка с изпълнение на функциите им</w:t>
      </w:r>
    </w:p>
    <w:p w14:paraId="6C29F327" w14:textId="0DD2E317" w:rsidR="0041597F" w:rsidRPr="0056450E"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56450E">
        <w:rPr>
          <w:rFonts w:eastAsia="Batang"/>
          <w:sz w:val="22"/>
          <w:szCs w:val="22"/>
          <w:lang w:eastAsia="ko-KR"/>
        </w:rPr>
        <w:t xml:space="preserve">В изпълнение на чл. 46а, ал. 2, т. 1 от ЗА през периода януари-юни 2025 г. Главният инспекторат текущо е оказвал методическа помощ на ръководители и служители от инспекторатите по </w:t>
      </w:r>
      <w:r w:rsidR="00C11A03">
        <w:rPr>
          <w:rFonts w:eastAsia="Batang"/>
          <w:sz w:val="22"/>
          <w:szCs w:val="22"/>
          <w:lang w:eastAsia="ko-KR"/>
        </w:rPr>
        <w:br/>
      </w:r>
      <w:r w:rsidRPr="0056450E">
        <w:rPr>
          <w:rFonts w:eastAsia="Batang"/>
          <w:sz w:val="22"/>
          <w:szCs w:val="22"/>
          <w:lang w:eastAsia="ko-KR"/>
        </w:rPr>
        <w:t xml:space="preserve">чл. 46 от ЗА, както и при решаването на възникнали казуси и поставени въпроси, свързани с прилагането на относимата по конкретните случаи нормативна уредба. </w:t>
      </w:r>
    </w:p>
    <w:p w14:paraId="206204FF" w14:textId="77777777" w:rsidR="0041597F" w:rsidRPr="00C11A03"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C11A03">
        <w:rPr>
          <w:rFonts w:eastAsia="Batang"/>
          <w:sz w:val="22"/>
          <w:szCs w:val="22"/>
          <w:lang w:eastAsia="ko-KR"/>
        </w:rPr>
        <w:t xml:space="preserve">През отчетния период Главния инспекторат организира и проведе на 13.03.2025 г. работна среща с ръководителите на инспекторатите за координиране и подпомагане на дейността им. В </w:t>
      </w:r>
      <w:r w:rsidRPr="00C11A03">
        <w:rPr>
          <w:rFonts w:eastAsia="Batang"/>
          <w:sz w:val="22"/>
          <w:szCs w:val="22"/>
          <w:lang w:eastAsia="ko-KR"/>
        </w:rPr>
        <w:lastRenderedPageBreak/>
        <w:t>периода 11-13.06.2025 г. се проведе и годишната среща на Главния инспекторат с ръководителите и служителите от инспекторатите по чл. 46 от Закона за администрацията.</w:t>
      </w:r>
    </w:p>
    <w:p w14:paraId="6B667EC7" w14:textId="087E38F4" w:rsidR="0041597F" w:rsidRPr="00C11A03"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C11A03">
        <w:rPr>
          <w:rFonts w:eastAsia="Batang"/>
          <w:sz w:val="22"/>
          <w:szCs w:val="22"/>
          <w:lang w:eastAsia="ko-KR"/>
        </w:rPr>
        <w:t>Съобразно съществуващата възможност в чл. 40 от НСМЧИРНОДВСКО държавен инспектор от Главния инспекторат участва в съвместна проверка с инспектори от Инспектората по чл. 46 от ЗА в Министерството на иновациите и растежа, възложена със заповед № РД-14-186 от 25.04.2025 г. на министъра на иновациите и растежа. За резултатите от проверката е изготвен доклад, одобрен от органа</w:t>
      </w:r>
      <w:r w:rsidR="00C11A03">
        <w:rPr>
          <w:rFonts w:eastAsia="Batang"/>
          <w:sz w:val="22"/>
          <w:szCs w:val="22"/>
          <w:lang w:eastAsia="ko-KR"/>
        </w:rPr>
        <w:t xml:space="preserve"> на власт, предложил проверката.</w:t>
      </w:r>
    </w:p>
    <w:p w14:paraId="553F331F" w14:textId="77777777" w:rsidR="0041597F" w:rsidRPr="001A38DC" w:rsidRDefault="0041597F" w:rsidP="00A86FEA">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1A38DC">
        <w:rPr>
          <w:rFonts w:eastAsia="Batang"/>
          <w:b/>
          <w:bCs/>
          <w:sz w:val="22"/>
          <w:szCs w:val="22"/>
          <w:lang w:eastAsia="ko-KR"/>
        </w:rPr>
        <w:t>Изготвяне на ежегоден обобщен доклад за извършените проверки от инспекторатите по чл. 46 от Закона за администрацията.</w:t>
      </w:r>
    </w:p>
    <w:p w14:paraId="74991250" w14:textId="77777777" w:rsidR="0041597F" w:rsidRPr="00C11A03"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C11A03">
        <w:rPr>
          <w:rFonts w:eastAsia="Batang"/>
          <w:sz w:val="22"/>
          <w:szCs w:val="22"/>
          <w:lang w:eastAsia="ko-KR"/>
        </w:rPr>
        <w:t xml:space="preserve">Съгласно чл. 46, ал. 9 от ЗА и чл. 21 от НСМЧИРНОДВСКО инспекторатите изпращат в Главния инспекторат ежегодно до 1 март доклад за извършените проверки през предходната година. </w:t>
      </w:r>
    </w:p>
    <w:p w14:paraId="482A54E7" w14:textId="77777777" w:rsidR="00C11A03" w:rsidRPr="00C11A03"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C11A03">
        <w:rPr>
          <w:rFonts w:eastAsia="Batang"/>
          <w:sz w:val="22"/>
          <w:szCs w:val="22"/>
          <w:lang w:eastAsia="ko-KR"/>
        </w:rPr>
        <w:t xml:space="preserve">В законоустановения срок в Главния инспекторат постъпи информация от всички инспекторати, с изключение на Инспектората към министъра на туризма и Инспектората към председателя на Комисията за противодействие на корупцията. </w:t>
      </w:r>
    </w:p>
    <w:p w14:paraId="2F60700A" w14:textId="27E2F052" w:rsidR="0041597F" w:rsidRPr="001A2FA8"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1A2FA8">
        <w:rPr>
          <w:rFonts w:eastAsia="Batang"/>
          <w:sz w:val="22"/>
          <w:szCs w:val="22"/>
          <w:lang w:eastAsia="ko-KR"/>
        </w:rPr>
        <w:t xml:space="preserve">Предвид спецификата на дейността в Главния инспекторат не са изпратени, съответно в обобщения доклад не се съдържат данни за резултатите от извършените проверки от инспекторатите към председателите на Държавна агенция „Национална сигурност“, Държавна агенция „Технически операции“ и Държавна агенция „Разузнаване“ (съдържанието на докладите за дейността им е класифицирана информация). </w:t>
      </w:r>
    </w:p>
    <w:p w14:paraId="21B6F58B" w14:textId="77777777" w:rsidR="0041597F" w:rsidRPr="001A2FA8"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1A2FA8">
        <w:rPr>
          <w:rFonts w:eastAsia="Batang"/>
          <w:sz w:val="22"/>
          <w:szCs w:val="22"/>
          <w:lang w:eastAsia="ko-KR"/>
        </w:rPr>
        <w:t>Съобразно разпоредбите на чл. 46а, ал. 3 от ЗА и чл. 22 от НСМЧИРНОДВСКО в законоустановения срок е изготвен и представен на министър-председателя обобщен доклад за извършените проверки от инспекторатите по чл. 46 от ЗА през 2024 г., който е публикуван на интернет страницата на Министерския съвет.</w:t>
      </w:r>
    </w:p>
    <w:p w14:paraId="2C130856" w14:textId="77777777" w:rsidR="0041597F" w:rsidRPr="00A86FEA" w:rsidRDefault="0041597F" w:rsidP="00A86FEA">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A86FEA">
        <w:rPr>
          <w:b/>
          <w:bCs/>
          <w:i/>
          <w:iCs/>
          <w:color w:val="215E99" w:themeColor="text2" w:themeTint="BF"/>
          <w:sz w:val="22"/>
          <w:szCs w:val="22"/>
        </w:rPr>
        <w:t>Осъществяване на административен контрол – Главен инспекторат</w:t>
      </w:r>
    </w:p>
    <w:p w14:paraId="71338935" w14:textId="77777777" w:rsidR="0041597F" w:rsidRPr="00E01F19" w:rsidRDefault="0041597F" w:rsidP="00A86FEA">
      <w:pPr>
        <w:shd w:val="clear" w:color="auto" w:fill="FFFFFF" w:themeFill="background1"/>
        <w:ind w:left="425"/>
        <w:jc w:val="both"/>
        <w:rPr>
          <w:b/>
          <w:i/>
          <w:color w:val="800000"/>
          <w:sz w:val="22"/>
          <w:szCs w:val="22"/>
        </w:rPr>
      </w:pPr>
      <w:r w:rsidRPr="00E01F19">
        <w:rPr>
          <w:b/>
          <w:i/>
          <w:color w:val="800000"/>
          <w:sz w:val="22"/>
          <w:szCs w:val="22"/>
        </w:rPr>
        <w:t>Дейности за предоставяне на продукта/услугата:</w:t>
      </w:r>
    </w:p>
    <w:p w14:paraId="61239869" w14:textId="77777777" w:rsidR="0041597F" w:rsidRPr="00994674" w:rsidRDefault="0041597F" w:rsidP="00A86FEA">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994674">
        <w:rPr>
          <w:rFonts w:eastAsia="Batang"/>
          <w:b/>
          <w:bCs/>
          <w:sz w:val="22"/>
          <w:szCs w:val="22"/>
          <w:lang w:eastAsia="ko-KR"/>
        </w:rPr>
        <w:t>Осъществяване на административен контрол върху дейността на администрацията на Министерския съвет</w:t>
      </w:r>
    </w:p>
    <w:p w14:paraId="2D9ACC30" w14:textId="235EA8A4" w:rsidR="0041597F" w:rsidRPr="00186D0C"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186D0C">
        <w:rPr>
          <w:rFonts w:eastAsia="Batang"/>
          <w:sz w:val="22"/>
          <w:szCs w:val="22"/>
          <w:lang w:eastAsia="ko-KR"/>
        </w:rPr>
        <w:t xml:space="preserve">През първото полугодие на 2025 г. е извършена планираната </w:t>
      </w:r>
      <w:r w:rsidR="00186D0C">
        <w:rPr>
          <w:rFonts w:eastAsia="Batang"/>
          <w:sz w:val="22"/>
          <w:szCs w:val="22"/>
          <w:lang w:eastAsia="ko-KR"/>
        </w:rPr>
        <w:t xml:space="preserve">проверка на декларациите по чл. </w:t>
      </w:r>
      <w:r w:rsidRPr="00186D0C">
        <w:rPr>
          <w:rFonts w:eastAsia="Batang"/>
          <w:sz w:val="22"/>
          <w:szCs w:val="22"/>
          <w:lang w:eastAsia="ko-KR"/>
        </w:rPr>
        <w:t>49, ал. 1, т. 1 и 3 от Закона за противодействие на корупцията (ЗПК), подадени от лицата, чиито орган по избора/назначаването е Министерския съвет/министър-председателя/заместник министър-предс</w:t>
      </w:r>
      <w:r w:rsidR="00186D0C">
        <w:rPr>
          <w:rFonts w:eastAsia="Batang"/>
          <w:sz w:val="22"/>
          <w:szCs w:val="22"/>
          <w:lang w:eastAsia="ko-KR"/>
        </w:rPr>
        <w:t xml:space="preserve">едателите. Проверени са общо 82 </w:t>
      </w:r>
      <w:r w:rsidRPr="00186D0C">
        <w:rPr>
          <w:rFonts w:eastAsia="Batang"/>
          <w:sz w:val="22"/>
          <w:szCs w:val="22"/>
          <w:lang w:eastAsia="ko-KR"/>
        </w:rPr>
        <w:t>бр. декларации за несъвместимост и декларации за промяна в декларирани обстоятелства в декларациите за несъвместимост. При проверката не са установени случаи на подадени декларации за несъвместимост/за промяна в декларациите за несъвместимост с</w:t>
      </w:r>
      <w:r w:rsidR="00186D0C">
        <w:rPr>
          <w:rFonts w:eastAsia="Batang"/>
          <w:sz w:val="22"/>
          <w:szCs w:val="22"/>
          <w:lang w:eastAsia="ko-KR"/>
        </w:rPr>
        <w:t>лед нормативно определения срок.</w:t>
      </w:r>
    </w:p>
    <w:p w14:paraId="32DD665C" w14:textId="77777777" w:rsidR="0041597F" w:rsidRPr="00F376F9" w:rsidRDefault="0041597F" w:rsidP="00A86FEA">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F376F9">
        <w:rPr>
          <w:rFonts w:eastAsia="Batang"/>
          <w:b/>
          <w:bCs/>
          <w:sz w:val="22"/>
          <w:szCs w:val="22"/>
          <w:lang w:eastAsia="ko-KR"/>
        </w:rPr>
        <w:t>Осъществяване на административен контрол върху дейността на второстепенните разпоредители с бюджет по бюджета на Министерския съвет</w:t>
      </w:r>
    </w:p>
    <w:p w14:paraId="72AC9CA7" w14:textId="30F662F4" w:rsidR="0041597F" w:rsidRPr="00186D0C"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186D0C">
        <w:rPr>
          <w:rFonts w:eastAsia="Batang"/>
          <w:sz w:val="22"/>
          <w:szCs w:val="22"/>
          <w:lang w:eastAsia="ko-KR"/>
        </w:rPr>
        <w:t>През отчетния период не са извършвани планови проверки за осъществяване на административен контрол върху дейността на второстепенните разпоредители с бюджет п</w:t>
      </w:r>
      <w:r w:rsidR="00186D0C">
        <w:rPr>
          <w:rFonts w:eastAsia="Batang"/>
          <w:sz w:val="22"/>
          <w:szCs w:val="22"/>
          <w:lang w:eastAsia="ko-KR"/>
        </w:rPr>
        <w:t>о бюджета на Министерския съвет.</w:t>
      </w:r>
    </w:p>
    <w:p w14:paraId="78A3719E" w14:textId="77777777" w:rsidR="0041597F" w:rsidRPr="00F376F9" w:rsidRDefault="0041597F" w:rsidP="00A86FEA">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F376F9">
        <w:rPr>
          <w:rFonts w:eastAsia="Batang"/>
          <w:b/>
          <w:bCs/>
          <w:sz w:val="22"/>
          <w:szCs w:val="22"/>
          <w:lang w:eastAsia="ko-KR"/>
        </w:rPr>
        <w:t xml:space="preserve">Извършване на извънпланови проверки по разпореждане на министър-председателя или </w:t>
      </w:r>
      <w:bookmarkStart w:id="18" w:name="_Hlk204246122"/>
      <w:r w:rsidRPr="00F376F9">
        <w:rPr>
          <w:rFonts w:eastAsia="Batang"/>
          <w:b/>
          <w:bCs/>
          <w:sz w:val="22"/>
          <w:szCs w:val="22"/>
          <w:lang w:eastAsia="ko-KR"/>
        </w:rPr>
        <w:t>по сигнали за: корупция на органи на изпълнителната власт и държавни служители на ръководна длъжност, незаконни или неправилни действия, или бездействия на служители от администрацията на Министерския съвет; не спазване на сроковете по Закона за управление на средствата от Европейските фондове при споделено управление от длъжностни лица от администрацията на Министерския съвет</w:t>
      </w:r>
    </w:p>
    <w:bookmarkEnd w:id="18"/>
    <w:p w14:paraId="314AC205" w14:textId="77777777" w:rsidR="0041597F" w:rsidRPr="00186D0C"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186D0C">
        <w:rPr>
          <w:rFonts w:eastAsia="Batang"/>
          <w:sz w:val="22"/>
          <w:szCs w:val="22"/>
          <w:lang w:eastAsia="ko-KR"/>
        </w:rPr>
        <w:t xml:space="preserve">През първото полугодие на 2025 г. на инспекторите от Главния инспекторат е възложено извършването на 9 бр. извънпланови проверки по сигнали и по разпореждане на министър-председателя в администрацията на Министерския съвет, в административни структури, чиито ръководители са второстепенни разпоредители с бюджет по бюджета на МС и в други първостепенни разпоредители, </w:t>
      </w:r>
      <w:proofErr w:type="spellStart"/>
      <w:r w:rsidRPr="00186D0C">
        <w:rPr>
          <w:rFonts w:eastAsia="Batang"/>
          <w:sz w:val="22"/>
          <w:szCs w:val="22"/>
          <w:lang w:eastAsia="ko-KR"/>
        </w:rPr>
        <w:t>разпоредени</w:t>
      </w:r>
      <w:proofErr w:type="spellEnd"/>
      <w:r w:rsidRPr="00186D0C">
        <w:rPr>
          <w:rFonts w:eastAsia="Batang"/>
          <w:sz w:val="22"/>
          <w:szCs w:val="22"/>
          <w:lang w:eastAsia="ko-KR"/>
        </w:rPr>
        <w:t xml:space="preserve"> с негови заповеди.</w:t>
      </w:r>
    </w:p>
    <w:p w14:paraId="1C020AF7" w14:textId="77777777" w:rsidR="0041597F" w:rsidRPr="00186D0C"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186D0C">
        <w:rPr>
          <w:rFonts w:eastAsia="Batang"/>
          <w:sz w:val="22"/>
          <w:szCs w:val="22"/>
          <w:lang w:eastAsia="ko-KR"/>
        </w:rPr>
        <w:t>Извън посочения брой извънпланови проверки са извършени предварителни проучвания за предприемане на последващи действия по повод постъпили 6 бр. сигнали, съобразно изискванията на НСМЧИРНОДВСКО.</w:t>
      </w:r>
    </w:p>
    <w:p w14:paraId="156B74B5" w14:textId="411557BE" w:rsidR="0041597F" w:rsidRPr="00186D0C" w:rsidRDefault="0041597F" w:rsidP="00A86FEA">
      <w:pPr>
        <w:shd w:val="clear" w:color="auto" w:fill="FFFFFF" w:themeFill="background1"/>
        <w:tabs>
          <w:tab w:val="left" w:pos="993"/>
        </w:tabs>
        <w:ind w:firstLine="426"/>
        <w:jc w:val="both"/>
        <w:rPr>
          <w:b/>
          <w:sz w:val="22"/>
          <w:szCs w:val="22"/>
        </w:rPr>
      </w:pPr>
      <w:r w:rsidRPr="00186D0C">
        <w:rPr>
          <w:b/>
          <w:sz w:val="22"/>
          <w:szCs w:val="22"/>
        </w:rPr>
        <w:lastRenderedPageBreak/>
        <w:t>1</w:t>
      </w:r>
      <w:r w:rsidR="00186D0C" w:rsidRPr="00186D0C">
        <w:rPr>
          <w:b/>
          <w:sz w:val="22"/>
          <w:szCs w:val="22"/>
        </w:rPr>
        <w:t xml:space="preserve">. </w:t>
      </w:r>
      <w:r w:rsidRPr="00186D0C">
        <w:rPr>
          <w:b/>
          <w:sz w:val="22"/>
          <w:szCs w:val="22"/>
        </w:rPr>
        <w:t>Проверки по сигнали по Административнопроцесуалния кодекс:</w:t>
      </w:r>
    </w:p>
    <w:p w14:paraId="56690876" w14:textId="77777777" w:rsidR="0041597F" w:rsidRPr="005675D6" w:rsidRDefault="0041597F" w:rsidP="00A86FEA">
      <w:pPr>
        <w:shd w:val="clear" w:color="auto" w:fill="FFFFFF" w:themeFill="background1"/>
        <w:tabs>
          <w:tab w:val="num" w:pos="0"/>
          <w:tab w:val="num" w:pos="567"/>
          <w:tab w:val="num" w:pos="644"/>
          <w:tab w:val="num" w:pos="993"/>
        </w:tabs>
        <w:ind w:firstLine="426"/>
        <w:jc w:val="both"/>
        <w:rPr>
          <w:sz w:val="22"/>
          <w:szCs w:val="22"/>
        </w:rPr>
      </w:pPr>
      <w:bookmarkStart w:id="19" w:name="_Hlk204095508"/>
      <w:r w:rsidRPr="005675D6">
        <w:rPr>
          <w:sz w:val="22"/>
          <w:szCs w:val="22"/>
        </w:rPr>
        <w:t>- със заповед № Р-3 от 08.01.2025 г. на министър-председателя е възложено извършването на извънпланова проверка по администрирането на процеса по управление на човешките ресурси в Министерството на правосъдието за периода от 01.01.2023 г. до 31.12.2024 г. по повод писмо на министъра на правосъдието;</w:t>
      </w:r>
    </w:p>
    <w:p w14:paraId="1676865D" w14:textId="77777777" w:rsidR="0041597F" w:rsidRPr="005675D6" w:rsidRDefault="0041597F" w:rsidP="00A86FEA">
      <w:pPr>
        <w:shd w:val="clear" w:color="auto" w:fill="FFFFFF" w:themeFill="background1"/>
        <w:tabs>
          <w:tab w:val="num" w:pos="0"/>
          <w:tab w:val="num" w:pos="567"/>
          <w:tab w:val="num" w:pos="644"/>
          <w:tab w:val="num" w:pos="993"/>
        </w:tabs>
        <w:ind w:firstLine="426"/>
        <w:jc w:val="both"/>
        <w:rPr>
          <w:sz w:val="22"/>
          <w:szCs w:val="22"/>
        </w:rPr>
      </w:pPr>
      <w:r w:rsidRPr="005675D6">
        <w:rPr>
          <w:sz w:val="22"/>
          <w:szCs w:val="22"/>
        </w:rPr>
        <w:t>- със заповед № Р-52 от 10.03.2025 г. на министър-председателя е възложено извършването на извънпланова проверка в Инспектората към управителя на Националната здравноосигурителна каса по изложените твърдения в сигнал с вх. № 20.Л-3 от 28.02.2025 г.;</w:t>
      </w:r>
    </w:p>
    <w:p w14:paraId="5C0D5C0D" w14:textId="77777777" w:rsidR="0041597F" w:rsidRPr="005675D6" w:rsidRDefault="0041597F" w:rsidP="00A86FEA">
      <w:pPr>
        <w:shd w:val="clear" w:color="auto" w:fill="FFFFFF" w:themeFill="background1"/>
        <w:tabs>
          <w:tab w:val="num" w:pos="0"/>
          <w:tab w:val="num" w:pos="567"/>
          <w:tab w:val="num" w:pos="644"/>
          <w:tab w:val="num" w:pos="993"/>
        </w:tabs>
        <w:ind w:firstLine="426"/>
        <w:jc w:val="both"/>
        <w:rPr>
          <w:sz w:val="22"/>
          <w:szCs w:val="22"/>
        </w:rPr>
      </w:pPr>
      <w:r w:rsidRPr="005675D6">
        <w:rPr>
          <w:sz w:val="22"/>
          <w:szCs w:val="22"/>
        </w:rPr>
        <w:t>- със заповед № Р-74 от 26.03.2025 г. на министър-председателя е възложено извършването на извънпланова проверка в администрацията на Министерския съвет по изложените твърдения в сигнал с вх. № 08.00-152 от 17.03.2025 г.;</w:t>
      </w:r>
    </w:p>
    <w:p w14:paraId="07913664" w14:textId="77777777" w:rsidR="0041597F" w:rsidRPr="005675D6" w:rsidRDefault="0041597F" w:rsidP="00A86FEA">
      <w:pPr>
        <w:shd w:val="clear" w:color="auto" w:fill="FFFFFF" w:themeFill="background1"/>
        <w:tabs>
          <w:tab w:val="num" w:pos="0"/>
          <w:tab w:val="num" w:pos="567"/>
          <w:tab w:val="num" w:pos="644"/>
          <w:tab w:val="num" w:pos="993"/>
        </w:tabs>
        <w:ind w:firstLine="426"/>
        <w:jc w:val="both"/>
        <w:rPr>
          <w:sz w:val="22"/>
          <w:szCs w:val="22"/>
        </w:rPr>
      </w:pPr>
      <w:bookmarkStart w:id="20" w:name="_Hlk204097252"/>
      <w:bookmarkEnd w:id="19"/>
      <w:r w:rsidRPr="005675D6">
        <w:rPr>
          <w:sz w:val="22"/>
          <w:szCs w:val="22"/>
        </w:rPr>
        <w:t>- със заповед № Р-91 от 23.04.2025 г. на министър-председателя е възложено извършването на извънпланова проверка по постъпили сигнали с вх. № 08.00-133 от 10.03.2025 г. и № 08.00-184 от 07.04.2025 г. в Министерството на вътрешните работи</w:t>
      </w:r>
      <w:bookmarkEnd w:id="20"/>
      <w:r w:rsidRPr="005675D6">
        <w:rPr>
          <w:sz w:val="22"/>
          <w:szCs w:val="22"/>
        </w:rPr>
        <w:t>;</w:t>
      </w:r>
    </w:p>
    <w:p w14:paraId="68E061BC" w14:textId="77777777" w:rsidR="0041597F" w:rsidRPr="005675D6" w:rsidRDefault="0041597F" w:rsidP="00A86FEA">
      <w:pPr>
        <w:shd w:val="clear" w:color="auto" w:fill="FFFFFF" w:themeFill="background1"/>
        <w:tabs>
          <w:tab w:val="num" w:pos="0"/>
          <w:tab w:val="num" w:pos="567"/>
          <w:tab w:val="num" w:pos="644"/>
          <w:tab w:val="num" w:pos="993"/>
        </w:tabs>
        <w:ind w:firstLine="426"/>
        <w:jc w:val="both"/>
        <w:rPr>
          <w:sz w:val="22"/>
          <w:szCs w:val="22"/>
        </w:rPr>
      </w:pPr>
      <w:r w:rsidRPr="005675D6">
        <w:rPr>
          <w:sz w:val="22"/>
          <w:szCs w:val="22"/>
        </w:rPr>
        <w:t>- със заповед № Р-119 от 10.06.2025 г. на министър-председателя е възложено извършването на извънпланова проверка в Областна администрация на Софийска област, второстепенен разпоредител с бюджет по бюджета на Министерския съвет, по изложените твърдения в сигнал с вх. № 20.П-12 от 05.06.2025 г.;</w:t>
      </w:r>
    </w:p>
    <w:p w14:paraId="0312471C" w14:textId="44190DB9" w:rsidR="0041597F" w:rsidRPr="005675D6" w:rsidRDefault="0041597F" w:rsidP="00A86FEA">
      <w:pPr>
        <w:shd w:val="clear" w:color="auto" w:fill="FFFFFF" w:themeFill="background1"/>
        <w:tabs>
          <w:tab w:val="num" w:pos="0"/>
          <w:tab w:val="num" w:pos="567"/>
          <w:tab w:val="num" w:pos="644"/>
          <w:tab w:val="num" w:pos="993"/>
        </w:tabs>
        <w:ind w:firstLine="426"/>
        <w:jc w:val="both"/>
        <w:rPr>
          <w:sz w:val="22"/>
          <w:szCs w:val="22"/>
        </w:rPr>
      </w:pPr>
      <w:r w:rsidRPr="005675D6">
        <w:rPr>
          <w:sz w:val="22"/>
          <w:szCs w:val="22"/>
        </w:rPr>
        <w:t xml:space="preserve">- със заповед № Р-120 от 10.06.2025 г. на министър-председателя е възложено извършването на извънпланова проверка в Министерството на културата по изложените твърдения в сигнал с </w:t>
      </w:r>
      <w:r w:rsidR="00186D0C" w:rsidRPr="005675D6">
        <w:rPr>
          <w:sz w:val="22"/>
          <w:szCs w:val="22"/>
        </w:rPr>
        <w:br/>
      </w:r>
      <w:r w:rsidRPr="005675D6">
        <w:rPr>
          <w:sz w:val="22"/>
          <w:szCs w:val="22"/>
        </w:rPr>
        <w:t>вх. № 20.Д-15 от 05.06.2025 г.;</w:t>
      </w:r>
    </w:p>
    <w:p w14:paraId="6F3EC088" w14:textId="77777777" w:rsidR="0041597F" w:rsidRPr="005675D6" w:rsidRDefault="0041597F" w:rsidP="00A86FEA">
      <w:pPr>
        <w:shd w:val="clear" w:color="auto" w:fill="FFFFFF" w:themeFill="background1"/>
        <w:tabs>
          <w:tab w:val="num" w:pos="0"/>
          <w:tab w:val="num" w:pos="567"/>
          <w:tab w:val="num" w:pos="644"/>
          <w:tab w:val="num" w:pos="993"/>
        </w:tabs>
        <w:ind w:firstLine="426"/>
        <w:jc w:val="both"/>
        <w:rPr>
          <w:sz w:val="22"/>
          <w:szCs w:val="22"/>
        </w:rPr>
      </w:pPr>
      <w:r w:rsidRPr="005675D6">
        <w:rPr>
          <w:sz w:val="22"/>
          <w:szCs w:val="22"/>
        </w:rPr>
        <w:t>- със заповед № Р-121 от 10.06.2025 г. на министър-председателя е възложено извършването на извънпланова проверка в Министерството на правосъдието по изложените твърдения в сигнал с вх. № 20.П-11 от 27.05.2025 г.;</w:t>
      </w:r>
    </w:p>
    <w:p w14:paraId="556D0690" w14:textId="77777777" w:rsidR="0041597F" w:rsidRPr="005675D6" w:rsidRDefault="0041597F" w:rsidP="00A86FEA">
      <w:pPr>
        <w:shd w:val="clear" w:color="auto" w:fill="FFFFFF" w:themeFill="background1"/>
        <w:tabs>
          <w:tab w:val="num" w:pos="0"/>
          <w:tab w:val="num" w:pos="567"/>
          <w:tab w:val="num" w:pos="644"/>
          <w:tab w:val="num" w:pos="993"/>
        </w:tabs>
        <w:ind w:firstLine="426"/>
        <w:jc w:val="both"/>
        <w:rPr>
          <w:sz w:val="22"/>
          <w:szCs w:val="22"/>
        </w:rPr>
      </w:pPr>
      <w:r w:rsidRPr="005675D6">
        <w:rPr>
          <w:sz w:val="22"/>
          <w:szCs w:val="22"/>
        </w:rPr>
        <w:t xml:space="preserve">- със заповед № Р-122 от 10.06.2025 г. на министър-председателя е възложено извършването на извънпланова проверка в </w:t>
      </w:r>
      <w:bookmarkStart w:id="21" w:name="_Hlk204097704"/>
      <w:r w:rsidRPr="005675D6">
        <w:rPr>
          <w:sz w:val="22"/>
          <w:szCs w:val="22"/>
        </w:rPr>
        <w:t>Областна администрация на област Хасково, второстепенен разпоредител с бюджет по бюджета на Министерския съвет</w:t>
      </w:r>
      <w:bookmarkEnd w:id="21"/>
      <w:r w:rsidRPr="005675D6">
        <w:rPr>
          <w:sz w:val="22"/>
          <w:szCs w:val="22"/>
        </w:rPr>
        <w:t>, по изложените твърдения в сигнал с вх. № 20.Т-7 от 05.06.2025 г.</w:t>
      </w:r>
    </w:p>
    <w:p w14:paraId="52A1951C" w14:textId="77777777" w:rsidR="0041597F" w:rsidRPr="00186D0C"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bookmarkStart w:id="22" w:name="_Hlk204246506"/>
      <w:r w:rsidRPr="00186D0C">
        <w:rPr>
          <w:rFonts w:eastAsia="Batang"/>
          <w:sz w:val="22"/>
          <w:szCs w:val="22"/>
          <w:lang w:eastAsia="ko-KR"/>
        </w:rPr>
        <w:t>До края на отчетния период са приключили първите четири проверки.</w:t>
      </w:r>
    </w:p>
    <w:bookmarkEnd w:id="22"/>
    <w:p w14:paraId="4D3F10C6" w14:textId="7706440B" w:rsidR="0041597F" w:rsidRPr="00634022" w:rsidRDefault="0041597F" w:rsidP="00A86FEA">
      <w:pPr>
        <w:shd w:val="clear" w:color="auto" w:fill="FFFFFF" w:themeFill="background1"/>
        <w:tabs>
          <w:tab w:val="left" w:pos="993"/>
        </w:tabs>
        <w:ind w:firstLine="426"/>
        <w:jc w:val="both"/>
        <w:rPr>
          <w:b/>
          <w:sz w:val="22"/>
          <w:szCs w:val="22"/>
        </w:rPr>
      </w:pPr>
      <w:r w:rsidRPr="00186D0C">
        <w:rPr>
          <w:b/>
          <w:sz w:val="22"/>
          <w:szCs w:val="22"/>
        </w:rPr>
        <w:t>2</w:t>
      </w:r>
      <w:r w:rsidR="00186D0C" w:rsidRPr="00186D0C">
        <w:rPr>
          <w:b/>
          <w:sz w:val="22"/>
          <w:szCs w:val="22"/>
        </w:rPr>
        <w:t>.</w:t>
      </w:r>
      <w:r w:rsidRPr="00186D0C">
        <w:rPr>
          <w:b/>
          <w:sz w:val="22"/>
          <w:szCs w:val="22"/>
        </w:rPr>
        <w:t xml:space="preserve"> Проверки по разпореждане на министър-председателя:</w:t>
      </w:r>
    </w:p>
    <w:p w14:paraId="07734D4E" w14:textId="77777777" w:rsidR="0041597F" w:rsidRPr="003A2F21" w:rsidRDefault="0041597F" w:rsidP="00A86FEA">
      <w:pPr>
        <w:shd w:val="clear" w:color="auto" w:fill="FFFFFF" w:themeFill="background1"/>
        <w:tabs>
          <w:tab w:val="num" w:pos="0"/>
          <w:tab w:val="num" w:pos="567"/>
          <w:tab w:val="num" w:pos="644"/>
          <w:tab w:val="num" w:pos="993"/>
        </w:tabs>
        <w:ind w:firstLine="426"/>
        <w:jc w:val="both"/>
        <w:rPr>
          <w:sz w:val="22"/>
          <w:szCs w:val="22"/>
        </w:rPr>
      </w:pPr>
      <w:r w:rsidRPr="003A2F21">
        <w:rPr>
          <w:sz w:val="22"/>
          <w:szCs w:val="22"/>
        </w:rPr>
        <w:t>- със заповед № Р-78 от 31.03.2025 г. на министър-председателя е възложено извършването на извънпланова проверка на администрирането на дейностите, свързани с консервация и реставрация на Паметника на свободата на връх Шипка, част от Национален парк-музей „Шипка-Бузлуджа“.</w:t>
      </w:r>
    </w:p>
    <w:p w14:paraId="6D6966DA" w14:textId="4A651490" w:rsidR="0041597F" w:rsidRPr="00634022" w:rsidRDefault="00217999" w:rsidP="00A86FEA">
      <w:pPr>
        <w:shd w:val="clear" w:color="auto" w:fill="FFFFFF" w:themeFill="background1"/>
        <w:tabs>
          <w:tab w:val="left" w:pos="993"/>
        </w:tabs>
        <w:ind w:firstLine="426"/>
        <w:jc w:val="both"/>
        <w:rPr>
          <w:b/>
          <w:sz w:val="22"/>
          <w:szCs w:val="22"/>
        </w:rPr>
      </w:pPr>
      <w:r w:rsidRPr="00217999">
        <w:rPr>
          <w:b/>
          <w:sz w:val="22"/>
          <w:szCs w:val="22"/>
        </w:rPr>
        <w:t>3.</w:t>
      </w:r>
      <w:r w:rsidR="0041597F" w:rsidRPr="00217999">
        <w:rPr>
          <w:b/>
          <w:sz w:val="22"/>
          <w:szCs w:val="22"/>
        </w:rPr>
        <w:t xml:space="preserve"> Изготвяне на доклади до министър-председателя за резултатите от извършените проверки</w:t>
      </w:r>
      <w:r w:rsidRPr="00634022">
        <w:rPr>
          <w:b/>
          <w:sz w:val="22"/>
          <w:szCs w:val="22"/>
        </w:rPr>
        <w:t>:</w:t>
      </w:r>
      <w:r w:rsidR="0041597F" w:rsidRPr="00634022">
        <w:rPr>
          <w:b/>
          <w:sz w:val="22"/>
          <w:szCs w:val="22"/>
        </w:rPr>
        <w:t xml:space="preserve"> </w:t>
      </w:r>
    </w:p>
    <w:p w14:paraId="7F9B97E7" w14:textId="77777777" w:rsidR="0041597F" w:rsidRPr="00217999"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bookmarkStart w:id="23" w:name="_Hlk204246522"/>
      <w:r w:rsidRPr="00217999">
        <w:rPr>
          <w:rFonts w:eastAsia="Batang"/>
          <w:sz w:val="22"/>
          <w:szCs w:val="22"/>
          <w:lang w:eastAsia="ko-KR"/>
        </w:rPr>
        <w:t xml:space="preserve">За резултатите от всяка една от извършените проверки е изготвен доклад до министър-председателя, съдържащ констатации, изводи и препоръки за подобряване на работата и отстраняване на установените нарушения и несъответствия. </w:t>
      </w:r>
    </w:p>
    <w:p w14:paraId="0F1F698A" w14:textId="77777777" w:rsidR="0041597F" w:rsidRPr="00217999"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217999">
        <w:rPr>
          <w:rFonts w:eastAsia="Batang"/>
          <w:sz w:val="22"/>
          <w:szCs w:val="22"/>
          <w:lang w:eastAsia="ko-KR"/>
        </w:rPr>
        <w:t>С писма на ръководителя на Главния инспекторат за решенията по сигналите са уведомени подателите им, съобразно разпоредбите на чл. 123 от АПК. Копия на одобрените доклади са изпратени на съответните органи/лица за предприемане на действия по компетентност.</w:t>
      </w:r>
    </w:p>
    <w:p w14:paraId="432086E9" w14:textId="77777777" w:rsidR="0041597F" w:rsidRPr="00FB4EFF"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FB4EFF">
        <w:rPr>
          <w:rFonts w:eastAsia="Batang"/>
          <w:sz w:val="22"/>
          <w:szCs w:val="22"/>
          <w:lang w:eastAsia="ko-KR"/>
        </w:rPr>
        <w:t xml:space="preserve">В резултат на извършените проверки е предложено образуването на дисциплинарни производства за двама висши държавни служители от Министерството на правосъдието за допуснати нарушения на служебните им задължения, както и на </w:t>
      </w:r>
      <w:hyperlink r:id="rId28" w:history="1">
        <w:r w:rsidRPr="00FB4EFF">
          <w:rPr>
            <w:rFonts w:eastAsia="Batang"/>
            <w:sz w:val="22"/>
            <w:szCs w:val="22"/>
            <w:lang w:eastAsia="ko-KR"/>
          </w:rPr>
          <w:t xml:space="preserve">Кодекса за поведение на служителите в държавната администрацията. </w:t>
        </w:r>
      </w:hyperlink>
    </w:p>
    <w:p w14:paraId="51E45FD3" w14:textId="2B3F6AEA" w:rsidR="0041597F" w:rsidRPr="00FB4EFF"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FB4EFF">
        <w:rPr>
          <w:rFonts w:eastAsia="Batang"/>
          <w:sz w:val="22"/>
          <w:szCs w:val="22"/>
          <w:lang w:eastAsia="ko-KR"/>
        </w:rPr>
        <w:t>За установените в хода на извършване на проверките нарушения на трудовото законодателство и законодателството, свързано с изпълнение на държавната служба, е изпратен сигнал до Изпълнителна агенция „Главна инспекция по труда“, а за нарушения на чл. 21, ал. 4 от ЗДСл – до Агенцията за държавна финансова инспекция и до Изпълнител</w:t>
      </w:r>
      <w:r w:rsidR="00FB4EFF">
        <w:rPr>
          <w:rFonts w:eastAsia="Batang"/>
          <w:sz w:val="22"/>
          <w:szCs w:val="22"/>
          <w:lang w:eastAsia="ko-KR"/>
        </w:rPr>
        <w:t xml:space="preserve">на агенция „Одит на средствата </w:t>
      </w:r>
      <w:r w:rsidRPr="00FB4EFF">
        <w:rPr>
          <w:rFonts w:eastAsia="Batang"/>
          <w:sz w:val="22"/>
          <w:szCs w:val="22"/>
          <w:lang w:eastAsia="ko-KR"/>
        </w:rPr>
        <w:t>от Европейския съюз“;</w:t>
      </w:r>
    </w:p>
    <w:bookmarkEnd w:id="23"/>
    <w:p w14:paraId="5EBEFD75" w14:textId="77777777" w:rsidR="0041597F" w:rsidRPr="002F73EA" w:rsidRDefault="0041597F" w:rsidP="00A86FEA">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2F73EA">
        <w:rPr>
          <w:rFonts w:eastAsia="Batang"/>
          <w:b/>
          <w:bCs/>
          <w:sz w:val="22"/>
          <w:szCs w:val="22"/>
          <w:lang w:eastAsia="ko-KR"/>
        </w:rPr>
        <w:t>Предприети действия по постъпили сигнали в Главния инспекторат</w:t>
      </w:r>
    </w:p>
    <w:p w14:paraId="600E5588" w14:textId="77777777" w:rsidR="0041597F" w:rsidRPr="00FB4EFF"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FB4EFF">
        <w:rPr>
          <w:rFonts w:eastAsia="Batang"/>
          <w:sz w:val="22"/>
          <w:szCs w:val="22"/>
          <w:lang w:eastAsia="ko-KR"/>
        </w:rPr>
        <w:t>В периода 1 януари – 30 юни 2025 г. в Главния инспекторат са постъпили общо 107 бр. сигнали по АПК, по които са предприети конкретни действия, както следва:</w:t>
      </w:r>
    </w:p>
    <w:p w14:paraId="20F42F0E" w14:textId="0E184F74" w:rsidR="0041597F" w:rsidRPr="00FB4EFF" w:rsidRDefault="00FB4EFF" w:rsidP="00A86FEA">
      <w:pPr>
        <w:shd w:val="clear" w:color="auto" w:fill="FFFFFF" w:themeFill="background1"/>
        <w:tabs>
          <w:tab w:val="num" w:pos="0"/>
          <w:tab w:val="num" w:pos="709"/>
          <w:tab w:val="num" w:pos="851"/>
          <w:tab w:val="num" w:pos="993"/>
        </w:tabs>
        <w:ind w:firstLine="426"/>
        <w:jc w:val="both"/>
        <w:rPr>
          <w:rFonts w:eastAsia="Batang"/>
          <w:sz w:val="22"/>
          <w:szCs w:val="22"/>
          <w:lang w:eastAsia="ko-KR"/>
        </w:rPr>
      </w:pPr>
      <w:r w:rsidRPr="00FB4EFF">
        <w:rPr>
          <w:rFonts w:eastAsia="Batang"/>
          <w:sz w:val="22"/>
          <w:szCs w:val="22"/>
          <w:lang w:eastAsia="ko-KR"/>
        </w:rPr>
        <w:lastRenderedPageBreak/>
        <w:t>1</w:t>
      </w:r>
      <w:r w:rsidR="00424519">
        <w:rPr>
          <w:rFonts w:eastAsia="Batang"/>
          <w:sz w:val="22"/>
          <w:szCs w:val="22"/>
          <w:lang w:eastAsia="ko-KR"/>
        </w:rPr>
        <w:t>)</w:t>
      </w:r>
      <w:r w:rsidR="0041597F" w:rsidRPr="00FB4EFF">
        <w:rPr>
          <w:rFonts w:eastAsia="Batang"/>
          <w:sz w:val="22"/>
          <w:szCs w:val="22"/>
          <w:lang w:eastAsia="ko-KR"/>
        </w:rPr>
        <w:t xml:space="preserve"> 37 бр. сигнали, ведно с приложенията към тя</w:t>
      </w:r>
      <w:r w:rsidRPr="00FB4EFF">
        <w:rPr>
          <w:rFonts w:eastAsia="Batang"/>
          <w:sz w:val="22"/>
          <w:szCs w:val="22"/>
          <w:lang w:eastAsia="ko-KR"/>
        </w:rPr>
        <w:t xml:space="preserve">х, са препратени по реда на чл. </w:t>
      </w:r>
      <w:r w:rsidR="0041597F" w:rsidRPr="00FB4EFF">
        <w:rPr>
          <w:rFonts w:eastAsia="Batang"/>
          <w:sz w:val="22"/>
          <w:szCs w:val="22"/>
          <w:lang w:eastAsia="ko-KR"/>
        </w:rPr>
        <w:t>112 от АПК на компетентните органи за разглеждане;</w:t>
      </w:r>
    </w:p>
    <w:p w14:paraId="52BDEE19" w14:textId="560900BB" w:rsidR="0041597F" w:rsidRPr="00FB4EFF" w:rsidRDefault="00FB4EFF" w:rsidP="00A86FEA">
      <w:pPr>
        <w:shd w:val="clear" w:color="auto" w:fill="FFFFFF" w:themeFill="background1"/>
        <w:tabs>
          <w:tab w:val="num" w:pos="0"/>
          <w:tab w:val="num" w:pos="709"/>
          <w:tab w:val="num" w:pos="851"/>
          <w:tab w:val="num" w:pos="993"/>
        </w:tabs>
        <w:ind w:firstLine="426"/>
        <w:jc w:val="both"/>
        <w:rPr>
          <w:rFonts w:eastAsia="Batang"/>
          <w:sz w:val="22"/>
          <w:szCs w:val="22"/>
          <w:lang w:eastAsia="ko-KR"/>
        </w:rPr>
      </w:pPr>
      <w:r w:rsidRPr="00FB4EFF">
        <w:rPr>
          <w:rFonts w:eastAsia="Batang"/>
          <w:sz w:val="22"/>
          <w:szCs w:val="22"/>
          <w:lang w:eastAsia="ko-KR"/>
        </w:rPr>
        <w:t>2</w:t>
      </w:r>
      <w:r w:rsidR="00424519">
        <w:rPr>
          <w:rFonts w:eastAsia="Batang"/>
          <w:sz w:val="22"/>
          <w:szCs w:val="22"/>
          <w:lang w:eastAsia="ko-KR"/>
        </w:rPr>
        <w:t>)</w:t>
      </w:r>
      <w:r w:rsidR="0041597F" w:rsidRPr="00FB4EFF">
        <w:rPr>
          <w:rFonts w:eastAsia="Batang"/>
          <w:sz w:val="22"/>
          <w:szCs w:val="22"/>
          <w:lang w:eastAsia="ko-KR"/>
        </w:rPr>
        <w:t xml:space="preserve"> по 51 бр. сигнали са изготвени отговори до подателите им;</w:t>
      </w:r>
    </w:p>
    <w:p w14:paraId="5B640FE5" w14:textId="6469041E" w:rsidR="0041597F" w:rsidRPr="00FB4EFF" w:rsidRDefault="00FB4EFF" w:rsidP="00A86FEA">
      <w:pPr>
        <w:shd w:val="clear" w:color="auto" w:fill="FFFFFF" w:themeFill="background1"/>
        <w:tabs>
          <w:tab w:val="num" w:pos="0"/>
          <w:tab w:val="num" w:pos="709"/>
          <w:tab w:val="num" w:pos="851"/>
          <w:tab w:val="num" w:pos="993"/>
        </w:tabs>
        <w:ind w:firstLine="426"/>
        <w:jc w:val="both"/>
        <w:rPr>
          <w:rFonts w:eastAsia="Batang"/>
          <w:sz w:val="22"/>
          <w:szCs w:val="22"/>
          <w:lang w:eastAsia="ko-KR"/>
        </w:rPr>
      </w:pPr>
      <w:r w:rsidRPr="00FB4EFF">
        <w:rPr>
          <w:rFonts w:eastAsia="Batang"/>
          <w:sz w:val="22"/>
          <w:szCs w:val="22"/>
          <w:lang w:eastAsia="ko-KR"/>
        </w:rPr>
        <w:t>3</w:t>
      </w:r>
      <w:r w:rsidR="00424519">
        <w:rPr>
          <w:rFonts w:eastAsia="Batang"/>
          <w:sz w:val="22"/>
          <w:szCs w:val="22"/>
          <w:lang w:eastAsia="ko-KR"/>
        </w:rPr>
        <w:t>)</w:t>
      </w:r>
      <w:r w:rsidR="0041597F" w:rsidRPr="00FB4EFF">
        <w:rPr>
          <w:rFonts w:eastAsia="Batang"/>
          <w:sz w:val="22"/>
          <w:szCs w:val="22"/>
          <w:lang w:eastAsia="ko-KR"/>
        </w:rPr>
        <w:t xml:space="preserve"> по 8 бр. сигнали със заповед на министър-председателя са възложени проверки;</w:t>
      </w:r>
    </w:p>
    <w:p w14:paraId="28C2A3BA" w14:textId="1A4D4348" w:rsidR="0041597F" w:rsidRPr="00FB4EFF" w:rsidRDefault="00FB4EFF" w:rsidP="00A86FEA">
      <w:pPr>
        <w:shd w:val="clear" w:color="auto" w:fill="FFFFFF" w:themeFill="background1"/>
        <w:tabs>
          <w:tab w:val="num" w:pos="0"/>
          <w:tab w:val="num" w:pos="709"/>
          <w:tab w:val="num" w:pos="851"/>
          <w:tab w:val="num" w:pos="993"/>
        </w:tabs>
        <w:ind w:firstLine="426"/>
        <w:jc w:val="both"/>
        <w:rPr>
          <w:rFonts w:eastAsia="Batang"/>
          <w:sz w:val="22"/>
          <w:szCs w:val="22"/>
          <w:lang w:eastAsia="ko-KR"/>
        </w:rPr>
      </w:pPr>
      <w:r w:rsidRPr="00FB4EFF">
        <w:rPr>
          <w:rFonts w:eastAsia="Batang"/>
          <w:sz w:val="22"/>
          <w:szCs w:val="22"/>
          <w:lang w:eastAsia="ko-KR"/>
        </w:rPr>
        <w:t>4</w:t>
      </w:r>
      <w:r w:rsidR="00424519">
        <w:rPr>
          <w:rFonts w:eastAsia="Batang"/>
          <w:sz w:val="22"/>
          <w:szCs w:val="22"/>
          <w:lang w:eastAsia="ko-KR"/>
        </w:rPr>
        <w:t>)</w:t>
      </w:r>
      <w:r w:rsidR="0041597F" w:rsidRPr="00FB4EFF">
        <w:rPr>
          <w:rFonts w:eastAsia="Batang"/>
          <w:sz w:val="22"/>
          <w:szCs w:val="22"/>
          <w:lang w:eastAsia="ko-KR"/>
        </w:rPr>
        <w:t xml:space="preserve"> 3 бр. сигнали са приключени по реда на чл. 124, ал. 1 от АПК;</w:t>
      </w:r>
    </w:p>
    <w:p w14:paraId="4E0FE0C0" w14:textId="00B80F2B" w:rsidR="0041597F" w:rsidRDefault="00FB4EFF" w:rsidP="00A86FEA">
      <w:pPr>
        <w:shd w:val="clear" w:color="auto" w:fill="FFFFFF" w:themeFill="background1"/>
        <w:tabs>
          <w:tab w:val="num" w:pos="0"/>
          <w:tab w:val="num" w:pos="709"/>
          <w:tab w:val="num" w:pos="851"/>
          <w:tab w:val="num" w:pos="993"/>
        </w:tabs>
        <w:ind w:firstLine="426"/>
        <w:jc w:val="both"/>
        <w:rPr>
          <w:rFonts w:eastAsia="Batang"/>
          <w:sz w:val="22"/>
          <w:szCs w:val="22"/>
          <w:lang w:eastAsia="ko-KR"/>
        </w:rPr>
      </w:pPr>
      <w:r w:rsidRPr="00FB4EFF">
        <w:rPr>
          <w:rFonts w:eastAsia="Batang"/>
          <w:sz w:val="22"/>
          <w:szCs w:val="22"/>
          <w:lang w:eastAsia="ko-KR"/>
        </w:rPr>
        <w:t>5</w:t>
      </w:r>
      <w:r w:rsidR="00424519">
        <w:rPr>
          <w:rFonts w:eastAsia="Batang"/>
          <w:sz w:val="22"/>
          <w:szCs w:val="22"/>
          <w:lang w:eastAsia="ko-KR"/>
        </w:rPr>
        <w:t>)</w:t>
      </w:r>
      <w:r w:rsidR="0041597F" w:rsidRPr="00FB4EFF">
        <w:rPr>
          <w:rFonts w:eastAsia="Batang"/>
          <w:sz w:val="22"/>
          <w:szCs w:val="22"/>
          <w:lang w:eastAsia="ko-KR"/>
        </w:rPr>
        <w:t xml:space="preserve"> 2 бр. сигнали са приключени по реда на чл. 112, предложение второ от АПК;</w:t>
      </w:r>
    </w:p>
    <w:p w14:paraId="522DF8D8" w14:textId="5FD81E9E" w:rsidR="0041597F" w:rsidRPr="00FB4EFF" w:rsidRDefault="00FB4EFF" w:rsidP="00A86FEA">
      <w:pPr>
        <w:shd w:val="clear" w:color="auto" w:fill="FFFFFF" w:themeFill="background1"/>
        <w:tabs>
          <w:tab w:val="num" w:pos="0"/>
          <w:tab w:val="num" w:pos="709"/>
          <w:tab w:val="num" w:pos="851"/>
          <w:tab w:val="num" w:pos="993"/>
        </w:tabs>
        <w:ind w:firstLine="426"/>
        <w:jc w:val="both"/>
        <w:rPr>
          <w:rFonts w:eastAsia="Batang"/>
          <w:sz w:val="22"/>
          <w:szCs w:val="22"/>
          <w:lang w:eastAsia="ko-KR"/>
        </w:rPr>
      </w:pPr>
      <w:r>
        <w:rPr>
          <w:rFonts w:eastAsia="Batang"/>
          <w:sz w:val="22"/>
          <w:szCs w:val="22"/>
          <w:lang w:eastAsia="ko-KR"/>
        </w:rPr>
        <w:t>6</w:t>
      </w:r>
      <w:r w:rsidR="00424519">
        <w:rPr>
          <w:rFonts w:eastAsia="Batang"/>
          <w:sz w:val="22"/>
          <w:szCs w:val="22"/>
          <w:lang w:eastAsia="ko-KR"/>
        </w:rPr>
        <w:t>)</w:t>
      </w:r>
      <w:r>
        <w:rPr>
          <w:rFonts w:eastAsia="Batang"/>
          <w:sz w:val="22"/>
          <w:szCs w:val="22"/>
          <w:lang w:eastAsia="ko-KR"/>
        </w:rPr>
        <w:t xml:space="preserve"> по </w:t>
      </w:r>
      <w:r w:rsidR="0041597F" w:rsidRPr="00FB4EFF">
        <w:rPr>
          <w:rFonts w:eastAsia="Batang"/>
          <w:sz w:val="22"/>
          <w:szCs w:val="22"/>
          <w:lang w:eastAsia="ko-KR"/>
        </w:rPr>
        <w:t>6 бр. сигнали е извършено предварително проучване по реда на чл. 32 от НСМЧИРНОДВСКО, за което са изготвени до</w:t>
      </w:r>
      <w:r w:rsidR="008B1736">
        <w:rPr>
          <w:rFonts w:eastAsia="Batang"/>
          <w:sz w:val="22"/>
          <w:szCs w:val="22"/>
          <w:lang w:eastAsia="ko-KR"/>
        </w:rPr>
        <w:t>клади до министър-председателя.</w:t>
      </w:r>
    </w:p>
    <w:p w14:paraId="318C7B46" w14:textId="77777777" w:rsidR="0041597F" w:rsidRPr="00F96BC2" w:rsidRDefault="0041597F" w:rsidP="00A86FEA">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F96BC2">
        <w:rPr>
          <w:rFonts w:eastAsia="Batang"/>
          <w:b/>
          <w:bCs/>
          <w:sz w:val="22"/>
          <w:szCs w:val="22"/>
          <w:lang w:eastAsia="ko-KR"/>
        </w:rPr>
        <w:t xml:space="preserve">Извършване на проверки по реда на глава четиринадесета от Закона за отбраната и въоръжените сили на Република България и прилагане на принудителни административни мерки за предотвратяване и преустановяване на нарушения по реда на закона </w:t>
      </w:r>
    </w:p>
    <w:p w14:paraId="7561FF4C" w14:textId="0BB13C50" w:rsidR="0041597F" w:rsidRPr="00CF207D"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CF207D">
        <w:rPr>
          <w:rFonts w:eastAsia="Batang"/>
          <w:sz w:val="22"/>
          <w:szCs w:val="22"/>
          <w:lang w:eastAsia="ko-KR"/>
        </w:rPr>
        <w:t>В изпълнение на функциите по чл. 46а от ЗА и чл. 62, ал. 2, т. 9 от УПМСНА от комисия от държавни инспектори е извършена проверка в Областна администрация на област Перник за изпълнението на приложените принудителни административни мерки, обективирани в решение от 10.08.2023 г. на ръководителя на Главния инспекторат, възложена със заповед на министър-председателя № Р-25 от 12.02.2025 г. За резултатите от проверката е изготвен доклад, одобрен от министър-председателя;</w:t>
      </w:r>
    </w:p>
    <w:p w14:paraId="5552F24B" w14:textId="77777777" w:rsidR="0041597F" w:rsidRPr="00CF207D"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CF207D">
        <w:rPr>
          <w:rFonts w:eastAsia="Batang"/>
          <w:sz w:val="22"/>
          <w:szCs w:val="22"/>
          <w:lang w:eastAsia="ko-KR"/>
        </w:rPr>
        <w:t>Извършване на оценка на корупционния риск по реда на методологиите по чл. 46, ал. 1, т. 5 от Закона за противодействие на корупцията.</w:t>
      </w:r>
    </w:p>
    <w:p w14:paraId="6A25FFF5" w14:textId="77777777" w:rsidR="0041597F" w:rsidRPr="00CF207D"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CF207D">
        <w:rPr>
          <w:rFonts w:eastAsia="Batang"/>
          <w:sz w:val="22"/>
          <w:szCs w:val="22"/>
          <w:lang w:eastAsia="ko-KR"/>
        </w:rPr>
        <w:t>През отчетния период не е извършвана оценка на корупционния риск на структурни звена от администрацията на МС или на второстепенен разпоредител с бюджет по бюджета на МС поради липсата на утвърдена методология за оценка на корупционния риск.</w:t>
      </w:r>
    </w:p>
    <w:p w14:paraId="556DBDFD" w14:textId="77777777" w:rsidR="0041597F" w:rsidRPr="00A86FEA" w:rsidRDefault="0041597F" w:rsidP="00A86FEA">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A86FEA">
        <w:rPr>
          <w:b/>
          <w:bCs/>
          <w:i/>
          <w:iCs/>
          <w:color w:val="215E99" w:themeColor="text2" w:themeTint="BF"/>
          <w:sz w:val="22"/>
          <w:szCs w:val="22"/>
        </w:rPr>
        <w:t>Контрол по Закона за противодействие на корупцията (ЗПК) – Главен инспекторат</w:t>
      </w:r>
    </w:p>
    <w:p w14:paraId="6E1E6D1F" w14:textId="77777777" w:rsidR="0041597F" w:rsidRPr="00CF207D" w:rsidRDefault="0041597F" w:rsidP="008E207D">
      <w:pPr>
        <w:shd w:val="clear" w:color="auto" w:fill="FFFFFF" w:themeFill="background1"/>
        <w:ind w:left="425"/>
        <w:jc w:val="both"/>
        <w:rPr>
          <w:b/>
          <w:i/>
          <w:color w:val="800000"/>
          <w:sz w:val="22"/>
          <w:szCs w:val="22"/>
        </w:rPr>
      </w:pPr>
      <w:r w:rsidRPr="00CF207D">
        <w:rPr>
          <w:b/>
          <w:i/>
          <w:color w:val="800000"/>
          <w:sz w:val="22"/>
          <w:szCs w:val="22"/>
        </w:rPr>
        <w:t>Дейности за предоставяне на продукта/услугата:</w:t>
      </w:r>
    </w:p>
    <w:p w14:paraId="204D32C7" w14:textId="77777777" w:rsidR="0041597F" w:rsidRPr="00D2606E" w:rsidRDefault="0041597F" w:rsidP="00A86FEA">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D2606E">
        <w:rPr>
          <w:rFonts w:eastAsia="Batang"/>
          <w:b/>
          <w:bCs/>
          <w:sz w:val="22"/>
          <w:szCs w:val="22"/>
          <w:lang w:eastAsia="ko-KR"/>
        </w:rPr>
        <w:t>Проверка на декларациите за несъвместимост на лицата, заемащи публични длъжности по ЗПК, чиито орган по избора/назначаването е министър-председателят/Министерският съвет и на лицата по § 2, ал. 1, т. 1 и 2 от Допълнителните разпоредби на Закона за противодействие на корупцията (ДР на ЗПК)</w:t>
      </w:r>
    </w:p>
    <w:p w14:paraId="4CA1C127" w14:textId="29638B00" w:rsidR="0041597F" w:rsidRPr="00CF207D"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CF207D">
        <w:rPr>
          <w:rFonts w:eastAsia="Batang"/>
          <w:sz w:val="22"/>
          <w:szCs w:val="22"/>
          <w:lang w:eastAsia="ko-KR"/>
        </w:rPr>
        <w:t>Съгласно чл. 46а, ал. 2, т. 4, предложение първо от ЗА Главният инспекторат осъществява контрол и извършва проверки по ЗПК. В изпълнение на посочените разпоредби Главният инспекторат извършва проверка на декларациите за несъвместимост (чл. 49, ал. 1, т. 1 от ЗПК) и на декларациите за промяна в декларираните обстоятелства в декларациите за несъвместимост (чл. 49, ал. 1, т. 3 от ЗПК), подадени от лицата, заемащи публични длъжности, чиито орган по избора/назначаването е министър-председателят или МС и от лицата по § 2, ал. 1, т. 1 и 2 от ДР на ЗПК.</w:t>
      </w:r>
    </w:p>
    <w:p w14:paraId="747BCC3B" w14:textId="35304557" w:rsidR="0041597F" w:rsidRPr="00CF207D"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CF207D">
        <w:rPr>
          <w:rFonts w:eastAsia="Batang"/>
          <w:sz w:val="22"/>
          <w:szCs w:val="22"/>
          <w:lang w:eastAsia="ko-KR"/>
        </w:rPr>
        <w:t>През първото полугодие на 2025 г. от Главния инспекторат е извършена проверка на общо 82 бр. декларации за несъвместимост и за промяна в декларираните обстоятелства в декларациите за несъвместимост (чл. 49, ал. 1, т. 1 и 3 от ЗПК), подадени от новоназначени служители в администрацията на МС, съветници и експерти в политическите кабинети на министър-председателя/заместник министър-председателите и от лица, заемащи публични длъжности, чийто орган по избора/назначаването е МС/министър-председателят. От тях 78 бр. са декларациите за несъвместимост и 4 бр. – декларациите за промяна в декларираните обстоятелства в декларациите за несъвместимост. От лицата, заемащи публични длъжности, чийто орган по избора/назначаването е МС/министър-председателят са подадени общо 35 бр. декларации за несъвместимост и за промяна в декларираните обстоятелства в декларациите за несъвместимост, а от новоназначените в администрацията на МС служители, експерти и съветници в политическите кабинети на министър-председателя/заместник ми</w:t>
      </w:r>
      <w:r w:rsidR="00CF207D">
        <w:rPr>
          <w:rFonts w:eastAsia="Batang"/>
          <w:sz w:val="22"/>
          <w:szCs w:val="22"/>
          <w:lang w:eastAsia="ko-KR"/>
        </w:rPr>
        <w:t>нистър-председателите – 47 бр.</w:t>
      </w:r>
    </w:p>
    <w:p w14:paraId="3F2F4191" w14:textId="0CC04657" w:rsidR="0041597F" w:rsidRPr="00CD4F1D" w:rsidRDefault="0041597F" w:rsidP="00A86FEA">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CD4F1D">
        <w:rPr>
          <w:rFonts w:eastAsia="Batang"/>
          <w:b/>
          <w:bCs/>
          <w:sz w:val="22"/>
          <w:szCs w:val="22"/>
          <w:lang w:eastAsia="ko-KR"/>
        </w:rPr>
        <w:t>Проверка за срочното подаване на декларациите за имущество и интереси от лицата по § 2, ал. 1, т. 1 и 2 от Допълнителните разпоредби на ЗПК</w:t>
      </w:r>
    </w:p>
    <w:p w14:paraId="12F31F03" w14:textId="77777777" w:rsidR="0041597F" w:rsidRPr="00CF207D"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CF207D">
        <w:rPr>
          <w:rFonts w:eastAsia="Batang"/>
          <w:sz w:val="22"/>
          <w:szCs w:val="22"/>
          <w:lang w:eastAsia="ko-KR"/>
        </w:rPr>
        <w:t>Съгласно чл. 29 от Закона за държавния служител и чл. 107а, ал. 5 от Кодекса на труда при встъпването си в длъжност/постъпване на работа и всяка година служителите по служебно/трудово правоотношение са длъжни да подават пред органа по назначаването/работодателя декларация за имущество и интереси по чл. 49, ал. 1, т. 2 от ЗПК.</w:t>
      </w:r>
    </w:p>
    <w:p w14:paraId="13F96692" w14:textId="77777777" w:rsidR="0041597F" w:rsidRPr="00CF207D"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CF207D">
        <w:rPr>
          <w:rFonts w:eastAsia="Batang"/>
          <w:sz w:val="22"/>
          <w:szCs w:val="22"/>
          <w:lang w:eastAsia="ko-KR"/>
        </w:rPr>
        <w:lastRenderedPageBreak/>
        <w:t>Според изискванията на чл. 52, ал. 1, т. 1 и 2 от ЗПК служителите от АМС, членовете и съветниците на политическите кабинети на министър-председателя/заместник министър-председателите, които са лица по §2, ал. 1, т. 1 и 2 от ДР на ЗПК са длъжни при назначаването им и ежегодно до 15 май да подадат пред органа по назначаването декларации за имущество и интереси.</w:t>
      </w:r>
    </w:p>
    <w:p w14:paraId="61E0B685" w14:textId="77777777" w:rsidR="0041597F" w:rsidRPr="001B665D"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1B665D">
        <w:rPr>
          <w:rFonts w:eastAsia="Batang"/>
          <w:sz w:val="22"/>
          <w:szCs w:val="22"/>
          <w:lang w:eastAsia="ko-KR"/>
        </w:rPr>
        <w:t>В периода 01.01.2025 г. – 30.06.2025 г. в Главния инспекторат са постъпили и са обработени общо 485 бр. декларации за имущество и интереси и за промяна в декларирани обстоятелства в декларацията за имущество и интереси в частта за интересите и за произхода на средствата при предсрочно погасяване на задължения и кредити (чл. 49, ал. 1, т. 2 и 4 от ЗПК), подадени от служителите в администрацията на МС и от лица от политическите кабинети на министър-председателя и на заместник министър-председателя (извън тези по чл. 6, ал. 1 от ЗПК). От тях 478 бр. са декларациите за имущество и интереси и 7 бр. – декларациите за промяна в декларирани обстоятелства в декларацията за имущество и интереси в частта за интересите и за произхода на средствата при предсрочно погасяване на задължения и кредити.</w:t>
      </w:r>
    </w:p>
    <w:p w14:paraId="04C6F119" w14:textId="77777777" w:rsidR="0041597F" w:rsidRPr="001B665D"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1B665D">
        <w:rPr>
          <w:rFonts w:eastAsia="Batang"/>
          <w:sz w:val="22"/>
          <w:szCs w:val="22"/>
          <w:lang w:eastAsia="ko-KR"/>
        </w:rPr>
        <w:t>В нормативно определеният срок е извършена проверка за срочното подаване на декларациите за имущество и интереси от служителите в администрацията на МС, членовете и съветниците на политическите кабинети на министър-председателя/заместник министър-председателите. Установено е, че три лица са подали ежегодна декларация за имущество и интереси за 2024 г. след определения в закона срок, за което с доклад № 02.12-41 от 23.06.2025 г. на ръководителя на Главния инспекторат е уведомен главният секретар на МС, в качеството му на орган по назначаването/работодател (съгласно заповед на министър-председателя). Имайки предвид, че тези служители са подали ежегодна декларация за имущество и интереси (макар и със закъснение), същите са предупредени писмено от органа по назначаването/работодателя, че при следващо извършване на такова нарушение ще им бъде потърсена дисциплинарна отговорност.</w:t>
      </w:r>
    </w:p>
    <w:p w14:paraId="5F1C0B52" w14:textId="77777777" w:rsidR="0041597F" w:rsidRPr="001B665D"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1B665D">
        <w:rPr>
          <w:rFonts w:eastAsia="Batang"/>
          <w:sz w:val="22"/>
          <w:szCs w:val="22"/>
          <w:lang w:eastAsia="ko-KR"/>
        </w:rPr>
        <w:t>В изпълнение на чл. 54, ал. 1, предложение второ от ЗПК на интернет страницата на МС е публикуван списък на служителите, които не са подали в срок декларация за имущество и интереси за 2024 г.</w:t>
      </w:r>
    </w:p>
    <w:p w14:paraId="51EB2E51" w14:textId="33CBE773" w:rsidR="0041597F" w:rsidRPr="001B665D"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1B665D">
        <w:rPr>
          <w:rFonts w:eastAsia="Batang"/>
          <w:sz w:val="22"/>
          <w:szCs w:val="22"/>
          <w:lang w:eastAsia="ko-KR"/>
        </w:rPr>
        <w:t>С доклади № 02.12-39, 02.12-38 и 02.12-37 от 20.06.2025 г. и № 02.12-40 от 23.06.2025 г. от ръководителя на Главния инспекторат са уведомени съответно министър-председателя и тримата заместник министър-председатели, в качеството им на орган по назначаването, че съветниците и експертите в политическите кабинети към тях са подали в нормативно определените срокове декларации по чл. 49, ал. 1, т. 1 и 2 от ЗПК (декларации за несъвместимост и декларации за имущество и интереси – встъпителни и</w:t>
      </w:r>
      <w:r w:rsidR="001B665D">
        <w:rPr>
          <w:rFonts w:eastAsia="Batang"/>
          <w:sz w:val="22"/>
          <w:szCs w:val="22"/>
          <w:lang w:eastAsia="ko-KR"/>
        </w:rPr>
        <w:t xml:space="preserve"> ежегодни).</w:t>
      </w:r>
    </w:p>
    <w:p w14:paraId="6E0B213A" w14:textId="77777777" w:rsidR="0041597F" w:rsidRPr="001317CD" w:rsidRDefault="0041597F" w:rsidP="00A86FEA">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bookmarkStart w:id="24" w:name="_Hlk204258999"/>
      <w:r w:rsidRPr="001317CD">
        <w:rPr>
          <w:rFonts w:eastAsia="Batang"/>
          <w:b/>
          <w:bCs/>
          <w:sz w:val="22"/>
          <w:szCs w:val="22"/>
          <w:lang w:eastAsia="ko-KR"/>
        </w:rPr>
        <w:t>Проверка за установяване на конфликт на интереси на лицата по § 2, ал. 1, т. 1 и 2 от Допълнителните разпоредби на ЗПК</w:t>
      </w:r>
    </w:p>
    <w:bookmarkEnd w:id="24"/>
    <w:p w14:paraId="3C069060" w14:textId="2935FF40" w:rsidR="0041597F" w:rsidRPr="00F628A3"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F628A3">
        <w:rPr>
          <w:rFonts w:eastAsia="Batang"/>
          <w:sz w:val="22"/>
          <w:szCs w:val="22"/>
          <w:lang w:eastAsia="ko-KR"/>
        </w:rPr>
        <w:t>През отчетния период в администрацията на Министерския съвет не са постъпвали сигнали за конфликт на интереси за лица по § 2, ал. 1, т. 1 и 2 от ДР на ЗПК, чийто орган по назначаването/работодател са министър-председателя или заместник министър-председателя. В тази връзка, не са извършвани проверки за наличието или за липсата на конфликт на интереси за лица, чийто орган по назначаването е министър-председателят или заме</w:t>
      </w:r>
      <w:r w:rsidR="00F628A3">
        <w:rPr>
          <w:rFonts w:eastAsia="Batang"/>
          <w:sz w:val="22"/>
          <w:szCs w:val="22"/>
          <w:lang w:eastAsia="ko-KR"/>
        </w:rPr>
        <w:t>стник министър-председателите.</w:t>
      </w:r>
    </w:p>
    <w:p w14:paraId="6A380575" w14:textId="77777777" w:rsidR="0041597F" w:rsidRPr="001317CD" w:rsidRDefault="0041597F" w:rsidP="00A86FEA">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1317CD">
        <w:rPr>
          <w:rFonts w:eastAsia="Batang"/>
          <w:b/>
          <w:bCs/>
          <w:sz w:val="22"/>
          <w:szCs w:val="22"/>
          <w:lang w:eastAsia="ko-KR"/>
        </w:rPr>
        <w:t>Съставяне на актове за установяване на административни нарушения по Глава единадесета от ЗПК</w:t>
      </w:r>
    </w:p>
    <w:p w14:paraId="02365211" w14:textId="77777777" w:rsidR="0041597F" w:rsidRPr="00F628A3" w:rsidRDefault="0041597F" w:rsidP="00A86FEA">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F628A3">
        <w:rPr>
          <w:rFonts w:eastAsia="Batang"/>
          <w:sz w:val="22"/>
          <w:szCs w:val="22"/>
          <w:lang w:eastAsia="ko-KR"/>
        </w:rPr>
        <w:t>През отчетния период не са съставени актове за установяване на административни нарушения по Глава единадесета от ЗПК.</w:t>
      </w:r>
    </w:p>
    <w:p w14:paraId="73198674" w14:textId="77777777" w:rsidR="0041597F" w:rsidRPr="00A86FEA" w:rsidRDefault="0041597F" w:rsidP="00A86FEA">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A86FEA">
        <w:rPr>
          <w:b/>
          <w:bCs/>
          <w:i/>
          <w:iCs/>
          <w:color w:val="215E99" w:themeColor="text2" w:themeTint="BF"/>
          <w:sz w:val="22"/>
          <w:szCs w:val="22"/>
        </w:rPr>
        <w:t>Други функции, произтичащи от нормативни актове или възложени от министър-председателя – Главен инспекторат</w:t>
      </w:r>
    </w:p>
    <w:p w14:paraId="35480721" w14:textId="77777777" w:rsidR="0041597F" w:rsidRPr="00F628A3" w:rsidRDefault="0041597F" w:rsidP="008E207D">
      <w:pPr>
        <w:shd w:val="clear" w:color="auto" w:fill="FFFFFF" w:themeFill="background1"/>
        <w:ind w:left="425"/>
        <w:jc w:val="both"/>
        <w:rPr>
          <w:b/>
          <w:i/>
          <w:color w:val="800000"/>
          <w:sz w:val="22"/>
          <w:szCs w:val="22"/>
        </w:rPr>
      </w:pPr>
      <w:r w:rsidRPr="00F628A3">
        <w:rPr>
          <w:b/>
          <w:i/>
          <w:color w:val="800000"/>
          <w:sz w:val="22"/>
          <w:szCs w:val="22"/>
        </w:rPr>
        <w:t>Дейности за предоставяне на продукта/услугата:</w:t>
      </w:r>
    </w:p>
    <w:p w14:paraId="2746418D" w14:textId="77777777" w:rsidR="0041597F" w:rsidRPr="00F346B4" w:rsidRDefault="0041597F" w:rsidP="008E207D">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F346B4">
        <w:rPr>
          <w:rFonts w:eastAsia="Batang"/>
          <w:b/>
          <w:bCs/>
          <w:sz w:val="22"/>
          <w:szCs w:val="22"/>
          <w:lang w:eastAsia="ko-KR"/>
        </w:rPr>
        <w:t>Участие на служители от Главния инспекторат в работни срещи с представители на европейски и международни институции/организации</w:t>
      </w:r>
    </w:p>
    <w:p w14:paraId="4D4D796A" w14:textId="77777777" w:rsidR="0041597F" w:rsidRPr="00F628A3" w:rsidRDefault="0041597F" w:rsidP="008E207D">
      <w:pPr>
        <w:shd w:val="clear" w:color="auto" w:fill="FFFFFF" w:themeFill="background1"/>
        <w:tabs>
          <w:tab w:val="left" w:pos="993"/>
        </w:tabs>
        <w:ind w:firstLine="426"/>
        <w:jc w:val="both"/>
        <w:rPr>
          <w:sz w:val="22"/>
          <w:szCs w:val="22"/>
        </w:rPr>
      </w:pPr>
      <w:r w:rsidRPr="00F628A3">
        <w:rPr>
          <w:sz w:val="22"/>
          <w:szCs w:val="22"/>
        </w:rPr>
        <w:t>1)</w:t>
      </w:r>
      <w:bookmarkStart w:id="25" w:name="_Hlk204249850"/>
      <w:r w:rsidRPr="00F628A3">
        <w:rPr>
          <w:sz w:val="22"/>
          <w:szCs w:val="22"/>
        </w:rPr>
        <w:t xml:space="preserve"> На 17.02.2025 г. и 30.04.2025 г. се проведоха технически срещи между представители на Европейската комисия, Министерството на правосъдието, дирекция „Централно координационно звено“ от администрацията на Министерския съвет и Главния инспекторат с цел проследяване </w:t>
      </w:r>
      <w:r w:rsidRPr="00F628A3">
        <w:rPr>
          <w:sz w:val="22"/>
          <w:szCs w:val="22"/>
        </w:rPr>
        <w:lastRenderedPageBreak/>
        <w:t xml:space="preserve">постигнатия напредък по изпълнението на етапите от реформа „Противодействие на корупцията“ на Националния план за възстановяване и устойчивост и преразглеждането му в тази част. </w:t>
      </w:r>
    </w:p>
    <w:bookmarkEnd w:id="25"/>
    <w:p w14:paraId="3037C461" w14:textId="77777777" w:rsidR="0041597F" w:rsidRPr="00F628A3" w:rsidRDefault="0041597F" w:rsidP="008E207D">
      <w:pPr>
        <w:shd w:val="clear" w:color="auto" w:fill="FFFFFF" w:themeFill="background1"/>
        <w:tabs>
          <w:tab w:val="left" w:pos="993"/>
        </w:tabs>
        <w:ind w:firstLine="426"/>
        <w:jc w:val="both"/>
        <w:rPr>
          <w:sz w:val="22"/>
          <w:szCs w:val="22"/>
        </w:rPr>
      </w:pPr>
      <w:r w:rsidRPr="00F628A3">
        <w:rPr>
          <w:sz w:val="22"/>
          <w:szCs w:val="22"/>
        </w:rPr>
        <w:t xml:space="preserve">2) </w:t>
      </w:r>
      <w:bookmarkStart w:id="26" w:name="_Hlk204249912"/>
      <w:r w:rsidRPr="00F628A3">
        <w:rPr>
          <w:sz w:val="22"/>
          <w:szCs w:val="22"/>
        </w:rPr>
        <w:t xml:space="preserve">На 20.03.2025 г. трима държавни експерти от Главния инспекторат взеха участие във виртуална техническа среща на тема „Рамка за борба с корупцията“ в контекста на изпълнението на препоръките по Механизма за върховенство на закона, проведена между Европейската комисия и държавите членки относно принципите на върховенството на правото. </w:t>
      </w:r>
      <w:bookmarkEnd w:id="26"/>
      <w:r w:rsidRPr="00F628A3">
        <w:rPr>
          <w:sz w:val="22"/>
          <w:szCs w:val="22"/>
        </w:rPr>
        <w:t xml:space="preserve">Основни акценти по време на срещата са били: актуалното състояние на изпълнението на мерките от Националната стратегия за превенция и противодействие на корупцията (2021-2027 г.) и Пътната карта за нейното изпълнение, включително и изготвяните годишни доклади за изпълнение на мерките от стратегията; сътрудничеството с ангажираните институции; дейността на Националния съвет по антикорупционни политики, както и постигнатия напредък по изготвянето на Кодекс за поведение на лицата, заемащи публични длъжности в централната изпълнителна власт. </w:t>
      </w:r>
    </w:p>
    <w:p w14:paraId="66759427" w14:textId="16E41176" w:rsidR="0041597F" w:rsidRPr="00F628A3" w:rsidRDefault="0041597F" w:rsidP="008E207D">
      <w:pPr>
        <w:shd w:val="clear" w:color="auto" w:fill="FFFFFF" w:themeFill="background1"/>
        <w:tabs>
          <w:tab w:val="left" w:pos="993"/>
        </w:tabs>
        <w:ind w:firstLine="426"/>
        <w:jc w:val="both"/>
        <w:rPr>
          <w:sz w:val="22"/>
          <w:szCs w:val="22"/>
        </w:rPr>
      </w:pPr>
      <w:r w:rsidRPr="00F628A3">
        <w:rPr>
          <w:sz w:val="22"/>
          <w:szCs w:val="22"/>
        </w:rPr>
        <w:t xml:space="preserve">3) </w:t>
      </w:r>
      <w:bookmarkStart w:id="27" w:name="_Hlk204250078"/>
      <w:r w:rsidRPr="00F628A3">
        <w:rPr>
          <w:sz w:val="22"/>
          <w:szCs w:val="22"/>
        </w:rPr>
        <w:t>На 24.04.2025 г. се проведе съвместна виртуална среща между представители на Организацията за икономическо сътрудничество и развитие (ОИСР), Главния инспекторат и дирекция „Координация и модернизация на администрацията“ в администрацията на Министерския съвет. По време на срещата представителите на ОИСР подчертаха важността от провеждане на онлайн семинар за споде</w:t>
      </w:r>
      <w:r w:rsidR="00F628A3">
        <w:rPr>
          <w:sz w:val="22"/>
          <w:szCs w:val="22"/>
        </w:rPr>
        <w:t xml:space="preserve">ляне на заключенията по Принцип </w:t>
      </w:r>
      <w:r w:rsidRPr="00F628A3">
        <w:rPr>
          <w:sz w:val="22"/>
          <w:szCs w:val="22"/>
        </w:rPr>
        <w:t xml:space="preserve">3 „Стратегическа рамка“ и </w:t>
      </w:r>
      <w:r w:rsidR="00F628A3">
        <w:rPr>
          <w:sz w:val="22"/>
          <w:szCs w:val="22"/>
        </w:rPr>
        <w:br/>
      </w:r>
      <w:r w:rsidRPr="00F628A3">
        <w:rPr>
          <w:sz w:val="22"/>
          <w:szCs w:val="22"/>
        </w:rPr>
        <w:t>Принцип 13 „Отчетност“, както и възможността за провеждане на отделни предварителни срещи за разясняване на процеса по предоставянето на информация относно оценка на индикаторите по Принцип 10 „Ефективност на вътрешния контрол и управлението на риска“ и Принцип 11 „Интегритет на правосъдната и дисциплинарната система“, част от индикаторите за Публичен интегритет.</w:t>
      </w:r>
    </w:p>
    <w:p w14:paraId="47C190FB" w14:textId="6AD852D8" w:rsidR="0041597F" w:rsidRPr="009A6D3D" w:rsidRDefault="0041597F" w:rsidP="008E207D">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9A6D3D">
        <w:rPr>
          <w:rFonts w:eastAsia="Batang"/>
          <w:sz w:val="22"/>
          <w:szCs w:val="22"/>
          <w:lang w:eastAsia="ko-KR"/>
        </w:rPr>
        <w:t>Трима държавни експерти от Главния инспекторат участваха в предварителна среща с ОИСР за разясняване на процеса по предоставянето на информация относно оценка на индикаторите по Принцип 11 „Интегритет на правосъдната и дисциплинарната си</w:t>
      </w:r>
      <w:r w:rsidR="00F628A3" w:rsidRPr="009A6D3D">
        <w:rPr>
          <w:rFonts w:eastAsia="Batang"/>
          <w:sz w:val="22"/>
          <w:szCs w:val="22"/>
          <w:lang w:eastAsia="ko-KR"/>
        </w:rPr>
        <w:t xml:space="preserve">стема“, проведена на 28.05.2025 </w:t>
      </w:r>
      <w:r w:rsidRPr="009A6D3D">
        <w:rPr>
          <w:rFonts w:eastAsia="Batang"/>
          <w:sz w:val="22"/>
          <w:szCs w:val="22"/>
          <w:lang w:eastAsia="ko-KR"/>
        </w:rPr>
        <w:t>г., съвместно с Висшия съдебен съвет и Инспектората към Висшия съдебен съвет. Същите служители взеха участие и в проведената на 05.06.2025 г. предварителна среща с ОИСР за разясняване на процеса по предоставянето на информация относно оценка на индикаторите по Принцип 10 „Ефективност на вътрешния контрол и управлението на риска“ съвместно</w:t>
      </w:r>
      <w:r w:rsidR="00F628A3" w:rsidRPr="009A6D3D">
        <w:rPr>
          <w:rFonts w:eastAsia="Batang"/>
          <w:sz w:val="22"/>
          <w:szCs w:val="22"/>
          <w:lang w:eastAsia="ko-KR"/>
        </w:rPr>
        <w:t xml:space="preserve"> с Министерството на финансите.</w:t>
      </w:r>
    </w:p>
    <w:bookmarkEnd w:id="27"/>
    <w:p w14:paraId="295C9716" w14:textId="77777777" w:rsidR="0041597F" w:rsidRPr="00CD368E" w:rsidRDefault="0041597F" w:rsidP="008E207D">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CD368E">
        <w:rPr>
          <w:rFonts w:eastAsia="Batang"/>
          <w:b/>
          <w:bCs/>
          <w:sz w:val="22"/>
          <w:szCs w:val="22"/>
          <w:lang w:eastAsia="ko-KR"/>
        </w:rPr>
        <w:t>Изпълнение функциите на секретариат на Националния съвет по антикорупционни политики към Министерския съвет от Главния инспекторат</w:t>
      </w:r>
    </w:p>
    <w:p w14:paraId="601CE2A2" w14:textId="7D343098" w:rsidR="0041597F" w:rsidRPr="00CD368E" w:rsidRDefault="0041597F" w:rsidP="008E207D">
      <w:pPr>
        <w:shd w:val="clear" w:color="auto" w:fill="FFFFFF" w:themeFill="background1"/>
        <w:tabs>
          <w:tab w:val="num" w:pos="0"/>
          <w:tab w:val="num" w:pos="567"/>
          <w:tab w:val="num" w:pos="644"/>
          <w:tab w:val="num" w:pos="993"/>
        </w:tabs>
        <w:ind w:firstLine="426"/>
        <w:jc w:val="both"/>
        <w:rPr>
          <w:rFonts w:eastAsia="Batang"/>
          <w:sz w:val="22"/>
          <w:szCs w:val="22"/>
          <w:lang w:eastAsia="ko-KR"/>
        </w:rPr>
      </w:pPr>
      <w:bookmarkStart w:id="28" w:name="_Hlk204250345"/>
      <w:r w:rsidRPr="00CD368E">
        <w:rPr>
          <w:rFonts w:eastAsia="Batang"/>
          <w:sz w:val="22"/>
          <w:szCs w:val="22"/>
          <w:lang w:eastAsia="ko-KR"/>
        </w:rPr>
        <w:t>В изпълнение на чл. 62, ал. 2, т. 5 от УПМСНА и чл. 4, ал. 9 от Постановление № 136 на МС от 29.05.2015 г. за създаване на Национален съвет по антикорупционни политики с писмо на ръководителя на Главния инспекторат от 27.03.2025 г. е отправено искане за предоставяне на информация от компетентните институции за изпълнението на мерките от Националната стратегия за превенция и противодействие на корупцията в Република България 2021 – 2027 г. и Пътната карта за из</w:t>
      </w:r>
      <w:r w:rsidR="00C41EA1" w:rsidRPr="00CD368E">
        <w:rPr>
          <w:rFonts w:eastAsia="Batang"/>
          <w:sz w:val="22"/>
          <w:szCs w:val="22"/>
          <w:lang w:eastAsia="ko-KR"/>
        </w:rPr>
        <w:t xml:space="preserve">пълнение на стратегията за 2023 </w:t>
      </w:r>
      <w:r w:rsidRPr="00CD368E">
        <w:rPr>
          <w:rFonts w:eastAsia="Batang"/>
          <w:sz w:val="22"/>
          <w:szCs w:val="22"/>
          <w:lang w:eastAsia="ko-KR"/>
        </w:rPr>
        <w:t>г. и 2024 г. След обобщаване на постъпилите данни по мерки и дейности за всяка от посочените години са направени изводи относно постигнатия напредък и са идентифицирани недостатъци на стратегията. Обобщена</w:t>
      </w:r>
      <w:r w:rsidR="00C41EA1" w:rsidRPr="00CD368E">
        <w:rPr>
          <w:rFonts w:eastAsia="Batang"/>
          <w:sz w:val="22"/>
          <w:szCs w:val="22"/>
          <w:lang w:eastAsia="ko-KR"/>
        </w:rPr>
        <w:t xml:space="preserve">та информация за 2023 г. и 2024 </w:t>
      </w:r>
      <w:r w:rsidRPr="00CD368E">
        <w:rPr>
          <w:rFonts w:eastAsia="Batang"/>
          <w:sz w:val="22"/>
          <w:szCs w:val="22"/>
          <w:lang w:eastAsia="ko-KR"/>
        </w:rPr>
        <w:t>г. е предоставена на Министерството на правосъдието за изпращането ѝ на Европейската комисия в рамките на ежегодния преглед по Механизма за върховенство на правото и подготовката на главата за България в годишния Доклад за въ</w:t>
      </w:r>
      <w:r w:rsidR="00C41EA1" w:rsidRPr="00CD368E">
        <w:rPr>
          <w:rFonts w:eastAsia="Batang"/>
          <w:sz w:val="22"/>
          <w:szCs w:val="22"/>
          <w:lang w:eastAsia="ko-KR"/>
        </w:rPr>
        <w:t>рховенство на закона за 2025 г.</w:t>
      </w:r>
    </w:p>
    <w:bookmarkEnd w:id="28"/>
    <w:p w14:paraId="6549C32C" w14:textId="77777777" w:rsidR="0041597F" w:rsidRPr="00CD368E" w:rsidRDefault="0041597F" w:rsidP="008E207D">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CD368E">
        <w:rPr>
          <w:rFonts w:eastAsia="Batang"/>
          <w:b/>
          <w:bCs/>
          <w:sz w:val="22"/>
          <w:szCs w:val="22"/>
          <w:lang w:eastAsia="ko-KR"/>
        </w:rPr>
        <w:t>Участие на служители от Главния инспекторат в комисии и работни групи</w:t>
      </w:r>
    </w:p>
    <w:p w14:paraId="59D1660B" w14:textId="77777777" w:rsidR="0041597F" w:rsidRPr="00CD368E" w:rsidRDefault="0041597F" w:rsidP="008E207D">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CD368E">
        <w:rPr>
          <w:rFonts w:eastAsia="Batang"/>
          <w:sz w:val="22"/>
          <w:szCs w:val="22"/>
          <w:lang w:eastAsia="ko-KR"/>
        </w:rPr>
        <w:t>През отчетния период служители от Главния инспекторат са включени в състава на работни групи, създадени със заповеди на министър-председателя, включително и междуведомствени такива.</w:t>
      </w:r>
    </w:p>
    <w:p w14:paraId="5144A5E3" w14:textId="77777777" w:rsidR="0041597F" w:rsidRPr="00C41EA1" w:rsidRDefault="0041597F" w:rsidP="008E207D">
      <w:pPr>
        <w:shd w:val="clear" w:color="auto" w:fill="FFFFFF" w:themeFill="background1"/>
        <w:ind w:firstLine="426"/>
        <w:contextualSpacing/>
        <w:jc w:val="both"/>
        <w:rPr>
          <w:sz w:val="22"/>
          <w:szCs w:val="22"/>
        </w:rPr>
      </w:pPr>
      <w:r w:rsidRPr="00C41EA1">
        <w:rPr>
          <w:sz w:val="22"/>
          <w:szCs w:val="22"/>
        </w:rPr>
        <w:t xml:space="preserve">1) </w:t>
      </w:r>
      <w:bookmarkStart w:id="29" w:name="_Hlk204249217"/>
      <w:r w:rsidRPr="00C41EA1">
        <w:rPr>
          <w:sz w:val="22"/>
          <w:szCs w:val="22"/>
        </w:rPr>
        <w:t>Във връзка с определянето на администрацията на МС за водеща/партнираща институция на част от комитетите при присъединяването на Република България към Организацията за икономическо сътрудничество и развитие (ОИСР) със заповед № Р-98 от 30.04.2025 г. на министър-председателя експерти от Главния инспекторат са  определени да отговарят/да вземат участие в осигуряването на съответствието на три от правните инструменти към Комитет по публично управление:</w:t>
      </w:r>
    </w:p>
    <w:p w14:paraId="519CD2E6" w14:textId="77777777" w:rsidR="0041597F" w:rsidRPr="00C41EA1" w:rsidRDefault="0041597F" w:rsidP="008E207D">
      <w:pPr>
        <w:shd w:val="clear" w:color="auto" w:fill="FFFFFF" w:themeFill="background1"/>
        <w:tabs>
          <w:tab w:val="num" w:pos="0"/>
          <w:tab w:val="num" w:pos="567"/>
          <w:tab w:val="num" w:pos="644"/>
          <w:tab w:val="num" w:pos="993"/>
        </w:tabs>
        <w:ind w:left="426"/>
        <w:jc w:val="both"/>
        <w:rPr>
          <w:rFonts w:eastAsia="Batang"/>
          <w:sz w:val="22"/>
          <w:szCs w:val="22"/>
          <w:lang w:eastAsia="ko-KR"/>
        </w:rPr>
      </w:pPr>
      <w:r w:rsidRPr="00C41EA1">
        <w:rPr>
          <w:rFonts w:eastAsia="Batang"/>
          <w:sz w:val="22"/>
          <w:szCs w:val="22"/>
          <w:lang w:eastAsia="ko-KR"/>
        </w:rPr>
        <w:lastRenderedPageBreak/>
        <w:t xml:space="preserve">- OECD/LEGAL/0435 </w:t>
      </w:r>
      <w:r w:rsidRPr="004E2458">
        <w:rPr>
          <w:rFonts w:eastAsia="Batang"/>
          <w:sz w:val="22"/>
          <w:szCs w:val="22"/>
          <w:lang w:val="en-US" w:eastAsia="ko-KR"/>
        </w:rPr>
        <w:t>Recommendation of the Council on Public Integrity</w:t>
      </w:r>
      <w:r w:rsidRPr="00C41EA1">
        <w:rPr>
          <w:rFonts w:eastAsia="Batang"/>
          <w:sz w:val="22"/>
          <w:szCs w:val="22"/>
          <w:lang w:eastAsia="ko-KR"/>
        </w:rPr>
        <w:t xml:space="preserve"> (препоръка на Съвета за интегритета в публичния сектор) – водеща институция;</w:t>
      </w:r>
    </w:p>
    <w:p w14:paraId="0853AECE" w14:textId="77777777" w:rsidR="0041597F" w:rsidRPr="00C41EA1" w:rsidRDefault="0041597F" w:rsidP="008E207D">
      <w:pPr>
        <w:shd w:val="clear" w:color="auto" w:fill="FFFFFF" w:themeFill="background1"/>
        <w:tabs>
          <w:tab w:val="num" w:pos="0"/>
          <w:tab w:val="num" w:pos="567"/>
          <w:tab w:val="num" w:pos="644"/>
          <w:tab w:val="num" w:pos="993"/>
        </w:tabs>
        <w:ind w:left="426"/>
        <w:jc w:val="both"/>
        <w:rPr>
          <w:rFonts w:eastAsia="Batang"/>
          <w:sz w:val="22"/>
          <w:szCs w:val="22"/>
          <w:lang w:eastAsia="ko-KR"/>
        </w:rPr>
      </w:pPr>
      <w:r w:rsidRPr="00C41EA1">
        <w:rPr>
          <w:rFonts w:eastAsia="Batang"/>
          <w:sz w:val="22"/>
          <w:szCs w:val="22"/>
          <w:lang w:eastAsia="ko-KR"/>
        </w:rPr>
        <w:t xml:space="preserve">- OECD/LEGAL/0379 </w:t>
      </w:r>
      <w:r w:rsidRPr="004E2458">
        <w:rPr>
          <w:rFonts w:eastAsia="Batang"/>
          <w:sz w:val="22"/>
          <w:szCs w:val="22"/>
          <w:lang w:val="en-US" w:eastAsia="ko-KR"/>
        </w:rPr>
        <w:t>Recommendation of the Council on Principles for Transparency and Integrity in Lobbying</w:t>
      </w:r>
      <w:r w:rsidRPr="00C41EA1">
        <w:rPr>
          <w:rFonts w:eastAsia="Batang"/>
          <w:sz w:val="22"/>
          <w:szCs w:val="22"/>
          <w:lang w:eastAsia="ko-KR"/>
        </w:rPr>
        <w:t xml:space="preserve"> (препоръка на Съвета относно принципите за прозрачност и почтеност в лобирането) – партнираща институция;</w:t>
      </w:r>
    </w:p>
    <w:p w14:paraId="0D65C1DF" w14:textId="39617986" w:rsidR="0041597F" w:rsidRPr="00C41EA1" w:rsidRDefault="00C41EA1" w:rsidP="008E207D">
      <w:pPr>
        <w:shd w:val="clear" w:color="auto" w:fill="FFFFFF" w:themeFill="background1"/>
        <w:tabs>
          <w:tab w:val="num" w:pos="0"/>
          <w:tab w:val="num" w:pos="567"/>
          <w:tab w:val="num" w:pos="644"/>
          <w:tab w:val="num" w:pos="993"/>
        </w:tabs>
        <w:ind w:left="426"/>
        <w:jc w:val="both"/>
        <w:rPr>
          <w:rFonts w:eastAsia="Batang"/>
          <w:sz w:val="22"/>
          <w:szCs w:val="22"/>
          <w:lang w:eastAsia="ko-KR"/>
        </w:rPr>
      </w:pPr>
      <w:r>
        <w:rPr>
          <w:rFonts w:eastAsia="Batang"/>
          <w:sz w:val="22"/>
          <w:szCs w:val="22"/>
          <w:lang w:eastAsia="ko-KR"/>
        </w:rPr>
        <w:t xml:space="preserve">- </w:t>
      </w:r>
      <w:r w:rsidR="0041597F" w:rsidRPr="00C41EA1">
        <w:rPr>
          <w:rFonts w:eastAsia="Batang"/>
          <w:sz w:val="22"/>
          <w:szCs w:val="22"/>
          <w:lang w:eastAsia="ko-KR"/>
        </w:rPr>
        <w:t xml:space="preserve">OECD/LEGAL/0316 </w:t>
      </w:r>
      <w:r w:rsidR="0041597F" w:rsidRPr="004E2458">
        <w:rPr>
          <w:rFonts w:eastAsia="Batang"/>
          <w:sz w:val="22"/>
          <w:szCs w:val="22"/>
          <w:lang w:val="en-US" w:eastAsia="ko-KR"/>
        </w:rPr>
        <w:t>Recommendation of the Council on OECD Guidelines for Managing Conflict of Interest in the Public</w:t>
      </w:r>
      <w:r w:rsidR="0041597F" w:rsidRPr="00C41EA1">
        <w:rPr>
          <w:rFonts w:eastAsia="Batang"/>
          <w:sz w:val="22"/>
          <w:szCs w:val="22"/>
          <w:lang w:eastAsia="ko-KR"/>
        </w:rPr>
        <w:t xml:space="preserve"> Service (препоръка на Съвета относно насоките на ОИСР за управление на конфликта на интереси в държавната служба) – водеща институция.</w:t>
      </w:r>
    </w:p>
    <w:p w14:paraId="13CB41DC" w14:textId="77777777" w:rsidR="0041597F" w:rsidRPr="00336FCB" w:rsidRDefault="0041597F" w:rsidP="008E207D">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336FCB">
        <w:rPr>
          <w:rFonts w:eastAsia="Batang"/>
          <w:sz w:val="22"/>
          <w:szCs w:val="22"/>
          <w:lang w:eastAsia="ko-KR"/>
        </w:rPr>
        <w:t xml:space="preserve">През годината определените служители продължиха работата си по осигуряване съответствието по правните инструменти. </w:t>
      </w:r>
    </w:p>
    <w:p w14:paraId="77AA5116" w14:textId="77777777" w:rsidR="0041597F" w:rsidRPr="00C64616" w:rsidRDefault="0041597F" w:rsidP="008E207D">
      <w:pPr>
        <w:shd w:val="clear" w:color="auto" w:fill="FFFFFF" w:themeFill="background1"/>
        <w:ind w:firstLine="426"/>
        <w:contextualSpacing/>
        <w:jc w:val="both"/>
        <w:rPr>
          <w:sz w:val="22"/>
          <w:szCs w:val="22"/>
        </w:rPr>
      </w:pPr>
      <w:r w:rsidRPr="00C64616">
        <w:rPr>
          <w:sz w:val="22"/>
          <w:szCs w:val="22"/>
        </w:rPr>
        <w:t xml:space="preserve">2) Със заповед № Р-99 от 30.04.2025 г. на министър-председателя държавни експерти от Главния инспекторат са включени в състава на междуведомствена работна група, като членове на спомагателен орган </w:t>
      </w:r>
      <w:proofErr w:type="spellStart"/>
      <w:r w:rsidRPr="00336FCB">
        <w:rPr>
          <w:sz w:val="22"/>
          <w:szCs w:val="22"/>
        </w:rPr>
        <w:t>Working</w:t>
      </w:r>
      <w:proofErr w:type="spellEnd"/>
      <w:r w:rsidRPr="00336FCB">
        <w:rPr>
          <w:sz w:val="22"/>
          <w:szCs w:val="22"/>
        </w:rPr>
        <w:t xml:space="preserve"> </w:t>
      </w:r>
      <w:proofErr w:type="spellStart"/>
      <w:r w:rsidRPr="00336FCB">
        <w:rPr>
          <w:sz w:val="22"/>
          <w:szCs w:val="22"/>
        </w:rPr>
        <w:t>Party</w:t>
      </w:r>
      <w:proofErr w:type="spellEnd"/>
      <w:r w:rsidRPr="00336FCB">
        <w:rPr>
          <w:sz w:val="22"/>
          <w:szCs w:val="22"/>
        </w:rPr>
        <w:t xml:space="preserve"> </w:t>
      </w:r>
      <w:proofErr w:type="spellStart"/>
      <w:r w:rsidRPr="00336FCB">
        <w:rPr>
          <w:sz w:val="22"/>
          <w:szCs w:val="22"/>
        </w:rPr>
        <w:t>on</w:t>
      </w:r>
      <w:proofErr w:type="spellEnd"/>
      <w:r w:rsidRPr="00336FCB">
        <w:rPr>
          <w:sz w:val="22"/>
          <w:szCs w:val="22"/>
        </w:rPr>
        <w:t xml:space="preserve"> </w:t>
      </w:r>
      <w:proofErr w:type="spellStart"/>
      <w:r w:rsidRPr="00336FCB">
        <w:rPr>
          <w:sz w:val="22"/>
          <w:szCs w:val="22"/>
        </w:rPr>
        <w:t>Public</w:t>
      </w:r>
      <w:proofErr w:type="spellEnd"/>
      <w:r w:rsidRPr="00336FCB">
        <w:rPr>
          <w:sz w:val="22"/>
          <w:szCs w:val="22"/>
        </w:rPr>
        <w:t xml:space="preserve"> </w:t>
      </w:r>
      <w:proofErr w:type="spellStart"/>
      <w:r w:rsidRPr="00336FCB">
        <w:rPr>
          <w:sz w:val="22"/>
          <w:szCs w:val="22"/>
        </w:rPr>
        <w:t>Integrity</w:t>
      </w:r>
      <w:proofErr w:type="spellEnd"/>
      <w:r w:rsidRPr="00336FCB">
        <w:rPr>
          <w:sz w:val="22"/>
          <w:szCs w:val="22"/>
        </w:rPr>
        <w:t xml:space="preserve"> &amp; </w:t>
      </w:r>
      <w:proofErr w:type="spellStart"/>
      <w:r w:rsidRPr="00336FCB">
        <w:rPr>
          <w:sz w:val="22"/>
          <w:szCs w:val="22"/>
        </w:rPr>
        <w:t>Anti-Corruption</w:t>
      </w:r>
      <w:proofErr w:type="spellEnd"/>
      <w:r w:rsidRPr="00C64616">
        <w:rPr>
          <w:sz w:val="22"/>
          <w:szCs w:val="22"/>
        </w:rPr>
        <w:t xml:space="preserve"> (PIAC)/Работна група за публичен интегритет и антикорупция към Комитета за публично управление на ОИСР и членове на неформална група </w:t>
      </w:r>
      <w:proofErr w:type="spellStart"/>
      <w:r w:rsidRPr="00336FCB">
        <w:rPr>
          <w:sz w:val="22"/>
          <w:szCs w:val="22"/>
        </w:rPr>
        <w:t>Task</w:t>
      </w:r>
      <w:proofErr w:type="spellEnd"/>
      <w:r w:rsidRPr="00336FCB">
        <w:rPr>
          <w:sz w:val="22"/>
          <w:szCs w:val="22"/>
        </w:rPr>
        <w:t xml:space="preserve"> </w:t>
      </w:r>
      <w:proofErr w:type="spellStart"/>
      <w:r w:rsidRPr="00336FCB">
        <w:rPr>
          <w:sz w:val="22"/>
          <w:szCs w:val="22"/>
        </w:rPr>
        <w:t>Force</w:t>
      </w:r>
      <w:proofErr w:type="spellEnd"/>
      <w:r w:rsidRPr="00336FCB">
        <w:rPr>
          <w:sz w:val="22"/>
          <w:szCs w:val="22"/>
        </w:rPr>
        <w:t xml:space="preserve"> </w:t>
      </w:r>
      <w:proofErr w:type="spellStart"/>
      <w:r w:rsidRPr="00336FCB">
        <w:rPr>
          <w:sz w:val="22"/>
          <w:szCs w:val="22"/>
        </w:rPr>
        <w:t>on</w:t>
      </w:r>
      <w:proofErr w:type="spellEnd"/>
      <w:r w:rsidRPr="00336FCB">
        <w:rPr>
          <w:sz w:val="22"/>
          <w:szCs w:val="22"/>
        </w:rPr>
        <w:t xml:space="preserve"> </w:t>
      </w:r>
      <w:proofErr w:type="spellStart"/>
      <w:r w:rsidRPr="00336FCB">
        <w:rPr>
          <w:sz w:val="22"/>
          <w:szCs w:val="22"/>
        </w:rPr>
        <w:t>Public</w:t>
      </w:r>
      <w:proofErr w:type="spellEnd"/>
      <w:r w:rsidRPr="00336FCB">
        <w:rPr>
          <w:sz w:val="22"/>
          <w:szCs w:val="22"/>
        </w:rPr>
        <w:t xml:space="preserve"> </w:t>
      </w:r>
      <w:proofErr w:type="spellStart"/>
      <w:r w:rsidRPr="00336FCB">
        <w:rPr>
          <w:sz w:val="22"/>
          <w:szCs w:val="22"/>
        </w:rPr>
        <w:t>Integrity</w:t>
      </w:r>
      <w:proofErr w:type="spellEnd"/>
      <w:r w:rsidRPr="00336FCB">
        <w:rPr>
          <w:sz w:val="22"/>
          <w:szCs w:val="22"/>
        </w:rPr>
        <w:t xml:space="preserve"> </w:t>
      </w:r>
      <w:proofErr w:type="spellStart"/>
      <w:r w:rsidRPr="00336FCB">
        <w:rPr>
          <w:sz w:val="22"/>
          <w:szCs w:val="22"/>
        </w:rPr>
        <w:t>Indicators</w:t>
      </w:r>
      <w:proofErr w:type="spellEnd"/>
      <w:r w:rsidRPr="00C64616">
        <w:rPr>
          <w:sz w:val="22"/>
          <w:szCs w:val="22"/>
        </w:rPr>
        <w:t xml:space="preserve">/Работна група за индикаторите за публична почтеност към Комитета за публично управление и Комитета за регулаторна политика на ОИСР. </w:t>
      </w:r>
    </w:p>
    <w:p w14:paraId="5BF5B3B9" w14:textId="77777777" w:rsidR="0041597F" w:rsidRPr="00B74AEA" w:rsidRDefault="0041597F" w:rsidP="008E207D">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B74AEA">
        <w:rPr>
          <w:rFonts w:eastAsia="Batang"/>
          <w:sz w:val="22"/>
          <w:szCs w:val="22"/>
          <w:lang w:eastAsia="ko-KR"/>
        </w:rPr>
        <w:t xml:space="preserve">Във връзка с определянето на Главния инспекторат, в качеството му на контактна точка за събиране на данни по индикаторите за публичен интегритет на ОИСР, в началото на май 2025 г. стартира работата по подготвяне и обобщаване на информация по Принцип 10 „Ефективност на вътрешния контрол и управление на риска“ и Принцип 11 „Интегритет на правосъдната и дисциплинарната система“. </w:t>
      </w:r>
    </w:p>
    <w:bookmarkEnd w:id="29"/>
    <w:p w14:paraId="7BFCAE6C" w14:textId="77777777" w:rsidR="0041597F" w:rsidRPr="00C64616" w:rsidRDefault="0041597F" w:rsidP="008E207D">
      <w:pPr>
        <w:shd w:val="clear" w:color="auto" w:fill="FFFFFF" w:themeFill="background1"/>
        <w:ind w:firstLine="426"/>
        <w:contextualSpacing/>
        <w:jc w:val="both"/>
        <w:rPr>
          <w:sz w:val="22"/>
          <w:szCs w:val="22"/>
        </w:rPr>
      </w:pPr>
      <w:r w:rsidRPr="00C64616">
        <w:rPr>
          <w:sz w:val="22"/>
          <w:szCs w:val="22"/>
        </w:rPr>
        <w:t xml:space="preserve">3) </w:t>
      </w:r>
      <w:bookmarkStart w:id="30" w:name="_Hlk204249601"/>
      <w:r w:rsidRPr="00C64616">
        <w:rPr>
          <w:sz w:val="22"/>
          <w:szCs w:val="22"/>
        </w:rPr>
        <w:t>Със заповед № Р-75 от 26.03.2025 г. на министър-председателя е създадена междуведомствена работна група, която да изготви проекти на Закон за изменение и допълнение на Закона за администрацията и на Кодекс за поведение на лицата, заемащи публични длъжности в централната изпълнителна власт. В състава ѝ са включени ръководителят на Главния инспекторат, като председател на работната група, и трима държавни експерти от Главния инспекторат. За дейността на работната група е представен доклад на вниманието на министър-председателя. Във връзка с положителна резолюция на министър-председателя по доклада, проектите на документи са изпратени на министъра на правосъдието за иницииране на процедура за провеждане на обществени консултации и на процедура по междуведомствено съгласуване. Проектите на документи са изпратени и на Европейската комисия в рамките на подготовката на шестия годишен Доклад за върховенство на закона.</w:t>
      </w:r>
    </w:p>
    <w:p w14:paraId="27BC6CDB" w14:textId="77777777" w:rsidR="0041597F" w:rsidRPr="00C64616" w:rsidRDefault="0041597F" w:rsidP="008E207D">
      <w:pPr>
        <w:shd w:val="clear" w:color="auto" w:fill="FFFFFF" w:themeFill="background1"/>
        <w:ind w:firstLine="426"/>
        <w:contextualSpacing/>
        <w:jc w:val="both"/>
        <w:rPr>
          <w:sz w:val="22"/>
          <w:szCs w:val="22"/>
        </w:rPr>
      </w:pPr>
      <w:r w:rsidRPr="00C64616">
        <w:rPr>
          <w:sz w:val="22"/>
          <w:szCs w:val="22"/>
        </w:rPr>
        <w:t>4) Със заповед № РД-16-144 от 15.04.2025 г. на министъра на икономиката и индустрията е създадена междуведомствена работна група, която да изготви проект на Кодекс за етично поведение на лицата, заети в публичните предприятия, в изпълнение на етап от реформа „Противодействие на корупцията“ на Националния план за възстановяване и устойчивост. В състава на работната група са включени трима експерти от Главния инспекторат. Работната група приключи дейността си.</w:t>
      </w:r>
    </w:p>
    <w:bookmarkEnd w:id="30"/>
    <w:p w14:paraId="02A8DEB6" w14:textId="1B0BB36B" w:rsidR="0041597F" w:rsidRPr="00C64616" w:rsidRDefault="0041597F" w:rsidP="008E207D">
      <w:pPr>
        <w:shd w:val="clear" w:color="auto" w:fill="FFFFFF" w:themeFill="background1"/>
        <w:ind w:firstLine="426"/>
        <w:contextualSpacing/>
        <w:jc w:val="both"/>
        <w:rPr>
          <w:sz w:val="22"/>
          <w:szCs w:val="22"/>
        </w:rPr>
      </w:pPr>
      <w:r w:rsidRPr="00C64616">
        <w:rPr>
          <w:sz w:val="22"/>
          <w:szCs w:val="22"/>
        </w:rPr>
        <w:t xml:space="preserve">5) </w:t>
      </w:r>
      <w:bookmarkStart w:id="31" w:name="_Hlk204249491"/>
      <w:r w:rsidRPr="00C64616">
        <w:rPr>
          <w:sz w:val="22"/>
          <w:szCs w:val="22"/>
        </w:rPr>
        <w:t>Със заповед № В-10 от 15.01.2025 г. на министър-председателя е определена постоянна работна група за управление на риска в администрацията на МС, в чийто състав е включен един държавен инспектор. Задачата на постоянната работна група е да извършва дейностите по управление на риска, определени в Стратегията за управление на риска в администрацията на МС, утвърдена със заповед № В-6 от 06.01.2</w:t>
      </w:r>
      <w:r w:rsidR="00C64616">
        <w:rPr>
          <w:sz w:val="22"/>
          <w:szCs w:val="22"/>
        </w:rPr>
        <w:t>023 г. на министър-председателя.</w:t>
      </w:r>
    </w:p>
    <w:bookmarkEnd w:id="31"/>
    <w:p w14:paraId="4A7A8EA5" w14:textId="77777777" w:rsidR="0041597F" w:rsidRPr="00B74AEA" w:rsidRDefault="0041597F" w:rsidP="008E207D">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B74AEA">
        <w:rPr>
          <w:rFonts w:eastAsia="Batang"/>
          <w:b/>
          <w:bCs/>
          <w:sz w:val="22"/>
          <w:szCs w:val="22"/>
          <w:lang w:eastAsia="ko-KR"/>
        </w:rPr>
        <w:t>Изготвяне на експертни становища по прилагането на нормативни актове, свързани с дейността на администрацията</w:t>
      </w:r>
    </w:p>
    <w:p w14:paraId="5ABF3013" w14:textId="77777777" w:rsidR="0041597F" w:rsidRPr="00B74AEA" w:rsidRDefault="0041597F" w:rsidP="008E207D">
      <w:pPr>
        <w:shd w:val="clear" w:color="auto" w:fill="FFFFFF" w:themeFill="background1"/>
        <w:tabs>
          <w:tab w:val="num" w:pos="0"/>
          <w:tab w:val="num" w:pos="567"/>
          <w:tab w:val="num" w:pos="644"/>
          <w:tab w:val="num" w:pos="993"/>
        </w:tabs>
        <w:ind w:firstLine="426"/>
        <w:jc w:val="both"/>
        <w:rPr>
          <w:rFonts w:eastAsia="Batang"/>
          <w:sz w:val="22"/>
          <w:szCs w:val="22"/>
          <w:lang w:eastAsia="ko-KR"/>
        </w:rPr>
      </w:pPr>
      <w:bookmarkStart w:id="32" w:name="_Hlk204257648"/>
      <w:bookmarkStart w:id="33" w:name="_Hlk204166287"/>
      <w:r w:rsidRPr="00B74AEA">
        <w:rPr>
          <w:rFonts w:eastAsia="Batang"/>
          <w:sz w:val="22"/>
          <w:szCs w:val="22"/>
          <w:lang w:eastAsia="ko-KR"/>
        </w:rPr>
        <w:t>В рамките на процеса по преговорите за изменения в Националния план за възстановяване и устойчивост от Главния инспекторат са изготвени предложения, становища, допълнителна информация, проекти на документи и линейни графици за промяна на ключови етапи от реформа „Противодействие на корупцията“. В резултат на отправените предложения са обединени мерки в посочената реформа на Националния план за възстановяване и устойчивост. За изменението на плана Европейската комисия е дадена положителна оценка.</w:t>
      </w:r>
    </w:p>
    <w:p w14:paraId="73A42476" w14:textId="77777777" w:rsidR="0041597F" w:rsidRPr="00B74AEA" w:rsidRDefault="0041597F" w:rsidP="008E207D">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B74AEA">
        <w:rPr>
          <w:rFonts w:eastAsia="Batang"/>
          <w:sz w:val="22"/>
          <w:szCs w:val="22"/>
          <w:lang w:eastAsia="ko-KR"/>
        </w:rPr>
        <w:t xml:space="preserve">През отчетния период Главният инспекторат предостави информация във връзка с приноса на Република България за подготвянето от Европейската комисия на шестия годишен Доклад за </w:t>
      </w:r>
      <w:r w:rsidRPr="00B74AEA">
        <w:rPr>
          <w:rFonts w:eastAsia="Batang"/>
          <w:sz w:val="22"/>
          <w:szCs w:val="22"/>
          <w:lang w:eastAsia="ko-KR"/>
        </w:rPr>
        <w:lastRenderedPageBreak/>
        <w:t xml:space="preserve">върховенство на закона за 2025 г. Преди приемането и публикуването на доклада е изпратена допълнителна информация до </w:t>
      </w:r>
      <w:bookmarkStart w:id="34" w:name="_Hlk204176519"/>
      <w:r w:rsidRPr="00B74AEA">
        <w:rPr>
          <w:rFonts w:eastAsia="Batang"/>
          <w:sz w:val="22"/>
          <w:szCs w:val="22"/>
          <w:lang w:eastAsia="ko-KR"/>
        </w:rPr>
        <w:t xml:space="preserve">Европейската комисия </w:t>
      </w:r>
      <w:bookmarkEnd w:id="34"/>
      <w:r w:rsidRPr="00B74AEA">
        <w:rPr>
          <w:rFonts w:eastAsia="Batang"/>
          <w:sz w:val="22"/>
          <w:szCs w:val="22"/>
          <w:lang w:eastAsia="ko-KR"/>
        </w:rPr>
        <w:t xml:space="preserve">по въпроси, свързани със Стълб II „Уредба за борба с корупцията“ от механизма. В одобрения от комисията доклад е отразена позицията на Главния инспекторат и предприетите действия за изпълнение на препоръките на Европейската комисия и ГРЕКО. </w:t>
      </w:r>
    </w:p>
    <w:p w14:paraId="7B17C1B8" w14:textId="77777777" w:rsidR="0041597F" w:rsidRPr="00B74AEA" w:rsidRDefault="0041597F" w:rsidP="008E207D">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B74AEA">
        <w:rPr>
          <w:rFonts w:eastAsia="Batang"/>
          <w:sz w:val="22"/>
          <w:szCs w:val="22"/>
          <w:lang w:eastAsia="ko-KR"/>
        </w:rPr>
        <w:t>От Главния инспекторат е предоставена информация по ключови въпроси, предвидени за обсъждане в рамките на насрочена среща на министъра на правосъдието с Мониторинговата група за демокрация, върховенство на правото и основни права (DRFMG) на Европейския парламент, при участието му в дискусия относно ситуацията в България, проведена в Брюксел.</w:t>
      </w:r>
    </w:p>
    <w:p w14:paraId="596F9D9D" w14:textId="77777777" w:rsidR="0041597F" w:rsidRPr="00B74AEA" w:rsidRDefault="0041597F" w:rsidP="008E207D">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B74AEA">
        <w:rPr>
          <w:rFonts w:eastAsia="Batang"/>
          <w:sz w:val="22"/>
          <w:szCs w:val="22"/>
          <w:lang w:eastAsia="ko-KR"/>
        </w:rPr>
        <w:t>В рамките на процеса по извършване на оценка от ОИСР за изпълнение на индикаторите за публичен интегритет по Принцип 3 „Стратегическа рамка“ от Главния инспекторат са представени бележки и предложения.</w:t>
      </w:r>
    </w:p>
    <w:p w14:paraId="29FE6DEC" w14:textId="77777777" w:rsidR="0041597F" w:rsidRPr="00B74AEA" w:rsidRDefault="0041597F" w:rsidP="008E207D">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B74AEA">
        <w:rPr>
          <w:rFonts w:eastAsia="Batang"/>
          <w:sz w:val="22"/>
          <w:szCs w:val="22"/>
          <w:lang w:eastAsia="ko-KR"/>
        </w:rPr>
        <w:t xml:space="preserve">Във връзка с провеждането в края на март 2025 г. на регулярна среща на Междуведомствения координационен механизъм по присъединяването на България към ОИСР, е изготвена и предоставена информация от компетентността на Главния инспекторат. </w:t>
      </w:r>
    </w:p>
    <w:p w14:paraId="20CBC111" w14:textId="77777777" w:rsidR="0041597F" w:rsidRPr="00B74AEA" w:rsidRDefault="0041597F" w:rsidP="008E207D">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B74AEA">
        <w:rPr>
          <w:rFonts w:eastAsia="Batang"/>
          <w:sz w:val="22"/>
          <w:szCs w:val="22"/>
          <w:lang w:eastAsia="ko-KR"/>
        </w:rPr>
        <w:t>По изпратения от Министерството на правосъдието проект на Мярка за подкрепа „Борба с корупцията и насърчаване на интегритета“ от Швейцарско-българската програма за сътрудничество са изготвени и изпратени коментари и предложения за включване на нови дейности в проекта на работния план на мярката.</w:t>
      </w:r>
    </w:p>
    <w:p w14:paraId="43BA63D8" w14:textId="31D6AABC" w:rsidR="0041597F" w:rsidRPr="00B74AEA" w:rsidRDefault="0041597F" w:rsidP="008E207D">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B74AEA">
        <w:rPr>
          <w:rFonts w:eastAsia="Batang"/>
          <w:sz w:val="22"/>
          <w:szCs w:val="22"/>
          <w:lang w:eastAsia="ko-KR"/>
        </w:rPr>
        <w:t>Представено е становище във връзка с изпълнение на Решение № 171 на МС от 19.03.2025 г. за създаване на необходимата организация за въвеждане на изцяло електронен вътрешен оборот на документи в администрациите на о</w:t>
      </w:r>
      <w:r w:rsidR="00FE3EE9" w:rsidRPr="00B74AEA">
        <w:rPr>
          <w:rFonts w:eastAsia="Batang"/>
          <w:sz w:val="22"/>
          <w:szCs w:val="22"/>
          <w:lang w:eastAsia="ko-KR"/>
        </w:rPr>
        <w:t>рганите на изпълнителната власт.</w:t>
      </w:r>
    </w:p>
    <w:bookmarkEnd w:id="32"/>
    <w:bookmarkEnd w:id="33"/>
    <w:p w14:paraId="578F4C7F" w14:textId="77777777" w:rsidR="0041597F" w:rsidRPr="00B74AEA" w:rsidRDefault="0041597F" w:rsidP="008E207D">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B74AEA">
        <w:rPr>
          <w:rFonts w:eastAsia="Batang"/>
          <w:b/>
          <w:bCs/>
          <w:sz w:val="22"/>
          <w:szCs w:val="22"/>
          <w:lang w:eastAsia="ko-KR"/>
        </w:rPr>
        <w:t>Изготвяне и предоставяне на информация по чл. 90 от ЗПК във връзка с провеждането на производства по установяване на конфликт на интереси от Комисията за противодействие на корупцията</w:t>
      </w:r>
    </w:p>
    <w:p w14:paraId="2F769654" w14:textId="22BFC0CE" w:rsidR="0041597F" w:rsidRPr="00B74AEA" w:rsidRDefault="0041597F" w:rsidP="008E207D">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B74AEA">
        <w:rPr>
          <w:rFonts w:eastAsia="Batang"/>
          <w:sz w:val="22"/>
          <w:szCs w:val="22"/>
          <w:lang w:eastAsia="ko-KR"/>
        </w:rPr>
        <w:t>През първото полугодие на 2025 г. по искане на Комисията за противодействие на корупцията от Главния инспекторат е представена информация и документи за шест лица, заемащи публични длъжности, избрани/назначен</w:t>
      </w:r>
      <w:r w:rsidR="00FE3EE9" w:rsidRPr="00B74AEA">
        <w:rPr>
          <w:rFonts w:eastAsia="Batang"/>
          <w:sz w:val="22"/>
          <w:szCs w:val="22"/>
          <w:lang w:eastAsia="ko-KR"/>
        </w:rPr>
        <w:t>и от МС/министър-председателите.</w:t>
      </w:r>
    </w:p>
    <w:p w14:paraId="73C976A0" w14:textId="77777777" w:rsidR="0041597F" w:rsidRPr="00B74AEA" w:rsidRDefault="0041597F" w:rsidP="008E207D">
      <w:pPr>
        <w:numPr>
          <w:ilvl w:val="0"/>
          <w:numId w:val="17"/>
        </w:numPr>
        <w:shd w:val="clear" w:color="auto" w:fill="FFFFFF" w:themeFill="background1"/>
        <w:tabs>
          <w:tab w:val="clear" w:pos="360"/>
          <w:tab w:val="num" w:pos="709"/>
        </w:tabs>
        <w:ind w:left="0" w:firstLine="425"/>
        <w:jc w:val="both"/>
        <w:rPr>
          <w:rFonts w:eastAsia="Batang"/>
          <w:b/>
          <w:bCs/>
          <w:sz w:val="22"/>
          <w:szCs w:val="22"/>
          <w:lang w:eastAsia="ko-KR"/>
        </w:rPr>
      </w:pPr>
      <w:r w:rsidRPr="00B74AEA">
        <w:rPr>
          <w:rFonts w:eastAsia="Batang"/>
          <w:b/>
          <w:bCs/>
          <w:sz w:val="22"/>
          <w:szCs w:val="22"/>
          <w:lang w:eastAsia="ko-KR"/>
        </w:rPr>
        <w:t>Предоставяне на информация по Закона за достъп до обществена информация</w:t>
      </w:r>
    </w:p>
    <w:p w14:paraId="12D8D389" w14:textId="77777777" w:rsidR="0041597F" w:rsidRPr="00B74AEA" w:rsidRDefault="0041597F" w:rsidP="008E207D">
      <w:pPr>
        <w:shd w:val="clear" w:color="auto" w:fill="FFFFFF" w:themeFill="background1"/>
        <w:tabs>
          <w:tab w:val="num" w:pos="0"/>
          <w:tab w:val="num" w:pos="567"/>
          <w:tab w:val="num" w:pos="644"/>
          <w:tab w:val="num" w:pos="993"/>
        </w:tabs>
        <w:ind w:firstLine="426"/>
        <w:jc w:val="both"/>
        <w:rPr>
          <w:rFonts w:eastAsia="Batang"/>
          <w:sz w:val="22"/>
          <w:szCs w:val="22"/>
          <w:lang w:eastAsia="ko-KR"/>
        </w:rPr>
      </w:pPr>
      <w:bookmarkStart w:id="35" w:name="_Hlk204250390"/>
      <w:r w:rsidRPr="00B74AEA">
        <w:rPr>
          <w:rFonts w:eastAsia="Batang"/>
          <w:sz w:val="22"/>
          <w:szCs w:val="22"/>
          <w:lang w:eastAsia="ko-KR"/>
        </w:rPr>
        <w:t xml:space="preserve">През отчетния период от Главния инспекторат е предоставена информация по ЗДОИ, съобразно функционалната му компетентност, по постъпили 2 бр. заявления в администрацията на Министерския съвет. </w:t>
      </w:r>
    </w:p>
    <w:p w14:paraId="2337E88B" w14:textId="77777777" w:rsidR="0041597F" w:rsidRPr="00FE3EE9" w:rsidRDefault="0041597F" w:rsidP="008E207D">
      <w:pPr>
        <w:shd w:val="clear" w:color="auto" w:fill="FFFFFF" w:themeFill="background1"/>
        <w:tabs>
          <w:tab w:val="num" w:pos="0"/>
          <w:tab w:val="num" w:pos="567"/>
          <w:tab w:val="num" w:pos="644"/>
          <w:tab w:val="num" w:pos="993"/>
        </w:tabs>
        <w:ind w:firstLine="426"/>
        <w:jc w:val="both"/>
        <w:rPr>
          <w:sz w:val="22"/>
          <w:szCs w:val="22"/>
        </w:rPr>
      </w:pPr>
      <w:r w:rsidRPr="00B74AEA">
        <w:rPr>
          <w:rFonts w:eastAsia="Batang"/>
          <w:sz w:val="22"/>
          <w:szCs w:val="22"/>
          <w:lang w:eastAsia="ko-KR"/>
        </w:rPr>
        <w:t>Изготвени са 3 бр. писма с отговори до сигнализиращи лица по постъпили сигнали по реда на Закона за защита на</w:t>
      </w:r>
      <w:r w:rsidRPr="00FE3EE9">
        <w:rPr>
          <w:sz w:val="22"/>
          <w:szCs w:val="22"/>
        </w:rPr>
        <w:t xml:space="preserve"> лицата, подаващи сигнали или публично оповестяващи информация за нарушения.</w:t>
      </w:r>
    </w:p>
    <w:bookmarkEnd w:id="35"/>
    <w:p w14:paraId="2CF84D62" w14:textId="77777777" w:rsidR="00C82A9E" w:rsidRPr="008E207D" w:rsidRDefault="00C82A9E" w:rsidP="008E207D">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8E207D">
        <w:rPr>
          <w:b/>
          <w:bCs/>
          <w:i/>
          <w:iCs/>
          <w:color w:val="215E99" w:themeColor="text2" w:themeTint="BF"/>
          <w:sz w:val="22"/>
          <w:szCs w:val="22"/>
        </w:rPr>
        <w:t>Координация по въпросите на тристранното сътрудничество – Секретариат на Националния съвет за тристранно сътрудничество (СНСТС)</w:t>
      </w:r>
    </w:p>
    <w:p w14:paraId="4CBD7062" w14:textId="77777777" w:rsidR="00C82A9E" w:rsidRPr="00C82A9E" w:rsidRDefault="00C82A9E" w:rsidP="008E207D">
      <w:pPr>
        <w:shd w:val="clear" w:color="auto" w:fill="FFFFFF" w:themeFill="background1"/>
        <w:ind w:left="425"/>
        <w:jc w:val="both"/>
        <w:rPr>
          <w:b/>
          <w:i/>
          <w:color w:val="800000"/>
          <w:sz w:val="22"/>
          <w:szCs w:val="22"/>
        </w:rPr>
      </w:pPr>
      <w:r w:rsidRPr="00C82A9E">
        <w:rPr>
          <w:b/>
          <w:i/>
          <w:color w:val="800000"/>
          <w:sz w:val="22"/>
          <w:szCs w:val="22"/>
        </w:rPr>
        <w:t>Цели:</w:t>
      </w:r>
    </w:p>
    <w:p w14:paraId="1A8D39E5" w14:textId="77777777" w:rsidR="00C82A9E" w:rsidRPr="00C82A9E" w:rsidRDefault="00C82A9E" w:rsidP="008E207D">
      <w:pPr>
        <w:numPr>
          <w:ilvl w:val="0"/>
          <w:numId w:val="11"/>
        </w:numPr>
        <w:shd w:val="clear" w:color="auto" w:fill="FFFFFF" w:themeFill="background1"/>
        <w:tabs>
          <w:tab w:val="clear" w:pos="360"/>
          <w:tab w:val="left" w:pos="709"/>
        </w:tabs>
        <w:ind w:left="0" w:firstLine="426"/>
        <w:jc w:val="both"/>
        <w:rPr>
          <w:sz w:val="22"/>
          <w:szCs w:val="22"/>
        </w:rPr>
      </w:pPr>
      <w:r w:rsidRPr="00C82A9E">
        <w:rPr>
          <w:sz w:val="22"/>
          <w:szCs w:val="22"/>
        </w:rPr>
        <w:t>Да осигурява организацията на дейността, техническото и административното обслужване на НСТС и оперативната координация с членовете, представителните организации на работниците и служителите и на работодателите, при осъществяване на консултациите и сътрудничеството на национално равнище по въпросите на трудовите и непосредствено свързаните с тях отношения, осигурителните отношения и въпросите на жизненото равнище;</w:t>
      </w:r>
    </w:p>
    <w:p w14:paraId="36F2B4F3" w14:textId="77777777" w:rsidR="00C82A9E" w:rsidRPr="00C82A9E" w:rsidRDefault="00C82A9E" w:rsidP="008E207D">
      <w:pPr>
        <w:numPr>
          <w:ilvl w:val="0"/>
          <w:numId w:val="11"/>
        </w:numPr>
        <w:shd w:val="clear" w:color="auto" w:fill="FFFFFF" w:themeFill="background1"/>
        <w:tabs>
          <w:tab w:val="clear" w:pos="360"/>
          <w:tab w:val="left" w:pos="709"/>
        </w:tabs>
        <w:ind w:left="0" w:firstLine="426"/>
        <w:jc w:val="both"/>
        <w:rPr>
          <w:sz w:val="22"/>
          <w:szCs w:val="22"/>
        </w:rPr>
      </w:pPr>
      <w:r w:rsidRPr="00C82A9E">
        <w:rPr>
          <w:sz w:val="22"/>
          <w:szCs w:val="22"/>
        </w:rPr>
        <w:t>Да осъществява оперативното взаимодействие на НСТС с Администрацията на Министерския съвет и други администрации на изпълнителната власт, с комисиите на Народното събрание и с Администрацията на Президента на Република България;</w:t>
      </w:r>
    </w:p>
    <w:p w14:paraId="18148EF1" w14:textId="68C6FD1D" w:rsidR="00C82A9E" w:rsidRPr="00C82A9E" w:rsidRDefault="00C82A9E" w:rsidP="008E207D">
      <w:pPr>
        <w:numPr>
          <w:ilvl w:val="0"/>
          <w:numId w:val="11"/>
        </w:numPr>
        <w:shd w:val="clear" w:color="auto" w:fill="FFFFFF" w:themeFill="background1"/>
        <w:tabs>
          <w:tab w:val="clear" w:pos="360"/>
          <w:tab w:val="left" w:pos="709"/>
        </w:tabs>
        <w:ind w:left="0" w:firstLine="426"/>
        <w:jc w:val="both"/>
        <w:rPr>
          <w:sz w:val="22"/>
          <w:szCs w:val="22"/>
        </w:rPr>
      </w:pPr>
      <w:r w:rsidRPr="00C82A9E">
        <w:rPr>
          <w:sz w:val="22"/>
          <w:szCs w:val="22"/>
        </w:rPr>
        <w:t>Да осигурява прозрачност в работата на НСТС и информираност на гражданите и бизнеса, при обсъждане на проекти на нормативни актове, уреждащи въпросите на трудовите и непосредствено свързаните с тях отношения, осигурителните отношения и въпросите на жизненото равнище.</w:t>
      </w:r>
    </w:p>
    <w:p w14:paraId="2AD783A3" w14:textId="77777777" w:rsidR="005A4ECE" w:rsidRDefault="005A4ECE">
      <w:pPr>
        <w:rPr>
          <w:b/>
          <w:i/>
          <w:color w:val="800000"/>
          <w:sz w:val="22"/>
          <w:szCs w:val="22"/>
        </w:rPr>
      </w:pPr>
      <w:r>
        <w:rPr>
          <w:b/>
          <w:i/>
          <w:color w:val="800000"/>
          <w:sz w:val="22"/>
          <w:szCs w:val="22"/>
        </w:rPr>
        <w:br w:type="page"/>
      </w:r>
    </w:p>
    <w:p w14:paraId="4621B72A" w14:textId="0B0DC8A8" w:rsidR="00C82A9E" w:rsidRPr="00C82A9E" w:rsidRDefault="00C82A9E" w:rsidP="008E207D">
      <w:pPr>
        <w:shd w:val="clear" w:color="auto" w:fill="FFFFFF" w:themeFill="background1"/>
        <w:spacing w:before="120"/>
        <w:ind w:left="425"/>
        <w:jc w:val="both"/>
        <w:rPr>
          <w:b/>
          <w:i/>
          <w:color w:val="800000"/>
          <w:sz w:val="22"/>
          <w:szCs w:val="22"/>
        </w:rPr>
      </w:pPr>
      <w:r w:rsidRPr="00C82A9E">
        <w:rPr>
          <w:b/>
          <w:i/>
          <w:color w:val="800000"/>
          <w:sz w:val="22"/>
          <w:szCs w:val="22"/>
        </w:rPr>
        <w:lastRenderedPageBreak/>
        <w:t>Дейности за предоставяне на продукта/услугата:</w:t>
      </w:r>
    </w:p>
    <w:p w14:paraId="167CB00F" w14:textId="77777777" w:rsidR="00C82A9E" w:rsidRPr="00C82A9E" w:rsidRDefault="00C82A9E" w:rsidP="008E207D">
      <w:pPr>
        <w:numPr>
          <w:ilvl w:val="0"/>
          <w:numId w:val="12"/>
        </w:numPr>
        <w:shd w:val="clear" w:color="auto" w:fill="FFFFFF" w:themeFill="background1"/>
        <w:tabs>
          <w:tab w:val="clear" w:pos="360"/>
          <w:tab w:val="left" w:pos="709"/>
        </w:tabs>
        <w:ind w:left="0" w:firstLine="426"/>
        <w:contextualSpacing/>
        <w:jc w:val="both"/>
        <w:rPr>
          <w:sz w:val="22"/>
          <w:szCs w:val="22"/>
        </w:rPr>
      </w:pPr>
      <w:r w:rsidRPr="00C82A9E">
        <w:rPr>
          <w:bCs/>
          <w:sz w:val="22"/>
          <w:szCs w:val="22"/>
        </w:rPr>
        <w:t>Изготвяне на проект на доклад от министър-председателя на Република България относно проект на Решение на Министерския съвет за определяне на представители на Министерския съвет в Националния съвет за тристранно сътрудничество и проект на Решение на Министерския съвет за определяне на представителите на Министерския съвет в Националния съвет за тристранно сътрудничество;</w:t>
      </w:r>
    </w:p>
    <w:p w14:paraId="487AF535" w14:textId="6CBF7F71" w:rsidR="00C82A9E" w:rsidRPr="007048EC" w:rsidRDefault="00C82A9E" w:rsidP="008E207D">
      <w:pPr>
        <w:numPr>
          <w:ilvl w:val="0"/>
          <w:numId w:val="12"/>
        </w:numPr>
        <w:shd w:val="clear" w:color="auto" w:fill="FFFFFF" w:themeFill="background1"/>
        <w:tabs>
          <w:tab w:val="clear" w:pos="360"/>
          <w:tab w:val="left" w:pos="709"/>
        </w:tabs>
        <w:ind w:left="0" w:firstLine="426"/>
        <w:contextualSpacing/>
        <w:jc w:val="both"/>
        <w:rPr>
          <w:bCs/>
          <w:sz w:val="22"/>
          <w:szCs w:val="22"/>
        </w:rPr>
      </w:pPr>
      <w:r w:rsidRPr="007048EC">
        <w:rPr>
          <w:bCs/>
          <w:sz w:val="22"/>
          <w:szCs w:val="22"/>
        </w:rPr>
        <w:t>Своевременно разпределяне на постъпилите от съответните администрации (вносители) в Секретариата на Съвета проекти на нормативни актове за обсъждане в постоянните комисии или в създадените, съгласно чл. 7 от Правилника за организацията и дейността на съветите за тристранно сътрудничество (ПОДСТС) (Обн. ДВ., бр. 57 от 26.06.2001 г., изм. ДВ. бр. 17 от 23.02.2018 г.), временни работни групи към НСТС;</w:t>
      </w:r>
    </w:p>
    <w:p w14:paraId="301DD037" w14:textId="77777777" w:rsidR="00C82A9E" w:rsidRPr="007048EC" w:rsidRDefault="00C82A9E" w:rsidP="008E207D">
      <w:pPr>
        <w:numPr>
          <w:ilvl w:val="0"/>
          <w:numId w:val="12"/>
        </w:numPr>
        <w:shd w:val="clear" w:color="auto" w:fill="FFFFFF" w:themeFill="background1"/>
        <w:tabs>
          <w:tab w:val="clear" w:pos="360"/>
          <w:tab w:val="left" w:pos="709"/>
        </w:tabs>
        <w:ind w:left="0" w:firstLine="426"/>
        <w:contextualSpacing/>
        <w:jc w:val="both"/>
        <w:rPr>
          <w:bCs/>
          <w:sz w:val="22"/>
          <w:szCs w:val="22"/>
        </w:rPr>
      </w:pPr>
      <w:r w:rsidRPr="007048EC">
        <w:rPr>
          <w:bCs/>
          <w:sz w:val="22"/>
          <w:szCs w:val="22"/>
        </w:rPr>
        <w:t>Изготвяне на дневен ред за заседанията на постоянните комисии и определяне, координирано с председателите на комисиите, на дата, час и място за провеждане на заседанията;</w:t>
      </w:r>
    </w:p>
    <w:p w14:paraId="02C99F48" w14:textId="3BEA4C8D" w:rsidR="00C82A9E" w:rsidRPr="007048EC" w:rsidRDefault="00C82A9E" w:rsidP="008E207D">
      <w:pPr>
        <w:numPr>
          <w:ilvl w:val="0"/>
          <w:numId w:val="12"/>
        </w:numPr>
        <w:shd w:val="clear" w:color="auto" w:fill="FFFFFF" w:themeFill="background1"/>
        <w:tabs>
          <w:tab w:val="clear" w:pos="360"/>
          <w:tab w:val="left" w:pos="709"/>
        </w:tabs>
        <w:ind w:left="0" w:firstLine="426"/>
        <w:contextualSpacing/>
        <w:jc w:val="both"/>
        <w:rPr>
          <w:bCs/>
          <w:sz w:val="22"/>
          <w:szCs w:val="22"/>
        </w:rPr>
      </w:pPr>
      <w:r w:rsidRPr="007048EC">
        <w:rPr>
          <w:bCs/>
          <w:sz w:val="22"/>
          <w:szCs w:val="22"/>
        </w:rPr>
        <w:t>Изпращане до членовете на постоянните комисии към НСТС, съгласно чл.</w:t>
      </w:r>
      <w:r w:rsidR="00AD15AE" w:rsidRPr="007048EC">
        <w:rPr>
          <w:bCs/>
          <w:sz w:val="22"/>
          <w:szCs w:val="22"/>
        </w:rPr>
        <w:t xml:space="preserve"> </w:t>
      </w:r>
      <w:r w:rsidRPr="007048EC">
        <w:rPr>
          <w:bCs/>
          <w:sz w:val="22"/>
          <w:szCs w:val="22"/>
        </w:rPr>
        <w:t>14, ал.</w:t>
      </w:r>
      <w:r w:rsidR="00AD15AE" w:rsidRPr="007048EC">
        <w:rPr>
          <w:bCs/>
          <w:sz w:val="22"/>
          <w:szCs w:val="22"/>
        </w:rPr>
        <w:t xml:space="preserve"> </w:t>
      </w:r>
      <w:r w:rsidRPr="007048EC">
        <w:rPr>
          <w:bCs/>
          <w:sz w:val="22"/>
          <w:szCs w:val="22"/>
        </w:rPr>
        <w:t>4 изречение второ от ПОДСТС и до съответните вносители на проекти на нормативни актове, писмо за свикване на заседанията на съответните комисии и материалите по точките от дневния ред;</w:t>
      </w:r>
    </w:p>
    <w:p w14:paraId="0BF043B5" w14:textId="77777777" w:rsidR="00C82A9E" w:rsidRPr="007048EC" w:rsidRDefault="00C82A9E" w:rsidP="008E207D">
      <w:pPr>
        <w:numPr>
          <w:ilvl w:val="0"/>
          <w:numId w:val="12"/>
        </w:numPr>
        <w:shd w:val="clear" w:color="auto" w:fill="FFFFFF" w:themeFill="background1"/>
        <w:tabs>
          <w:tab w:val="clear" w:pos="360"/>
          <w:tab w:val="left" w:pos="709"/>
        </w:tabs>
        <w:ind w:left="0" w:firstLine="426"/>
        <w:contextualSpacing/>
        <w:jc w:val="both"/>
        <w:rPr>
          <w:bCs/>
          <w:sz w:val="22"/>
          <w:szCs w:val="22"/>
        </w:rPr>
      </w:pPr>
      <w:r w:rsidRPr="007048EC">
        <w:rPr>
          <w:bCs/>
          <w:sz w:val="22"/>
          <w:szCs w:val="22"/>
        </w:rPr>
        <w:t>Участие в заседанията на постоянните комисии към НСТС за обсъждане и даване на становище по проекти на нормативни актове, постъпили за разглеждане в Съвета;</w:t>
      </w:r>
    </w:p>
    <w:p w14:paraId="1B62333A" w14:textId="77777777" w:rsidR="00C82A9E" w:rsidRPr="007048EC" w:rsidRDefault="00C82A9E" w:rsidP="008E207D">
      <w:pPr>
        <w:numPr>
          <w:ilvl w:val="0"/>
          <w:numId w:val="12"/>
        </w:numPr>
        <w:shd w:val="clear" w:color="auto" w:fill="FFFFFF" w:themeFill="background1"/>
        <w:tabs>
          <w:tab w:val="clear" w:pos="360"/>
          <w:tab w:val="left" w:pos="709"/>
        </w:tabs>
        <w:ind w:left="0" w:firstLine="426"/>
        <w:contextualSpacing/>
        <w:jc w:val="both"/>
        <w:rPr>
          <w:bCs/>
          <w:sz w:val="22"/>
          <w:szCs w:val="22"/>
        </w:rPr>
      </w:pPr>
      <w:r w:rsidRPr="007048EC">
        <w:rPr>
          <w:bCs/>
          <w:sz w:val="22"/>
          <w:szCs w:val="22"/>
        </w:rPr>
        <w:t>Изготвяне на дневен ред, писмо за свикване, опорни точки и проекти на решения по точките от дневния ред на заседанията на НСТС;</w:t>
      </w:r>
    </w:p>
    <w:p w14:paraId="2153F295" w14:textId="77777777" w:rsidR="00C82A9E" w:rsidRPr="007048EC" w:rsidRDefault="00C82A9E" w:rsidP="008E207D">
      <w:pPr>
        <w:numPr>
          <w:ilvl w:val="0"/>
          <w:numId w:val="12"/>
        </w:numPr>
        <w:shd w:val="clear" w:color="auto" w:fill="FFFFFF" w:themeFill="background1"/>
        <w:tabs>
          <w:tab w:val="clear" w:pos="360"/>
          <w:tab w:val="left" w:pos="709"/>
        </w:tabs>
        <w:ind w:left="0" w:firstLine="426"/>
        <w:contextualSpacing/>
        <w:jc w:val="both"/>
        <w:rPr>
          <w:bCs/>
          <w:sz w:val="22"/>
          <w:szCs w:val="22"/>
        </w:rPr>
      </w:pPr>
      <w:r w:rsidRPr="007048EC">
        <w:rPr>
          <w:bCs/>
          <w:sz w:val="22"/>
          <w:szCs w:val="22"/>
        </w:rPr>
        <w:t>Организиране и координиране със съответните звена в АМС за осигуряване на зала, стенографски запис, техническо и аудио-визуално оборудване за провеждане на заседанията на НСТС;</w:t>
      </w:r>
    </w:p>
    <w:p w14:paraId="2C8E0367" w14:textId="77777777" w:rsidR="00C82A9E" w:rsidRPr="007048EC" w:rsidRDefault="00C82A9E" w:rsidP="008E207D">
      <w:pPr>
        <w:numPr>
          <w:ilvl w:val="0"/>
          <w:numId w:val="12"/>
        </w:numPr>
        <w:shd w:val="clear" w:color="auto" w:fill="FFFFFF" w:themeFill="background1"/>
        <w:tabs>
          <w:tab w:val="clear" w:pos="360"/>
          <w:tab w:val="left" w:pos="709"/>
        </w:tabs>
        <w:ind w:left="0" w:firstLine="426"/>
        <w:contextualSpacing/>
        <w:jc w:val="both"/>
        <w:rPr>
          <w:bCs/>
          <w:sz w:val="22"/>
          <w:szCs w:val="22"/>
        </w:rPr>
      </w:pPr>
      <w:r w:rsidRPr="007048EC">
        <w:rPr>
          <w:bCs/>
          <w:sz w:val="22"/>
          <w:szCs w:val="22"/>
        </w:rPr>
        <w:t>Осигуряване на публичност и прозрачност на дейността на НСТС чрез излъчване на живо в залата за журналисти на заседанията на Съвета;</w:t>
      </w:r>
    </w:p>
    <w:p w14:paraId="5F254A44" w14:textId="77D7D41D" w:rsidR="00C82A9E" w:rsidRPr="007048EC" w:rsidRDefault="00C82A9E" w:rsidP="008E207D">
      <w:pPr>
        <w:numPr>
          <w:ilvl w:val="0"/>
          <w:numId w:val="12"/>
        </w:numPr>
        <w:shd w:val="clear" w:color="auto" w:fill="FFFFFF" w:themeFill="background1"/>
        <w:tabs>
          <w:tab w:val="clear" w:pos="360"/>
          <w:tab w:val="left" w:pos="709"/>
        </w:tabs>
        <w:ind w:left="0" w:firstLine="426"/>
        <w:contextualSpacing/>
        <w:jc w:val="both"/>
        <w:rPr>
          <w:bCs/>
          <w:sz w:val="22"/>
          <w:szCs w:val="22"/>
        </w:rPr>
      </w:pPr>
      <w:r w:rsidRPr="007048EC">
        <w:rPr>
          <w:bCs/>
          <w:sz w:val="22"/>
          <w:szCs w:val="22"/>
        </w:rPr>
        <w:t>Изпращане до членовете на НСТС, съгласно чл.</w:t>
      </w:r>
      <w:r w:rsidR="00AD15AE" w:rsidRPr="007048EC">
        <w:rPr>
          <w:bCs/>
          <w:sz w:val="22"/>
          <w:szCs w:val="22"/>
        </w:rPr>
        <w:t xml:space="preserve"> </w:t>
      </w:r>
      <w:r w:rsidRPr="007048EC">
        <w:rPr>
          <w:bCs/>
          <w:sz w:val="22"/>
          <w:szCs w:val="22"/>
        </w:rPr>
        <w:t>10, ал.</w:t>
      </w:r>
      <w:r w:rsidR="00AD15AE" w:rsidRPr="007048EC">
        <w:rPr>
          <w:bCs/>
          <w:sz w:val="22"/>
          <w:szCs w:val="22"/>
        </w:rPr>
        <w:t xml:space="preserve"> </w:t>
      </w:r>
      <w:r w:rsidRPr="007048EC">
        <w:rPr>
          <w:bCs/>
          <w:sz w:val="22"/>
          <w:szCs w:val="22"/>
        </w:rPr>
        <w:t>1 от ПОДСТС и до съответните вносители на проекти на нормативни актове, писмо за свикване на заседанията на Съвета и материалите по точките от дневния ред;</w:t>
      </w:r>
    </w:p>
    <w:p w14:paraId="349EEB9B" w14:textId="008E7B98" w:rsidR="00C82A9E" w:rsidRPr="007048EC" w:rsidRDefault="00C82A9E" w:rsidP="008E207D">
      <w:pPr>
        <w:numPr>
          <w:ilvl w:val="0"/>
          <w:numId w:val="12"/>
        </w:numPr>
        <w:shd w:val="clear" w:color="auto" w:fill="FFFFFF" w:themeFill="background1"/>
        <w:tabs>
          <w:tab w:val="clear" w:pos="360"/>
          <w:tab w:val="left" w:pos="709"/>
        </w:tabs>
        <w:ind w:left="0" w:firstLine="426"/>
        <w:contextualSpacing/>
        <w:jc w:val="both"/>
        <w:rPr>
          <w:bCs/>
          <w:sz w:val="22"/>
          <w:szCs w:val="22"/>
        </w:rPr>
      </w:pPr>
      <w:r w:rsidRPr="007048EC">
        <w:rPr>
          <w:bCs/>
          <w:sz w:val="22"/>
          <w:szCs w:val="22"/>
        </w:rPr>
        <w:t>Участие в заседанията на НСТС, съгласно чл.</w:t>
      </w:r>
      <w:r w:rsidR="00AD15AE" w:rsidRPr="007048EC">
        <w:rPr>
          <w:bCs/>
          <w:sz w:val="22"/>
          <w:szCs w:val="22"/>
        </w:rPr>
        <w:t xml:space="preserve"> </w:t>
      </w:r>
      <w:r w:rsidRPr="007048EC">
        <w:rPr>
          <w:bCs/>
          <w:sz w:val="22"/>
          <w:szCs w:val="22"/>
        </w:rPr>
        <w:t>11, ал.</w:t>
      </w:r>
      <w:r w:rsidR="00AD15AE" w:rsidRPr="007048EC">
        <w:rPr>
          <w:bCs/>
          <w:sz w:val="22"/>
          <w:szCs w:val="22"/>
        </w:rPr>
        <w:t xml:space="preserve"> </w:t>
      </w:r>
      <w:r w:rsidRPr="007048EC">
        <w:rPr>
          <w:bCs/>
          <w:sz w:val="22"/>
          <w:szCs w:val="22"/>
        </w:rPr>
        <w:t>3 от ПОДСТС;</w:t>
      </w:r>
    </w:p>
    <w:p w14:paraId="4FC173D2" w14:textId="77777777" w:rsidR="00C82A9E" w:rsidRPr="007048EC" w:rsidRDefault="00C82A9E" w:rsidP="008E207D">
      <w:pPr>
        <w:numPr>
          <w:ilvl w:val="0"/>
          <w:numId w:val="12"/>
        </w:numPr>
        <w:shd w:val="clear" w:color="auto" w:fill="FFFFFF" w:themeFill="background1"/>
        <w:tabs>
          <w:tab w:val="clear" w:pos="360"/>
          <w:tab w:val="left" w:pos="709"/>
        </w:tabs>
        <w:ind w:left="0" w:firstLine="426"/>
        <w:contextualSpacing/>
        <w:jc w:val="both"/>
        <w:rPr>
          <w:bCs/>
          <w:sz w:val="22"/>
          <w:szCs w:val="22"/>
        </w:rPr>
      </w:pPr>
      <w:r w:rsidRPr="007048EC">
        <w:rPr>
          <w:bCs/>
          <w:sz w:val="22"/>
          <w:szCs w:val="22"/>
        </w:rPr>
        <w:t>Изготвяне и изпращане за предварително съгласуване до членовете на НСТС на проектите на протоколи с взетите решения на заседанията на НСТС и събиране на подписите на членовете на Съвета или на упълномощените от тях лица;</w:t>
      </w:r>
    </w:p>
    <w:p w14:paraId="4B852950" w14:textId="394B4690" w:rsidR="00C82A9E" w:rsidRPr="007048EC" w:rsidRDefault="00C82A9E" w:rsidP="008E207D">
      <w:pPr>
        <w:numPr>
          <w:ilvl w:val="0"/>
          <w:numId w:val="12"/>
        </w:numPr>
        <w:shd w:val="clear" w:color="auto" w:fill="FFFFFF" w:themeFill="background1"/>
        <w:tabs>
          <w:tab w:val="clear" w:pos="360"/>
          <w:tab w:val="left" w:pos="709"/>
        </w:tabs>
        <w:ind w:left="0" w:firstLine="426"/>
        <w:contextualSpacing/>
        <w:jc w:val="both"/>
        <w:rPr>
          <w:bCs/>
          <w:sz w:val="22"/>
          <w:szCs w:val="22"/>
        </w:rPr>
      </w:pPr>
      <w:r w:rsidRPr="007048EC">
        <w:rPr>
          <w:bCs/>
          <w:sz w:val="22"/>
          <w:szCs w:val="22"/>
        </w:rPr>
        <w:t>Изпращане до членовете на НСТС на подписаните протоколи с взетите решения на заседанията на Съвета, съгласно чл.</w:t>
      </w:r>
      <w:r w:rsidR="00AD15AE" w:rsidRPr="007048EC">
        <w:rPr>
          <w:bCs/>
          <w:sz w:val="22"/>
          <w:szCs w:val="22"/>
        </w:rPr>
        <w:t xml:space="preserve"> </w:t>
      </w:r>
      <w:r w:rsidRPr="007048EC">
        <w:rPr>
          <w:bCs/>
          <w:sz w:val="22"/>
          <w:szCs w:val="22"/>
        </w:rPr>
        <w:t>13, ал.</w:t>
      </w:r>
      <w:r w:rsidR="00AD15AE" w:rsidRPr="007048EC">
        <w:rPr>
          <w:bCs/>
          <w:sz w:val="22"/>
          <w:szCs w:val="22"/>
        </w:rPr>
        <w:t xml:space="preserve"> </w:t>
      </w:r>
      <w:r w:rsidRPr="007048EC">
        <w:rPr>
          <w:bCs/>
          <w:sz w:val="22"/>
          <w:szCs w:val="22"/>
        </w:rPr>
        <w:t>5 от ПОДСТС и публикуването им на страницата на НСТС в електронния портал;</w:t>
      </w:r>
    </w:p>
    <w:p w14:paraId="4E8EBCBA" w14:textId="77777777" w:rsidR="00C82A9E" w:rsidRPr="007048EC" w:rsidRDefault="00C82A9E" w:rsidP="008E207D">
      <w:pPr>
        <w:numPr>
          <w:ilvl w:val="0"/>
          <w:numId w:val="12"/>
        </w:numPr>
        <w:shd w:val="clear" w:color="auto" w:fill="FFFFFF" w:themeFill="background1"/>
        <w:tabs>
          <w:tab w:val="clear" w:pos="360"/>
          <w:tab w:val="left" w:pos="709"/>
        </w:tabs>
        <w:ind w:left="0" w:firstLine="426"/>
        <w:contextualSpacing/>
        <w:jc w:val="both"/>
        <w:rPr>
          <w:bCs/>
          <w:sz w:val="22"/>
          <w:szCs w:val="22"/>
        </w:rPr>
      </w:pPr>
      <w:r w:rsidRPr="007048EC">
        <w:rPr>
          <w:bCs/>
          <w:sz w:val="22"/>
          <w:szCs w:val="22"/>
        </w:rPr>
        <w:t>Изпращане на подписаните протоколи с взетите решения от заседанията на НСТС до дирекция „Правителствена канцелария“ в АМС, съгласно чл. 13. ал. 6 от ПОДСТС;</w:t>
      </w:r>
    </w:p>
    <w:p w14:paraId="54EAFD2B" w14:textId="219CB49E" w:rsidR="00C82A9E" w:rsidRPr="007048EC" w:rsidRDefault="00C82A9E" w:rsidP="008E207D">
      <w:pPr>
        <w:numPr>
          <w:ilvl w:val="0"/>
          <w:numId w:val="12"/>
        </w:numPr>
        <w:shd w:val="clear" w:color="auto" w:fill="FFFFFF" w:themeFill="background1"/>
        <w:tabs>
          <w:tab w:val="clear" w:pos="360"/>
          <w:tab w:val="left" w:pos="709"/>
        </w:tabs>
        <w:ind w:left="0" w:firstLine="426"/>
        <w:contextualSpacing/>
        <w:jc w:val="both"/>
        <w:rPr>
          <w:bCs/>
          <w:sz w:val="22"/>
          <w:szCs w:val="22"/>
        </w:rPr>
      </w:pPr>
      <w:r w:rsidRPr="007048EC">
        <w:rPr>
          <w:bCs/>
          <w:sz w:val="22"/>
          <w:szCs w:val="22"/>
        </w:rPr>
        <w:t>Изпращане при поискване, съгласно чл. 3в, ал.</w:t>
      </w:r>
      <w:r w:rsidR="009144CA" w:rsidRPr="007048EC">
        <w:rPr>
          <w:bCs/>
          <w:sz w:val="22"/>
          <w:szCs w:val="22"/>
        </w:rPr>
        <w:t xml:space="preserve"> </w:t>
      </w:r>
      <w:r w:rsidRPr="007048EC">
        <w:rPr>
          <w:bCs/>
          <w:sz w:val="22"/>
          <w:szCs w:val="22"/>
        </w:rPr>
        <w:t xml:space="preserve">2 от Кодекса на труда, на взети решения и изразени становища от заседанията на НСТС до президента на Република България, председателя на Народното събрание и председателите на постоянните комисии на Народното събрание, и до министър-председателя на Република България; </w:t>
      </w:r>
    </w:p>
    <w:p w14:paraId="55FF2D0B" w14:textId="77777777" w:rsidR="00C82A9E" w:rsidRPr="007048EC" w:rsidRDefault="00C82A9E" w:rsidP="008E207D">
      <w:pPr>
        <w:numPr>
          <w:ilvl w:val="0"/>
          <w:numId w:val="12"/>
        </w:numPr>
        <w:shd w:val="clear" w:color="auto" w:fill="FFFFFF" w:themeFill="background1"/>
        <w:tabs>
          <w:tab w:val="clear" w:pos="360"/>
          <w:tab w:val="left" w:pos="709"/>
        </w:tabs>
        <w:ind w:left="0" w:firstLine="426"/>
        <w:contextualSpacing/>
        <w:jc w:val="both"/>
        <w:rPr>
          <w:bCs/>
          <w:sz w:val="22"/>
          <w:szCs w:val="22"/>
        </w:rPr>
      </w:pPr>
      <w:r w:rsidRPr="007048EC">
        <w:rPr>
          <w:bCs/>
          <w:sz w:val="22"/>
          <w:szCs w:val="22"/>
        </w:rPr>
        <w:t>Изпращане на копие от протоколите с взетите решения на заседанията на НСТС до вносителите на разгледаните в дневния ред проекти на нормативни актове;</w:t>
      </w:r>
    </w:p>
    <w:p w14:paraId="396FD158" w14:textId="1BDB2560" w:rsidR="00C82A9E" w:rsidRPr="007048EC" w:rsidRDefault="00C82A9E" w:rsidP="008E207D">
      <w:pPr>
        <w:numPr>
          <w:ilvl w:val="0"/>
          <w:numId w:val="12"/>
        </w:numPr>
        <w:shd w:val="clear" w:color="auto" w:fill="FFFFFF" w:themeFill="background1"/>
        <w:tabs>
          <w:tab w:val="clear" w:pos="360"/>
          <w:tab w:val="left" w:pos="709"/>
        </w:tabs>
        <w:ind w:left="0" w:firstLine="426"/>
        <w:contextualSpacing/>
        <w:jc w:val="both"/>
        <w:rPr>
          <w:bCs/>
          <w:sz w:val="22"/>
          <w:szCs w:val="22"/>
        </w:rPr>
      </w:pPr>
      <w:r w:rsidRPr="007048EC">
        <w:rPr>
          <w:bCs/>
          <w:sz w:val="22"/>
          <w:szCs w:val="22"/>
        </w:rPr>
        <w:t>Координиране и подпомагане на консултациите между социалните партньори и правителството в областта на работата с Международната организация на труда, международните отношения и програми, свързани със социалния диал</w:t>
      </w:r>
      <w:r w:rsidR="009144CA" w:rsidRPr="007048EC">
        <w:rPr>
          <w:bCs/>
          <w:sz w:val="22"/>
          <w:szCs w:val="22"/>
        </w:rPr>
        <w:t xml:space="preserve">ог, трудовите и осигурителните </w:t>
      </w:r>
      <w:r w:rsidRPr="007048EC">
        <w:rPr>
          <w:bCs/>
          <w:sz w:val="22"/>
          <w:szCs w:val="22"/>
        </w:rPr>
        <w:t>отношения и жизненото равнище;</w:t>
      </w:r>
    </w:p>
    <w:p w14:paraId="11BEE85A" w14:textId="77777777" w:rsidR="00C82A9E" w:rsidRPr="007048EC" w:rsidRDefault="00C82A9E" w:rsidP="008E207D">
      <w:pPr>
        <w:numPr>
          <w:ilvl w:val="0"/>
          <w:numId w:val="12"/>
        </w:numPr>
        <w:shd w:val="clear" w:color="auto" w:fill="FFFFFF" w:themeFill="background1"/>
        <w:tabs>
          <w:tab w:val="clear" w:pos="360"/>
          <w:tab w:val="left" w:pos="709"/>
        </w:tabs>
        <w:ind w:left="0" w:firstLine="426"/>
        <w:contextualSpacing/>
        <w:jc w:val="both"/>
        <w:rPr>
          <w:bCs/>
          <w:sz w:val="22"/>
          <w:szCs w:val="22"/>
        </w:rPr>
      </w:pPr>
      <w:r w:rsidRPr="007048EC">
        <w:rPr>
          <w:bCs/>
          <w:sz w:val="22"/>
          <w:szCs w:val="22"/>
        </w:rPr>
        <w:t>Поддържане на архив от досиета за проведените заседания и кореспонденцията на НСТС, както и на постъпилите документи, свързани с дейността на постоянните комисии и временните работни групи към Съвета;</w:t>
      </w:r>
    </w:p>
    <w:p w14:paraId="3958CBBA" w14:textId="77777777" w:rsidR="005A4ECE" w:rsidRDefault="005A4ECE">
      <w:pPr>
        <w:rPr>
          <w:b/>
          <w:i/>
          <w:color w:val="800000"/>
          <w:sz w:val="22"/>
          <w:szCs w:val="22"/>
        </w:rPr>
      </w:pPr>
      <w:r>
        <w:rPr>
          <w:b/>
          <w:i/>
          <w:color w:val="800000"/>
          <w:sz w:val="22"/>
          <w:szCs w:val="22"/>
        </w:rPr>
        <w:br w:type="page"/>
      </w:r>
    </w:p>
    <w:p w14:paraId="4D565381" w14:textId="42B87477" w:rsidR="00C82A9E" w:rsidRPr="00090CBE" w:rsidRDefault="00C82A9E" w:rsidP="008E207D">
      <w:pPr>
        <w:widowControl w:val="0"/>
        <w:shd w:val="clear" w:color="auto" w:fill="FFFFFF" w:themeFill="background1"/>
        <w:spacing w:before="120"/>
        <w:ind w:firstLine="425"/>
        <w:jc w:val="both"/>
        <w:outlineLvl w:val="3"/>
        <w:rPr>
          <w:b/>
          <w:i/>
          <w:color w:val="800000"/>
          <w:sz w:val="22"/>
          <w:szCs w:val="22"/>
        </w:rPr>
      </w:pPr>
      <w:r w:rsidRPr="00090CBE">
        <w:rPr>
          <w:b/>
          <w:i/>
          <w:color w:val="800000"/>
          <w:sz w:val="22"/>
          <w:szCs w:val="22"/>
        </w:rPr>
        <w:lastRenderedPageBreak/>
        <w:t>Описание на постигнатите резултати и изпълнените дейности за тяхното предоставяне:</w:t>
      </w:r>
    </w:p>
    <w:p w14:paraId="03CE4E83" w14:textId="77777777" w:rsidR="00C82A9E" w:rsidRPr="00075A19" w:rsidRDefault="00C82A9E" w:rsidP="008E207D">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075A19">
        <w:rPr>
          <w:rFonts w:eastAsia="Batang"/>
          <w:sz w:val="22"/>
          <w:szCs w:val="22"/>
          <w:lang w:eastAsia="ko-KR"/>
        </w:rPr>
        <w:t>През отчетния период заложените цели са постигнати, като са изпълнени дейностите за осигуряване на дейността, административното и техническото обслужване на Съвета.</w:t>
      </w:r>
    </w:p>
    <w:p w14:paraId="1CA6B87B" w14:textId="55FB7CC4" w:rsidR="00C82A9E" w:rsidRPr="00075A19" w:rsidRDefault="00C82A9E" w:rsidP="008E207D">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075A19">
        <w:rPr>
          <w:rFonts w:eastAsia="Batang"/>
          <w:sz w:val="22"/>
          <w:szCs w:val="22"/>
          <w:lang w:eastAsia="ko-KR"/>
        </w:rPr>
        <w:t>Проведени са 2 присъствени заседания на НСТС и 8 заседания на постоянните комисии, като общо са консултирани 11 проекта на нормат</w:t>
      </w:r>
      <w:r w:rsidR="00090CBE" w:rsidRPr="00075A19">
        <w:rPr>
          <w:rFonts w:eastAsia="Batang"/>
          <w:sz w:val="22"/>
          <w:szCs w:val="22"/>
          <w:lang w:eastAsia="ko-KR"/>
        </w:rPr>
        <w:t xml:space="preserve">ивни актове и други документи. </w:t>
      </w:r>
    </w:p>
    <w:p w14:paraId="430005B3" w14:textId="77777777" w:rsidR="00C82A9E" w:rsidRPr="00075A19" w:rsidRDefault="00C82A9E" w:rsidP="008E207D">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075A19">
        <w:rPr>
          <w:rFonts w:eastAsia="Batang"/>
          <w:sz w:val="22"/>
          <w:szCs w:val="22"/>
          <w:lang w:eastAsia="ko-KR"/>
        </w:rPr>
        <w:t>Решенията на НСТС по консултираните проекти на нормативни актове и други документи са оформени в 8 протокола, като 6 от тях са съгласувани на подпис.</w:t>
      </w:r>
    </w:p>
    <w:p w14:paraId="72E774A6" w14:textId="77777777" w:rsidR="00C82A9E" w:rsidRPr="00075A19" w:rsidRDefault="00C82A9E" w:rsidP="008E207D">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075A19">
        <w:rPr>
          <w:rFonts w:eastAsia="Batang"/>
          <w:sz w:val="22"/>
          <w:szCs w:val="22"/>
          <w:lang w:eastAsia="ko-KR"/>
        </w:rPr>
        <w:t>Проведените присъствени заседания на НСТС са излъчени на живо в залата за журналисти в сградата на Министерския съвет. Заседанията на постоянните комисии към НСТС са проведени дистанционно.</w:t>
      </w:r>
    </w:p>
    <w:p w14:paraId="3472EF3A" w14:textId="48FCC300" w:rsidR="00C82A9E" w:rsidRDefault="00C82A9E" w:rsidP="008E207D">
      <w:pPr>
        <w:shd w:val="clear" w:color="auto" w:fill="FFFFFF" w:themeFill="background1"/>
        <w:tabs>
          <w:tab w:val="num" w:pos="0"/>
          <w:tab w:val="num" w:pos="567"/>
          <w:tab w:val="num" w:pos="644"/>
          <w:tab w:val="num" w:pos="993"/>
        </w:tabs>
        <w:spacing w:after="120"/>
        <w:ind w:firstLine="425"/>
        <w:jc w:val="both"/>
        <w:rPr>
          <w:rFonts w:eastAsia="Batang"/>
          <w:sz w:val="22"/>
          <w:szCs w:val="22"/>
          <w:lang w:eastAsia="ko-KR"/>
        </w:rPr>
      </w:pPr>
      <w:r w:rsidRPr="00075A19">
        <w:rPr>
          <w:rFonts w:eastAsia="Batang"/>
          <w:sz w:val="22"/>
          <w:szCs w:val="22"/>
          <w:lang w:eastAsia="ko-KR"/>
        </w:rPr>
        <w:t>Секретариатът е изготвил 1 проект на доклад от министър-председателя и 1 проект на Решение на Министерския съвет за определяне на представителите на Министерския съвет в НСТС.</w:t>
      </w:r>
    </w:p>
    <w:tbl>
      <w:tblPr>
        <w:tblStyle w:val="TableGrid"/>
        <w:tblW w:w="0" w:type="auto"/>
        <w:jc w:val="center"/>
        <w:tblLook w:val="04A0" w:firstRow="1" w:lastRow="0" w:firstColumn="1" w:lastColumn="0" w:noHBand="0" w:noVBand="1"/>
      </w:tblPr>
      <w:tblGrid>
        <w:gridCol w:w="6017"/>
        <w:gridCol w:w="1134"/>
        <w:gridCol w:w="992"/>
      </w:tblGrid>
      <w:tr w:rsidR="0091066B" w14:paraId="59D4DE2C" w14:textId="77777777" w:rsidTr="0091066B">
        <w:trPr>
          <w:trHeight w:val="699"/>
          <w:jc w:val="center"/>
        </w:trPr>
        <w:tc>
          <w:tcPr>
            <w:tcW w:w="6017" w:type="dxa"/>
            <w:shd w:val="clear" w:color="auto" w:fill="FAE2D5" w:themeFill="accent2" w:themeFillTint="33"/>
            <w:vAlign w:val="center"/>
          </w:tcPr>
          <w:p w14:paraId="712FE365" w14:textId="5C1DB597" w:rsidR="008632BD" w:rsidRPr="00AA6C3D" w:rsidRDefault="00090CBE" w:rsidP="00102D6C">
            <w:pPr>
              <w:autoSpaceDE w:val="0"/>
              <w:autoSpaceDN w:val="0"/>
              <w:adjustRightInd w:val="0"/>
              <w:jc w:val="center"/>
              <w:rPr>
                <w:b/>
                <w:sz w:val="18"/>
                <w:szCs w:val="18"/>
              </w:rPr>
            </w:pPr>
            <w:r w:rsidRPr="00AA6C3D">
              <w:rPr>
                <w:b/>
                <w:sz w:val="18"/>
                <w:szCs w:val="18"/>
              </w:rPr>
              <w:t xml:space="preserve">Показател за изпълнение </w:t>
            </w:r>
            <w:r w:rsidR="008C3FA1" w:rsidRPr="00AA6C3D">
              <w:rPr>
                <w:b/>
                <w:sz w:val="18"/>
                <w:szCs w:val="18"/>
              </w:rPr>
              <w:br/>
            </w:r>
            <w:r w:rsidRPr="00AA6C3D">
              <w:rPr>
                <w:b/>
                <w:sz w:val="18"/>
                <w:szCs w:val="18"/>
              </w:rPr>
              <w:t>наименование</w:t>
            </w:r>
          </w:p>
        </w:tc>
        <w:tc>
          <w:tcPr>
            <w:tcW w:w="1134" w:type="dxa"/>
            <w:shd w:val="clear" w:color="auto" w:fill="FAE2D5" w:themeFill="accent2" w:themeFillTint="33"/>
            <w:vAlign w:val="center"/>
          </w:tcPr>
          <w:p w14:paraId="55339CE4" w14:textId="00F653AB" w:rsidR="008632BD" w:rsidRPr="00AA6C3D" w:rsidRDefault="00090CBE" w:rsidP="00295625">
            <w:pPr>
              <w:jc w:val="center"/>
              <w:rPr>
                <w:b/>
                <w:sz w:val="18"/>
                <w:szCs w:val="18"/>
              </w:rPr>
            </w:pPr>
            <w:r w:rsidRPr="00AA6C3D">
              <w:rPr>
                <w:b/>
                <w:sz w:val="18"/>
                <w:szCs w:val="18"/>
              </w:rPr>
              <w:t>Мерна</w:t>
            </w:r>
            <w:r w:rsidR="00295625" w:rsidRPr="00AA6C3D">
              <w:rPr>
                <w:b/>
                <w:sz w:val="18"/>
                <w:szCs w:val="18"/>
              </w:rPr>
              <w:t xml:space="preserve"> </w:t>
            </w:r>
            <w:r w:rsidRPr="00AA6C3D">
              <w:rPr>
                <w:b/>
                <w:sz w:val="18"/>
                <w:szCs w:val="18"/>
              </w:rPr>
              <w:t>единица</w:t>
            </w:r>
          </w:p>
        </w:tc>
        <w:tc>
          <w:tcPr>
            <w:tcW w:w="992" w:type="dxa"/>
            <w:shd w:val="clear" w:color="auto" w:fill="FAE2D5" w:themeFill="accent2" w:themeFillTint="33"/>
            <w:vAlign w:val="center"/>
          </w:tcPr>
          <w:p w14:paraId="3816B2C4" w14:textId="7292786C" w:rsidR="008632BD" w:rsidRPr="00AA6C3D" w:rsidRDefault="00090CBE" w:rsidP="008632BD">
            <w:pPr>
              <w:ind w:left="357" w:hanging="357"/>
              <w:jc w:val="center"/>
              <w:rPr>
                <w:b/>
                <w:sz w:val="18"/>
                <w:szCs w:val="18"/>
              </w:rPr>
            </w:pPr>
            <w:r w:rsidRPr="00AA6C3D">
              <w:rPr>
                <w:b/>
                <w:sz w:val="18"/>
                <w:szCs w:val="18"/>
              </w:rPr>
              <w:t>Отчет</w:t>
            </w:r>
          </w:p>
        </w:tc>
      </w:tr>
      <w:tr w:rsidR="00295625" w:rsidRPr="008632BD" w14:paraId="5E8468B1" w14:textId="77777777" w:rsidTr="001F2F82">
        <w:trPr>
          <w:trHeight w:val="410"/>
          <w:jc w:val="center"/>
        </w:trPr>
        <w:tc>
          <w:tcPr>
            <w:tcW w:w="6017" w:type="dxa"/>
            <w:tcBorders>
              <w:bottom w:val="single" w:sz="4" w:space="0" w:color="auto"/>
            </w:tcBorders>
            <w:shd w:val="clear" w:color="auto" w:fill="FFFFFF" w:themeFill="background1"/>
            <w:vAlign w:val="center"/>
          </w:tcPr>
          <w:p w14:paraId="565C1713" w14:textId="41F1FBED" w:rsidR="008C3FA1" w:rsidRPr="00AA6C3D" w:rsidRDefault="008632BD" w:rsidP="008C3FA1">
            <w:pPr>
              <w:ind w:left="357" w:hanging="357"/>
              <w:rPr>
                <w:sz w:val="18"/>
                <w:szCs w:val="18"/>
              </w:rPr>
            </w:pPr>
            <w:r w:rsidRPr="00AA6C3D">
              <w:rPr>
                <w:sz w:val="18"/>
                <w:szCs w:val="18"/>
              </w:rPr>
              <w:t xml:space="preserve">1. </w:t>
            </w:r>
            <w:r w:rsidRPr="00AA6C3D">
              <w:rPr>
                <w:b/>
                <w:sz w:val="18"/>
                <w:szCs w:val="18"/>
              </w:rPr>
              <w:t>Проведени заседания на НСТС</w:t>
            </w:r>
          </w:p>
        </w:tc>
        <w:tc>
          <w:tcPr>
            <w:tcW w:w="1134" w:type="dxa"/>
            <w:tcBorders>
              <w:bottom w:val="single" w:sz="4" w:space="0" w:color="auto"/>
            </w:tcBorders>
            <w:shd w:val="clear" w:color="auto" w:fill="FFFFFF" w:themeFill="background1"/>
            <w:vAlign w:val="center"/>
          </w:tcPr>
          <w:p w14:paraId="25EE0C9F" w14:textId="7B856623" w:rsidR="008632BD" w:rsidRPr="00AA6C3D" w:rsidRDefault="008632BD" w:rsidP="00295625">
            <w:pPr>
              <w:autoSpaceDE w:val="0"/>
              <w:autoSpaceDN w:val="0"/>
              <w:adjustRightInd w:val="0"/>
              <w:rPr>
                <w:rFonts w:eastAsia="Batang"/>
                <w:sz w:val="18"/>
                <w:szCs w:val="18"/>
                <w:lang w:eastAsia="ko-KR"/>
              </w:rPr>
            </w:pPr>
            <w:r w:rsidRPr="00AA6C3D">
              <w:rPr>
                <w:sz w:val="18"/>
                <w:szCs w:val="18"/>
              </w:rPr>
              <w:t>брой</w:t>
            </w:r>
          </w:p>
        </w:tc>
        <w:tc>
          <w:tcPr>
            <w:tcW w:w="992" w:type="dxa"/>
            <w:tcBorders>
              <w:bottom w:val="single" w:sz="4" w:space="0" w:color="auto"/>
            </w:tcBorders>
            <w:shd w:val="clear" w:color="auto" w:fill="FFFFFF" w:themeFill="background1"/>
            <w:vAlign w:val="center"/>
          </w:tcPr>
          <w:p w14:paraId="3866E5A3" w14:textId="0C03957A" w:rsidR="008632BD" w:rsidRPr="00AA6C3D" w:rsidRDefault="008632BD" w:rsidP="0091066B">
            <w:pPr>
              <w:autoSpaceDE w:val="0"/>
              <w:autoSpaceDN w:val="0"/>
              <w:adjustRightInd w:val="0"/>
              <w:rPr>
                <w:rFonts w:eastAsia="Batang"/>
                <w:b/>
                <w:sz w:val="18"/>
                <w:szCs w:val="18"/>
                <w:lang w:eastAsia="ko-KR"/>
              </w:rPr>
            </w:pPr>
            <w:r w:rsidRPr="00AA6C3D">
              <w:rPr>
                <w:rFonts w:eastAsia="Batang"/>
                <w:b/>
                <w:sz w:val="18"/>
                <w:szCs w:val="18"/>
                <w:lang w:eastAsia="ko-KR"/>
              </w:rPr>
              <w:t>2</w:t>
            </w:r>
          </w:p>
        </w:tc>
      </w:tr>
      <w:tr w:rsidR="00295625" w:rsidRPr="008632BD" w14:paraId="20BB7D7C" w14:textId="77777777" w:rsidTr="001F2F82">
        <w:trPr>
          <w:jc w:val="center"/>
        </w:trPr>
        <w:tc>
          <w:tcPr>
            <w:tcW w:w="6017" w:type="dxa"/>
            <w:tcBorders>
              <w:bottom w:val="nil"/>
            </w:tcBorders>
            <w:shd w:val="clear" w:color="auto" w:fill="FFFFFF" w:themeFill="background1"/>
          </w:tcPr>
          <w:p w14:paraId="18B13D46" w14:textId="3DA20F80" w:rsidR="008632BD" w:rsidRPr="00AA6C3D" w:rsidRDefault="008632BD" w:rsidP="008632BD">
            <w:pPr>
              <w:ind w:left="357" w:hanging="357"/>
              <w:jc w:val="both"/>
              <w:rPr>
                <w:sz w:val="18"/>
                <w:szCs w:val="18"/>
              </w:rPr>
            </w:pPr>
            <w:r w:rsidRPr="00AA6C3D">
              <w:rPr>
                <w:sz w:val="18"/>
                <w:szCs w:val="18"/>
              </w:rPr>
              <w:t xml:space="preserve">2. </w:t>
            </w:r>
            <w:r w:rsidRPr="00AA6C3D">
              <w:rPr>
                <w:b/>
                <w:sz w:val="18"/>
                <w:szCs w:val="18"/>
              </w:rPr>
              <w:t>Подписани протоколи</w:t>
            </w:r>
            <w:r w:rsidR="008C3FA1" w:rsidRPr="00AA6C3D">
              <w:rPr>
                <w:b/>
                <w:sz w:val="18"/>
                <w:szCs w:val="18"/>
              </w:rPr>
              <w:t>:</w:t>
            </w:r>
          </w:p>
        </w:tc>
        <w:tc>
          <w:tcPr>
            <w:tcW w:w="1134" w:type="dxa"/>
            <w:tcBorders>
              <w:bottom w:val="nil"/>
            </w:tcBorders>
            <w:shd w:val="clear" w:color="auto" w:fill="FFFFFF" w:themeFill="background1"/>
            <w:vAlign w:val="center"/>
          </w:tcPr>
          <w:p w14:paraId="62885A47" w14:textId="390583E3" w:rsidR="008632BD" w:rsidRPr="00AA6C3D" w:rsidRDefault="008632BD" w:rsidP="00295625">
            <w:pPr>
              <w:autoSpaceDE w:val="0"/>
              <w:autoSpaceDN w:val="0"/>
              <w:adjustRightInd w:val="0"/>
              <w:rPr>
                <w:rFonts w:eastAsia="Batang"/>
                <w:sz w:val="18"/>
                <w:szCs w:val="18"/>
                <w:lang w:eastAsia="ko-KR"/>
              </w:rPr>
            </w:pPr>
            <w:r w:rsidRPr="00AA6C3D">
              <w:rPr>
                <w:sz w:val="18"/>
                <w:szCs w:val="18"/>
              </w:rPr>
              <w:t>брой</w:t>
            </w:r>
          </w:p>
        </w:tc>
        <w:tc>
          <w:tcPr>
            <w:tcW w:w="992" w:type="dxa"/>
            <w:tcBorders>
              <w:bottom w:val="nil"/>
            </w:tcBorders>
            <w:shd w:val="clear" w:color="auto" w:fill="FFFFFF" w:themeFill="background1"/>
            <w:vAlign w:val="center"/>
          </w:tcPr>
          <w:p w14:paraId="23FC4A4F" w14:textId="2906D79C" w:rsidR="008632BD" w:rsidRPr="00AA6C3D" w:rsidRDefault="008632BD" w:rsidP="0091066B">
            <w:pPr>
              <w:autoSpaceDE w:val="0"/>
              <w:autoSpaceDN w:val="0"/>
              <w:adjustRightInd w:val="0"/>
              <w:rPr>
                <w:rFonts w:eastAsia="Batang"/>
                <w:b/>
                <w:sz w:val="18"/>
                <w:szCs w:val="18"/>
                <w:lang w:eastAsia="ko-KR"/>
              </w:rPr>
            </w:pPr>
            <w:r w:rsidRPr="00AA6C3D">
              <w:rPr>
                <w:rFonts w:eastAsia="Batang"/>
                <w:b/>
                <w:sz w:val="18"/>
                <w:szCs w:val="18"/>
                <w:lang w:eastAsia="ko-KR"/>
              </w:rPr>
              <w:t>8</w:t>
            </w:r>
          </w:p>
        </w:tc>
      </w:tr>
      <w:tr w:rsidR="00295625" w:rsidRPr="008632BD" w14:paraId="112010C1" w14:textId="77777777" w:rsidTr="001F2F82">
        <w:trPr>
          <w:jc w:val="center"/>
        </w:trPr>
        <w:tc>
          <w:tcPr>
            <w:tcW w:w="6017" w:type="dxa"/>
            <w:tcBorders>
              <w:top w:val="nil"/>
              <w:bottom w:val="single" w:sz="4" w:space="0" w:color="auto"/>
            </w:tcBorders>
            <w:shd w:val="clear" w:color="auto" w:fill="FFFFFF" w:themeFill="background1"/>
          </w:tcPr>
          <w:p w14:paraId="53C9CE25" w14:textId="073E50DD" w:rsidR="008C3FA1" w:rsidRPr="00AA6C3D" w:rsidRDefault="008C3FA1" w:rsidP="008C3FA1">
            <w:pPr>
              <w:ind w:left="357" w:hanging="117"/>
              <w:jc w:val="both"/>
              <w:rPr>
                <w:sz w:val="18"/>
                <w:szCs w:val="18"/>
              </w:rPr>
            </w:pPr>
            <w:r w:rsidRPr="00AA6C3D">
              <w:rPr>
                <w:sz w:val="18"/>
                <w:szCs w:val="18"/>
              </w:rPr>
              <w:t>в т.ч. съгласувани на подпис</w:t>
            </w:r>
          </w:p>
        </w:tc>
        <w:tc>
          <w:tcPr>
            <w:tcW w:w="1134" w:type="dxa"/>
            <w:tcBorders>
              <w:top w:val="nil"/>
              <w:bottom w:val="single" w:sz="4" w:space="0" w:color="auto"/>
            </w:tcBorders>
            <w:shd w:val="clear" w:color="auto" w:fill="FFFFFF" w:themeFill="background1"/>
            <w:vAlign w:val="center"/>
          </w:tcPr>
          <w:p w14:paraId="7FF641F2" w14:textId="51665141" w:rsidR="008C3FA1" w:rsidRPr="00AA6C3D" w:rsidRDefault="008C3FA1" w:rsidP="00295625">
            <w:pPr>
              <w:autoSpaceDE w:val="0"/>
              <w:autoSpaceDN w:val="0"/>
              <w:adjustRightInd w:val="0"/>
              <w:rPr>
                <w:rFonts w:eastAsia="Batang"/>
                <w:sz w:val="18"/>
                <w:szCs w:val="18"/>
                <w:lang w:eastAsia="ko-KR"/>
              </w:rPr>
            </w:pPr>
            <w:r w:rsidRPr="00AA6C3D">
              <w:rPr>
                <w:sz w:val="18"/>
                <w:szCs w:val="18"/>
              </w:rPr>
              <w:t>брой</w:t>
            </w:r>
          </w:p>
        </w:tc>
        <w:tc>
          <w:tcPr>
            <w:tcW w:w="992" w:type="dxa"/>
            <w:tcBorders>
              <w:top w:val="nil"/>
              <w:bottom w:val="single" w:sz="4" w:space="0" w:color="auto"/>
            </w:tcBorders>
            <w:shd w:val="clear" w:color="auto" w:fill="FFFFFF" w:themeFill="background1"/>
            <w:vAlign w:val="center"/>
          </w:tcPr>
          <w:p w14:paraId="254CDF52" w14:textId="0E35DEB0" w:rsidR="008C3FA1" w:rsidRPr="00AA6C3D" w:rsidRDefault="008C3FA1" w:rsidP="0091066B">
            <w:pPr>
              <w:autoSpaceDE w:val="0"/>
              <w:autoSpaceDN w:val="0"/>
              <w:adjustRightInd w:val="0"/>
              <w:rPr>
                <w:rFonts w:eastAsia="Batang"/>
                <w:sz w:val="18"/>
                <w:szCs w:val="18"/>
                <w:lang w:eastAsia="ko-KR"/>
              </w:rPr>
            </w:pPr>
            <w:r w:rsidRPr="00AA6C3D">
              <w:rPr>
                <w:rFonts w:eastAsia="Batang"/>
                <w:sz w:val="18"/>
                <w:szCs w:val="18"/>
                <w:lang w:eastAsia="ko-KR"/>
              </w:rPr>
              <w:t>6</w:t>
            </w:r>
          </w:p>
        </w:tc>
      </w:tr>
      <w:tr w:rsidR="0091066B" w:rsidRPr="008632BD" w14:paraId="3848F765" w14:textId="77777777" w:rsidTr="001F2F82">
        <w:trPr>
          <w:jc w:val="center"/>
        </w:trPr>
        <w:tc>
          <w:tcPr>
            <w:tcW w:w="6017" w:type="dxa"/>
            <w:tcBorders>
              <w:bottom w:val="nil"/>
            </w:tcBorders>
            <w:shd w:val="clear" w:color="auto" w:fill="FFFFFF" w:themeFill="background1"/>
          </w:tcPr>
          <w:p w14:paraId="162F65ED" w14:textId="39382691" w:rsidR="008C3FA1" w:rsidRPr="00AA6C3D" w:rsidRDefault="008C3FA1" w:rsidP="008C3FA1">
            <w:pPr>
              <w:autoSpaceDE w:val="0"/>
              <w:autoSpaceDN w:val="0"/>
              <w:adjustRightInd w:val="0"/>
              <w:jc w:val="both"/>
              <w:rPr>
                <w:rFonts w:eastAsia="Batang"/>
                <w:sz w:val="18"/>
                <w:szCs w:val="18"/>
                <w:lang w:eastAsia="ko-KR"/>
              </w:rPr>
            </w:pPr>
            <w:r w:rsidRPr="00AA6C3D">
              <w:rPr>
                <w:rFonts w:eastAsia="Batang"/>
                <w:sz w:val="18"/>
                <w:szCs w:val="18"/>
                <w:lang w:eastAsia="ko-KR"/>
              </w:rPr>
              <w:t xml:space="preserve">3. </w:t>
            </w:r>
            <w:r w:rsidRPr="00AA6C3D">
              <w:rPr>
                <w:rFonts w:eastAsia="Batang"/>
                <w:b/>
                <w:sz w:val="18"/>
                <w:szCs w:val="18"/>
                <w:lang w:eastAsia="ko-KR"/>
              </w:rPr>
              <w:t>Консултирани актове:</w:t>
            </w:r>
          </w:p>
        </w:tc>
        <w:tc>
          <w:tcPr>
            <w:tcW w:w="1134" w:type="dxa"/>
            <w:tcBorders>
              <w:bottom w:val="nil"/>
            </w:tcBorders>
            <w:shd w:val="clear" w:color="auto" w:fill="FFFFFF" w:themeFill="background1"/>
            <w:vAlign w:val="center"/>
          </w:tcPr>
          <w:p w14:paraId="3365F636" w14:textId="0312AF0A" w:rsidR="008C3FA1" w:rsidRPr="00AA6C3D" w:rsidRDefault="008C3FA1" w:rsidP="00295625">
            <w:pPr>
              <w:autoSpaceDE w:val="0"/>
              <w:autoSpaceDN w:val="0"/>
              <w:adjustRightInd w:val="0"/>
              <w:rPr>
                <w:rFonts w:eastAsia="Batang"/>
                <w:sz w:val="18"/>
                <w:szCs w:val="18"/>
                <w:lang w:eastAsia="ko-KR"/>
              </w:rPr>
            </w:pPr>
            <w:r w:rsidRPr="00AA6C3D">
              <w:rPr>
                <w:sz w:val="18"/>
                <w:szCs w:val="18"/>
              </w:rPr>
              <w:t>брой</w:t>
            </w:r>
          </w:p>
        </w:tc>
        <w:tc>
          <w:tcPr>
            <w:tcW w:w="992" w:type="dxa"/>
            <w:tcBorders>
              <w:bottom w:val="nil"/>
            </w:tcBorders>
            <w:shd w:val="clear" w:color="auto" w:fill="FFFFFF" w:themeFill="background1"/>
            <w:vAlign w:val="center"/>
          </w:tcPr>
          <w:p w14:paraId="69A34989" w14:textId="3967818F" w:rsidR="008C3FA1" w:rsidRPr="00AA6C3D" w:rsidRDefault="008C3FA1" w:rsidP="0091066B">
            <w:pPr>
              <w:autoSpaceDE w:val="0"/>
              <w:autoSpaceDN w:val="0"/>
              <w:adjustRightInd w:val="0"/>
              <w:rPr>
                <w:rFonts w:eastAsia="Batang"/>
                <w:b/>
                <w:sz w:val="18"/>
                <w:szCs w:val="18"/>
                <w:lang w:eastAsia="ko-KR"/>
              </w:rPr>
            </w:pPr>
            <w:r w:rsidRPr="00AA6C3D">
              <w:rPr>
                <w:rFonts w:eastAsia="Batang"/>
                <w:b/>
                <w:sz w:val="18"/>
                <w:szCs w:val="18"/>
                <w:lang w:eastAsia="ko-KR"/>
              </w:rPr>
              <w:t>11</w:t>
            </w:r>
          </w:p>
        </w:tc>
      </w:tr>
      <w:tr w:rsidR="0091066B" w:rsidRPr="008632BD" w14:paraId="76DDCAB6" w14:textId="77777777" w:rsidTr="001F2F82">
        <w:trPr>
          <w:jc w:val="center"/>
        </w:trPr>
        <w:tc>
          <w:tcPr>
            <w:tcW w:w="6017" w:type="dxa"/>
            <w:tcBorders>
              <w:top w:val="nil"/>
              <w:bottom w:val="nil"/>
            </w:tcBorders>
            <w:shd w:val="clear" w:color="auto" w:fill="FFFFFF" w:themeFill="background1"/>
          </w:tcPr>
          <w:p w14:paraId="6247A35F" w14:textId="523A7106" w:rsidR="008C3FA1" w:rsidRPr="00AA6C3D" w:rsidRDefault="008C3FA1" w:rsidP="008C3FA1">
            <w:pPr>
              <w:ind w:left="357" w:hanging="117"/>
              <w:jc w:val="both"/>
              <w:rPr>
                <w:sz w:val="18"/>
                <w:szCs w:val="18"/>
              </w:rPr>
            </w:pPr>
            <w:r w:rsidRPr="00AA6C3D">
              <w:rPr>
                <w:sz w:val="18"/>
                <w:szCs w:val="18"/>
              </w:rPr>
              <w:t xml:space="preserve">проекти на закони (от МС) </w:t>
            </w:r>
          </w:p>
        </w:tc>
        <w:tc>
          <w:tcPr>
            <w:tcW w:w="1134" w:type="dxa"/>
            <w:tcBorders>
              <w:top w:val="nil"/>
              <w:bottom w:val="nil"/>
            </w:tcBorders>
            <w:shd w:val="clear" w:color="auto" w:fill="FFFFFF" w:themeFill="background1"/>
            <w:vAlign w:val="center"/>
          </w:tcPr>
          <w:p w14:paraId="715370DD" w14:textId="4AC7790E" w:rsidR="008C3FA1" w:rsidRPr="00AA6C3D" w:rsidRDefault="008C3FA1" w:rsidP="00295625">
            <w:pPr>
              <w:autoSpaceDE w:val="0"/>
              <w:autoSpaceDN w:val="0"/>
              <w:adjustRightInd w:val="0"/>
              <w:rPr>
                <w:rFonts w:eastAsia="Batang"/>
                <w:sz w:val="18"/>
                <w:szCs w:val="18"/>
                <w:lang w:eastAsia="ko-KR"/>
              </w:rPr>
            </w:pPr>
            <w:r w:rsidRPr="00AA6C3D">
              <w:rPr>
                <w:sz w:val="18"/>
                <w:szCs w:val="18"/>
              </w:rPr>
              <w:t>брой</w:t>
            </w:r>
          </w:p>
        </w:tc>
        <w:tc>
          <w:tcPr>
            <w:tcW w:w="992" w:type="dxa"/>
            <w:tcBorders>
              <w:top w:val="nil"/>
              <w:bottom w:val="nil"/>
            </w:tcBorders>
            <w:shd w:val="clear" w:color="auto" w:fill="FFFFFF" w:themeFill="background1"/>
            <w:vAlign w:val="center"/>
          </w:tcPr>
          <w:p w14:paraId="291DCA12" w14:textId="1497C722" w:rsidR="008C3FA1" w:rsidRPr="00AA6C3D" w:rsidRDefault="008C3FA1" w:rsidP="0091066B">
            <w:pPr>
              <w:autoSpaceDE w:val="0"/>
              <w:autoSpaceDN w:val="0"/>
              <w:adjustRightInd w:val="0"/>
              <w:rPr>
                <w:rFonts w:eastAsia="Batang"/>
                <w:sz w:val="18"/>
                <w:szCs w:val="18"/>
                <w:lang w:eastAsia="ko-KR"/>
              </w:rPr>
            </w:pPr>
            <w:r w:rsidRPr="00AA6C3D">
              <w:rPr>
                <w:rFonts w:eastAsia="Batang"/>
                <w:sz w:val="18"/>
                <w:szCs w:val="18"/>
                <w:lang w:eastAsia="ko-KR"/>
              </w:rPr>
              <w:t>3</w:t>
            </w:r>
          </w:p>
        </w:tc>
      </w:tr>
      <w:tr w:rsidR="0091066B" w:rsidRPr="008632BD" w14:paraId="14895308" w14:textId="77777777" w:rsidTr="001F2F82">
        <w:trPr>
          <w:jc w:val="center"/>
        </w:trPr>
        <w:tc>
          <w:tcPr>
            <w:tcW w:w="6017" w:type="dxa"/>
            <w:tcBorders>
              <w:top w:val="nil"/>
              <w:bottom w:val="nil"/>
            </w:tcBorders>
            <w:shd w:val="clear" w:color="auto" w:fill="FFFFFF" w:themeFill="background1"/>
          </w:tcPr>
          <w:p w14:paraId="35B68E78" w14:textId="036E26D0" w:rsidR="008C3FA1" w:rsidRPr="00AA6C3D" w:rsidRDefault="008C3FA1" w:rsidP="008C3FA1">
            <w:pPr>
              <w:ind w:left="357" w:hanging="117"/>
              <w:jc w:val="both"/>
              <w:rPr>
                <w:sz w:val="18"/>
                <w:szCs w:val="18"/>
              </w:rPr>
            </w:pPr>
            <w:r w:rsidRPr="00AA6C3D">
              <w:rPr>
                <w:sz w:val="18"/>
                <w:szCs w:val="18"/>
              </w:rPr>
              <w:t>законопроекти (от НС)</w:t>
            </w:r>
          </w:p>
        </w:tc>
        <w:tc>
          <w:tcPr>
            <w:tcW w:w="1134" w:type="dxa"/>
            <w:tcBorders>
              <w:top w:val="nil"/>
              <w:bottom w:val="nil"/>
            </w:tcBorders>
            <w:shd w:val="clear" w:color="auto" w:fill="FFFFFF" w:themeFill="background1"/>
            <w:vAlign w:val="center"/>
          </w:tcPr>
          <w:p w14:paraId="3784703B" w14:textId="617BF9E8" w:rsidR="008C3FA1" w:rsidRPr="00AA6C3D" w:rsidRDefault="008C3FA1" w:rsidP="00295625">
            <w:pPr>
              <w:autoSpaceDE w:val="0"/>
              <w:autoSpaceDN w:val="0"/>
              <w:adjustRightInd w:val="0"/>
              <w:rPr>
                <w:rFonts w:eastAsia="Batang"/>
                <w:sz w:val="18"/>
                <w:szCs w:val="18"/>
                <w:lang w:eastAsia="ko-KR"/>
              </w:rPr>
            </w:pPr>
            <w:r w:rsidRPr="00AA6C3D">
              <w:rPr>
                <w:sz w:val="18"/>
                <w:szCs w:val="18"/>
              </w:rPr>
              <w:t>брой</w:t>
            </w:r>
          </w:p>
        </w:tc>
        <w:tc>
          <w:tcPr>
            <w:tcW w:w="992" w:type="dxa"/>
            <w:tcBorders>
              <w:top w:val="nil"/>
              <w:bottom w:val="nil"/>
            </w:tcBorders>
            <w:shd w:val="clear" w:color="auto" w:fill="FFFFFF" w:themeFill="background1"/>
            <w:vAlign w:val="center"/>
          </w:tcPr>
          <w:p w14:paraId="6ED24AB7" w14:textId="6F1822E8" w:rsidR="008C3FA1" w:rsidRPr="00AA6C3D" w:rsidRDefault="008C3FA1" w:rsidP="0091066B">
            <w:pPr>
              <w:autoSpaceDE w:val="0"/>
              <w:autoSpaceDN w:val="0"/>
              <w:adjustRightInd w:val="0"/>
              <w:rPr>
                <w:rFonts w:eastAsia="Batang"/>
                <w:sz w:val="18"/>
                <w:szCs w:val="18"/>
                <w:lang w:eastAsia="ko-KR"/>
              </w:rPr>
            </w:pPr>
            <w:r w:rsidRPr="00AA6C3D">
              <w:rPr>
                <w:rFonts w:eastAsia="Batang"/>
                <w:sz w:val="18"/>
                <w:szCs w:val="18"/>
                <w:lang w:eastAsia="ko-KR"/>
              </w:rPr>
              <w:t>3</w:t>
            </w:r>
          </w:p>
        </w:tc>
      </w:tr>
      <w:tr w:rsidR="0091066B" w:rsidRPr="008632BD" w14:paraId="3C331040" w14:textId="77777777" w:rsidTr="001F2F82">
        <w:trPr>
          <w:jc w:val="center"/>
        </w:trPr>
        <w:tc>
          <w:tcPr>
            <w:tcW w:w="6017" w:type="dxa"/>
            <w:tcBorders>
              <w:top w:val="nil"/>
              <w:bottom w:val="nil"/>
            </w:tcBorders>
            <w:shd w:val="clear" w:color="auto" w:fill="FFFFFF" w:themeFill="background1"/>
          </w:tcPr>
          <w:p w14:paraId="734319D1" w14:textId="08432DA0" w:rsidR="008C3FA1" w:rsidRPr="00AA6C3D" w:rsidRDefault="008C3FA1" w:rsidP="008C3FA1">
            <w:pPr>
              <w:ind w:left="357" w:hanging="117"/>
              <w:jc w:val="both"/>
              <w:rPr>
                <w:sz w:val="18"/>
                <w:szCs w:val="18"/>
              </w:rPr>
            </w:pPr>
            <w:r w:rsidRPr="00AA6C3D">
              <w:rPr>
                <w:sz w:val="18"/>
                <w:szCs w:val="18"/>
              </w:rPr>
              <w:t>проект на ПМС</w:t>
            </w:r>
          </w:p>
        </w:tc>
        <w:tc>
          <w:tcPr>
            <w:tcW w:w="1134" w:type="dxa"/>
            <w:tcBorders>
              <w:top w:val="nil"/>
              <w:bottom w:val="nil"/>
            </w:tcBorders>
            <w:shd w:val="clear" w:color="auto" w:fill="FFFFFF" w:themeFill="background1"/>
            <w:vAlign w:val="center"/>
          </w:tcPr>
          <w:p w14:paraId="704264CD" w14:textId="6C2F21BB" w:rsidR="008C3FA1" w:rsidRPr="00AA6C3D" w:rsidRDefault="008C3FA1" w:rsidP="00295625">
            <w:pPr>
              <w:autoSpaceDE w:val="0"/>
              <w:autoSpaceDN w:val="0"/>
              <w:adjustRightInd w:val="0"/>
              <w:rPr>
                <w:rFonts w:eastAsia="Batang"/>
                <w:sz w:val="18"/>
                <w:szCs w:val="18"/>
                <w:lang w:eastAsia="ko-KR"/>
              </w:rPr>
            </w:pPr>
            <w:r w:rsidRPr="00AA6C3D">
              <w:rPr>
                <w:sz w:val="18"/>
                <w:szCs w:val="18"/>
              </w:rPr>
              <w:t>брой</w:t>
            </w:r>
          </w:p>
        </w:tc>
        <w:tc>
          <w:tcPr>
            <w:tcW w:w="992" w:type="dxa"/>
            <w:tcBorders>
              <w:top w:val="nil"/>
              <w:bottom w:val="nil"/>
            </w:tcBorders>
            <w:shd w:val="clear" w:color="auto" w:fill="FFFFFF" w:themeFill="background1"/>
            <w:vAlign w:val="center"/>
          </w:tcPr>
          <w:p w14:paraId="3E2212AB" w14:textId="08724212" w:rsidR="008C3FA1" w:rsidRPr="00AA6C3D" w:rsidRDefault="008C3FA1" w:rsidP="0091066B">
            <w:pPr>
              <w:autoSpaceDE w:val="0"/>
              <w:autoSpaceDN w:val="0"/>
              <w:adjustRightInd w:val="0"/>
              <w:rPr>
                <w:rFonts w:eastAsia="Batang"/>
                <w:sz w:val="18"/>
                <w:szCs w:val="18"/>
                <w:lang w:eastAsia="ko-KR"/>
              </w:rPr>
            </w:pPr>
            <w:r w:rsidRPr="00AA6C3D">
              <w:rPr>
                <w:rFonts w:eastAsia="Batang"/>
                <w:sz w:val="18"/>
                <w:szCs w:val="18"/>
                <w:lang w:eastAsia="ko-KR"/>
              </w:rPr>
              <w:t>4</w:t>
            </w:r>
          </w:p>
        </w:tc>
      </w:tr>
      <w:tr w:rsidR="0091066B" w:rsidRPr="008632BD" w14:paraId="233771BE" w14:textId="77777777" w:rsidTr="001F2F82">
        <w:trPr>
          <w:jc w:val="center"/>
        </w:trPr>
        <w:tc>
          <w:tcPr>
            <w:tcW w:w="6017" w:type="dxa"/>
            <w:tcBorders>
              <w:top w:val="nil"/>
              <w:bottom w:val="single" w:sz="4" w:space="0" w:color="auto"/>
            </w:tcBorders>
            <w:shd w:val="clear" w:color="auto" w:fill="FFFFFF" w:themeFill="background1"/>
          </w:tcPr>
          <w:p w14:paraId="12D7B6DA" w14:textId="404BD60D" w:rsidR="008C3FA1" w:rsidRPr="00AA6C3D" w:rsidRDefault="008C3FA1" w:rsidP="008C3FA1">
            <w:pPr>
              <w:ind w:left="357" w:hanging="117"/>
              <w:jc w:val="both"/>
              <w:rPr>
                <w:sz w:val="18"/>
                <w:szCs w:val="18"/>
              </w:rPr>
            </w:pPr>
            <w:r w:rsidRPr="00AA6C3D">
              <w:rPr>
                <w:sz w:val="18"/>
                <w:szCs w:val="18"/>
              </w:rPr>
              <w:t>Национален план за действие по заетостта</w:t>
            </w:r>
          </w:p>
        </w:tc>
        <w:tc>
          <w:tcPr>
            <w:tcW w:w="1134" w:type="dxa"/>
            <w:tcBorders>
              <w:top w:val="nil"/>
              <w:bottom w:val="single" w:sz="4" w:space="0" w:color="auto"/>
            </w:tcBorders>
            <w:shd w:val="clear" w:color="auto" w:fill="FFFFFF" w:themeFill="background1"/>
            <w:vAlign w:val="center"/>
          </w:tcPr>
          <w:p w14:paraId="788E92C6" w14:textId="672DE4B7" w:rsidR="008C3FA1" w:rsidRPr="00AA6C3D" w:rsidRDefault="008C3FA1" w:rsidP="00295625">
            <w:pPr>
              <w:autoSpaceDE w:val="0"/>
              <w:autoSpaceDN w:val="0"/>
              <w:adjustRightInd w:val="0"/>
              <w:rPr>
                <w:rFonts w:eastAsia="Batang"/>
                <w:sz w:val="18"/>
                <w:szCs w:val="18"/>
                <w:lang w:eastAsia="ko-KR"/>
              </w:rPr>
            </w:pPr>
            <w:r w:rsidRPr="00AA6C3D">
              <w:rPr>
                <w:sz w:val="18"/>
                <w:szCs w:val="18"/>
              </w:rPr>
              <w:t>брой</w:t>
            </w:r>
          </w:p>
        </w:tc>
        <w:tc>
          <w:tcPr>
            <w:tcW w:w="992" w:type="dxa"/>
            <w:tcBorders>
              <w:top w:val="nil"/>
              <w:bottom w:val="single" w:sz="4" w:space="0" w:color="auto"/>
            </w:tcBorders>
            <w:shd w:val="clear" w:color="auto" w:fill="FFFFFF" w:themeFill="background1"/>
            <w:vAlign w:val="center"/>
          </w:tcPr>
          <w:p w14:paraId="10A19E02" w14:textId="4B911A6F" w:rsidR="008C3FA1" w:rsidRPr="00AA6C3D" w:rsidRDefault="008C3FA1" w:rsidP="0091066B">
            <w:pPr>
              <w:autoSpaceDE w:val="0"/>
              <w:autoSpaceDN w:val="0"/>
              <w:adjustRightInd w:val="0"/>
              <w:rPr>
                <w:rFonts w:eastAsia="Batang"/>
                <w:sz w:val="18"/>
                <w:szCs w:val="18"/>
                <w:lang w:eastAsia="ko-KR"/>
              </w:rPr>
            </w:pPr>
            <w:r w:rsidRPr="00AA6C3D">
              <w:rPr>
                <w:rFonts w:eastAsia="Batang"/>
                <w:sz w:val="18"/>
                <w:szCs w:val="18"/>
                <w:lang w:eastAsia="ko-KR"/>
              </w:rPr>
              <w:t>1</w:t>
            </w:r>
          </w:p>
        </w:tc>
      </w:tr>
      <w:tr w:rsidR="0091066B" w:rsidRPr="008632BD" w14:paraId="33C0321C" w14:textId="77777777" w:rsidTr="001F2F82">
        <w:trPr>
          <w:jc w:val="center"/>
        </w:trPr>
        <w:tc>
          <w:tcPr>
            <w:tcW w:w="6017" w:type="dxa"/>
            <w:tcBorders>
              <w:bottom w:val="nil"/>
            </w:tcBorders>
            <w:shd w:val="clear" w:color="auto" w:fill="FFFFFF" w:themeFill="background1"/>
          </w:tcPr>
          <w:p w14:paraId="74E17359" w14:textId="24F6A149" w:rsidR="008C3FA1" w:rsidRPr="00AA6C3D" w:rsidRDefault="008C3FA1" w:rsidP="008C3FA1">
            <w:pPr>
              <w:autoSpaceDE w:val="0"/>
              <w:autoSpaceDN w:val="0"/>
              <w:adjustRightInd w:val="0"/>
              <w:jc w:val="both"/>
              <w:rPr>
                <w:rFonts w:eastAsia="Batang"/>
                <w:b/>
                <w:sz w:val="18"/>
                <w:szCs w:val="18"/>
                <w:lang w:eastAsia="ko-KR"/>
              </w:rPr>
            </w:pPr>
            <w:r w:rsidRPr="00AA6C3D">
              <w:rPr>
                <w:rFonts w:eastAsia="Batang"/>
                <w:sz w:val="18"/>
                <w:szCs w:val="18"/>
                <w:lang w:eastAsia="ko-KR"/>
              </w:rPr>
              <w:t xml:space="preserve">4. </w:t>
            </w:r>
            <w:r w:rsidRPr="00AA6C3D">
              <w:rPr>
                <w:rFonts w:eastAsia="Batang"/>
                <w:b/>
                <w:sz w:val="18"/>
                <w:szCs w:val="18"/>
                <w:lang w:eastAsia="ko-KR"/>
              </w:rPr>
              <w:t>Проведени заседания на постоянните комисии към НСТС:</w:t>
            </w:r>
          </w:p>
        </w:tc>
        <w:tc>
          <w:tcPr>
            <w:tcW w:w="1134" w:type="dxa"/>
            <w:tcBorders>
              <w:bottom w:val="nil"/>
            </w:tcBorders>
            <w:shd w:val="clear" w:color="auto" w:fill="FFFFFF" w:themeFill="background1"/>
            <w:vAlign w:val="center"/>
          </w:tcPr>
          <w:p w14:paraId="08130244" w14:textId="77540AEE" w:rsidR="008C3FA1" w:rsidRPr="00AA6C3D" w:rsidRDefault="008C3FA1" w:rsidP="00295625">
            <w:pPr>
              <w:autoSpaceDE w:val="0"/>
              <w:autoSpaceDN w:val="0"/>
              <w:adjustRightInd w:val="0"/>
              <w:rPr>
                <w:rFonts w:eastAsia="Batang"/>
                <w:sz w:val="18"/>
                <w:szCs w:val="18"/>
                <w:lang w:eastAsia="ko-KR"/>
              </w:rPr>
            </w:pPr>
            <w:r w:rsidRPr="00AA6C3D">
              <w:rPr>
                <w:sz w:val="18"/>
                <w:szCs w:val="18"/>
              </w:rPr>
              <w:t>брой</w:t>
            </w:r>
          </w:p>
        </w:tc>
        <w:tc>
          <w:tcPr>
            <w:tcW w:w="992" w:type="dxa"/>
            <w:tcBorders>
              <w:bottom w:val="nil"/>
            </w:tcBorders>
            <w:shd w:val="clear" w:color="auto" w:fill="FFFFFF" w:themeFill="background1"/>
            <w:vAlign w:val="center"/>
          </w:tcPr>
          <w:p w14:paraId="5C4A9197" w14:textId="08C0FF95" w:rsidR="008C3FA1" w:rsidRPr="00AA6C3D" w:rsidRDefault="008C3FA1" w:rsidP="0091066B">
            <w:pPr>
              <w:autoSpaceDE w:val="0"/>
              <w:autoSpaceDN w:val="0"/>
              <w:adjustRightInd w:val="0"/>
              <w:rPr>
                <w:rFonts w:eastAsia="Batang"/>
                <w:b/>
                <w:sz w:val="18"/>
                <w:szCs w:val="18"/>
                <w:lang w:eastAsia="ko-KR"/>
              </w:rPr>
            </w:pPr>
            <w:r w:rsidRPr="00AA6C3D">
              <w:rPr>
                <w:rFonts w:eastAsia="Batang"/>
                <w:b/>
                <w:sz w:val="18"/>
                <w:szCs w:val="18"/>
                <w:lang w:eastAsia="ko-KR"/>
              </w:rPr>
              <w:t>8</w:t>
            </w:r>
          </w:p>
        </w:tc>
      </w:tr>
      <w:tr w:rsidR="0091066B" w:rsidRPr="008632BD" w14:paraId="322D4D5B" w14:textId="77777777" w:rsidTr="001F2F82">
        <w:trPr>
          <w:jc w:val="center"/>
        </w:trPr>
        <w:tc>
          <w:tcPr>
            <w:tcW w:w="6017" w:type="dxa"/>
            <w:tcBorders>
              <w:top w:val="nil"/>
              <w:bottom w:val="nil"/>
            </w:tcBorders>
            <w:shd w:val="clear" w:color="auto" w:fill="FFFFFF" w:themeFill="background1"/>
          </w:tcPr>
          <w:p w14:paraId="60DF6DB0" w14:textId="375DFC51" w:rsidR="008C3FA1" w:rsidRPr="00AA6C3D" w:rsidRDefault="008C3FA1" w:rsidP="008C3FA1">
            <w:pPr>
              <w:ind w:left="357" w:hanging="117"/>
              <w:jc w:val="both"/>
              <w:rPr>
                <w:sz w:val="18"/>
                <w:szCs w:val="18"/>
              </w:rPr>
            </w:pPr>
            <w:r w:rsidRPr="00AA6C3D">
              <w:rPr>
                <w:sz w:val="18"/>
                <w:szCs w:val="18"/>
              </w:rPr>
              <w:t>Комисия по бюджетна политика (КБП)</w:t>
            </w:r>
          </w:p>
        </w:tc>
        <w:tc>
          <w:tcPr>
            <w:tcW w:w="1134" w:type="dxa"/>
            <w:tcBorders>
              <w:top w:val="nil"/>
              <w:bottom w:val="nil"/>
            </w:tcBorders>
            <w:shd w:val="clear" w:color="auto" w:fill="FFFFFF" w:themeFill="background1"/>
            <w:vAlign w:val="center"/>
          </w:tcPr>
          <w:p w14:paraId="767FF59D" w14:textId="61BDAF2B" w:rsidR="008C3FA1" w:rsidRPr="00AA6C3D" w:rsidRDefault="008C3FA1" w:rsidP="00295625">
            <w:pPr>
              <w:autoSpaceDE w:val="0"/>
              <w:autoSpaceDN w:val="0"/>
              <w:adjustRightInd w:val="0"/>
              <w:rPr>
                <w:rFonts w:eastAsia="Batang"/>
                <w:sz w:val="18"/>
                <w:szCs w:val="18"/>
                <w:lang w:eastAsia="ko-KR"/>
              </w:rPr>
            </w:pPr>
            <w:r w:rsidRPr="00AA6C3D">
              <w:rPr>
                <w:sz w:val="18"/>
                <w:szCs w:val="18"/>
              </w:rPr>
              <w:t>брой</w:t>
            </w:r>
          </w:p>
        </w:tc>
        <w:tc>
          <w:tcPr>
            <w:tcW w:w="992" w:type="dxa"/>
            <w:tcBorders>
              <w:top w:val="nil"/>
              <w:bottom w:val="nil"/>
            </w:tcBorders>
            <w:shd w:val="clear" w:color="auto" w:fill="FFFFFF" w:themeFill="background1"/>
            <w:vAlign w:val="center"/>
          </w:tcPr>
          <w:p w14:paraId="25FE91D5" w14:textId="2DF24B6E" w:rsidR="008C3FA1" w:rsidRPr="00AA6C3D" w:rsidRDefault="008C3FA1" w:rsidP="0091066B">
            <w:pPr>
              <w:autoSpaceDE w:val="0"/>
              <w:autoSpaceDN w:val="0"/>
              <w:adjustRightInd w:val="0"/>
              <w:rPr>
                <w:rFonts w:eastAsia="Batang"/>
                <w:sz w:val="18"/>
                <w:szCs w:val="18"/>
                <w:lang w:eastAsia="ko-KR"/>
              </w:rPr>
            </w:pPr>
            <w:r w:rsidRPr="00AA6C3D">
              <w:rPr>
                <w:rFonts w:eastAsia="Batang"/>
                <w:sz w:val="18"/>
                <w:szCs w:val="18"/>
                <w:lang w:eastAsia="ko-KR"/>
              </w:rPr>
              <w:t>1</w:t>
            </w:r>
          </w:p>
        </w:tc>
      </w:tr>
      <w:tr w:rsidR="0091066B" w:rsidRPr="008632BD" w14:paraId="026E831C" w14:textId="77777777" w:rsidTr="001F2F82">
        <w:trPr>
          <w:jc w:val="center"/>
        </w:trPr>
        <w:tc>
          <w:tcPr>
            <w:tcW w:w="6017" w:type="dxa"/>
            <w:tcBorders>
              <w:top w:val="nil"/>
              <w:bottom w:val="nil"/>
            </w:tcBorders>
            <w:shd w:val="clear" w:color="auto" w:fill="FFFFFF" w:themeFill="background1"/>
          </w:tcPr>
          <w:p w14:paraId="500DFCBC" w14:textId="28D22B79" w:rsidR="008C3FA1" w:rsidRPr="00AA6C3D" w:rsidRDefault="008C3FA1" w:rsidP="008C3FA1">
            <w:pPr>
              <w:ind w:left="357" w:hanging="117"/>
              <w:jc w:val="both"/>
              <w:rPr>
                <w:sz w:val="18"/>
                <w:szCs w:val="18"/>
              </w:rPr>
            </w:pPr>
            <w:r w:rsidRPr="00AA6C3D">
              <w:rPr>
                <w:sz w:val="18"/>
                <w:szCs w:val="18"/>
              </w:rPr>
              <w:t>Комисия по осигурителни отношения (КОО)</w:t>
            </w:r>
          </w:p>
        </w:tc>
        <w:tc>
          <w:tcPr>
            <w:tcW w:w="1134" w:type="dxa"/>
            <w:tcBorders>
              <w:top w:val="nil"/>
              <w:bottom w:val="nil"/>
            </w:tcBorders>
            <w:shd w:val="clear" w:color="auto" w:fill="FFFFFF" w:themeFill="background1"/>
            <w:vAlign w:val="center"/>
          </w:tcPr>
          <w:p w14:paraId="43A590F0" w14:textId="44F5EBDF" w:rsidR="008C3FA1" w:rsidRPr="00AA6C3D" w:rsidRDefault="008C3FA1" w:rsidP="00295625">
            <w:pPr>
              <w:autoSpaceDE w:val="0"/>
              <w:autoSpaceDN w:val="0"/>
              <w:adjustRightInd w:val="0"/>
              <w:rPr>
                <w:rFonts w:eastAsia="Batang"/>
                <w:sz w:val="18"/>
                <w:szCs w:val="18"/>
                <w:lang w:eastAsia="ko-KR"/>
              </w:rPr>
            </w:pPr>
            <w:r w:rsidRPr="00AA6C3D">
              <w:rPr>
                <w:sz w:val="18"/>
                <w:szCs w:val="18"/>
              </w:rPr>
              <w:t>брой</w:t>
            </w:r>
          </w:p>
        </w:tc>
        <w:tc>
          <w:tcPr>
            <w:tcW w:w="992" w:type="dxa"/>
            <w:tcBorders>
              <w:top w:val="nil"/>
              <w:bottom w:val="nil"/>
            </w:tcBorders>
            <w:shd w:val="clear" w:color="auto" w:fill="FFFFFF" w:themeFill="background1"/>
            <w:vAlign w:val="center"/>
          </w:tcPr>
          <w:p w14:paraId="41B61C75" w14:textId="5DC7F891" w:rsidR="008C3FA1" w:rsidRPr="00AA6C3D" w:rsidRDefault="008C3FA1" w:rsidP="0091066B">
            <w:pPr>
              <w:autoSpaceDE w:val="0"/>
              <w:autoSpaceDN w:val="0"/>
              <w:adjustRightInd w:val="0"/>
              <w:rPr>
                <w:rFonts w:eastAsia="Batang"/>
                <w:sz w:val="18"/>
                <w:szCs w:val="18"/>
                <w:lang w:eastAsia="ko-KR"/>
              </w:rPr>
            </w:pPr>
            <w:r w:rsidRPr="00AA6C3D">
              <w:rPr>
                <w:rFonts w:eastAsia="Batang"/>
                <w:sz w:val="18"/>
                <w:szCs w:val="18"/>
                <w:lang w:eastAsia="ko-KR"/>
              </w:rPr>
              <w:t>2</w:t>
            </w:r>
          </w:p>
        </w:tc>
      </w:tr>
      <w:tr w:rsidR="0091066B" w:rsidRPr="008632BD" w14:paraId="19FA1210" w14:textId="77777777" w:rsidTr="001F2F82">
        <w:trPr>
          <w:jc w:val="center"/>
        </w:trPr>
        <w:tc>
          <w:tcPr>
            <w:tcW w:w="6017" w:type="dxa"/>
            <w:tcBorders>
              <w:top w:val="nil"/>
              <w:bottom w:val="nil"/>
            </w:tcBorders>
            <w:shd w:val="clear" w:color="auto" w:fill="FFFFFF" w:themeFill="background1"/>
          </w:tcPr>
          <w:p w14:paraId="722CBD9E" w14:textId="0A388898" w:rsidR="008C3FA1" w:rsidRPr="00AA6C3D" w:rsidRDefault="008C3FA1" w:rsidP="008C3FA1">
            <w:pPr>
              <w:ind w:left="357" w:hanging="117"/>
              <w:jc w:val="both"/>
              <w:rPr>
                <w:sz w:val="18"/>
                <w:szCs w:val="18"/>
              </w:rPr>
            </w:pPr>
            <w:r w:rsidRPr="00AA6C3D">
              <w:rPr>
                <w:sz w:val="18"/>
                <w:szCs w:val="18"/>
              </w:rPr>
              <w:t>Комисия по трудово законодателство</w:t>
            </w:r>
          </w:p>
        </w:tc>
        <w:tc>
          <w:tcPr>
            <w:tcW w:w="1134" w:type="dxa"/>
            <w:tcBorders>
              <w:top w:val="nil"/>
              <w:bottom w:val="nil"/>
            </w:tcBorders>
            <w:shd w:val="clear" w:color="auto" w:fill="FFFFFF" w:themeFill="background1"/>
            <w:vAlign w:val="center"/>
          </w:tcPr>
          <w:p w14:paraId="39734B5D" w14:textId="2966AF64" w:rsidR="008C3FA1" w:rsidRPr="00AA6C3D" w:rsidRDefault="008C3FA1" w:rsidP="00295625">
            <w:pPr>
              <w:autoSpaceDE w:val="0"/>
              <w:autoSpaceDN w:val="0"/>
              <w:adjustRightInd w:val="0"/>
              <w:rPr>
                <w:rFonts w:eastAsia="Batang"/>
                <w:sz w:val="18"/>
                <w:szCs w:val="18"/>
                <w:lang w:eastAsia="ko-KR"/>
              </w:rPr>
            </w:pPr>
            <w:r w:rsidRPr="00AA6C3D">
              <w:rPr>
                <w:sz w:val="18"/>
                <w:szCs w:val="18"/>
              </w:rPr>
              <w:t>брой</w:t>
            </w:r>
          </w:p>
        </w:tc>
        <w:tc>
          <w:tcPr>
            <w:tcW w:w="992" w:type="dxa"/>
            <w:tcBorders>
              <w:top w:val="nil"/>
              <w:bottom w:val="nil"/>
            </w:tcBorders>
            <w:shd w:val="clear" w:color="auto" w:fill="FFFFFF" w:themeFill="background1"/>
            <w:vAlign w:val="center"/>
          </w:tcPr>
          <w:p w14:paraId="171EF718" w14:textId="35A05C1E" w:rsidR="008C3FA1" w:rsidRPr="00AA6C3D" w:rsidRDefault="008C3FA1" w:rsidP="0091066B">
            <w:pPr>
              <w:autoSpaceDE w:val="0"/>
              <w:autoSpaceDN w:val="0"/>
              <w:adjustRightInd w:val="0"/>
              <w:rPr>
                <w:rFonts w:eastAsia="Batang"/>
                <w:sz w:val="18"/>
                <w:szCs w:val="18"/>
                <w:lang w:eastAsia="ko-KR"/>
              </w:rPr>
            </w:pPr>
            <w:r w:rsidRPr="00AA6C3D">
              <w:rPr>
                <w:rFonts w:eastAsia="Batang"/>
                <w:sz w:val="18"/>
                <w:szCs w:val="18"/>
                <w:lang w:eastAsia="ko-KR"/>
              </w:rPr>
              <w:t>3</w:t>
            </w:r>
          </w:p>
        </w:tc>
      </w:tr>
      <w:tr w:rsidR="0091066B" w:rsidRPr="008632BD" w14:paraId="30D1A097" w14:textId="77777777" w:rsidTr="001F2F82">
        <w:trPr>
          <w:jc w:val="center"/>
        </w:trPr>
        <w:tc>
          <w:tcPr>
            <w:tcW w:w="6017" w:type="dxa"/>
            <w:tcBorders>
              <w:top w:val="nil"/>
              <w:bottom w:val="single" w:sz="4" w:space="0" w:color="auto"/>
            </w:tcBorders>
            <w:shd w:val="clear" w:color="auto" w:fill="FFFFFF" w:themeFill="background1"/>
          </w:tcPr>
          <w:p w14:paraId="29A9E50C" w14:textId="778F9D53" w:rsidR="008C3FA1" w:rsidRPr="00AA6C3D" w:rsidRDefault="008C3FA1" w:rsidP="008C3FA1">
            <w:pPr>
              <w:ind w:left="357" w:hanging="117"/>
              <w:jc w:val="both"/>
              <w:rPr>
                <w:sz w:val="18"/>
                <w:szCs w:val="18"/>
              </w:rPr>
            </w:pPr>
            <w:r w:rsidRPr="00AA6C3D">
              <w:rPr>
                <w:sz w:val="18"/>
                <w:szCs w:val="18"/>
              </w:rPr>
              <w:t>НСНЗ (съгласно чл. 14, ал. 3 ПОДСТС)</w:t>
            </w:r>
          </w:p>
        </w:tc>
        <w:tc>
          <w:tcPr>
            <w:tcW w:w="1134" w:type="dxa"/>
            <w:tcBorders>
              <w:top w:val="nil"/>
              <w:bottom w:val="single" w:sz="4" w:space="0" w:color="auto"/>
            </w:tcBorders>
            <w:shd w:val="clear" w:color="auto" w:fill="FFFFFF" w:themeFill="background1"/>
            <w:vAlign w:val="center"/>
          </w:tcPr>
          <w:p w14:paraId="75C4C18B" w14:textId="63635FF3" w:rsidR="008C3FA1" w:rsidRPr="00AA6C3D" w:rsidRDefault="008C3FA1" w:rsidP="00295625">
            <w:pPr>
              <w:autoSpaceDE w:val="0"/>
              <w:autoSpaceDN w:val="0"/>
              <w:adjustRightInd w:val="0"/>
              <w:rPr>
                <w:rFonts w:eastAsia="Batang"/>
                <w:sz w:val="18"/>
                <w:szCs w:val="18"/>
                <w:lang w:eastAsia="ko-KR"/>
              </w:rPr>
            </w:pPr>
            <w:r w:rsidRPr="00AA6C3D">
              <w:rPr>
                <w:sz w:val="18"/>
                <w:szCs w:val="18"/>
              </w:rPr>
              <w:t>брой</w:t>
            </w:r>
          </w:p>
        </w:tc>
        <w:tc>
          <w:tcPr>
            <w:tcW w:w="992" w:type="dxa"/>
            <w:tcBorders>
              <w:top w:val="nil"/>
              <w:bottom w:val="single" w:sz="4" w:space="0" w:color="auto"/>
            </w:tcBorders>
            <w:shd w:val="clear" w:color="auto" w:fill="FFFFFF" w:themeFill="background1"/>
            <w:vAlign w:val="center"/>
          </w:tcPr>
          <w:p w14:paraId="1841D694" w14:textId="1E985FA8" w:rsidR="008C3FA1" w:rsidRPr="00AA6C3D" w:rsidRDefault="008C3FA1" w:rsidP="0091066B">
            <w:pPr>
              <w:autoSpaceDE w:val="0"/>
              <w:autoSpaceDN w:val="0"/>
              <w:adjustRightInd w:val="0"/>
              <w:rPr>
                <w:rFonts w:eastAsia="Batang"/>
                <w:sz w:val="18"/>
                <w:szCs w:val="18"/>
                <w:lang w:eastAsia="ko-KR"/>
              </w:rPr>
            </w:pPr>
            <w:r w:rsidRPr="00AA6C3D">
              <w:rPr>
                <w:rFonts w:eastAsia="Batang"/>
                <w:sz w:val="18"/>
                <w:szCs w:val="18"/>
                <w:lang w:eastAsia="ko-KR"/>
              </w:rPr>
              <w:t>2</w:t>
            </w:r>
          </w:p>
        </w:tc>
      </w:tr>
      <w:tr w:rsidR="0091066B" w:rsidRPr="008632BD" w14:paraId="1814D1E6" w14:textId="77777777" w:rsidTr="001F2F82">
        <w:trPr>
          <w:jc w:val="center"/>
        </w:trPr>
        <w:tc>
          <w:tcPr>
            <w:tcW w:w="6017" w:type="dxa"/>
            <w:tcBorders>
              <w:bottom w:val="nil"/>
            </w:tcBorders>
            <w:shd w:val="clear" w:color="auto" w:fill="FFFFFF" w:themeFill="background1"/>
          </w:tcPr>
          <w:p w14:paraId="5B66CA23" w14:textId="696066A3" w:rsidR="008C3FA1" w:rsidRPr="00AA6C3D" w:rsidRDefault="008C3FA1" w:rsidP="008C3FA1">
            <w:pPr>
              <w:autoSpaceDE w:val="0"/>
              <w:autoSpaceDN w:val="0"/>
              <w:adjustRightInd w:val="0"/>
              <w:jc w:val="both"/>
              <w:rPr>
                <w:rFonts w:eastAsia="Batang"/>
                <w:sz w:val="18"/>
                <w:szCs w:val="18"/>
                <w:lang w:eastAsia="ko-KR"/>
              </w:rPr>
            </w:pPr>
            <w:r w:rsidRPr="00AA6C3D">
              <w:rPr>
                <w:sz w:val="18"/>
                <w:szCs w:val="18"/>
              </w:rPr>
              <w:t xml:space="preserve">5. </w:t>
            </w:r>
            <w:r w:rsidRPr="00AA6C3D">
              <w:rPr>
                <w:b/>
                <w:sz w:val="18"/>
                <w:szCs w:val="18"/>
              </w:rPr>
              <w:t>Изготвени проекти на:</w:t>
            </w:r>
          </w:p>
        </w:tc>
        <w:tc>
          <w:tcPr>
            <w:tcW w:w="1134" w:type="dxa"/>
            <w:tcBorders>
              <w:bottom w:val="nil"/>
            </w:tcBorders>
            <w:shd w:val="clear" w:color="auto" w:fill="FFFFFF" w:themeFill="background1"/>
            <w:vAlign w:val="center"/>
          </w:tcPr>
          <w:p w14:paraId="11657982" w14:textId="48F7E7B4" w:rsidR="008C3FA1" w:rsidRPr="00AA6C3D" w:rsidRDefault="008C3FA1" w:rsidP="00295625">
            <w:pPr>
              <w:autoSpaceDE w:val="0"/>
              <w:autoSpaceDN w:val="0"/>
              <w:adjustRightInd w:val="0"/>
              <w:rPr>
                <w:rFonts w:eastAsia="Batang"/>
                <w:sz w:val="18"/>
                <w:szCs w:val="18"/>
                <w:lang w:eastAsia="ko-KR"/>
              </w:rPr>
            </w:pPr>
          </w:p>
        </w:tc>
        <w:tc>
          <w:tcPr>
            <w:tcW w:w="992" w:type="dxa"/>
            <w:tcBorders>
              <w:bottom w:val="nil"/>
            </w:tcBorders>
            <w:shd w:val="clear" w:color="auto" w:fill="FFFFFF" w:themeFill="background1"/>
            <w:vAlign w:val="center"/>
          </w:tcPr>
          <w:p w14:paraId="7CF32D11" w14:textId="77777777" w:rsidR="008C3FA1" w:rsidRPr="00AA6C3D" w:rsidRDefault="008C3FA1" w:rsidP="0091066B">
            <w:pPr>
              <w:autoSpaceDE w:val="0"/>
              <w:autoSpaceDN w:val="0"/>
              <w:adjustRightInd w:val="0"/>
              <w:rPr>
                <w:rFonts w:eastAsia="Batang"/>
                <w:sz w:val="18"/>
                <w:szCs w:val="18"/>
                <w:lang w:eastAsia="ko-KR"/>
              </w:rPr>
            </w:pPr>
          </w:p>
        </w:tc>
      </w:tr>
      <w:tr w:rsidR="0091066B" w:rsidRPr="008632BD" w14:paraId="55C8E326" w14:textId="77777777" w:rsidTr="001F2F82">
        <w:trPr>
          <w:jc w:val="center"/>
        </w:trPr>
        <w:tc>
          <w:tcPr>
            <w:tcW w:w="6017" w:type="dxa"/>
            <w:tcBorders>
              <w:top w:val="nil"/>
              <w:bottom w:val="nil"/>
            </w:tcBorders>
            <w:shd w:val="clear" w:color="auto" w:fill="FFFFFF" w:themeFill="background1"/>
          </w:tcPr>
          <w:p w14:paraId="0FE6865B" w14:textId="07B18E6A" w:rsidR="008C3FA1" w:rsidRPr="00AA6C3D" w:rsidRDefault="008C3FA1" w:rsidP="008C3FA1">
            <w:pPr>
              <w:ind w:left="357" w:hanging="117"/>
              <w:jc w:val="both"/>
              <w:rPr>
                <w:sz w:val="18"/>
                <w:szCs w:val="18"/>
              </w:rPr>
            </w:pPr>
            <w:r w:rsidRPr="00AA6C3D">
              <w:rPr>
                <w:sz w:val="18"/>
                <w:szCs w:val="18"/>
              </w:rPr>
              <w:t>доклад от министър-председателя</w:t>
            </w:r>
          </w:p>
        </w:tc>
        <w:tc>
          <w:tcPr>
            <w:tcW w:w="1134" w:type="dxa"/>
            <w:tcBorders>
              <w:top w:val="nil"/>
              <w:bottom w:val="nil"/>
            </w:tcBorders>
            <w:shd w:val="clear" w:color="auto" w:fill="FFFFFF" w:themeFill="background1"/>
            <w:vAlign w:val="center"/>
          </w:tcPr>
          <w:p w14:paraId="19BD0FB4" w14:textId="3D1AE021" w:rsidR="008C3FA1" w:rsidRPr="00AA6C3D" w:rsidRDefault="008C3FA1" w:rsidP="00295625">
            <w:pPr>
              <w:autoSpaceDE w:val="0"/>
              <w:autoSpaceDN w:val="0"/>
              <w:adjustRightInd w:val="0"/>
              <w:rPr>
                <w:rFonts w:eastAsia="Batang"/>
                <w:sz w:val="18"/>
                <w:szCs w:val="18"/>
                <w:lang w:eastAsia="ko-KR"/>
              </w:rPr>
            </w:pPr>
            <w:r w:rsidRPr="00AA6C3D">
              <w:rPr>
                <w:sz w:val="18"/>
                <w:szCs w:val="18"/>
              </w:rPr>
              <w:t>брой</w:t>
            </w:r>
          </w:p>
        </w:tc>
        <w:tc>
          <w:tcPr>
            <w:tcW w:w="992" w:type="dxa"/>
            <w:tcBorders>
              <w:top w:val="nil"/>
              <w:bottom w:val="nil"/>
            </w:tcBorders>
            <w:shd w:val="clear" w:color="auto" w:fill="FFFFFF" w:themeFill="background1"/>
            <w:vAlign w:val="center"/>
          </w:tcPr>
          <w:p w14:paraId="05101A2D" w14:textId="06AE4BE0" w:rsidR="008C3FA1" w:rsidRPr="00AA6C3D" w:rsidRDefault="008C3FA1" w:rsidP="0091066B">
            <w:pPr>
              <w:autoSpaceDE w:val="0"/>
              <w:autoSpaceDN w:val="0"/>
              <w:adjustRightInd w:val="0"/>
              <w:rPr>
                <w:rFonts w:eastAsia="Batang"/>
                <w:b/>
                <w:sz w:val="18"/>
                <w:szCs w:val="18"/>
                <w:lang w:eastAsia="ko-KR"/>
              </w:rPr>
            </w:pPr>
            <w:r w:rsidRPr="00AA6C3D">
              <w:rPr>
                <w:rFonts w:eastAsia="Batang"/>
                <w:b/>
                <w:sz w:val="18"/>
                <w:szCs w:val="18"/>
                <w:lang w:eastAsia="ko-KR"/>
              </w:rPr>
              <w:t>1</w:t>
            </w:r>
          </w:p>
        </w:tc>
      </w:tr>
      <w:tr w:rsidR="008C3FA1" w:rsidRPr="008632BD" w14:paraId="711D239C" w14:textId="77777777" w:rsidTr="001F2F82">
        <w:trPr>
          <w:jc w:val="center"/>
        </w:trPr>
        <w:tc>
          <w:tcPr>
            <w:tcW w:w="6017" w:type="dxa"/>
            <w:tcBorders>
              <w:top w:val="nil"/>
            </w:tcBorders>
            <w:shd w:val="clear" w:color="auto" w:fill="FFFFFF" w:themeFill="background1"/>
          </w:tcPr>
          <w:p w14:paraId="37B645D5" w14:textId="283E65EA" w:rsidR="008C3FA1" w:rsidRPr="00AA6C3D" w:rsidRDefault="008C3FA1" w:rsidP="00295625">
            <w:pPr>
              <w:spacing w:after="120"/>
              <w:ind w:left="357" w:hanging="117"/>
              <w:jc w:val="both"/>
              <w:rPr>
                <w:sz w:val="18"/>
                <w:szCs w:val="18"/>
              </w:rPr>
            </w:pPr>
            <w:r w:rsidRPr="00AA6C3D">
              <w:rPr>
                <w:sz w:val="18"/>
                <w:szCs w:val="18"/>
              </w:rPr>
              <w:t>решение на МС</w:t>
            </w:r>
          </w:p>
        </w:tc>
        <w:tc>
          <w:tcPr>
            <w:tcW w:w="1134" w:type="dxa"/>
            <w:tcBorders>
              <w:top w:val="nil"/>
            </w:tcBorders>
            <w:shd w:val="clear" w:color="auto" w:fill="FFFFFF" w:themeFill="background1"/>
            <w:vAlign w:val="center"/>
          </w:tcPr>
          <w:p w14:paraId="66A1DF48" w14:textId="4727B3FA" w:rsidR="008C3FA1" w:rsidRPr="00AA6C3D" w:rsidRDefault="008C3FA1" w:rsidP="00295625">
            <w:pPr>
              <w:autoSpaceDE w:val="0"/>
              <w:autoSpaceDN w:val="0"/>
              <w:adjustRightInd w:val="0"/>
              <w:spacing w:after="120"/>
              <w:rPr>
                <w:sz w:val="18"/>
                <w:szCs w:val="18"/>
              </w:rPr>
            </w:pPr>
            <w:r w:rsidRPr="00AA6C3D">
              <w:rPr>
                <w:sz w:val="18"/>
                <w:szCs w:val="18"/>
              </w:rPr>
              <w:t>брой</w:t>
            </w:r>
          </w:p>
        </w:tc>
        <w:tc>
          <w:tcPr>
            <w:tcW w:w="992" w:type="dxa"/>
            <w:tcBorders>
              <w:top w:val="nil"/>
            </w:tcBorders>
            <w:shd w:val="clear" w:color="auto" w:fill="FFFFFF" w:themeFill="background1"/>
            <w:vAlign w:val="center"/>
          </w:tcPr>
          <w:p w14:paraId="6AFFC45D" w14:textId="7798F52A" w:rsidR="008C3FA1" w:rsidRPr="00AA6C3D" w:rsidRDefault="008C3FA1" w:rsidP="0091066B">
            <w:pPr>
              <w:autoSpaceDE w:val="0"/>
              <w:autoSpaceDN w:val="0"/>
              <w:adjustRightInd w:val="0"/>
              <w:spacing w:after="120"/>
              <w:rPr>
                <w:rFonts w:eastAsia="Batang"/>
                <w:b/>
                <w:sz w:val="18"/>
                <w:szCs w:val="18"/>
                <w:lang w:eastAsia="ko-KR"/>
              </w:rPr>
            </w:pPr>
            <w:r w:rsidRPr="00AA6C3D">
              <w:rPr>
                <w:rFonts w:eastAsia="Batang"/>
                <w:b/>
                <w:sz w:val="18"/>
                <w:szCs w:val="18"/>
                <w:lang w:eastAsia="ko-KR"/>
              </w:rPr>
              <w:t>1</w:t>
            </w:r>
          </w:p>
        </w:tc>
      </w:tr>
    </w:tbl>
    <w:p w14:paraId="4F78BDAC" w14:textId="77777777" w:rsidR="00C82A9E" w:rsidRPr="00AA6C3D" w:rsidRDefault="00C82A9E" w:rsidP="00EE655D">
      <w:pPr>
        <w:shd w:val="clear" w:color="auto" w:fill="FFFFFF" w:themeFill="background1"/>
        <w:tabs>
          <w:tab w:val="num" w:pos="0"/>
          <w:tab w:val="num" w:pos="567"/>
          <w:tab w:val="num" w:pos="644"/>
          <w:tab w:val="num" w:pos="993"/>
        </w:tabs>
        <w:spacing w:before="120"/>
        <w:ind w:firstLine="425"/>
        <w:jc w:val="both"/>
        <w:rPr>
          <w:rFonts w:eastAsia="Batang"/>
          <w:sz w:val="22"/>
          <w:szCs w:val="22"/>
          <w:lang w:eastAsia="ko-KR"/>
        </w:rPr>
      </w:pPr>
      <w:r w:rsidRPr="00AA6C3D">
        <w:rPr>
          <w:rFonts w:eastAsia="Batang"/>
          <w:sz w:val="22"/>
          <w:szCs w:val="22"/>
          <w:lang w:eastAsia="ko-KR"/>
        </w:rPr>
        <w:t>Секретариатът изготвя ежеседмична справка за председателя на НСТС относно постъпилите проекти на нормативни актове и други документи с искане за обсъждане в комисиите или Съвета.</w:t>
      </w:r>
    </w:p>
    <w:p w14:paraId="6611474C" w14:textId="77777777" w:rsidR="00C82A9E" w:rsidRPr="00AA6C3D" w:rsidRDefault="00C82A9E" w:rsidP="00EE655D">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AA6C3D">
        <w:rPr>
          <w:rFonts w:eastAsia="Batang"/>
          <w:sz w:val="22"/>
          <w:szCs w:val="22"/>
          <w:lang w:eastAsia="ko-KR"/>
        </w:rPr>
        <w:t>През отчетния период в Секретариата на НСТС няма настъпили структурни промени.</w:t>
      </w:r>
    </w:p>
    <w:p w14:paraId="64F6E912" w14:textId="77777777" w:rsidR="0036413D" w:rsidRPr="00EE655D" w:rsidRDefault="0036413D" w:rsidP="00EE655D">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EE655D">
        <w:rPr>
          <w:b/>
          <w:bCs/>
          <w:i/>
          <w:iCs/>
          <w:color w:val="215E99" w:themeColor="text2" w:themeTint="BF"/>
          <w:sz w:val="22"/>
          <w:szCs w:val="22"/>
        </w:rPr>
        <w:t>Координация по въпросите на отбранителната индустрия и мобилизационната готовност на страната – Секретариат на Междуведомствения съвет по отбранителна индустрия и сигурност на доставките към Министерския съвет</w:t>
      </w:r>
    </w:p>
    <w:p w14:paraId="6F5849E1" w14:textId="0CEEBF30" w:rsidR="0036413D" w:rsidRPr="0096453B" w:rsidRDefault="0036413D" w:rsidP="00EE655D">
      <w:pPr>
        <w:shd w:val="clear" w:color="auto" w:fill="FFFFFF" w:themeFill="background1"/>
        <w:tabs>
          <w:tab w:val="num" w:pos="0"/>
          <w:tab w:val="num" w:pos="567"/>
          <w:tab w:val="num" w:pos="644"/>
          <w:tab w:val="num" w:pos="993"/>
        </w:tabs>
        <w:ind w:firstLine="425"/>
        <w:jc w:val="both"/>
        <w:rPr>
          <w:rFonts w:eastAsia="Batang"/>
          <w:sz w:val="22"/>
          <w:szCs w:val="22"/>
          <w:lang w:eastAsia="ko-KR"/>
        </w:rPr>
      </w:pPr>
      <w:r w:rsidRPr="0096453B">
        <w:rPr>
          <w:rFonts w:eastAsia="Batang"/>
          <w:sz w:val="22"/>
          <w:szCs w:val="22"/>
          <w:lang w:eastAsia="ko-KR"/>
        </w:rPr>
        <w:t xml:space="preserve">Междуведомственият съвет по отбранителна индустрия и сигурност на доставките към Министерския съвет (МСОИСД) е създаден с Постановление № 120 на Министерския съвет </w:t>
      </w:r>
      <w:r w:rsidRPr="0096453B">
        <w:rPr>
          <w:rFonts w:eastAsia="Batang"/>
          <w:sz w:val="22"/>
          <w:szCs w:val="22"/>
          <w:lang w:eastAsia="ko-KR"/>
        </w:rPr>
        <w:br/>
        <w:t>от 2012 г.</w:t>
      </w:r>
    </w:p>
    <w:p w14:paraId="29171D9F" w14:textId="77777777" w:rsidR="0036413D" w:rsidRPr="0096453B" w:rsidRDefault="0036413D" w:rsidP="00EE655D">
      <w:pPr>
        <w:shd w:val="clear" w:color="auto" w:fill="FFFFFF" w:themeFill="background1"/>
        <w:tabs>
          <w:tab w:val="num" w:pos="0"/>
          <w:tab w:val="num" w:pos="567"/>
          <w:tab w:val="num" w:pos="644"/>
          <w:tab w:val="num" w:pos="993"/>
        </w:tabs>
        <w:ind w:firstLine="425"/>
        <w:jc w:val="both"/>
        <w:rPr>
          <w:rFonts w:eastAsia="Batang"/>
          <w:sz w:val="22"/>
          <w:szCs w:val="22"/>
          <w:lang w:eastAsia="ko-KR"/>
        </w:rPr>
      </w:pPr>
      <w:r w:rsidRPr="0096453B">
        <w:rPr>
          <w:rFonts w:eastAsia="Batang"/>
          <w:sz w:val="22"/>
          <w:szCs w:val="22"/>
          <w:lang w:eastAsia="ko-KR"/>
        </w:rPr>
        <w:t xml:space="preserve">Междуведомственият съвет по отбранителна индустрия и сигурност на доставките разработва принципи и осъществява координацията по провеждането на държавната политика в областта на отбранителната индустрия, на експортния контрол на продукти, свързани с отбраната (ПСО), на отбранително-мобилизационната подготовка на страната и на международното отбранително-икономическо и научно-техническо сътрудничество във връзка с отбраната и сигурността на страната. </w:t>
      </w:r>
    </w:p>
    <w:p w14:paraId="76D8315A" w14:textId="77777777" w:rsidR="0036413D" w:rsidRPr="0096453B" w:rsidRDefault="0036413D" w:rsidP="00EE655D">
      <w:pPr>
        <w:shd w:val="clear" w:color="auto" w:fill="FFFFFF" w:themeFill="background1"/>
        <w:tabs>
          <w:tab w:val="num" w:pos="0"/>
          <w:tab w:val="num" w:pos="567"/>
          <w:tab w:val="num" w:pos="644"/>
          <w:tab w:val="num" w:pos="993"/>
        </w:tabs>
        <w:ind w:firstLine="425"/>
        <w:jc w:val="both"/>
        <w:rPr>
          <w:rFonts w:eastAsia="Batang"/>
          <w:sz w:val="22"/>
          <w:szCs w:val="22"/>
          <w:lang w:eastAsia="ko-KR"/>
        </w:rPr>
      </w:pPr>
      <w:r w:rsidRPr="0096453B">
        <w:rPr>
          <w:rFonts w:eastAsia="Batang"/>
          <w:sz w:val="22"/>
          <w:szCs w:val="22"/>
          <w:lang w:eastAsia="ko-KR"/>
        </w:rPr>
        <w:t>През отчетния период са постигнати заложените цели, свързани с:</w:t>
      </w:r>
    </w:p>
    <w:p w14:paraId="5EEA4CAB" w14:textId="77777777" w:rsidR="0036413D" w:rsidRPr="000B0EFE" w:rsidRDefault="0036413D" w:rsidP="00EE655D">
      <w:pPr>
        <w:numPr>
          <w:ilvl w:val="0"/>
          <w:numId w:val="12"/>
        </w:numPr>
        <w:shd w:val="clear" w:color="auto" w:fill="FFFFFF" w:themeFill="background1"/>
        <w:tabs>
          <w:tab w:val="clear" w:pos="360"/>
          <w:tab w:val="left" w:pos="709"/>
        </w:tabs>
        <w:ind w:left="0" w:firstLine="426"/>
        <w:contextualSpacing/>
        <w:jc w:val="both"/>
        <w:rPr>
          <w:bCs/>
          <w:sz w:val="22"/>
          <w:szCs w:val="22"/>
        </w:rPr>
      </w:pPr>
      <w:r w:rsidRPr="000B0EFE">
        <w:rPr>
          <w:bCs/>
          <w:sz w:val="22"/>
          <w:szCs w:val="22"/>
        </w:rPr>
        <w:t>Осигуряване на организацията на дейността, техническото и административното обслужване на МСОИСД;</w:t>
      </w:r>
    </w:p>
    <w:p w14:paraId="5D8C2971" w14:textId="77777777" w:rsidR="0036413D" w:rsidRPr="000B0EFE" w:rsidRDefault="0036413D" w:rsidP="00EE655D">
      <w:pPr>
        <w:numPr>
          <w:ilvl w:val="0"/>
          <w:numId w:val="12"/>
        </w:numPr>
        <w:shd w:val="clear" w:color="auto" w:fill="FFFFFF" w:themeFill="background1"/>
        <w:tabs>
          <w:tab w:val="clear" w:pos="360"/>
          <w:tab w:val="left" w:pos="709"/>
        </w:tabs>
        <w:ind w:left="0" w:firstLine="426"/>
        <w:contextualSpacing/>
        <w:jc w:val="both"/>
        <w:rPr>
          <w:bCs/>
          <w:sz w:val="22"/>
          <w:szCs w:val="22"/>
        </w:rPr>
      </w:pPr>
      <w:r w:rsidRPr="000B0EFE">
        <w:rPr>
          <w:bCs/>
          <w:sz w:val="22"/>
          <w:szCs w:val="22"/>
        </w:rPr>
        <w:t>Осъществяване на контрол по изпълнението на Закона за експортния контрол на продукти, свързани с отбраната, и на изделия и технологии с двойна употреба;</w:t>
      </w:r>
    </w:p>
    <w:p w14:paraId="651EAE6A" w14:textId="77777777" w:rsidR="0036413D" w:rsidRPr="000B0EFE" w:rsidRDefault="0036413D" w:rsidP="00EE655D">
      <w:pPr>
        <w:numPr>
          <w:ilvl w:val="0"/>
          <w:numId w:val="12"/>
        </w:numPr>
        <w:shd w:val="clear" w:color="auto" w:fill="FFFFFF" w:themeFill="background1"/>
        <w:tabs>
          <w:tab w:val="clear" w:pos="360"/>
          <w:tab w:val="left" w:pos="709"/>
        </w:tabs>
        <w:ind w:left="0" w:firstLine="426"/>
        <w:contextualSpacing/>
        <w:jc w:val="both"/>
        <w:rPr>
          <w:bCs/>
          <w:sz w:val="22"/>
          <w:szCs w:val="22"/>
        </w:rPr>
      </w:pPr>
      <w:r w:rsidRPr="000B0EFE">
        <w:rPr>
          <w:bCs/>
          <w:sz w:val="22"/>
          <w:szCs w:val="22"/>
        </w:rPr>
        <w:lastRenderedPageBreak/>
        <w:t>Осигуряване на прозрачност в работата на МСОИСД и информираност на бизнеса и гражданите, при обсъждане на въпроси, свързани с функционалните области на съвета.</w:t>
      </w:r>
    </w:p>
    <w:p w14:paraId="6515F498" w14:textId="77777777" w:rsidR="0036413D" w:rsidRPr="0091066B" w:rsidRDefault="0036413D" w:rsidP="00EE655D">
      <w:pPr>
        <w:widowControl w:val="0"/>
        <w:shd w:val="clear" w:color="auto" w:fill="FFFFFF" w:themeFill="background1"/>
        <w:spacing w:before="120"/>
        <w:ind w:firstLine="425"/>
        <w:jc w:val="both"/>
        <w:outlineLvl w:val="3"/>
        <w:rPr>
          <w:b/>
          <w:i/>
          <w:color w:val="800000"/>
          <w:sz w:val="22"/>
          <w:szCs w:val="22"/>
        </w:rPr>
      </w:pPr>
      <w:r w:rsidRPr="0091066B">
        <w:rPr>
          <w:b/>
          <w:i/>
          <w:color w:val="800000"/>
          <w:sz w:val="22"/>
          <w:szCs w:val="22"/>
        </w:rPr>
        <w:t>Дейности за предоставяне на продукта/услугата:</w:t>
      </w:r>
    </w:p>
    <w:p w14:paraId="16554E21" w14:textId="27C4A328" w:rsidR="0036413D" w:rsidRPr="000B0EFE" w:rsidRDefault="0036413D" w:rsidP="00EE655D">
      <w:pPr>
        <w:shd w:val="clear" w:color="auto" w:fill="FFFFFF" w:themeFill="background1"/>
        <w:tabs>
          <w:tab w:val="num" w:pos="0"/>
          <w:tab w:val="num" w:pos="567"/>
          <w:tab w:val="num" w:pos="644"/>
          <w:tab w:val="num" w:pos="993"/>
        </w:tabs>
        <w:ind w:firstLine="425"/>
        <w:jc w:val="both"/>
        <w:rPr>
          <w:rFonts w:eastAsia="Batang"/>
          <w:sz w:val="22"/>
          <w:szCs w:val="22"/>
          <w:lang w:eastAsia="ko-KR"/>
        </w:rPr>
      </w:pPr>
      <w:r w:rsidRPr="000B0EFE">
        <w:rPr>
          <w:rFonts w:eastAsia="Batang"/>
          <w:sz w:val="22"/>
          <w:szCs w:val="22"/>
          <w:lang w:eastAsia="ko-KR"/>
        </w:rPr>
        <w:t xml:space="preserve">През отчетния период е определен поименният състав на Междуведомствения съвет със заповед № Р-33/18.02.2025 г. на съпредседателите му – министърът на икономиката и индустрията и министърът на отбраната. </w:t>
      </w:r>
    </w:p>
    <w:p w14:paraId="61A2F279" w14:textId="77777777" w:rsidR="0036413D" w:rsidRPr="000B0EFE" w:rsidRDefault="0036413D" w:rsidP="00EE655D">
      <w:pPr>
        <w:shd w:val="clear" w:color="auto" w:fill="FFFFFF" w:themeFill="background1"/>
        <w:tabs>
          <w:tab w:val="num" w:pos="0"/>
          <w:tab w:val="num" w:pos="567"/>
          <w:tab w:val="num" w:pos="644"/>
          <w:tab w:val="num" w:pos="993"/>
        </w:tabs>
        <w:ind w:firstLine="425"/>
        <w:jc w:val="both"/>
        <w:rPr>
          <w:rFonts w:eastAsia="Batang"/>
          <w:sz w:val="22"/>
          <w:szCs w:val="22"/>
          <w:lang w:eastAsia="ko-KR"/>
        </w:rPr>
      </w:pPr>
      <w:r w:rsidRPr="000B0EFE">
        <w:rPr>
          <w:rFonts w:eastAsia="Batang"/>
          <w:sz w:val="22"/>
          <w:szCs w:val="22"/>
          <w:lang w:eastAsia="ko-KR"/>
        </w:rPr>
        <w:t>Секретариатът на Междуведомствения съвет по отбранителна индустрия и сигурност на доставките организира подготовката и провеждането на заседанията на МСОИСД. През отчетния период са организирани и проведени 4 заседания. Секретариатът води отчетност за становищата и решенията на Междуведомствения съвет и организира и координира изпълнението им.</w:t>
      </w:r>
    </w:p>
    <w:p w14:paraId="433CE56C" w14:textId="77777777" w:rsidR="0036413D" w:rsidRPr="00703371" w:rsidRDefault="0036413D" w:rsidP="00EE655D">
      <w:pPr>
        <w:shd w:val="clear" w:color="auto" w:fill="FFFFFF" w:themeFill="background1"/>
        <w:tabs>
          <w:tab w:val="num" w:pos="0"/>
          <w:tab w:val="num" w:pos="567"/>
          <w:tab w:val="num" w:pos="644"/>
          <w:tab w:val="num" w:pos="993"/>
        </w:tabs>
        <w:ind w:firstLine="425"/>
        <w:jc w:val="both"/>
        <w:rPr>
          <w:rFonts w:eastAsia="Batang"/>
          <w:sz w:val="22"/>
          <w:szCs w:val="22"/>
          <w:lang w:eastAsia="ko-KR"/>
        </w:rPr>
      </w:pPr>
      <w:r w:rsidRPr="00703371">
        <w:rPr>
          <w:rFonts w:eastAsia="Batang"/>
          <w:b/>
          <w:bCs/>
          <w:sz w:val="22"/>
          <w:szCs w:val="22"/>
          <w:lang w:eastAsia="ko-KR"/>
        </w:rPr>
        <w:t>В областта на експортния контрол на продукти, свързани с отбраната и на изделия и технологии с двойна употреба</w:t>
      </w:r>
      <w:r w:rsidRPr="00703371">
        <w:rPr>
          <w:rFonts w:eastAsia="Batang"/>
          <w:sz w:val="22"/>
          <w:szCs w:val="22"/>
          <w:lang w:eastAsia="ko-KR"/>
        </w:rPr>
        <w:t xml:space="preserve"> през първото полугодие на 2025 г. се изпълняват задачите произтичащи от Закона за експортния контрол на продукти, свързани с отбраната, и на технологии с двойна употреба (ЗЕКПСОИТДУ), като на заседания на съвета са разгледани заявленията на фирми за издаване на лицензи и удостоверения за регистрации за външнотърговски дейности с продукти, свързани с отбраната, както и за промяна на обстоятелствата настъпили след тяхното издаване. Секретариатът е оказал методическа и техническа помощ при подготовката на необходимите документи на фирмите заявители.</w:t>
      </w:r>
    </w:p>
    <w:p w14:paraId="123A356E" w14:textId="78FF4A39" w:rsidR="0036413D" w:rsidRDefault="0036413D" w:rsidP="00EE655D">
      <w:pPr>
        <w:shd w:val="clear" w:color="auto" w:fill="FFFFFF" w:themeFill="background1"/>
        <w:tabs>
          <w:tab w:val="num" w:pos="0"/>
          <w:tab w:val="num" w:pos="567"/>
          <w:tab w:val="num" w:pos="644"/>
          <w:tab w:val="num" w:pos="993"/>
        </w:tabs>
        <w:spacing w:after="120"/>
        <w:ind w:firstLine="425"/>
        <w:jc w:val="both"/>
        <w:rPr>
          <w:sz w:val="22"/>
          <w:szCs w:val="22"/>
        </w:rPr>
      </w:pPr>
      <w:r w:rsidRPr="00703371">
        <w:rPr>
          <w:rFonts w:eastAsia="Batang"/>
          <w:sz w:val="22"/>
          <w:szCs w:val="22"/>
          <w:lang w:eastAsia="ko-KR"/>
        </w:rPr>
        <w:t>През периода 01.01</w:t>
      </w:r>
      <w:r w:rsidR="00696391">
        <w:rPr>
          <w:rFonts w:eastAsia="Batang"/>
          <w:sz w:val="22"/>
          <w:szCs w:val="22"/>
          <w:lang w:eastAsia="ko-KR"/>
        </w:rPr>
        <w:t xml:space="preserve"> – </w:t>
      </w:r>
      <w:r w:rsidRPr="00703371">
        <w:rPr>
          <w:rFonts w:eastAsia="Batang"/>
          <w:sz w:val="22"/>
          <w:szCs w:val="22"/>
          <w:lang w:eastAsia="ko-KR"/>
        </w:rPr>
        <w:t>30.06.2025 г. са подготвени, изпратени до членовете на съвета и разгледани на заседанията, заявленията за издаване на лицензи и удостоверения и уведомления за промяна на обстоятелствата</w:t>
      </w:r>
      <w:r w:rsidRPr="0091066B">
        <w:rPr>
          <w:sz w:val="22"/>
          <w:szCs w:val="22"/>
        </w:rPr>
        <w:t xml:space="preserve"> на 104 фирми. По силата на ЗЕКПСОИТДУ са издадени от МСОИСД следните документи:</w:t>
      </w:r>
    </w:p>
    <w:tbl>
      <w:tblPr>
        <w:tblStyle w:val="TableGrid"/>
        <w:tblpPr w:leftFromText="141" w:rightFromText="141" w:vertAnchor="text" w:horzAnchor="margin" w:tblpXSpec="center" w:tblpY="40"/>
        <w:tblW w:w="8505" w:type="dxa"/>
        <w:tblLook w:val="04A0" w:firstRow="1" w:lastRow="0" w:firstColumn="1" w:lastColumn="0" w:noHBand="0" w:noVBand="1"/>
      </w:tblPr>
      <w:tblGrid>
        <w:gridCol w:w="565"/>
        <w:gridCol w:w="6313"/>
        <w:gridCol w:w="778"/>
        <w:gridCol w:w="849"/>
      </w:tblGrid>
      <w:tr w:rsidR="00EC4FF2" w14:paraId="7FCE4124" w14:textId="77777777" w:rsidTr="007D364D">
        <w:trPr>
          <w:trHeight w:val="20"/>
        </w:trPr>
        <w:tc>
          <w:tcPr>
            <w:tcW w:w="565" w:type="dxa"/>
            <w:shd w:val="clear" w:color="auto" w:fill="F6C5AC" w:themeFill="accent2" w:themeFillTint="66"/>
          </w:tcPr>
          <w:p w14:paraId="4A2A03FB" w14:textId="6611BDF0" w:rsidR="007D364D" w:rsidRPr="00EC4FF2" w:rsidRDefault="00EC4FF2" w:rsidP="00EC4FF2">
            <w:pPr>
              <w:tabs>
                <w:tab w:val="num" w:pos="0"/>
                <w:tab w:val="num" w:pos="567"/>
                <w:tab w:val="num" w:pos="644"/>
                <w:tab w:val="num" w:pos="993"/>
              </w:tabs>
              <w:spacing w:after="120"/>
              <w:jc w:val="both"/>
              <w:rPr>
                <w:b/>
                <w:sz w:val="18"/>
                <w:szCs w:val="18"/>
              </w:rPr>
            </w:pPr>
            <w:r w:rsidRPr="00EC4FF2">
              <w:rPr>
                <w:b/>
                <w:sz w:val="18"/>
                <w:szCs w:val="18"/>
              </w:rPr>
              <w:t>№</w:t>
            </w:r>
          </w:p>
        </w:tc>
        <w:tc>
          <w:tcPr>
            <w:tcW w:w="6313" w:type="dxa"/>
            <w:shd w:val="clear" w:color="auto" w:fill="F6C5AC" w:themeFill="accent2" w:themeFillTint="66"/>
          </w:tcPr>
          <w:p w14:paraId="48E799A3" w14:textId="77777777" w:rsidR="00EC4FF2" w:rsidRPr="00EC4FF2" w:rsidRDefault="00EC4FF2" w:rsidP="00EC4FF2">
            <w:pPr>
              <w:tabs>
                <w:tab w:val="num" w:pos="0"/>
                <w:tab w:val="num" w:pos="567"/>
                <w:tab w:val="num" w:pos="644"/>
                <w:tab w:val="num" w:pos="993"/>
              </w:tabs>
              <w:spacing w:after="120"/>
              <w:jc w:val="center"/>
              <w:rPr>
                <w:b/>
                <w:sz w:val="18"/>
                <w:szCs w:val="18"/>
              </w:rPr>
            </w:pPr>
            <w:r w:rsidRPr="00EC4FF2">
              <w:rPr>
                <w:b/>
                <w:sz w:val="18"/>
                <w:szCs w:val="18"/>
              </w:rPr>
              <w:t>Вид документ</w:t>
            </w:r>
          </w:p>
        </w:tc>
        <w:tc>
          <w:tcPr>
            <w:tcW w:w="778" w:type="dxa"/>
            <w:shd w:val="clear" w:color="auto" w:fill="F6C5AC" w:themeFill="accent2" w:themeFillTint="66"/>
          </w:tcPr>
          <w:p w14:paraId="77FDD9CE" w14:textId="2A691381" w:rsidR="00EC4FF2" w:rsidRPr="00EC4FF2" w:rsidRDefault="00EC4FF2" w:rsidP="00EC4FF2">
            <w:pPr>
              <w:tabs>
                <w:tab w:val="num" w:pos="0"/>
                <w:tab w:val="num" w:pos="567"/>
                <w:tab w:val="num" w:pos="644"/>
                <w:tab w:val="num" w:pos="993"/>
              </w:tabs>
              <w:spacing w:after="120"/>
              <w:jc w:val="both"/>
              <w:rPr>
                <w:b/>
                <w:sz w:val="18"/>
                <w:szCs w:val="18"/>
              </w:rPr>
            </w:pPr>
            <w:r>
              <w:rPr>
                <w:b/>
                <w:sz w:val="18"/>
                <w:szCs w:val="18"/>
              </w:rPr>
              <w:t>Мярка</w:t>
            </w:r>
          </w:p>
        </w:tc>
        <w:tc>
          <w:tcPr>
            <w:tcW w:w="849" w:type="dxa"/>
            <w:shd w:val="clear" w:color="auto" w:fill="F6C5AC" w:themeFill="accent2" w:themeFillTint="66"/>
          </w:tcPr>
          <w:p w14:paraId="60999AA3" w14:textId="72FA7AB2" w:rsidR="00EC4FF2" w:rsidRPr="00EC4FF2" w:rsidRDefault="00EC4FF2" w:rsidP="00EC4FF2">
            <w:pPr>
              <w:tabs>
                <w:tab w:val="num" w:pos="0"/>
                <w:tab w:val="num" w:pos="567"/>
                <w:tab w:val="num" w:pos="644"/>
                <w:tab w:val="num" w:pos="993"/>
              </w:tabs>
              <w:spacing w:after="120"/>
              <w:jc w:val="center"/>
              <w:rPr>
                <w:b/>
                <w:sz w:val="18"/>
                <w:szCs w:val="18"/>
              </w:rPr>
            </w:pPr>
            <w:r w:rsidRPr="00EC4FF2">
              <w:rPr>
                <w:b/>
                <w:sz w:val="18"/>
                <w:szCs w:val="18"/>
              </w:rPr>
              <w:t>Отчет</w:t>
            </w:r>
          </w:p>
        </w:tc>
      </w:tr>
      <w:tr w:rsidR="00EC4FF2" w14:paraId="145F7855" w14:textId="77777777" w:rsidTr="007D364D">
        <w:trPr>
          <w:trHeight w:val="20"/>
        </w:trPr>
        <w:tc>
          <w:tcPr>
            <w:tcW w:w="565" w:type="dxa"/>
            <w:shd w:val="clear" w:color="auto" w:fill="FFFFFF" w:themeFill="background1"/>
          </w:tcPr>
          <w:p w14:paraId="3A022826" w14:textId="6EFED23B"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1</w:t>
            </w:r>
          </w:p>
        </w:tc>
        <w:tc>
          <w:tcPr>
            <w:tcW w:w="6313" w:type="dxa"/>
            <w:shd w:val="clear" w:color="auto" w:fill="FFFFFF" w:themeFill="background1"/>
          </w:tcPr>
          <w:p w14:paraId="7FCB149D" w14:textId="40D4181F"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Едногодишен лиценз за износ и внос на ПСО</w:t>
            </w:r>
          </w:p>
        </w:tc>
        <w:tc>
          <w:tcPr>
            <w:tcW w:w="778" w:type="dxa"/>
            <w:shd w:val="clear" w:color="auto" w:fill="FFFFFF" w:themeFill="background1"/>
          </w:tcPr>
          <w:p w14:paraId="2CE2D0EF" w14:textId="23AE2C50"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бр.</w:t>
            </w:r>
          </w:p>
        </w:tc>
        <w:tc>
          <w:tcPr>
            <w:tcW w:w="849" w:type="dxa"/>
            <w:shd w:val="clear" w:color="auto" w:fill="FFFFFF" w:themeFill="background1"/>
          </w:tcPr>
          <w:p w14:paraId="14762B15" w14:textId="6BE6C4BD" w:rsidR="00EC4FF2" w:rsidRPr="007D364D" w:rsidRDefault="00EC4FF2" w:rsidP="007D364D">
            <w:pPr>
              <w:shd w:val="clear" w:color="auto" w:fill="FFFFFF" w:themeFill="background1"/>
              <w:ind w:left="357" w:hanging="357"/>
              <w:jc w:val="center"/>
              <w:rPr>
                <w:rFonts w:eastAsiaTheme="minorHAnsi"/>
                <w:b/>
                <w:sz w:val="18"/>
                <w:szCs w:val="18"/>
              </w:rPr>
            </w:pPr>
            <w:r w:rsidRPr="007D364D">
              <w:rPr>
                <w:rFonts w:eastAsiaTheme="minorHAnsi"/>
                <w:b/>
                <w:sz w:val="18"/>
                <w:szCs w:val="18"/>
              </w:rPr>
              <w:t>13</w:t>
            </w:r>
          </w:p>
        </w:tc>
      </w:tr>
      <w:tr w:rsidR="00EC4FF2" w:rsidRPr="007D364D" w14:paraId="74110E8E" w14:textId="77777777" w:rsidTr="007D364D">
        <w:trPr>
          <w:trHeight w:val="20"/>
        </w:trPr>
        <w:tc>
          <w:tcPr>
            <w:tcW w:w="565" w:type="dxa"/>
            <w:shd w:val="clear" w:color="auto" w:fill="FFFFFF" w:themeFill="background1"/>
          </w:tcPr>
          <w:p w14:paraId="43103133" w14:textId="0F167209"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2</w:t>
            </w:r>
          </w:p>
        </w:tc>
        <w:tc>
          <w:tcPr>
            <w:tcW w:w="6313" w:type="dxa"/>
            <w:shd w:val="clear" w:color="auto" w:fill="FFFFFF" w:themeFill="background1"/>
          </w:tcPr>
          <w:p w14:paraId="5F3C4931" w14:textId="6B2181FB"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Петгодишен лиценз за износ и внос на ПСО</w:t>
            </w:r>
          </w:p>
        </w:tc>
        <w:tc>
          <w:tcPr>
            <w:tcW w:w="778" w:type="dxa"/>
            <w:shd w:val="clear" w:color="auto" w:fill="FFFFFF" w:themeFill="background1"/>
          </w:tcPr>
          <w:p w14:paraId="26D0CA93" w14:textId="7F847BA8"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бр.</w:t>
            </w:r>
          </w:p>
        </w:tc>
        <w:tc>
          <w:tcPr>
            <w:tcW w:w="849" w:type="dxa"/>
            <w:shd w:val="clear" w:color="auto" w:fill="FFFFFF" w:themeFill="background1"/>
          </w:tcPr>
          <w:p w14:paraId="32F820DA" w14:textId="1888D771" w:rsidR="00EC4FF2" w:rsidRPr="007D364D" w:rsidRDefault="00EC4FF2" w:rsidP="007D364D">
            <w:pPr>
              <w:shd w:val="clear" w:color="auto" w:fill="FFFFFF" w:themeFill="background1"/>
              <w:ind w:left="357" w:hanging="357"/>
              <w:jc w:val="center"/>
              <w:rPr>
                <w:rFonts w:eastAsiaTheme="minorHAnsi"/>
                <w:b/>
                <w:sz w:val="18"/>
                <w:szCs w:val="18"/>
              </w:rPr>
            </w:pPr>
            <w:r w:rsidRPr="007D364D">
              <w:rPr>
                <w:rFonts w:eastAsiaTheme="minorHAnsi"/>
                <w:b/>
                <w:sz w:val="18"/>
                <w:szCs w:val="18"/>
              </w:rPr>
              <w:t>31</w:t>
            </w:r>
          </w:p>
        </w:tc>
      </w:tr>
      <w:tr w:rsidR="00EC4FF2" w14:paraId="49A73177" w14:textId="77777777" w:rsidTr="007D364D">
        <w:trPr>
          <w:trHeight w:val="20"/>
        </w:trPr>
        <w:tc>
          <w:tcPr>
            <w:tcW w:w="565" w:type="dxa"/>
            <w:shd w:val="clear" w:color="auto" w:fill="FFFFFF" w:themeFill="background1"/>
          </w:tcPr>
          <w:p w14:paraId="7A4DB3E9" w14:textId="54BDC3D2"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3</w:t>
            </w:r>
          </w:p>
        </w:tc>
        <w:tc>
          <w:tcPr>
            <w:tcW w:w="6313" w:type="dxa"/>
            <w:shd w:val="clear" w:color="auto" w:fill="FFFFFF" w:themeFill="background1"/>
          </w:tcPr>
          <w:p w14:paraId="11FBE7BC" w14:textId="0F0E2ADB"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Изменение на лиценз за износ и внос на ПСО</w:t>
            </w:r>
          </w:p>
        </w:tc>
        <w:tc>
          <w:tcPr>
            <w:tcW w:w="778" w:type="dxa"/>
            <w:shd w:val="clear" w:color="auto" w:fill="FFFFFF" w:themeFill="background1"/>
          </w:tcPr>
          <w:p w14:paraId="07F5D4F7" w14:textId="2D8EC5B0"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бр.</w:t>
            </w:r>
          </w:p>
        </w:tc>
        <w:tc>
          <w:tcPr>
            <w:tcW w:w="849" w:type="dxa"/>
            <w:shd w:val="clear" w:color="auto" w:fill="FFFFFF" w:themeFill="background1"/>
          </w:tcPr>
          <w:p w14:paraId="7CF7CE03" w14:textId="5942B845" w:rsidR="00EC4FF2" w:rsidRPr="007D364D" w:rsidRDefault="00EC4FF2" w:rsidP="007D364D">
            <w:pPr>
              <w:shd w:val="clear" w:color="auto" w:fill="FFFFFF" w:themeFill="background1"/>
              <w:ind w:left="357" w:hanging="357"/>
              <w:jc w:val="center"/>
              <w:rPr>
                <w:rFonts w:eastAsiaTheme="minorHAnsi"/>
                <w:b/>
                <w:sz w:val="18"/>
                <w:szCs w:val="18"/>
              </w:rPr>
            </w:pPr>
            <w:r w:rsidRPr="007D364D">
              <w:rPr>
                <w:rFonts w:eastAsiaTheme="minorHAnsi"/>
                <w:b/>
                <w:sz w:val="18"/>
                <w:szCs w:val="18"/>
              </w:rPr>
              <w:t>3</w:t>
            </w:r>
          </w:p>
        </w:tc>
      </w:tr>
      <w:tr w:rsidR="00EC4FF2" w14:paraId="45F3ACEE" w14:textId="77777777" w:rsidTr="007D364D">
        <w:trPr>
          <w:trHeight w:val="20"/>
        </w:trPr>
        <w:tc>
          <w:tcPr>
            <w:tcW w:w="565" w:type="dxa"/>
            <w:shd w:val="clear" w:color="auto" w:fill="FFFFFF" w:themeFill="background1"/>
          </w:tcPr>
          <w:p w14:paraId="76CE3941" w14:textId="6FA405E8"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4</w:t>
            </w:r>
          </w:p>
        </w:tc>
        <w:tc>
          <w:tcPr>
            <w:tcW w:w="6313" w:type="dxa"/>
            <w:shd w:val="clear" w:color="auto" w:fill="FFFFFF" w:themeFill="background1"/>
          </w:tcPr>
          <w:p w14:paraId="607769BF" w14:textId="02838321"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Удостоверение за регистрация за трансфер на ПСО</w:t>
            </w:r>
          </w:p>
        </w:tc>
        <w:tc>
          <w:tcPr>
            <w:tcW w:w="778" w:type="dxa"/>
            <w:shd w:val="clear" w:color="auto" w:fill="FFFFFF" w:themeFill="background1"/>
          </w:tcPr>
          <w:p w14:paraId="6020BD65" w14:textId="0A4A478F"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бр.</w:t>
            </w:r>
          </w:p>
        </w:tc>
        <w:tc>
          <w:tcPr>
            <w:tcW w:w="849" w:type="dxa"/>
            <w:shd w:val="clear" w:color="auto" w:fill="FFFFFF" w:themeFill="background1"/>
          </w:tcPr>
          <w:p w14:paraId="630EB2F1" w14:textId="5EA7DFC3" w:rsidR="00EC4FF2" w:rsidRPr="007D364D" w:rsidRDefault="00EC4FF2" w:rsidP="007D364D">
            <w:pPr>
              <w:shd w:val="clear" w:color="auto" w:fill="FFFFFF" w:themeFill="background1"/>
              <w:ind w:left="357" w:hanging="357"/>
              <w:jc w:val="center"/>
              <w:rPr>
                <w:rFonts w:eastAsiaTheme="minorHAnsi"/>
                <w:b/>
                <w:sz w:val="18"/>
                <w:szCs w:val="18"/>
              </w:rPr>
            </w:pPr>
            <w:r w:rsidRPr="007D364D">
              <w:rPr>
                <w:rFonts w:eastAsiaTheme="minorHAnsi"/>
                <w:b/>
                <w:sz w:val="18"/>
                <w:szCs w:val="18"/>
              </w:rPr>
              <w:t>45</w:t>
            </w:r>
          </w:p>
        </w:tc>
      </w:tr>
      <w:tr w:rsidR="00EC4FF2" w14:paraId="74B4813D" w14:textId="77777777" w:rsidTr="007D364D">
        <w:trPr>
          <w:trHeight w:val="20"/>
        </w:trPr>
        <w:tc>
          <w:tcPr>
            <w:tcW w:w="565" w:type="dxa"/>
            <w:shd w:val="clear" w:color="auto" w:fill="FFFFFF" w:themeFill="background1"/>
          </w:tcPr>
          <w:p w14:paraId="18E83D75" w14:textId="6940301E"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5</w:t>
            </w:r>
          </w:p>
        </w:tc>
        <w:tc>
          <w:tcPr>
            <w:tcW w:w="6313" w:type="dxa"/>
            <w:shd w:val="clear" w:color="auto" w:fill="FFFFFF" w:themeFill="background1"/>
          </w:tcPr>
          <w:p w14:paraId="208A7E62" w14:textId="5E82DC38"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Изменение на удостоверение за регистрация за трансфер на ПСО</w:t>
            </w:r>
          </w:p>
        </w:tc>
        <w:tc>
          <w:tcPr>
            <w:tcW w:w="778" w:type="dxa"/>
            <w:shd w:val="clear" w:color="auto" w:fill="FFFFFF" w:themeFill="background1"/>
          </w:tcPr>
          <w:p w14:paraId="7C1F3703" w14:textId="5D472AB5"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бр.</w:t>
            </w:r>
          </w:p>
        </w:tc>
        <w:tc>
          <w:tcPr>
            <w:tcW w:w="849" w:type="dxa"/>
            <w:shd w:val="clear" w:color="auto" w:fill="FFFFFF" w:themeFill="background1"/>
          </w:tcPr>
          <w:p w14:paraId="548E5DE2" w14:textId="0E3E3DD8" w:rsidR="00EC4FF2" w:rsidRPr="007D364D" w:rsidRDefault="00EC4FF2" w:rsidP="007D364D">
            <w:pPr>
              <w:shd w:val="clear" w:color="auto" w:fill="FFFFFF" w:themeFill="background1"/>
              <w:ind w:left="357" w:hanging="357"/>
              <w:jc w:val="center"/>
              <w:rPr>
                <w:rFonts w:eastAsiaTheme="minorHAnsi"/>
                <w:b/>
                <w:sz w:val="18"/>
                <w:szCs w:val="18"/>
              </w:rPr>
            </w:pPr>
            <w:r w:rsidRPr="007D364D">
              <w:rPr>
                <w:rFonts w:eastAsiaTheme="minorHAnsi"/>
                <w:b/>
                <w:sz w:val="18"/>
                <w:szCs w:val="18"/>
              </w:rPr>
              <w:t>5</w:t>
            </w:r>
          </w:p>
        </w:tc>
      </w:tr>
      <w:tr w:rsidR="00EC4FF2" w14:paraId="06E2CB2A" w14:textId="77777777" w:rsidTr="007D364D">
        <w:trPr>
          <w:trHeight w:val="20"/>
        </w:trPr>
        <w:tc>
          <w:tcPr>
            <w:tcW w:w="565" w:type="dxa"/>
            <w:shd w:val="clear" w:color="auto" w:fill="FFFFFF" w:themeFill="background1"/>
          </w:tcPr>
          <w:p w14:paraId="3E86C3EA" w14:textId="04D74404"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6</w:t>
            </w:r>
          </w:p>
        </w:tc>
        <w:tc>
          <w:tcPr>
            <w:tcW w:w="6313" w:type="dxa"/>
            <w:shd w:val="clear" w:color="auto" w:fill="FFFFFF" w:themeFill="background1"/>
          </w:tcPr>
          <w:p w14:paraId="5316AF7D" w14:textId="5158F7F0"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Удостоверение за регистрация за брокерска дейност с ПСО</w:t>
            </w:r>
          </w:p>
        </w:tc>
        <w:tc>
          <w:tcPr>
            <w:tcW w:w="778" w:type="dxa"/>
            <w:shd w:val="clear" w:color="auto" w:fill="FFFFFF" w:themeFill="background1"/>
          </w:tcPr>
          <w:p w14:paraId="28573331" w14:textId="5D2C8BA7"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бр.</w:t>
            </w:r>
          </w:p>
        </w:tc>
        <w:tc>
          <w:tcPr>
            <w:tcW w:w="849" w:type="dxa"/>
            <w:shd w:val="clear" w:color="auto" w:fill="FFFFFF" w:themeFill="background1"/>
          </w:tcPr>
          <w:p w14:paraId="34539E0B" w14:textId="10F65ADD" w:rsidR="00EC4FF2" w:rsidRPr="007D364D" w:rsidRDefault="00EC4FF2" w:rsidP="007D364D">
            <w:pPr>
              <w:shd w:val="clear" w:color="auto" w:fill="FFFFFF" w:themeFill="background1"/>
              <w:ind w:left="357" w:hanging="357"/>
              <w:jc w:val="center"/>
              <w:rPr>
                <w:rFonts w:eastAsiaTheme="minorHAnsi"/>
                <w:b/>
                <w:sz w:val="18"/>
                <w:szCs w:val="18"/>
              </w:rPr>
            </w:pPr>
            <w:r w:rsidRPr="007D364D">
              <w:rPr>
                <w:rFonts w:eastAsiaTheme="minorHAnsi"/>
                <w:b/>
                <w:sz w:val="18"/>
                <w:szCs w:val="18"/>
              </w:rPr>
              <w:t>32</w:t>
            </w:r>
          </w:p>
        </w:tc>
      </w:tr>
      <w:tr w:rsidR="00EC4FF2" w14:paraId="3F206128" w14:textId="77777777" w:rsidTr="007D364D">
        <w:trPr>
          <w:trHeight w:val="20"/>
        </w:trPr>
        <w:tc>
          <w:tcPr>
            <w:tcW w:w="565" w:type="dxa"/>
            <w:shd w:val="clear" w:color="auto" w:fill="FFFFFF" w:themeFill="background1"/>
          </w:tcPr>
          <w:p w14:paraId="3DB0906B" w14:textId="560897EA"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7</w:t>
            </w:r>
          </w:p>
        </w:tc>
        <w:tc>
          <w:tcPr>
            <w:tcW w:w="6313" w:type="dxa"/>
            <w:shd w:val="clear" w:color="auto" w:fill="FFFFFF" w:themeFill="background1"/>
          </w:tcPr>
          <w:p w14:paraId="39A13B8D" w14:textId="22B8DEBA"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Изменение на удостоверение за регистрация за брокерска дейност с ПСО</w:t>
            </w:r>
          </w:p>
        </w:tc>
        <w:tc>
          <w:tcPr>
            <w:tcW w:w="778" w:type="dxa"/>
            <w:shd w:val="clear" w:color="auto" w:fill="FFFFFF" w:themeFill="background1"/>
          </w:tcPr>
          <w:p w14:paraId="79767287" w14:textId="29453C92"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бр.</w:t>
            </w:r>
          </w:p>
        </w:tc>
        <w:tc>
          <w:tcPr>
            <w:tcW w:w="849" w:type="dxa"/>
            <w:shd w:val="clear" w:color="auto" w:fill="FFFFFF" w:themeFill="background1"/>
          </w:tcPr>
          <w:p w14:paraId="50148ADF" w14:textId="60316CF4" w:rsidR="00EC4FF2" w:rsidRPr="007D364D" w:rsidRDefault="00EC4FF2" w:rsidP="007D364D">
            <w:pPr>
              <w:shd w:val="clear" w:color="auto" w:fill="FFFFFF" w:themeFill="background1"/>
              <w:ind w:left="357" w:hanging="357"/>
              <w:jc w:val="center"/>
              <w:rPr>
                <w:rFonts w:eastAsiaTheme="minorHAnsi"/>
                <w:b/>
                <w:sz w:val="18"/>
                <w:szCs w:val="18"/>
              </w:rPr>
            </w:pPr>
            <w:r w:rsidRPr="007D364D">
              <w:rPr>
                <w:rFonts w:eastAsiaTheme="minorHAnsi"/>
                <w:b/>
                <w:sz w:val="18"/>
                <w:szCs w:val="18"/>
              </w:rPr>
              <w:t>2</w:t>
            </w:r>
          </w:p>
        </w:tc>
      </w:tr>
      <w:tr w:rsidR="00EC4FF2" w14:paraId="4E3B9A54" w14:textId="77777777" w:rsidTr="007D364D">
        <w:trPr>
          <w:trHeight w:val="20"/>
        </w:trPr>
        <w:tc>
          <w:tcPr>
            <w:tcW w:w="565" w:type="dxa"/>
            <w:shd w:val="clear" w:color="auto" w:fill="FFFFFF" w:themeFill="background1"/>
          </w:tcPr>
          <w:p w14:paraId="04BDCFE9" w14:textId="632DA428"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8</w:t>
            </w:r>
          </w:p>
        </w:tc>
        <w:tc>
          <w:tcPr>
            <w:tcW w:w="6313" w:type="dxa"/>
            <w:shd w:val="clear" w:color="auto" w:fill="FFFFFF" w:themeFill="background1"/>
          </w:tcPr>
          <w:p w14:paraId="00DDCD4E" w14:textId="68FF725D"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Изменение на сертификат за получател</w:t>
            </w:r>
          </w:p>
        </w:tc>
        <w:tc>
          <w:tcPr>
            <w:tcW w:w="778" w:type="dxa"/>
            <w:shd w:val="clear" w:color="auto" w:fill="FFFFFF" w:themeFill="background1"/>
          </w:tcPr>
          <w:p w14:paraId="5819CA87" w14:textId="2AD33FD7" w:rsidR="00EC4FF2" w:rsidRPr="007D364D" w:rsidRDefault="00EC4FF2" w:rsidP="007D364D">
            <w:pPr>
              <w:shd w:val="clear" w:color="auto" w:fill="FFFFFF" w:themeFill="background1"/>
              <w:ind w:left="357" w:hanging="357"/>
              <w:rPr>
                <w:rFonts w:eastAsiaTheme="minorHAnsi"/>
                <w:sz w:val="18"/>
                <w:szCs w:val="18"/>
              </w:rPr>
            </w:pPr>
            <w:r w:rsidRPr="000B1D09">
              <w:rPr>
                <w:rFonts w:eastAsiaTheme="minorHAnsi"/>
                <w:sz w:val="18"/>
                <w:szCs w:val="18"/>
              </w:rPr>
              <w:t>бр.</w:t>
            </w:r>
          </w:p>
        </w:tc>
        <w:tc>
          <w:tcPr>
            <w:tcW w:w="849" w:type="dxa"/>
            <w:shd w:val="clear" w:color="auto" w:fill="FFFFFF" w:themeFill="background1"/>
          </w:tcPr>
          <w:p w14:paraId="707B88CA" w14:textId="0544DDB8" w:rsidR="00EC4FF2" w:rsidRPr="007D364D" w:rsidRDefault="00EC4FF2" w:rsidP="007D364D">
            <w:pPr>
              <w:shd w:val="clear" w:color="auto" w:fill="FFFFFF" w:themeFill="background1"/>
              <w:ind w:left="357" w:hanging="357"/>
              <w:jc w:val="center"/>
              <w:rPr>
                <w:rFonts w:eastAsiaTheme="minorHAnsi"/>
                <w:b/>
                <w:sz w:val="18"/>
                <w:szCs w:val="18"/>
              </w:rPr>
            </w:pPr>
            <w:r w:rsidRPr="007D364D">
              <w:rPr>
                <w:rFonts w:eastAsiaTheme="minorHAnsi"/>
                <w:b/>
                <w:sz w:val="18"/>
                <w:szCs w:val="18"/>
              </w:rPr>
              <w:t>1</w:t>
            </w:r>
          </w:p>
        </w:tc>
      </w:tr>
      <w:tr w:rsidR="00EC4FF2" w14:paraId="319E4AF5" w14:textId="77777777" w:rsidTr="005A4ECE">
        <w:trPr>
          <w:trHeight w:val="20"/>
        </w:trPr>
        <w:tc>
          <w:tcPr>
            <w:tcW w:w="565" w:type="dxa"/>
            <w:shd w:val="clear" w:color="auto" w:fill="FFFFFF" w:themeFill="background1"/>
          </w:tcPr>
          <w:p w14:paraId="259BD6D6" w14:textId="77777777" w:rsidR="00EC4FF2" w:rsidRPr="00EC4FF2" w:rsidRDefault="00EC4FF2" w:rsidP="00EC4FF2">
            <w:pPr>
              <w:tabs>
                <w:tab w:val="num" w:pos="0"/>
                <w:tab w:val="num" w:pos="567"/>
                <w:tab w:val="num" w:pos="644"/>
                <w:tab w:val="num" w:pos="993"/>
              </w:tabs>
              <w:spacing w:after="120"/>
              <w:jc w:val="both"/>
              <w:rPr>
                <w:b/>
                <w:sz w:val="18"/>
                <w:szCs w:val="18"/>
              </w:rPr>
            </w:pPr>
          </w:p>
        </w:tc>
        <w:tc>
          <w:tcPr>
            <w:tcW w:w="6313" w:type="dxa"/>
            <w:shd w:val="clear" w:color="auto" w:fill="FFFFFF" w:themeFill="background1"/>
          </w:tcPr>
          <w:p w14:paraId="668D9A98" w14:textId="3DFAA1AD" w:rsidR="00EC4FF2" w:rsidRPr="00EC4FF2" w:rsidRDefault="00EC4FF2" w:rsidP="00EC4FF2">
            <w:pPr>
              <w:tabs>
                <w:tab w:val="num" w:pos="0"/>
                <w:tab w:val="num" w:pos="567"/>
                <w:tab w:val="num" w:pos="644"/>
                <w:tab w:val="num" w:pos="993"/>
              </w:tabs>
              <w:spacing w:after="120"/>
              <w:rPr>
                <w:b/>
                <w:sz w:val="18"/>
                <w:szCs w:val="18"/>
              </w:rPr>
            </w:pPr>
            <w:r w:rsidRPr="00000B2F">
              <w:rPr>
                <w:rFonts w:eastAsiaTheme="minorHAnsi"/>
                <w:b/>
                <w:bCs/>
                <w:sz w:val="18"/>
                <w:szCs w:val="18"/>
              </w:rPr>
              <w:t>ВСИЧКО</w:t>
            </w:r>
          </w:p>
        </w:tc>
        <w:tc>
          <w:tcPr>
            <w:tcW w:w="778" w:type="dxa"/>
            <w:shd w:val="clear" w:color="auto" w:fill="FFFFFF" w:themeFill="background1"/>
          </w:tcPr>
          <w:p w14:paraId="6170A4AA" w14:textId="53194EC6" w:rsidR="00EC4FF2" w:rsidRDefault="00EC4FF2" w:rsidP="00EC4FF2">
            <w:pPr>
              <w:tabs>
                <w:tab w:val="num" w:pos="0"/>
                <w:tab w:val="num" w:pos="567"/>
                <w:tab w:val="num" w:pos="644"/>
                <w:tab w:val="num" w:pos="993"/>
              </w:tabs>
              <w:spacing w:after="120"/>
              <w:jc w:val="both"/>
              <w:rPr>
                <w:b/>
                <w:sz w:val="18"/>
                <w:szCs w:val="18"/>
              </w:rPr>
            </w:pPr>
            <w:r w:rsidRPr="000B1D09">
              <w:rPr>
                <w:rFonts w:eastAsiaTheme="minorHAnsi"/>
                <w:sz w:val="18"/>
                <w:szCs w:val="18"/>
              </w:rPr>
              <w:t>бр.</w:t>
            </w:r>
          </w:p>
        </w:tc>
        <w:tc>
          <w:tcPr>
            <w:tcW w:w="849" w:type="dxa"/>
            <w:shd w:val="clear" w:color="auto" w:fill="FFFFFF" w:themeFill="background1"/>
          </w:tcPr>
          <w:p w14:paraId="3969F9BB" w14:textId="0CEFF579" w:rsidR="00EC4FF2" w:rsidRPr="00EC4FF2" w:rsidRDefault="00EC4FF2" w:rsidP="00EC4FF2">
            <w:pPr>
              <w:tabs>
                <w:tab w:val="num" w:pos="0"/>
                <w:tab w:val="num" w:pos="567"/>
                <w:tab w:val="num" w:pos="644"/>
                <w:tab w:val="num" w:pos="993"/>
              </w:tabs>
              <w:spacing w:after="120"/>
              <w:jc w:val="center"/>
              <w:rPr>
                <w:b/>
                <w:sz w:val="18"/>
                <w:szCs w:val="18"/>
              </w:rPr>
            </w:pPr>
            <w:r w:rsidRPr="000B1D09">
              <w:rPr>
                <w:rFonts w:eastAsiaTheme="minorHAnsi"/>
                <w:b/>
                <w:sz w:val="18"/>
                <w:szCs w:val="18"/>
              </w:rPr>
              <w:t>132</w:t>
            </w:r>
          </w:p>
        </w:tc>
      </w:tr>
    </w:tbl>
    <w:p w14:paraId="759CCF19" w14:textId="77777777" w:rsidR="0036413D" w:rsidRPr="00E017F9" w:rsidRDefault="0036413D" w:rsidP="00EE655D">
      <w:pPr>
        <w:shd w:val="clear" w:color="auto" w:fill="FFFFFF" w:themeFill="background1"/>
        <w:spacing w:before="240"/>
        <w:ind w:firstLine="426"/>
        <w:jc w:val="both"/>
        <w:rPr>
          <w:sz w:val="22"/>
          <w:szCs w:val="22"/>
        </w:rPr>
      </w:pPr>
      <w:r w:rsidRPr="00E017F9">
        <w:rPr>
          <w:sz w:val="22"/>
          <w:szCs w:val="22"/>
        </w:rPr>
        <w:t>Междуведомственият съвет през първото полугодие на 2025 г.:</w:t>
      </w:r>
    </w:p>
    <w:p w14:paraId="1BC1E94C" w14:textId="77777777" w:rsidR="0036413D" w:rsidRPr="00A45C8C" w:rsidRDefault="0036413D" w:rsidP="00EE655D">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E017F9">
        <w:rPr>
          <w:rFonts w:eastAsia="Batang"/>
          <w:sz w:val="22"/>
          <w:szCs w:val="22"/>
          <w:lang w:val="en-US" w:eastAsia="ko-KR"/>
        </w:rPr>
        <w:t xml:space="preserve">- </w:t>
      </w:r>
      <w:r w:rsidRPr="00A45C8C">
        <w:rPr>
          <w:rFonts w:eastAsia="Batang"/>
          <w:b/>
          <w:sz w:val="22"/>
          <w:szCs w:val="22"/>
          <w:lang w:eastAsia="ko-KR"/>
        </w:rPr>
        <w:t>Прие</w:t>
      </w:r>
      <w:r w:rsidRPr="00A45C8C">
        <w:rPr>
          <w:rFonts w:eastAsia="Batang"/>
          <w:sz w:val="22"/>
          <w:szCs w:val="22"/>
          <w:lang w:eastAsia="ko-KR"/>
        </w:rPr>
        <w:t xml:space="preserve"> за сведение 24 уведомления за промяна на обстоятелствата, при които са издадени документи по реда на ЗЕКПСОИТДУ, които не изискват изменение;</w:t>
      </w:r>
    </w:p>
    <w:p w14:paraId="791FBBC8" w14:textId="77777777" w:rsidR="0036413D" w:rsidRPr="00A45C8C" w:rsidRDefault="0036413D" w:rsidP="00EE655D">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A45C8C">
        <w:rPr>
          <w:rFonts w:eastAsia="Batang"/>
          <w:sz w:val="22"/>
          <w:szCs w:val="22"/>
          <w:lang w:eastAsia="ko-KR"/>
        </w:rPr>
        <w:t xml:space="preserve">- </w:t>
      </w:r>
      <w:r w:rsidRPr="00A45C8C">
        <w:rPr>
          <w:rFonts w:eastAsia="Batang"/>
          <w:b/>
          <w:sz w:val="22"/>
          <w:szCs w:val="22"/>
          <w:lang w:eastAsia="ko-KR"/>
        </w:rPr>
        <w:t>Спря</w:t>
      </w:r>
      <w:r w:rsidRPr="00A45C8C">
        <w:rPr>
          <w:rFonts w:eastAsia="Batang"/>
          <w:sz w:val="22"/>
          <w:szCs w:val="22"/>
          <w:lang w:eastAsia="ko-KR"/>
        </w:rPr>
        <w:t xml:space="preserve"> 1 лиценз за износ и внос на ПСО и 2 удостоверения за регистрация за трансфер на ПСО, поради нарушени критерии за надеждност на три дружества;</w:t>
      </w:r>
    </w:p>
    <w:p w14:paraId="5173EA2E" w14:textId="77777777" w:rsidR="0036413D" w:rsidRPr="00A45C8C" w:rsidRDefault="0036413D" w:rsidP="00EE655D">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A45C8C">
        <w:rPr>
          <w:rFonts w:eastAsia="Batang"/>
          <w:sz w:val="22"/>
          <w:szCs w:val="22"/>
          <w:lang w:eastAsia="ko-KR"/>
        </w:rPr>
        <w:t xml:space="preserve">- </w:t>
      </w:r>
      <w:r w:rsidRPr="00A45C8C">
        <w:rPr>
          <w:rFonts w:eastAsia="Batang"/>
          <w:b/>
          <w:sz w:val="22"/>
          <w:szCs w:val="22"/>
          <w:lang w:eastAsia="ko-KR"/>
        </w:rPr>
        <w:t>Прекрати и заличи</w:t>
      </w:r>
      <w:r w:rsidRPr="00A45C8C">
        <w:rPr>
          <w:rFonts w:eastAsia="Batang"/>
          <w:sz w:val="22"/>
          <w:szCs w:val="22"/>
          <w:lang w:eastAsia="ko-KR"/>
        </w:rPr>
        <w:t xml:space="preserve"> 1 лиценз за износ и внос на ПСО, 1 удостоверение за регистрация за трансфер на ПСО и 1 удостоверение за регистрация за брокерска дейност с ПСО, поради издаването на нови такива;</w:t>
      </w:r>
    </w:p>
    <w:p w14:paraId="66EBD0BB" w14:textId="77777777" w:rsidR="0036413D" w:rsidRPr="00A45C8C" w:rsidRDefault="0036413D" w:rsidP="00EE655D">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A45C8C">
        <w:rPr>
          <w:rFonts w:eastAsia="Batang"/>
          <w:sz w:val="22"/>
          <w:szCs w:val="22"/>
          <w:lang w:eastAsia="ko-KR"/>
        </w:rPr>
        <w:t xml:space="preserve">- </w:t>
      </w:r>
      <w:r w:rsidRPr="00A45C8C">
        <w:rPr>
          <w:rFonts w:eastAsia="Batang"/>
          <w:b/>
          <w:sz w:val="22"/>
          <w:szCs w:val="22"/>
          <w:lang w:eastAsia="ko-KR"/>
        </w:rPr>
        <w:t>Отне и заличи</w:t>
      </w:r>
      <w:r w:rsidRPr="00A45C8C">
        <w:rPr>
          <w:rFonts w:eastAsia="Batang"/>
          <w:sz w:val="22"/>
          <w:szCs w:val="22"/>
          <w:lang w:eastAsia="ko-KR"/>
        </w:rPr>
        <w:t xml:space="preserve"> 1 лиценз за износ и внос на ПСО и 1 удостоверение за регистрация за трансфер на ПСО, поради нарушени критерии за надеждност на едно дружество;</w:t>
      </w:r>
    </w:p>
    <w:p w14:paraId="7FB396F5" w14:textId="77777777" w:rsidR="0036413D" w:rsidRPr="00A45C8C" w:rsidRDefault="0036413D" w:rsidP="00EE655D">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A45C8C">
        <w:rPr>
          <w:rFonts w:eastAsia="Batang"/>
          <w:sz w:val="22"/>
          <w:szCs w:val="22"/>
          <w:lang w:eastAsia="ko-KR"/>
        </w:rPr>
        <w:t xml:space="preserve">- </w:t>
      </w:r>
      <w:r w:rsidRPr="00A45C8C">
        <w:rPr>
          <w:rFonts w:eastAsia="Batang"/>
          <w:b/>
          <w:sz w:val="22"/>
          <w:szCs w:val="22"/>
          <w:lang w:eastAsia="ko-KR"/>
        </w:rPr>
        <w:t>Отказа</w:t>
      </w:r>
      <w:r w:rsidRPr="00A45C8C">
        <w:rPr>
          <w:rFonts w:eastAsia="Batang"/>
          <w:sz w:val="22"/>
          <w:szCs w:val="22"/>
          <w:lang w:eastAsia="ko-KR"/>
        </w:rPr>
        <w:t xml:space="preserve"> издаването на 1 лиценз за износ и внос на ПСО и 1 удостоверение за регистрация за трансфер на ПСО;</w:t>
      </w:r>
    </w:p>
    <w:p w14:paraId="27B32CF7" w14:textId="77777777" w:rsidR="0036413D" w:rsidRPr="00A45C8C" w:rsidRDefault="0036413D" w:rsidP="00EE655D">
      <w:pPr>
        <w:shd w:val="clear" w:color="auto" w:fill="FFFFFF" w:themeFill="background1"/>
        <w:tabs>
          <w:tab w:val="num" w:pos="0"/>
          <w:tab w:val="num" w:pos="567"/>
          <w:tab w:val="num" w:pos="644"/>
          <w:tab w:val="num" w:pos="993"/>
        </w:tabs>
        <w:ind w:firstLine="426"/>
        <w:jc w:val="both"/>
        <w:rPr>
          <w:rFonts w:eastAsia="Batang"/>
          <w:sz w:val="22"/>
          <w:szCs w:val="22"/>
          <w:lang w:eastAsia="ko-KR"/>
        </w:rPr>
      </w:pPr>
      <w:r w:rsidRPr="00A45C8C">
        <w:rPr>
          <w:rFonts w:eastAsia="Batang"/>
          <w:sz w:val="22"/>
          <w:szCs w:val="22"/>
          <w:lang w:eastAsia="ko-KR"/>
        </w:rPr>
        <w:t xml:space="preserve">- </w:t>
      </w:r>
      <w:r w:rsidRPr="00A45C8C">
        <w:rPr>
          <w:rFonts w:eastAsia="Batang"/>
          <w:b/>
          <w:sz w:val="22"/>
          <w:szCs w:val="22"/>
          <w:lang w:eastAsia="ko-KR"/>
        </w:rPr>
        <w:t>Прекрати</w:t>
      </w:r>
      <w:r w:rsidRPr="00A45C8C">
        <w:rPr>
          <w:rFonts w:eastAsia="Batang"/>
          <w:sz w:val="22"/>
          <w:szCs w:val="22"/>
          <w:lang w:eastAsia="ko-KR"/>
        </w:rPr>
        <w:t xml:space="preserve"> административната процедура по издаване на документи по ЗЕКПСОИТДУ на две дружества, по писмено заявление от тяхна страна.</w:t>
      </w:r>
    </w:p>
    <w:p w14:paraId="291DD463" w14:textId="441CFAD2" w:rsidR="005A4ECE" w:rsidRDefault="0036413D" w:rsidP="007D364D">
      <w:pPr>
        <w:shd w:val="clear" w:color="auto" w:fill="FFFFFF" w:themeFill="background1"/>
        <w:spacing w:after="240"/>
        <w:ind w:firstLine="426"/>
        <w:jc w:val="both"/>
        <w:rPr>
          <w:sz w:val="22"/>
          <w:szCs w:val="22"/>
        </w:rPr>
      </w:pPr>
      <w:r w:rsidRPr="00E017F9">
        <w:rPr>
          <w:sz w:val="22"/>
          <w:szCs w:val="22"/>
        </w:rPr>
        <w:t>Към 30.06.2025 г. 320 фирми притежават 760 лицензи, сертификат за получател и удостоверения за регистрация за трансфер и брокерска дейност с продукти, свързани с отбраната.</w:t>
      </w:r>
    </w:p>
    <w:p w14:paraId="26CF3178" w14:textId="77777777" w:rsidR="005A4ECE" w:rsidRDefault="005A4ECE">
      <w:pPr>
        <w:rPr>
          <w:sz w:val="22"/>
          <w:szCs w:val="22"/>
        </w:rPr>
      </w:pPr>
      <w:r>
        <w:rPr>
          <w:sz w:val="22"/>
          <w:szCs w:val="22"/>
        </w:rPr>
        <w:br w:type="page"/>
      </w:r>
    </w:p>
    <w:tbl>
      <w:tblPr>
        <w:tblStyle w:val="TableGrid"/>
        <w:tblW w:w="0" w:type="auto"/>
        <w:tblInd w:w="421" w:type="dxa"/>
        <w:tblLook w:val="04A0" w:firstRow="1" w:lastRow="0" w:firstColumn="1" w:lastColumn="0" w:noHBand="0" w:noVBand="1"/>
      </w:tblPr>
      <w:tblGrid>
        <w:gridCol w:w="567"/>
        <w:gridCol w:w="6945"/>
        <w:gridCol w:w="993"/>
      </w:tblGrid>
      <w:tr w:rsidR="00296721" w14:paraId="0A0FC21B" w14:textId="77777777" w:rsidTr="00596CFB">
        <w:trPr>
          <w:trHeight w:val="286"/>
        </w:trPr>
        <w:tc>
          <w:tcPr>
            <w:tcW w:w="567" w:type="dxa"/>
            <w:shd w:val="clear" w:color="auto" w:fill="F6C5AC" w:themeFill="accent2" w:themeFillTint="66"/>
          </w:tcPr>
          <w:p w14:paraId="32344C5C" w14:textId="7F768986" w:rsidR="00296721" w:rsidRPr="00BE6E38" w:rsidRDefault="00296721" w:rsidP="00BE6E38">
            <w:pPr>
              <w:tabs>
                <w:tab w:val="num" w:pos="0"/>
                <w:tab w:val="num" w:pos="567"/>
                <w:tab w:val="num" w:pos="644"/>
                <w:tab w:val="num" w:pos="993"/>
              </w:tabs>
              <w:spacing w:after="120"/>
              <w:jc w:val="center"/>
              <w:rPr>
                <w:b/>
                <w:sz w:val="18"/>
                <w:szCs w:val="18"/>
              </w:rPr>
            </w:pPr>
            <w:r w:rsidRPr="00DD1674">
              <w:rPr>
                <w:b/>
                <w:sz w:val="18"/>
                <w:szCs w:val="18"/>
              </w:rPr>
              <w:lastRenderedPageBreak/>
              <w:t>№</w:t>
            </w:r>
          </w:p>
        </w:tc>
        <w:tc>
          <w:tcPr>
            <w:tcW w:w="6945" w:type="dxa"/>
            <w:shd w:val="clear" w:color="auto" w:fill="F6C5AC" w:themeFill="accent2" w:themeFillTint="66"/>
          </w:tcPr>
          <w:p w14:paraId="1B623D77" w14:textId="5DADC786" w:rsidR="00296721" w:rsidRPr="00BE6E38" w:rsidRDefault="00296721" w:rsidP="00BE6E38">
            <w:pPr>
              <w:tabs>
                <w:tab w:val="num" w:pos="0"/>
                <w:tab w:val="num" w:pos="567"/>
                <w:tab w:val="num" w:pos="644"/>
                <w:tab w:val="num" w:pos="993"/>
              </w:tabs>
              <w:spacing w:after="120"/>
              <w:jc w:val="center"/>
              <w:rPr>
                <w:b/>
                <w:sz w:val="18"/>
                <w:szCs w:val="18"/>
              </w:rPr>
            </w:pPr>
            <w:r w:rsidRPr="00DD1674">
              <w:rPr>
                <w:b/>
                <w:sz w:val="18"/>
                <w:szCs w:val="18"/>
              </w:rPr>
              <w:t>В</w:t>
            </w:r>
            <w:r w:rsidR="00596CFB">
              <w:rPr>
                <w:b/>
                <w:sz w:val="18"/>
                <w:szCs w:val="18"/>
              </w:rPr>
              <w:t>ид</w:t>
            </w:r>
            <w:r w:rsidRPr="00DD1674">
              <w:rPr>
                <w:b/>
                <w:sz w:val="18"/>
                <w:szCs w:val="18"/>
              </w:rPr>
              <w:t xml:space="preserve"> </w:t>
            </w:r>
            <w:r w:rsidR="00596CFB">
              <w:rPr>
                <w:b/>
                <w:sz w:val="18"/>
                <w:szCs w:val="18"/>
              </w:rPr>
              <w:t>на</w:t>
            </w:r>
            <w:r w:rsidRPr="00DD1674">
              <w:rPr>
                <w:b/>
                <w:sz w:val="18"/>
                <w:szCs w:val="18"/>
              </w:rPr>
              <w:t xml:space="preserve"> </w:t>
            </w:r>
            <w:r w:rsidR="00596CFB">
              <w:rPr>
                <w:b/>
                <w:sz w:val="18"/>
                <w:szCs w:val="18"/>
              </w:rPr>
              <w:t>документа</w:t>
            </w:r>
          </w:p>
        </w:tc>
        <w:tc>
          <w:tcPr>
            <w:tcW w:w="993" w:type="dxa"/>
            <w:shd w:val="clear" w:color="auto" w:fill="F6C5AC" w:themeFill="accent2" w:themeFillTint="66"/>
          </w:tcPr>
          <w:p w14:paraId="22DCC21E" w14:textId="4EAD51A0" w:rsidR="00296721" w:rsidRPr="00BE6E38" w:rsidRDefault="00296721" w:rsidP="00BE6E38">
            <w:pPr>
              <w:tabs>
                <w:tab w:val="num" w:pos="0"/>
                <w:tab w:val="num" w:pos="567"/>
                <w:tab w:val="num" w:pos="644"/>
                <w:tab w:val="num" w:pos="993"/>
              </w:tabs>
              <w:spacing w:after="120"/>
              <w:jc w:val="center"/>
              <w:rPr>
                <w:b/>
                <w:sz w:val="18"/>
                <w:szCs w:val="18"/>
              </w:rPr>
            </w:pPr>
            <w:r w:rsidRPr="00DD1674">
              <w:rPr>
                <w:b/>
                <w:sz w:val="18"/>
                <w:szCs w:val="18"/>
              </w:rPr>
              <w:t>Б</w:t>
            </w:r>
            <w:r w:rsidR="00BE6E38">
              <w:rPr>
                <w:b/>
                <w:sz w:val="18"/>
                <w:szCs w:val="18"/>
              </w:rPr>
              <w:t>рой</w:t>
            </w:r>
          </w:p>
        </w:tc>
      </w:tr>
      <w:tr w:rsidR="00296721" w14:paraId="63AEA214" w14:textId="77777777" w:rsidTr="007D364D">
        <w:trPr>
          <w:trHeight w:val="189"/>
        </w:trPr>
        <w:tc>
          <w:tcPr>
            <w:tcW w:w="567" w:type="dxa"/>
          </w:tcPr>
          <w:p w14:paraId="19964B0C" w14:textId="1B75CFA3" w:rsidR="00296721" w:rsidRPr="007D364D" w:rsidRDefault="00296721" w:rsidP="007D364D">
            <w:pPr>
              <w:shd w:val="clear" w:color="auto" w:fill="FFFFFF" w:themeFill="background1"/>
              <w:rPr>
                <w:rFonts w:eastAsiaTheme="minorHAnsi"/>
                <w:sz w:val="18"/>
                <w:szCs w:val="18"/>
              </w:rPr>
            </w:pPr>
            <w:r w:rsidRPr="00DD1674">
              <w:rPr>
                <w:rFonts w:eastAsiaTheme="minorHAnsi"/>
                <w:sz w:val="18"/>
                <w:szCs w:val="18"/>
              </w:rPr>
              <w:t>1.</w:t>
            </w:r>
          </w:p>
        </w:tc>
        <w:tc>
          <w:tcPr>
            <w:tcW w:w="6945" w:type="dxa"/>
          </w:tcPr>
          <w:p w14:paraId="35C9B88B" w14:textId="2CF7F9E4" w:rsidR="00296721" w:rsidRPr="007D364D" w:rsidRDefault="00296721" w:rsidP="007D364D">
            <w:pPr>
              <w:shd w:val="clear" w:color="auto" w:fill="FFFFFF" w:themeFill="background1"/>
              <w:ind w:left="357" w:hanging="357"/>
              <w:rPr>
                <w:rFonts w:eastAsiaTheme="minorHAnsi"/>
                <w:sz w:val="18"/>
                <w:szCs w:val="18"/>
              </w:rPr>
            </w:pPr>
            <w:r w:rsidRPr="00DD1674">
              <w:rPr>
                <w:rFonts w:eastAsiaTheme="minorHAnsi"/>
                <w:sz w:val="18"/>
                <w:szCs w:val="18"/>
              </w:rPr>
              <w:t>Лиценз за износ и внос на продукти, свързани с отбраната</w:t>
            </w:r>
          </w:p>
        </w:tc>
        <w:tc>
          <w:tcPr>
            <w:tcW w:w="993" w:type="dxa"/>
            <w:vAlign w:val="center"/>
          </w:tcPr>
          <w:p w14:paraId="16B97448" w14:textId="769C491D" w:rsidR="00296721" w:rsidRPr="007D364D" w:rsidRDefault="00296721" w:rsidP="007D364D">
            <w:pPr>
              <w:shd w:val="clear" w:color="auto" w:fill="FFFFFF" w:themeFill="background1"/>
              <w:jc w:val="right"/>
              <w:rPr>
                <w:rFonts w:eastAsiaTheme="minorHAnsi"/>
                <w:b/>
                <w:sz w:val="18"/>
                <w:szCs w:val="18"/>
              </w:rPr>
            </w:pPr>
            <w:r w:rsidRPr="007D364D">
              <w:rPr>
                <w:rFonts w:eastAsiaTheme="minorHAnsi"/>
                <w:b/>
                <w:sz w:val="18"/>
                <w:szCs w:val="18"/>
              </w:rPr>
              <w:t>286</w:t>
            </w:r>
          </w:p>
        </w:tc>
      </w:tr>
      <w:tr w:rsidR="00296721" w14:paraId="21F37E2C" w14:textId="77777777" w:rsidTr="007D364D">
        <w:trPr>
          <w:trHeight w:val="20"/>
        </w:trPr>
        <w:tc>
          <w:tcPr>
            <w:tcW w:w="567" w:type="dxa"/>
          </w:tcPr>
          <w:p w14:paraId="3D8CD4BF" w14:textId="64ADD75E" w:rsidR="00296721" w:rsidRPr="007D364D" w:rsidRDefault="00296721" w:rsidP="007D364D">
            <w:pPr>
              <w:shd w:val="clear" w:color="auto" w:fill="FFFFFF" w:themeFill="background1"/>
              <w:rPr>
                <w:rFonts w:eastAsiaTheme="minorHAnsi"/>
                <w:sz w:val="18"/>
                <w:szCs w:val="18"/>
              </w:rPr>
            </w:pPr>
            <w:r w:rsidRPr="007D364D">
              <w:rPr>
                <w:rFonts w:eastAsiaTheme="minorHAnsi"/>
                <w:sz w:val="18"/>
                <w:szCs w:val="18"/>
              </w:rPr>
              <w:t>2.</w:t>
            </w:r>
          </w:p>
        </w:tc>
        <w:tc>
          <w:tcPr>
            <w:tcW w:w="6945" w:type="dxa"/>
          </w:tcPr>
          <w:p w14:paraId="5ECA8A69" w14:textId="7C2C1879" w:rsidR="00296721" w:rsidRPr="007D364D" w:rsidRDefault="00296721" w:rsidP="007D364D">
            <w:pPr>
              <w:shd w:val="clear" w:color="auto" w:fill="FFFFFF" w:themeFill="background1"/>
              <w:rPr>
                <w:rFonts w:eastAsiaTheme="minorHAnsi"/>
                <w:sz w:val="18"/>
                <w:szCs w:val="18"/>
              </w:rPr>
            </w:pPr>
            <w:r w:rsidRPr="007D364D">
              <w:rPr>
                <w:rFonts w:eastAsiaTheme="minorHAnsi"/>
                <w:sz w:val="18"/>
                <w:szCs w:val="18"/>
              </w:rPr>
              <w:t>Лиценз за транспортиране на продукти, свързани с отбраната, между две трети страни</w:t>
            </w:r>
          </w:p>
        </w:tc>
        <w:tc>
          <w:tcPr>
            <w:tcW w:w="993" w:type="dxa"/>
            <w:vAlign w:val="center"/>
          </w:tcPr>
          <w:p w14:paraId="1B2CD4FC" w14:textId="42B3C64E" w:rsidR="00296721" w:rsidRPr="007D364D" w:rsidRDefault="00296721" w:rsidP="007D364D">
            <w:pPr>
              <w:shd w:val="clear" w:color="auto" w:fill="FFFFFF" w:themeFill="background1"/>
              <w:jc w:val="right"/>
              <w:rPr>
                <w:rFonts w:eastAsiaTheme="minorHAnsi"/>
                <w:b/>
                <w:sz w:val="18"/>
                <w:szCs w:val="18"/>
              </w:rPr>
            </w:pPr>
            <w:r w:rsidRPr="007D364D">
              <w:rPr>
                <w:rFonts w:eastAsiaTheme="minorHAnsi"/>
                <w:b/>
                <w:sz w:val="18"/>
                <w:szCs w:val="18"/>
              </w:rPr>
              <w:t>6</w:t>
            </w:r>
          </w:p>
        </w:tc>
      </w:tr>
      <w:tr w:rsidR="00296721" w14:paraId="58BE7E18" w14:textId="77777777" w:rsidTr="007D364D">
        <w:trPr>
          <w:trHeight w:val="20"/>
        </w:trPr>
        <w:tc>
          <w:tcPr>
            <w:tcW w:w="567" w:type="dxa"/>
          </w:tcPr>
          <w:p w14:paraId="153C216C" w14:textId="05CB6AFE" w:rsidR="00296721" w:rsidRPr="007D364D" w:rsidRDefault="00296721" w:rsidP="007D364D">
            <w:pPr>
              <w:shd w:val="clear" w:color="auto" w:fill="FFFFFF" w:themeFill="background1"/>
              <w:rPr>
                <w:rFonts w:eastAsiaTheme="minorHAnsi"/>
                <w:sz w:val="18"/>
                <w:szCs w:val="18"/>
              </w:rPr>
            </w:pPr>
            <w:r w:rsidRPr="007D364D">
              <w:rPr>
                <w:rFonts w:eastAsiaTheme="minorHAnsi"/>
                <w:sz w:val="18"/>
                <w:szCs w:val="18"/>
              </w:rPr>
              <w:t>3.</w:t>
            </w:r>
          </w:p>
        </w:tc>
        <w:tc>
          <w:tcPr>
            <w:tcW w:w="6945" w:type="dxa"/>
          </w:tcPr>
          <w:p w14:paraId="3EDAF1FE" w14:textId="670B8AD4" w:rsidR="00296721" w:rsidRPr="007D364D" w:rsidRDefault="00296721" w:rsidP="007D364D">
            <w:pPr>
              <w:shd w:val="clear" w:color="auto" w:fill="FFFFFF" w:themeFill="background1"/>
              <w:ind w:left="34" w:hanging="34"/>
              <w:rPr>
                <w:rFonts w:eastAsiaTheme="minorHAnsi"/>
                <w:sz w:val="18"/>
                <w:szCs w:val="18"/>
              </w:rPr>
            </w:pPr>
            <w:r w:rsidRPr="007D364D">
              <w:rPr>
                <w:rFonts w:eastAsiaTheme="minorHAnsi"/>
                <w:sz w:val="18"/>
                <w:szCs w:val="18"/>
              </w:rPr>
              <w:t>Удостоверение за регистрация за трансфер на продукти, свързани с отбраната</w:t>
            </w:r>
          </w:p>
        </w:tc>
        <w:tc>
          <w:tcPr>
            <w:tcW w:w="993" w:type="dxa"/>
            <w:vAlign w:val="center"/>
          </w:tcPr>
          <w:p w14:paraId="70827B3B" w14:textId="54795473" w:rsidR="00296721" w:rsidRPr="007D364D" w:rsidRDefault="00296721" w:rsidP="007D364D">
            <w:pPr>
              <w:shd w:val="clear" w:color="auto" w:fill="FFFFFF" w:themeFill="background1"/>
              <w:jc w:val="right"/>
              <w:rPr>
                <w:rFonts w:eastAsiaTheme="minorHAnsi"/>
                <w:b/>
                <w:sz w:val="18"/>
                <w:szCs w:val="18"/>
              </w:rPr>
            </w:pPr>
            <w:r w:rsidRPr="007D364D">
              <w:rPr>
                <w:rFonts w:eastAsiaTheme="minorHAnsi"/>
                <w:b/>
                <w:sz w:val="18"/>
                <w:szCs w:val="18"/>
              </w:rPr>
              <w:t>290</w:t>
            </w:r>
          </w:p>
        </w:tc>
      </w:tr>
      <w:tr w:rsidR="00296721" w14:paraId="399836E9" w14:textId="77777777" w:rsidTr="007D364D">
        <w:trPr>
          <w:trHeight w:val="20"/>
        </w:trPr>
        <w:tc>
          <w:tcPr>
            <w:tcW w:w="567" w:type="dxa"/>
          </w:tcPr>
          <w:p w14:paraId="1EF83BB5" w14:textId="4DA998CB" w:rsidR="00296721" w:rsidRPr="007D364D" w:rsidRDefault="00296721" w:rsidP="007D364D">
            <w:pPr>
              <w:shd w:val="clear" w:color="auto" w:fill="FFFFFF" w:themeFill="background1"/>
              <w:rPr>
                <w:rFonts w:eastAsiaTheme="minorHAnsi"/>
                <w:sz w:val="18"/>
                <w:szCs w:val="18"/>
              </w:rPr>
            </w:pPr>
            <w:r w:rsidRPr="007D364D">
              <w:rPr>
                <w:rFonts w:eastAsiaTheme="minorHAnsi"/>
                <w:sz w:val="18"/>
                <w:szCs w:val="18"/>
              </w:rPr>
              <w:t>4.</w:t>
            </w:r>
          </w:p>
        </w:tc>
        <w:tc>
          <w:tcPr>
            <w:tcW w:w="6945" w:type="dxa"/>
          </w:tcPr>
          <w:p w14:paraId="34175231" w14:textId="7E57757D" w:rsidR="00296721" w:rsidRPr="007D364D" w:rsidRDefault="00296721" w:rsidP="007D364D">
            <w:pPr>
              <w:shd w:val="clear" w:color="auto" w:fill="FFFFFF" w:themeFill="background1"/>
              <w:rPr>
                <w:rFonts w:eastAsiaTheme="minorHAnsi"/>
                <w:sz w:val="18"/>
                <w:szCs w:val="18"/>
              </w:rPr>
            </w:pPr>
            <w:r w:rsidRPr="007D364D">
              <w:rPr>
                <w:rFonts w:eastAsiaTheme="minorHAnsi"/>
                <w:sz w:val="18"/>
                <w:szCs w:val="18"/>
              </w:rPr>
              <w:t>Удостоверение за регистрация за брокерска дейност с продукти, свързани с отбраната, между две трети страни</w:t>
            </w:r>
          </w:p>
        </w:tc>
        <w:tc>
          <w:tcPr>
            <w:tcW w:w="993" w:type="dxa"/>
            <w:vAlign w:val="center"/>
          </w:tcPr>
          <w:p w14:paraId="7DB8E78E" w14:textId="7C434321" w:rsidR="00296721" w:rsidRPr="007D364D" w:rsidRDefault="00296721" w:rsidP="007D364D">
            <w:pPr>
              <w:shd w:val="clear" w:color="auto" w:fill="FFFFFF" w:themeFill="background1"/>
              <w:jc w:val="right"/>
              <w:rPr>
                <w:rFonts w:eastAsiaTheme="minorHAnsi"/>
                <w:b/>
                <w:sz w:val="18"/>
                <w:szCs w:val="18"/>
              </w:rPr>
            </w:pPr>
            <w:r w:rsidRPr="007D364D">
              <w:rPr>
                <w:rFonts w:eastAsiaTheme="minorHAnsi"/>
                <w:b/>
                <w:sz w:val="18"/>
                <w:szCs w:val="18"/>
              </w:rPr>
              <w:t>177</w:t>
            </w:r>
          </w:p>
        </w:tc>
      </w:tr>
      <w:tr w:rsidR="00296721" w14:paraId="036BF164" w14:textId="77777777" w:rsidTr="007D364D">
        <w:trPr>
          <w:trHeight w:val="20"/>
        </w:trPr>
        <w:tc>
          <w:tcPr>
            <w:tcW w:w="567" w:type="dxa"/>
          </w:tcPr>
          <w:p w14:paraId="1F7F5A18" w14:textId="3B73399B" w:rsidR="00296721" w:rsidRPr="007D364D" w:rsidRDefault="00296721" w:rsidP="007D364D">
            <w:pPr>
              <w:shd w:val="clear" w:color="auto" w:fill="FFFFFF" w:themeFill="background1"/>
              <w:rPr>
                <w:rFonts w:eastAsiaTheme="minorHAnsi"/>
                <w:sz w:val="18"/>
                <w:szCs w:val="18"/>
              </w:rPr>
            </w:pPr>
            <w:r w:rsidRPr="007D364D">
              <w:rPr>
                <w:rFonts w:eastAsiaTheme="minorHAnsi"/>
                <w:sz w:val="18"/>
                <w:szCs w:val="18"/>
              </w:rPr>
              <w:t>5.</w:t>
            </w:r>
          </w:p>
        </w:tc>
        <w:tc>
          <w:tcPr>
            <w:tcW w:w="6945" w:type="dxa"/>
          </w:tcPr>
          <w:p w14:paraId="73B00F33" w14:textId="660785A2" w:rsidR="00296721" w:rsidRPr="007D364D" w:rsidRDefault="00296721" w:rsidP="007D364D">
            <w:pPr>
              <w:shd w:val="clear" w:color="auto" w:fill="FFFFFF" w:themeFill="background1"/>
              <w:ind w:left="34" w:hanging="34"/>
              <w:rPr>
                <w:rFonts w:eastAsiaTheme="minorHAnsi"/>
                <w:sz w:val="18"/>
                <w:szCs w:val="18"/>
              </w:rPr>
            </w:pPr>
            <w:r w:rsidRPr="007D364D">
              <w:rPr>
                <w:rFonts w:eastAsiaTheme="minorHAnsi"/>
                <w:sz w:val="18"/>
                <w:szCs w:val="18"/>
              </w:rPr>
              <w:t>Сертификат за получател на продукти, свързани с отбраната</w:t>
            </w:r>
          </w:p>
        </w:tc>
        <w:tc>
          <w:tcPr>
            <w:tcW w:w="993" w:type="dxa"/>
            <w:vAlign w:val="center"/>
          </w:tcPr>
          <w:p w14:paraId="4444187B" w14:textId="17BE07F6" w:rsidR="00296721" w:rsidRPr="007D364D" w:rsidRDefault="00296721" w:rsidP="007D364D">
            <w:pPr>
              <w:shd w:val="clear" w:color="auto" w:fill="FFFFFF" w:themeFill="background1"/>
              <w:jc w:val="right"/>
              <w:rPr>
                <w:rFonts w:eastAsiaTheme="minorHAnsi"/>
                <w:b/>
                <w:sz w:val="18"/>
                <w:szCs w:val="18"/>
              </w:rPr>
            </w:pPr>
            <w:r w:rsidRPr="007D364D">
              <w:rPr>
                <w:rFonts w:eastAsiaTheme="minorHAnsi"/>
                <w:b/>
                <w:sz w:val="18"/>
                <w:szCs w:val="18"/>
              </w:rPr>
              <w:t>1</w:t>
            </w:r>
          </w:p>
        </w:tc>
      </w:tr>
      <w:tr w:rsidR="00296721" w14:paraId="088CB590" w14:textId="77777777" w:rsidTr="007D364D">
        <w:trPr>
          <w:trHeight w:val="321"/>
        </w:trPr>
        <w:tc>
          <w:tcPr>
            <w:tcW w:w="567" w:type="dxa"/>
            <w:vAlign w:val="bottom"/>
          </w:tcPr>
          <w:p w14:paraId="5F184079" w14:textId="77777777" w:rsidR="00296721" w:rsidRPr="007D364D" w:rsidRDefault="00296721" w:rsidP="007D364D">
            <w:pPr>
              <w:shd w:val="clear" w:color="auto" w:fill="FFFFFF" w:themeFill="background1"/>
              <w:rPr>
                <w:rFonts w:eastAsiaTheme="minorHAnsi"/>
                <w:sz w:val="18"/>
                <w:szCs w:val="18"/>
              </w:rPr>
            </w:pPr>
          </w:p>
        </w:tc>
        <w:tc>
          <w:tcPr>
            <w:tcW w:w="6945" w:type="dxa"/>
            <w:vAlign w:val="bottom"/>
          </w:tcPr>
          <w:p w14:paraId="406E562C" w14:textId="70443145" w:rsidR="00296721" w:rsidRPr="007D364D" w:rsidRDefault="00296721" w:rsidP="007D364D">
            <w:pPr>
              <w:shd w:val="clear" w:color="auto" w:fill="FFFFFF" w:themeFill="background1"/>
              <w:rPr>
                <w:rFonts w:eastAsiaTheme="minorHAnsi"/>
                <w:b/>
                <w:sz w:val="18"/>
                <w:szCs w:val="18"/>
              </w:rPr>
            </w:pPr>
            <w:r w:rsidRPr="007D364D">
              <w:rPr>
                <w:rFonts w:eastAsiaTheme="minorHAnsi"/>
                <w:b/>
                <w:sz w:val="18"/>
                <w:szCs w:val="18"/>
              </w:rPr>
              <w:t>ВСИЧКО</w:t>
            </w:r>
          </w:p>
        </w:tc>
        <w:tc>
          <w:tcPr>
            <w:tcW w:w="993" w:type="dxa"/>
            <w:vAlign w:val="bottom"/>
          </w:tcPr>
          <w:p w14:paraId="63ECA542" w14:textId="03231A28" w:rsidR="00296721" w:rsidRPr="007D364D" w:rsidRDefault="00296721" w:rsidP="007D364D">
            <w:pPr>
              <w:shd w:val="clear" w:color="auto" w:fill="FFFFFF" w:themeFill="background1"/>
              <w:jc w:val="right"/>
              <w:rPr>
                <w:rFonts w:eastAsiaTheme="minorHAnsi"/>
                <w:b/>
                <w:sz w:val="18"/>
                <w:szCs w:val="18"/>
              </w:rPr>
            </w:pPr>
            <w:r w:rsidRPr="007D364D">
              <w:rPr>
                <w:rFonts w:eastAsiaTheme="minorHAnsi"/>
                <w:b/>
                <w:sz w:val="18"/>
                <w:szCs w:val="18"/>
              </w:rPr>
              <w:t>760</w:t>
            </w:r>
          </w:p>
        </w:tc>
      </w:tr>
    </w:tbl>
    <w:p w14:paraId="3A2D4842" w14:textId="2A11F2E8" w:rsidR="0036413D" w:rsidRPr="000725D9" w:rsidRDefault="0036413D" w:rsidP="00EE655D">
      <w:pPr>
        <w:shd w:val="clear" w:color="auto" w:fill="FFFFFF" w:themeFill="background1"/>
        <w:tabs>
          <w:tab w:val="num" w:pos="0"/>
          <w:tab w:val="num" w:pos="567"/>
          <w:tab w:val="num" w:pos="644"/>
          <w:tab w:val="num" w:pos="993"/>
        </w:tabs>
        <w:spacing w:before="120"/>
        <w:ind w:firstLine="425"/>
        <w:jc w:val="both"/>
        <w:rPr>
          <w:rFonts w:eastAsia="Batang"/>
          <w:sz w:val="22"/>
          <w:szCs w:val="22"/>
          <w:lang w:eastAsia="ko-KR"/>
        </w:rPr>
      </w:pPr>
      <w:r w:rsidRPr="000725D9">
        <w:rPr>
          <w:rFonts w:eastAsia="Batang"/>
          <w:sz w:val="22"/>
          <w:szCs w:val="22"/>
          <w:lang w:eastAsia="ko-KR"/>
        </w:rPr>
        <w:t xml:space="preserve">Секретариатът на Междуведомствения съвет осъществява постоянен текущ контрол за изпълнение на изискванията на ЗЕКПСОИТДУ преди и след издаване на заявените документи. </w:t>
      </w:r>
    </w:p>
    <w:p w14:paraId="7639E909" w14:textId="77777777" w:rsidR="0036413D" w:rsidRPr="000725D9" w:rsidRDefault="0036413D" w:rsidP="00EE655D">
      <w:pPr>
        <w:shd w:val="clear" w:color="auto" w:fill="FFFFFF" w:themeFill="background1"/>
        <w:tabs>
          <w:tab w:val="num" w:pos="0"/>
          <w:tab w:val="num" w:pos="567"/>
          <w:tab w:val="num" w:pos="644"/>
          <w:tab w:val="num" w:pos="993"/>
        </w:tabs>
        <w:ind w:firstLine="425"/>
        <w:jc w:val="both"/>
        <w:rPr>
          <w:rFonts w:eastAsia="Batang"/>
          <w:sz w:val="22"/>
          <w:szCs w:val="22"/>
          <w:lang w:eastAsia="ko-KR"/>
        </w:rPr>
      </w:pPr>
      <w:r w:rsidRPr="000725D9">
        <w:rPr>
          <w:rFonts w:eastAsia="Batang"/>
          <w:sz w:val="22"/>
          <w:szCs w:val="22"/>
          <w:lang w:eastAsia="ko-KR"/>
        </w:rPr>
        <w:t>През първото полугодие на 2025 г. Секретариатът на МСОИСД подготви Доклад за изпълнението на Закона за експортния контрол на продукти, свързани с отбраната, и на изделия и технологии с двойна употреба от Междуведомствения съвет по отбранителна индустрия и сигурност на доставките към Министерския съвет през 2024 г. и Годишен доклад за дейността на Междуведомствения съвет по отбранителна индустрия и сигурност на доставките към Министерския съвет през 2024 г.</w:t>
      </w:r>
    </w:p>
    <w:p w14:paraId="79B81457" w14:textId="77777777" w:rsidR="0036413D" w:rsidRPr="00851FB3" w:rsidRDefault="0036413D" w:rsidP="00EE655D">
      <w:pPr>
        <w:shd w:val="clear" w:color="auto" w:fill="FFFFFF" w:themeFill="background1"/>
        <w:tabs>
          <w:tab w:val="left" w:pos="2127"/>
        </w:tabs>
        <w:ind w:firstLine="426"/>
        <w:jc w:val="both"/>
        <w:rPr>
          <w:sz w:val="22"/>
          <w:szCs w:val="22"/>
        </w:rPr>
      </w:pPr>
      <w:r w:rsidRPr="00851FB3">
        <w:rPr>
          <w:b/>
          <w:sz w:val="22"/>
          <w:szCs w:val="22"/>
        </w:rPr>
        <w:t>В областта на отбранителната индустрия и на международното отбранително-икономическо и научно-техническо сътрудничество в интерес на отбраната и сигурността</w:t>
      </w:r>
      <w:r w:rsidRPr="00851FB3">
        <w:rPr>
          <w:sz w:val="22"/>
          <w:szCs w:val="22"/>
        </w:rPr>
        <w:t xml:space="preserve"> </w:t>
      </w:r>
    </w:p>
    <w:p w14:paraId="25F15946" w14:textId="77777777" w:rsidR="0036413D" w:rsidRPr="000725D9" w:rsidRDefault="0036413D" w:rsidP="00EE655D">
      <w:pPr>
        <w:shd w:val="clear" w:color="auto" w:fill="FFFFFF" w:themeFill="background1"/>
        <w:tabs>
          <w:tab w:val="num" w:pos="0"/>
          <w:tab w:val="num" w:pos="567"/>
          <w:tab w:val="num" w:pos="644"/>
          <w:tab w:val="num" w:pos="993"/>
        </w:tabs>
        <w:ind w:firstLine="425"/>
        <w:jc w:val="both"/>
        <w:rPr>
          <w:rFonts w:eastAsia="Batang"/>
          <w:sz w:val="22"/>
          <w:szCs w:val="22"/>
          <w:lang w:eastAsia="ko-KR"/>
        </w:rPr>
      </w:pPr>
      <w:r w:rsidRPr="000725D9">
        <w:rPr>
          <w:rFonts w:eastAsia="Batang"/>
          <w:sz w:val="22"/>
          <w:szCs w:val="22"/>
          <w:lang w:eastAsia="ko-KR"/>
        </w:rPr>
        <w:t>Със Заповед № Р-50/10.03.2025 г. на съпредседателите на Междуведомствения съвет по отбранителна индустрия и сигурност на доставките е създадена Междуведомствена експертна работна група (МЕРГ) със задача да предложи правен механизъм за достъп на юридически лица, които имат възложена военновременна задача и разрешение за съответния вид военно изделие до документацията, съхранявана в Централна техническа база (ЦТБ) с. Соколово към Държавна агенция „Държавен резерв и военновременни запаси" (ДА ДРВВЗ). МСОИСД прие Доклада за извършената работа на Междуведомствената експертна работна група и възложи на председателя на Държавна агенция „Държавен резерв и военновременни запаси”, да подготви законопроект за съгласуване и внасяне в Министерския съвет.</w:t>
      </w:r>
    </w:p>
    <w:p w14:paraId="36FA9C16" w14:textId="77777777" w:rsidR="0036413D" w:rsidRPr="000725D9" w:rsidRDefault="0036413D" w:rsidP="00EE655D">
      <w:pPr>
        <w:shd w:val="clear" w:color="auto" w:fill="FFFFFF" w:themeFill="background1"/>
        <w:tabs>
          <w:tab w:val="num" w:pos="0"/>
          <w:tab w:val="num" w:pos="567"/>
          <w:tab w:val="num" w:pos="644"/>
          <w:tab w:val="num" w:pos="993"/>
        </w:tabs>
        <w:ind w:firstLine="425"/>
        <w:jc w:val="both"/>
        <w:rPr>
          <w:rFonts w:eastAsia="Batang"/>
          <w:sz w:val="22"/>
          <w:szCs w:val="22"/>
          <w:lang w:eastAsia="ko-KR"/>
        </w:rPr>
      </w:pPr>
      <w:r w:rsidRPr="000725D9">
        <w:rPr>
          <w:rFonts w:eastAsia="Batang"/>
          <w:sz w:val="22"/>
          <w:szCs w:val="22"/>
          <w:lang w:eastAsia="ko-KR"/>
        </w:rPr>
        <w:t>Секретариата на Междуведомствения съвет участва в:</w:t>
      </w:r>
    </w:p>
    <w:p w14:paraId="4742C0AC" w14:textId="364ED1A0" w:rsidR="0036413D" w:rsidRPr="00851FB3" w:rsidRDefault="0036413D" w:rsidP="00EE655D">
      <w:pPr>
        <w:numPr>
          <w:ilvl w:val="0"/>
          <w:numId w:val="33"/>
        </w:numPr>
        <w:shd w:val="clear" w:color="auto" w:fill="FFFFFF" w:themeFill="background1"/>
        <w:ind w:left="0" w:firstLine="426"/>
        <w:jc w:val="both"/>
        <w:rPr>
          <w:sz w:val="22"/>
          <w:szCs w:val="22"/>
        </w:rPr>
      </w:pPr>
      <w:r w:rsidRPr="00851FB3">
        <w:rPr>
          <w:sz w:val="22"/>
          <w:szCs w:val="22"/>
        </w:rPr>
        <w:t>Тематичен семинар по Национална научна програма „Сигурност и отбрана“, на тема: „Програми на ЕС и НАТО за иновации, научна и развойна дейност в областта на отбраната“, организирана от Университета за национално</w:t>
      </w:r>
      <w:r w:rsidR="00851FB3">
        <w:rPr>
          <w:sz w:val="22"/>
          <w:szCs w:val="22"/>
        </w:rPr>
        <w:t xml:space="preserve"> и световно стопанство (17.03.</w:t>
      </w:r>
      <w:r w:rsidRPr="00851FB3">
        <w:rPr>
          <w:sz w:val="22"/>
          <w:szCs w:val="22"/>
        </w:rPr>
        <w:t xml:space="preserve">2025 г.); </w:t>
      </w:r>
    </w:p>
    <w:p w14:paraId="66E667AA" w14:textId="0C82FEE2" w:rsidR="0036413D" w:rsidRPr="00851FB3" w:rsidRDefault="0036413D" w:rsidP="00EE655D">
      <w:pPr>
        <w:numPr>
          <w:ilvl w:val="0"/>
          <w:numId w:val="33"/>
        </w:numPr>
        <w:shd w:val="clear" w:color="auto" w:fill="FFFFFF" w:themeFill="background1"/>
        <w:ind w:left="0" w:firstLine="426"/>
        <w:jc w:val="both"/>
        <w:rPr>
          <w:sz w:val="22"/>
          <w:szCs w:val="22"/>
        </w:rPr>
      </w:pPr>
      <w:r w:rsidRPr="00851FB3">
        <w:rPr>
          <w:sz w:val="22"/>
          <w:szCs w:val="22"/>
        </w:rPr>
        <w:t xml:space="preserve">„Европейски фонд за отбрана </w:t>
      </w:r>
      <w:r w:rsidR="00851FB3">
        <w:rPr>
          <w:sz w:val="22"/>
          <w:szCs w:val="22"/>
        </w:rPr>
        <w:t>–</w:t>
      </w:r>
      <w:r w:rsidRPr="00864217">
        <w:rPr>
          <w:sz w:val="22"/>
          <w:szCs w:val="22"/>
        </w:rPr>
        <w:t xml:space="preserve"> </w:t>
      </w:r>
      <w:r w:rsidRPr="00851FB3">
        <w:rPr>
          <w:sz w:val="22"/>
          <w:szCs w:val="22"/>
        </w:rPr>
        <w:t>Национален инфо</w:t>
      </w:r>
      <w:r w:rsidR="00851FB3">
        <w:rPr>
          <w:sz w:val="22"/>
          <w:szCs w:val="22"/>
        </w:rPr>
        <w:t>рмационен ден 2025 г.“ (18.03.</w:t>
      </w:r>
      <w:r w:rsidRPr="00851FB3">
        <w:rPr>
          <w:sz w:val="22"/>
          <w:szCs w:val="22"/>
        </w:rPr>
        <w:t>2025</w:t>
      </w:r>
      <w:r w:rsidR="00851FB3">
        <w:rPr>
          <w:sz w:val="22"/>
          <w:szCs w:val="22"/>
        </w:rPr>
        <w:t xml:space="preserve"> </w:t>
      </w:r>
      <w:r w:rsidRPr="00851FB3">
        <w:rPr>
          <w:sz w:val="22"/>
          <w:szCs w:val="22"/>
        </w:rPr>
        <w:t>г.)</w:t>
      </w:r>
      <w:r w:rsidR="00864217">
        <w:rPr>
          <w:sz w:val="22"/>
          <w:szCs w:val="22"/>
        </w:rPr>
        <w:t>;</w:t>
      </w:r>
    </w:p>
    <w:p w14:paraId="3023D527" w14:textId="312120E3" w:rsidR="0036413D" w:rsidRPr="00851FB3" w:rsidRDefault="0036413D" w:rsidP="00EE655D">
      <w:pPr>
        <w:numPr>
          <w:ilvl w:val="0"/>
          <w:numId w:val="33"/>
        </w:numPr>
        <w:shd w:val="clear" w:color="auto" w:fill="FFFFFF" w:themeFill="background1"/>
        <w:ind w:left="0" w:firstLine="426"/>
        <w:jc w:val="both"/>
        <w:rPr>
          <w:sz w:val="22"/>
          <w:szCs w:val="22"/>
        </w:rPr>
      </w:pPr>
      <w:r w:rsidRPr="00851FB3">
        <w:rPr>
          <w:sz w:val="22"/>
          <w:szCs w:val="22"/>
        </w:rPr>
        <w:t>Международна конференция „Новите реалности във външната политика, отбраната и от</w:t>
      </w:r>
      <w:r w:rsidR="00851FB3">
        <w:rPr>
          <w:sz w:val="22"/>
          <w:szCs w:val="22"/>
        </w:rPr>
        <w:t>бранителната индустрия“ (20.05</w:t>
      </w:r>
      <w:r w:rsidR="00864217">
        <w:rPr>
          <w:sz w:val="22"/>
          <w:szCs w:val="22"/>
        </w:rPr>
        <w:t>.</w:t>
      </w:r>
      <w:r w:rsidRPr="00851FB3">
        <w:rPr>
          <w:sz w:val="22"/>
          <w:szCs w:val="22"/>
        </w:rPr>
        <w:t>2025 г.).</w:t>
      </w:r>
    </w:p>
    <w:p w14:paraId="5F8DA917" w14:textId="77777777" w:rsidR="0036413D" w:rsidRPr="00864217" w:rsidRDefault="0036413D" w:rsidP="00EE655D">
      <w:pPr>
        <w:shd w:val="clear" w:color="auto" w:fill="FFFFFF" w:themeFill="background1"/>
        <w:ind w:firstLine="426"/>
        <w:jc w:val="both"/>
        <w:rPr>
          <w:sz w:val="22"/>
          <w:szCs w:val="22"/>
        </w:rPr>
      </w:pPr>
      <w:r w:rsidRPr="00864217">
        <w:rPr>
          <w:b/>
          <w:sz w:val="22"/>
          <w:szCs w:val="22"/>
        </w:rPr>
        <w:t>В областта на отбранително-мобилизационната подготовка на страната</w:t>
      </w:r>
      <w:r w:rsidRPr="00864217">
        <w:rPr>
          <w:sz w:val="22"/>
          <w:szCs w:val="22"/>
        </w:rPr>
        <w:t xml:space="preserve"> и контрола на държавните резерви и военновременни запаси, Междуведомственият съвет по предложение на министъра на отбраната, разгледа и прие:</w:t>
      </w:r>
    </w:p>
    <w:p w14:paraId="589CC99F" w14:textId="3DEA9951" w:rsidR="0036413D" w:rsidRPr="00864217" w:rsidRDefault="0036413D" w:rsidP="00EE655D">
      <w:pPr>
        <w:numPr>
          <w:ilvl w:val="0"/>
          <w:numId w:val="33"/>
        </w:numPr>
        <w:shd w:val="clear" w:color="auto" w:fill="FFFFFF" w:themeFill="background1"/>
        <w:ind w:left="0" w:firstLine="426"/>
        <w:jc w:val="both"/>
        <w:rPr>
          <w:sz w:val="22"/>
          <w:szCs w:val="22"/>
        </w:rPr>
      </w:pPr>
      <w:r w:rsidRPr="00864217">
        <w:rPr>
          <w:sz w:val="22"/>
          <w:szCs w:val="22"/>
        </w:rPr>
        <w:t xml:space="preserve">Указания за дейностите по отбранително-мобилизационна подготовка на страната през </w:t>
      </w:r>
      <w:r w:rsidR="00864217">
        <w:rPr>
          <w:sz w:val="22"/>
          <w:szCs w:val="22"/>
        </w:rPr>
        <w:br/>
      </w:r>
      <w:r w:rsidRPr="00864217">
        <w:rPr>
          <w:sz w:val="22"/>
          <w:szCs w:val="22"/>
        </w:rPr>
        <w:t>2025 г.;</w:t>
      </w:r>
    </w:p>
    <w:p w14:paraId="11EFB2AE" w14:textId="1AE48A06" w:rsidR="0036413D" w:rsidRPr="00864217" w:rsidRDefault="0036413D" w:rsidP="00EE655D">
      <w:pPr>
        <w:numPr>
          <w:ilvl w:val="0"/>
          <w:numId w:val="33"/>
        </w:numPr>
        <w:shd w:val="clear" w:color="auto" w:fill="FFFFFF" w:themeFill="background1"/>
        <w:ind w:left="0" w:firstLine="426"/>
        <w:jc w:val="both"/>
        <w:rPr>
          <w:sz w:val="22"/>
          <w:szCs w:val="22"/>
        </w:rPr>
      </w:pPr>
      <w:r w:rsidRPr="00864217">
        <w:rPr>
          <w:sz w:val="22"/>
          <w:szCs w:val="22"/>
        </w:rPr>
        <w:t xml:space="preserve">Актуализирана </w:t>
      </w:r>
      <w:r w:rsidR="00864217">
        <w:rPr>
          <w:sz w:val="22"/>
          <w:szCs w:val="22"/>
        </w:rPr>
        <w:t xml:space="preserve">информация (към 31.12.2024 г.) </w:t>
      </w:r>
      <w:r w:rsidRPr="00864217">
        <w:rPr>
          <w:sz w:val="22"/>
          <w:szCs w:val="22"/>
        </w:rPr>
        <w:t>за изпълнение на заявките за отсрочване на запасни и техника-запас от повикване във въоръжените сили при мобилизация;</w:t>
      </w:r>
    </w:p>
    <w:p w14:paraId="33A66F7D" w14:textId="312952CA" w:rsidR="0036413D" w:rsidRPr="00864217" w:rsidRDefault="0036413D" w:rsidP="00EE655D">
      <w:pPr>
        <w:numPr>
          <w:ilvl w:val="0"/>
          <w:numId w:val="33"/>
        </w:numPr>
        <w:shd w:val="clear" w:color="auto" w:fill="FFFFFF" w:themeFill="background1"/>
        <w:ind w:left="0" w:firstLine="426"/>
        <w:jc w:val="both"/>
        <w:rPr>
          <w:sz w:val="22"/>
          <w:szCs w:val="22"/>
        </w:rPr>
      </w:pPr>
      <w:r w:rsidRPr="00864217">
        <w:rPr>
          <w:sz w:val="22"/>
          <w:szCs w:val="22"/>
        </w:rPr>
        <w:t xml:space="preserve">План за контрол на министерствата, областните управи, органите на местно самоуправление по изпълнение на задачите им по отбранително-мобилизационна подготовка на страната през </w:t>
      </w:r>
      <w:r w:rsidR="00B91AFE">
        <w:rPr>
          <w:sz w:val="22"/>
          <w:szCs w:val="22"/>
        </w:rPr>
        <w:br/>
      </w:r>
      <w:r w:rsidRPr="00864217">
        <w:rPr>
          <w:sz w:val="22"/>
          <w:szCs w:val="22"/>
        </w:rPr>
        <w:t>2025 г.;</w:t>
      </w:r>
    </w:p>
    <w:p w14:paraId="130FE3AE" w14:textId="77777777" w:rsidR="0036413D" w:rsidRPr="00864217" w:rsidRDefault="0036413D" w:rsidP="00EE655D">
      <w:pPr>
        <w:numPr>
          <w:ilvl w:val="0"/>
          <w:numId w:val="33"/>
        </w:numPr>
        <w:shd w:val="clear" w:color="auto" w:fill="FFFFFF" w:themeFill="background1"/>
        <w:ind w:left="0" w:firstLine="426"/>
        <w:jc w:val="both"/>
        <w:rPr>
          <w:sz w:val="22"/>
          <w:szCs w:val="22"/>
        </w:rPr>
      </w:pPr>
      <w:r w:rsidRPr="00864217">
        <w:rPr>
          <w:sz w:val="22"/>
          <w:szCs w:val="22"/>
        </w:rPr>
        <w:t>Доклад за актуалното състояние и проблемните въпроси на отбранително-мобилизационната подготовка на страната през 2024 г.</w:t>
      </w:r>
    </w:p>
    <w:p w14:paraId="4CC1EBCB" w14:textId="40A639C3" w:rsidR="0036413D" w:rsidRPr="00B91AFE" w:rsidRDefault="0036413D" w:rsidP="00EE655D">
      <w:pPr>
        <w:shd w:val="clear" w:color="auto" w:fill="FFFFFF" w:themeFill="background1"/>
        <w:tabs>
          <w:tab w:val="num" w:pos="0"/>
          <w:tab w:val="num" w:pos="567"/>
          <w:tab w:val="num" w:pos="644"/>
          <w:tab w:val="num" w:pos="993"/>
        </w:tabs>
        <w:ind w:firstLine="425"/>
        <w:jc w:val="both"/>
        <w:rPr>
          <w:rFonts w:eastAsia="Batang"/>
          <w:sz w:val="22"/>
          <w:szCs w:val="22"/>
          <w:lang w:eastAsia="ko-KR"/>
        </w:rPr>
      </w:pPr>
      <w:r w:rsidRPr="00B91AFE">
        <w:rPr>
          <w:rFonts w:eastAsia="Batang"/>
          <w:sz w:val="22"/>
          <w:szCs w:val="22"/>
          <w:lang w:eastAsia="ko-KR"/>
        </w:rPr>
        <w:t xml:space="preserve">Секретариатът на МСОИСД през отчетния период осъществява и оперативно взаимодействие с </w:t>
      </w:r>
      <w:r w:rsidR="002E55C2">
        <w:rPr>
          <w:rFonts w:eastAsia="Batang"/>
          <w:sz w:val="22"/>
          <w:szCs w:val="22"/>
          <w:lang w:eastAsia="ko-KR"/>
        </w:rPr>
        <w:t>а</w:t>
      </w:r>
      <w:r w:rsidRPr="00B91AFE">
        <w:rPr>
          <w:rFonts w:eastAsia="Batang"/>
          <w:sz w:val="22"/>
          <w:szCs w:val="22"/>
          <w:lang w:eastAsia="ko-KR"/>
        </w:rPr>
        <w:t xml:space="preserve">дминистрацията на Министерския съвет, администрацията на Министерството на икономиката и индустрията, администрацията на Министерството на отбраната и други администрации на изпълнителната власт, както и на Народното събрание по въпросите, касаещи работата на МСОИСД. </w:t>
      </w:r>
    </w:p>
    <w:p w14:paraId="467FA87B" w14:textId="77777777" w:rsidR="0036413D" w:rsidRPr="00864217" w:rsidRDefault="0036413D" w:rsidP="00EE655D">
      <w:pPr>
        <w:shd w:val="clear" w:color="auto" w:fill="FFFFFF" w:themeFill="background1"/>
        <w:tabs>
          <w:tab w:val="num" w:pos="0"/>
          <w:tab w:val="num" w:pos="567"/>
          <w:tab w:val="num" w:pos="644"/>
          <w:tab w:val="num" w:pos="993"/>
        </w:tabs>
        <w:ind w:firstLine="425"/>
        <w:jc w:val="both"/>
        <w:rPr>
          <w:color w:val="000000" w:themeColor="text1"/>
          <w:sz w:val="22"/>
          <w:szCs w:val="22"/>
        </w:rPr>
      </w:pPr>
      <w:r w:rsidRPr="00B91AFE">
        <w:rPr>
          <w:rFonts w:eastAsia="Batang"/>
          <w:sz w:val="22"/>
          <w:szCs w:val="22"/>
          <w:lang w:eastAsia="ko-KR"/>
        </w:rPr>
        <w:t xml:space="preserve">Интернет страницата на Междуведомствения съвет по отбранителна индустрия и сигурност на доставките е активна и обновявана през отчетния период </w:t>
      </w:r>
      <w:r w:rsidRPr="00864217">
        <w:rPr>
          <w:sz w:val="22"/>
          <w:szCs w:val="22"/>
        </w:rPr>
        <w:t xml:space="preserve">– </w:t>
      </w:r>
      <w:hyperlink r:id="rId29" w:history="1">
        <w:r w:rsidRPr="00B91AFE">
          <w:rPr>
            <w:color w:val="215E99" w:themeColor="text2" w:themeTint="BF"/>
            <w:sz w:val="22"/>
            <w:szCs w:val="22"/>
          </w:rPr>
          <w:t>http://micmrc.government.bg/</w:t>
        </w:r>
      </w:hyperlink>
      <w:r w:rsidRPr="00B91AFE">
        <w:rPr>
          <w:color w:val="215E99" w:themeColor="text2" w:themeTint="BF"/>
          <w:sz w:val="22"/>
          <w:szCs w:val="22"/>
        </w:rPr>
        <w:t xml:space="preserve"> </w:t>
      </w:r>
    </w:p>
    <w:p w14:paraId="5D02E944" w14:textId="77777777" w:rsidR="001F2F82" w:rsidRPr="00EE655D" w:rsidRDefault="001F2F82" w:rsidP="00EE655D">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EE655D">
        <w:rPr>
          <w:b/>
          <w:bCs/>
          <w:i/>
          <w:iCs/>
          <w:color w:val="215E99" w:themeColor="text2" w:themeTint="BF"/>
          <w:sz w:val="22"/>
          <w:szCs w:val="22"/>
        </w:rPr>
        <w:lastRenderedPageBreak/>
        <w:t>Координация, наблюдение и оценка на политиките и мерките за предотвратяване и защита от домашното насилие – Секретариат на Национален съвет за превенция и защита от домашното насилие (НСПЗДН)</w:t>
      </w:r>
    </w:p>
    <w:p w14:paraId="59C50738" w14:textId="77777777" w:rsidR="001F2F82" w:rsidRPr="00406702" w:rsidRDefault="001F2F82" w:rsidP="00EE655D">
      <w:pPr>
        <w:shd w:val="clear" w:color="auto" w:fill="FFFFFF" w:themeFill="background1"/>
        <w:tabs>
          <w:tab w:val="num" w:pos="0"/>
          <w:tab w:val="num" w:pos="567"/>
          <w:tab w:val="num" w:pos="644"/>
          <w:tab w:val="num" w:pos="993"/>
        </w:tabs>
        <w:ind w:firstLine="425"/>
        <w:jc w:val="both"/>
        <w:rPr>
          <w:rFonts w:eastAsia="Batang"/>
          <w:sz w:val="22"/>
          <w:szCs w:val="22"/>
          <w:lang w:eastAsia="ko-KR"/>
        </w:rPr>
      </w:pPr>
      <w:r w:rsidRPr="00406702">
        <w:rPr>
          <w:rFonts w:eastAsia="Batang"/>
          <w:sz w:val="22"/>
          <w:szCs w:val="22"/>
          <w:lang w:eastAsia="ko-KR"/>
        </w:rPr>
        <w:t>Отдел „Превенция и защита от домашно насилие, сътрудничество по етническите и интеграционни въпроси и взаимодействие с гражданското общество“ (ПЗДНСЕИВВГО) изпълнява функциите на: Секретариат на Националния съвет за превенция и защита от домашното насилие (НСПЗДН), Секретариат на Националния съвет за сътрудничество по етническите и интеграционните въпроси (НССЕИВ) и Секретариат на Съвета за развитие на гражданското общество (СРГО)</w:t>
      </w:r>
    </w:p>
    <w:p w14:paraId="448F19BA" w14:textId="77777777" w:rsidR="001F2F82" w:rsidRPr="00EE655D" w:rsidRDefault="001F2F82" w:rsidP="00EE655D">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EE655D">
        <w:rPr>
          <w:b/>
          <w:bCs/>
          <w:i/>
          <w:iCs/>
          <w:color w:val="215E99" w:themeColor="text2" w:themeTint="BF"/>
          <w:sz w:val="22"/>
          <w:szCs w:val="22"/>
        </w:rPr>
        <w:t>Дейности по превенция и защита от домашното насилие – Секретариат на НСПЗДН</w:t>
      </w:r>
    </w:p>
    <w:p w14:paraId="40DADAFF" w14:textId="3B2DD978" w:rsidR="001F2F82" w:rsidRPr="002E55C2" w:rsidRDefault="00B434EF" w:rsidP="00EE655D">
      <w:pPr>
        <w:shd w:val="clear" w:color="auto" w:fill="FFFFFF" w:themeFill="background1"/>
        <w:tabs>
          <w:tab w:val="num" w:pos="0"/>
          <w:tab w:val="num" w:pos="567"/>
          <w:tab w:val="num" w:pos="644"/>
          <w:tab w:val="num" w:pos="993"/>
        </w:tabs>
        <w:ind w:firstLine="425"/>
        <w:jc w:val="both"/>
        <w:rPr>
          <w:rFonts w:eastAsia="Batang"/>
          <w:sz w:val="22"/>
          <w:szCs w:val="22"/>
          <w:lang w:eastAsia="ko-KR"/>
        </w:rPr>
      </w:pPr>
      <w:r w:rsidRPr="002E55C2">
        <w:rPr>
          <w:rFonts w:eastAsia="Batang"/>
          <w:sz w:val="22"/>
          <w:szCs w:val="22"/>
          <w:lang w:eastAsia="ko-KR"/>
        </w:rPr>
        <w:t>С РМС № 40 от 29.01.</w:t>
      </w:r>
      <w:r w:rsidR="001F2F82" w:rsidRPr="002E55C2">
        <w:rPr>
          <w:rFonts w:eastAsia="Batang"/>
          <w:sz w:val="22"/>
          <w:szCs w:val="22"/>
          <w:lang w:eastAsia="ko-KR"/>
        </w:rPr>
        <w:t>2025 г. заместник министър-председателят г-н Атанас Зафиров е определен за председат</w:t>
      </w:r>
      <w:r w:rsidRPr="002E55C2">
        <w:rPr>
          <w:rFonts w:eastAsia="Batang"/>
          <w:sz w:val="22"/>
          <w:szCs w:val="22"/>
          <w:lang w:eastAsia="ko-KR"/>
        </w:rPr>
        <w:t>ел на НСПЗДН. С РМС № 262 от 30.04.</w:t>
      </w:r>
      <w:r w:rsidR="001F2F82" w:rsidRPr="002E55C2">
        <w:rPr>
          <w:rFonts w:eastAsia="Batang"/>
          <w:sz w:val="22"/>
          <w:szCs w:val="22"/>
          <w:lang w:eastAsia="ko-KR"/>
        </w:rPr>
        <w:t>2025 г. е определен настоящият поименен състав на НСПЗДН. Проведено в едно заседание на 03.06.2025 г. на което на основание чл. 6б, ал. 2 от Закона за защита от домашното насилие (ЗЗДН) и чл. 4 от Правилника за устройството, организацията и дейността на НСПЗДН е приет Годишен доклад за дейността на Съвета за 2024 г. и изпълнението на Националната програма за превенция и защита от домашното насилие за 2024 г., както и е приета Работна програма на планираните процедури за финансиране на дейности по чл. 6е, ал. 6 от ЗЗДН, глава трета от Правилника за прилагането му и сроковете за изпълнение за 2025 и 2026 г.</w:t>
      </w:r>
    </w:p>
    <w:p w14:paraId="27104E17" w14:textId="77777777" w:rsidR="001F2F82" w:rsidRPr="002E55C2" w:rsidRDefault="001F2F82" w:rsidP="00EE655D">
      <w:pPr>
        <w:shd w:val="clear" w:color="auto" w:fill="FFFFFF" w:themeFill="background1"/>
        <w:tabs>
          <w:tab w:val="num" w:pos="0"/>
          <w:tab w:val="num" w:pos="567"/>
          <w:tab w:val="num" w:pos="644"/>
          <w:tab w:val="num" w:pos="993"/>
        </w:tabs>
        <w:ind w:firstLine="425"/>
        <w:jc w:val="both"/>
        <w:rPr>
          <w:rFonts w:eastAsia="Batang"/>
          <w:sz w:val="22"/>
          <w:szCs w:val="22"/>
          <w:lang w:eastAsia="ko-KR"/>
        </w:rPr>
      </w:pPr>
      <w:r w:rsidRPr="002E55C2">
        <w:rPr>
          <w:rFonts w:eastAsia="Batang"/>
          <w:sz w:val="22"/>
          <w:szCs w:val="22"/>
          <w:lang w:eastAsia="ko-KR"/>
        </w:rPr>
        <w:t>За първото шестмесечие на 2025 г., като секретариат на НСПЗДН, отдел „Превенция и защита от домашно насилие, сътрудничество по етническите и интеграционни въпроси и взаимодействие с гражданското общество“ към главния секретар на Министерския съвет е предприел и подпомогнал дейността на НСПЗДН по осъществяване на следните дейности:</w:t>
      </w:r>
    </w:p>
    <w:p w14:paraId="37909FF3" w14:textId="77777777" w:rsidR="001F2F82" w:rsidRPr="00B434EF" w:rsidRDefault="001F2F82" w:rsidP="00EE655D">
      <w:pPr>
        <w:shd w:val="clear" w:color="auto" w:fill="FFFFFF" w:themeFill="background1"/>
        <w:ind w:firstLine="426"/>
        <w:jc w:val="both"/>
        <w:rPr>
          <w:bCs/>
          <w:sz w:val="22"/>
          <w:szCs w:val="22"/>
        </w:rPr>
      </w:pPr>
      <w:r w:rsidRPr="00B434EF">
        <w:rPr>
          <w:bCs/>
          <w:sz w:val="22"/>
          <w:szCs w:val="22"/>
        </w:rPr>
        <w:t xml:space="preserve">1. Проведено е заседание на НСПЗДН на 03.06.2025 г., на което е приет Доклад за дейността на Националния съвет за превенция и защита от домашното насилие и изпълнението на Националната програма за превенция и защита от домашното насилие за 2024 г. и Работна програма на планираните процедури за финансиране на дейности по чл. 6е, ал. 6 от Закона за защита от домашното насилие, глава трета от Правилника за прилагането му и сроковете за изпълнение за 2025 и 2026 г. </w:t>
      </w:r>
    </w:p>
    <w:p w14:paraId="4254EDB7" w14:textId="77777777" w:rsidR="001F2F82" w:rsidRPr="009E25A9" w:rsidRDefault="001F2F82" w:rsidP="00EE655D">
      <w:pPr>
        <w:shd w:val="clear" w:color="auto" w:fill="FFFFFF" w:themeFill="background1"/>
        <w:ind w:firstLine="426"/>
        <w:jc w:val="both"/>
        <w:rPr>
          <w:bCs/>
          <w:sz w:val="22"/>
          <w:szCs w:val="22"/>
        </w:rPr>
      </w:pPr>
      <w:r w:rsidRPr="009E25A9">
        <w:rPr>
          <w:bCs/>
          <w:sz w:val="22"/>
          <w:szCs w:val="22"/>
        </w:rPr>
        <w:t>2. По отношение приемането на Координационен механизъм за помощ и подкрепа на пострадали от домашно насилие са предприети всички действия по приемането му от Министерския съвет. На основание чл. 32 от Устройствения правилник на Министерския съвет и на неговата администрация на 23.12.2024 г. проектът на Решение на Министерския съвет за приемане на Координационния механизъм е изпратен за междуведомствено съгласуване и е публикуван за обществено обсъждане на Портала за обществени консултации към Министерския съвет. Предвид разпоредбата на чл. 26, ал. 4, изр. 2-ро от Закона за нормативните актове, проектът и приложените документи са публикувани за срок от 14 дни, поради обществената значимост на темата за превенция и защита от домашното насилие, а именно до 06.01.2025 г. Обсъждането и отразяването на постъпилите предложения и коментари в хода на междуведомственото съгласуване и общественото обсъждане, и внасянето по надлежния ред за разглеждане и приемане от Министерския съвет е отложено поради междувременно проведените парламентарни избори и приетите решения на Народното събрание на Република България за избиране на министър-председател, както и структура и състав на Министерския съвет на Република България. В тази връзка на 27.05.2025 г. Координационния механизъм е изпратен за повторно междуведомствено съгласуване на основание чл. 32, ал. 1 от Устройствения правилник на Министерския съвет и на неговата администрация и е публикуван за повторно обществено обсъждане в сроковете по реда на чл. 26, ал. 4, изр. 1-во от ЗНА. Общественото обсъждане приключи на 26.06.2025 г. Всички документи за внасянето му за приемане от Министерския съвет са подготвени, като единствено се очаква одобрението на финансовата обосновка към решението.</w:t>
      </w:r>
    </w:p>
    <w:p w14:paraId="4F306769" w14:textId="25869369" w:rsidR="001F2F82" w:rsidRPr="009E25A9" w:rsidRDefault="001F2F82" w:rsidP="00EE655D">
      <w:pPr>
        <w:shd w:val="clear" w:color="auto" w:fill="FFFFFF" w:themeFill="background1"/>
        <w:ind w:firstLine="426"/>
        <w:jc w:val="both"/>
        <w:rPr>
          <w:bCs/>
          <w:sz w:val="22"/>
          <w:szCs w:val="22"/>
        </w:rPr>
      </w:pPr>
      <w:r w:rsidRPr="009E25A9">
        <w:rPr>
          <w:bCs/>
          <w:sz w:val="22"/>
          <w:szCs w:val="22"/>
        </w:rPr>
        <w:t xml:space="preserve">3. По отношение на изграждането на Националната информационна система за превенция и защита от домашното насилие, с ПМС № 304/26.08.2024 г. са приети измененията и допълненията в Правилника за прилагане на ЗЗДН, като с Глава пета са уредени организацията и функционирането на НИСПЗДН, информацията, подлежаща на вписване, редът за събирането и предоставянето й, </w:t>
      </w:r>
      <w:r w:rsidRPr="009E25A9">
        <w:rPr>
          <w:bCs/>
          <w:sz w:val="22"/>
          <w:szCs w:val="22"/>
        </w:rPr>
        <w:lastRenderedPageBreak/>
        <w:t>както и нивото на достъп на ангажираните институции и организации. Съгласно § 45, ал. 1 от Преходните и заключителни разпоредби към Закона за изменение и допълнение на Закона за електронното управление, системната интеграция по Глава първа "а", Раздел IV от закона се осъществява от „Информационно обслужване“ АД (Системен интегратор). В тази връзка, в началото на месец октомври 2024 г., е сключен рамков договор между Администр</w:t>
      </w:r>
      <w:r w:rsidR="0056745E">
        <w:rPr>
          <w:bCs/>
          <w:sz w:val="22"/>
          <w:szCs w:val="22"/>
        </w:rPr>
        <w:t xml:space="preserve">ацията на Министерския съвет и </w:t>
      </w:r>
      <w:r w:rsidRPr="009E25A9">
        <w:rPr>
          <w:bCs/>
          <w:sz w:val="22"/>
          <w:szCs w:val="22"/>
        </w:rPr>
        <w:t>„Информационно обслужване“ АД. Дейностите по изграждане, поддържане и развитие на системата попадат в обхвата на системната интеграция и изграждането й е стартирано в началото на месец януари 2025 г., с период на изпълнение 14 месеца. Към настоящия момент е изготвена и одобрена от страните по договора Техническа спецификация по проекта, представен е от изпълнителя анали</w:t>
      </w:r>
      <w:r w:rsidR="0056745E">
        <w:rPr>
          <w:bCs/>
          <w:sz w:val="22"/>
          <w:szCs w:val="22"/>
        </w:rPr>
        <w:t>з на данните и изискванията и е</w:t>
      </w:r>
      <w:r w:rsidRPr="009E25A9">
        <w:rPr>
          <w:bCs/>
          <w:sz w:val="22"/>
          <w:szCs w:val="22"/>
        </w:rPr>
        <w:t xml:space="preserve"> изготвен системен проект, въз основа на който ще бъде разработено софтуерното решение.</w:t>
      </w:r>
    </w:p>
    <w:p w14:paraId="77119A72" w14:textId="2153FAE0" w:rsidR="001F2F82" w:rsidRPr="0056745E" w:rsidRDefault="001F2F82" w:rsidP="00EE655D">
      <w:pPr>
        <w:shd w:val="clear" w:color="auto" w:fill="FFFFFF" w:themeFill="background1"/>
        <w:ind w:firstLine="426"/>
        <w:jc w:val="both"/>
        <w:rPr>
          <w:bCs/>
          <w:sz w:val="22"/>
          <w:szCs w:val="22"/>
        </w:rPr>
      </w:pPr>
      <w:r w:rsidRPr="0056745E">
        <w:rPr>
          <w:bCs/>
          <w:sz w:val="22"/>
          <w:szCs w:val="22"/>
        </w:rPr>
        <w:t>4. По отношение на изграждането и поддържането на Национална телефонна линия за помощ на лица, пострадали от домашно насилие и в риск, с един</w:t>
      </w:r>
      <w:r w:rsidR="0056745E">
        <w:rPr>
          <w:bCs/>
          <w:sz w:val="22"/>
          <w:szCs w:val="22"/>
        </w:rPr>
        <w:t xml:space="preserve">ен хармонизиран номер 116 016, </w:t>
      </w:r>
      <w:r w:rsidRPr="0056745E">
        <w:rPr>
          <w:bCs/>
          <w:sz w:val="22"/>
          <w:szCs w:val="22"/>
        </w:rPr>
        <w:t>са предприети всички необходими действия за реализирането линията, като с Решение № 44</w:t>
      </w:r>
      <w:r w:rsidR="00E91D72">
        <w:rPr>
          <w:bCs/>
          <w:sz w:val="22"/>
          <w:szCs w:val="22"/>
        </w:rPr>
        <w:t xml:space="preserve"> от </w:t>
      </w:r>
      <w:r w:rsidRPr="0056745E">
        <w:rPr>
          <w:bCs/>
          <w:sz w:val="22"/>
          <w:szCs w:val="22"/>
        </w:rPr>
        <w:t>30.01.2025 г. на Комисията за регулиране на съобщенията е предоставен на Администрацията на Министерския съвет хармонизирания номер 116 016. Подготвен е и регистриран проект в регистъра на Министерство на електронното управление, включително е подготвен проект на заявка към системния интегратор „Информационно обслужване“ АД, съгласно подписания рамков договор и разпоредбите на Закона за електронното управление.</w:t>
      </w:r>
    </w:p>
    <w:p w14:paraId="795EFE19" w14:textId="77777777" w:rsidR="001F2F82" w:rsidRPr="0056745E" w:rsidRDefault="001F2F82" w:rsidP="00EE655D">
      <w:pPr>
        <w:shd w:val="clear" w:color="auto" w:fill="FFFFFF" w:themeFill="background1"/>
        <w:ind w:firstLine="426"/>
        <w:jc w:val="both"/>
        <w:rPr>
          <w:bCs/>
          <w:sz w:val="22"/>
          <w:szCs w:val="22"/>
        </w:rPr>
      </w:pPr>
      <w:r w:rsidRPr="0056745E">
        <w:rPr>
          <w:bCs/>
          <w:sz w:val="22"/>
          <w:szCs w:val="22"/>
        </w:rPr>
        <w:t>5. По отношение на финансирането на дейностите по чл. 6е, ал. 6 от ЗЗДН и на основание приетата Работна програма на планираните процедури по закона, глава трета от Правилника за прилагането му и сроковете за изпълнение за 2025 и 2026 г., отделът е подготвил необходимата документация, която е предоставена за преглед и бележки на съответните компетентни дирекции в АМС, след което ще бъде обявен конкурса за финансиране на проектите по чл. 6е, ал. 6 от ЗЗДН.</w:t>
      </w:r>
    </w:p>
    <w:p w14:paraId="5A04A5E3" w14:textId="77777777" w:rsidR="001F2F82" w:rsidRPr="00EE655D" w:rsidRDefault="001F2F82" w:rsidP="00EE655D">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EE655D">
        <w:rPr>
          <w:b/>
          <w:bCs/>
          <w:i/>
          <w:iCs/>
          <w:color w:val="215E99" w:themeColor="text2" w:themeTint="BF"/>
          <w:sz w:val="22"/>
          <w:szCs w:val="22"/>
        </w:rPr>
        <w:t>Координация по въпросите на интеграцията на малцинствата – секретариат на НССЕИВ</w:t>
      </w:r>
    </w:p>
    <w:p w14:paraId="7F5CE7CD" w14:textId="7978DA80" w:rsidR="001F2F82" w:rsidRPr="00CE0A86" w:rsidRDefault="001F2F82" w:rsidP="00E731EA">
      <w:pPr>
        <w:shd w:val="clear" w:color="auto" w:fill="FFFFFF" w:themeFill="background1"/>
        <w:tabs>
          <w:tab w:val="num" w:pos="0"/>
          <w:tab w:val="num" w:pos="567"/>
          <w:tab w:val="num" w:pos="644"/>
          <w:tab w:val="num" w:pos="993"/>
        </w:tabs>
        <w:ind w:firstLine="425"/>
        <w:jc w:val="both"/>
        <w:rPr>
          <w:rFonts w:eastAsia="Batang"/>
          <w:sz w:val="22"/>
          <w:szCs w:val="22"/>
          <w:lang w:eastAsia="ko-KR"/>
        </w:rPr>
      </w:pPr>
      <w:r w:rsidRPr="00CE0A86">
        <w:rPr>
          <w:rFonts w:eastAsia="Batang"/>
          <w:sz w:val="22"/>
          <w:szCs w:val="22"/>
          <w:lang w:eastAsia="ko-KR"/>
        </w:rPr>
        <w:t xml:space="preserve">С </w:t>
      </w:r>
      <w:r w:rsidR="00DB5DC2" w:rsidRPr="00CE0A86">
        <w:rPr>
          <w:rFonts w:eastAsia="Batang"/>
          <w:sz w:val="22"/>
          <w:szCs w:val="22"/>
          <w:lang w:eastAsia="ko-KR"/>
        </w:rPr>
        <w:t>Решение № 39 от 29.02.205 г.</w:t>
      </w:r>
      <w:r w:rsidRPr="00CE0A86">
        <w:rPr>
          <w:rFonts w:eastAsia="Batang"/>
          <w:sz w:val="22"/>
          <w:szCs w:val="22"/>
          <w:lang w:eastAsia="ko-KR"/>
        </w:rPr>
        <w:t xml:space="preserve"> на Министерския съвет, за председател на НССЕИВ е определен заместник министър-председателят Атанас Зафиров.  </w:t>
      </w:r>
    </w:p>
    <w:p w14:paraId="2A35AAB8" w14:textId="03DF1240" w:rsidR="001F2F82" w:rsidRPr="00CE0A86" w:rsidRDefault="001F2F82" w:rsidP="00E731EA">
      <w:pPr>
        <w:shd w:val="clear" w:color="auto" w:fill="FFFFFF" w:themeFill="background1"/>
        <w:tabs>
          <w:tab w:val="num" w:pos="0"/>
          <w:tab w:val="num" w:pos="567"/>
          <w:tab w:val="num" w:pos="644"/>
          <w:tab w:val="num" w:pos="993"/>
        </w:tabs>
        <w:ind w:firstLine="425"/>
        <w:jc w:val="both"/>
        <w:rPr>
          <w:rFonts w:eastAsia="Batang"/>
          <w:sz w:val="22"/>
          <w:szCs w:val="22"/>
          <w:lang w:eastAsia="ko-KR"/>
        </w:rPr>
      </w:pPr>
      <w:r w:rsidRPr="00CE0A86">
        <w:rPr>
          <w:rFonts w:eastAsia="Batang"/>
          <w:sz w:val="22"/>
          <w:szCs w:val="22"/>
          <w:lang w:eastAsia="ko-KR"/>
        </w:rPr>
        <w:t xml:space="preserve">Със Заповед № Р-114 от 2.06.2025 г. на председателя на НССЕИВ, е утвърден поименният състав на Съвета за 2025 г., изм. със Заповед  № Р-135 от 25.06.2025 г. и Заповед № Р-140 от </w:t>
      </w:r>
      <w:r w:rsidR="00CE0A86">
        <w:rPr>
          <w:rFonts w:eastAsia="Batang"/>
          <w:sz w:val="22"/>
          <w:szCs w:val="22"/>
          <w:lang w:eastAsia="ko-KR"/>
        </w:rPr>
        <w:t>0</w:t>
      </w:r>
      <w:r w:rsidRPr="00CE0A86">
        <w:rPr>
          <w:rFonts w:eastAsia="Batang"/>
          <w:sz w:val="22"/>
          <w:szCs w:val="22"/>
          <w:lang w:eastAsia="ko-KR"/>
        </w:rPr>
        <w:t>9.07.2025 г.</w:t>
      </w:r>
    </w:p>
    <w:p w14:paraId="67E32970" w14:textId="77777777" w:rsidR="001F2F82" w:rsidRPr="00DB5DC2" w:rsidRDefault="001F2F82" w:rsidP="00E731EA">
      <w:pPr>
        <w:shd w:val="clear" w:color="auto" w:fill="FFFFFF" w:themeFill="background1"/>
        <w:tabs>
          <w:tab w:val="num" w:pos="928"/>
        </w:tabs>
        <w:autoSpaceDE w:val="0"/>
        <w:autoSpaceDN w:val="0"/>
        <w:adjustRightInd w:val="0"/>
        <w:ind w:firstLine="426"/>
        <w:contextualSpacing/>
        <w:jc w:val="both"/>
        <w:rPr>
          <w:b/>
          <w:bCs/>
          <w:sz w:val="22"/>
          <w:szCs w:val="22"/>
        </w:rPr>
      </w:pPr>
      <w:r w:rsidRPr="00DB5DC2">
        <w:rPr>
          <w:b/>
          <w:bCs/>
          <w:sz w:val="22"/>
          <w:szCs w:val="22"/>
        </w:rPr>
        <w:t>Организиране и провеждане заседания на НССЕИВ:</w:t>
      </w:r>
    </w:p>
    <w:p w14:paraId="10B98A4D" w14:textId="77777777" w:rsidR="001F2F82" w:rsidRPr="00DB5DC2" w:rsidRDefault="001F2F82" w:rsidP="00E731EA">
      <w:pPr>
        <w:shd w:val="clear" w:color="auto" w:fill="FFFFFF" w:themeFill="background1"/>
        <w:ind w:firstLine="426"/>
        <w:contextualSpacing/>
        <w:jc w:val="both"/>
        <w:rPr>
          <w:sz w:val="22"/>
          <w:szCs w:val="22"/>
        </w:rPr>
      </w:pPr>
      <w:r w:rsidRPr="00DB5DC2">
        <w:rPr>
          <w:sz w:val="22"/>
          <w:szCs w:val="22"/>
        </w:rPr>
        <w:t>През отчетния период не са провеждани заседания на НССЕИВ.</w:t>
      </w:r>
    </w:p>
    <w:p w14:paraId="38FB72EE" w14:textId="77777777" w:rsidR="001F2F82" w:rsidRPr="00DB5DC2" w:rsidRDefault="001F2F82" w:rsidP="00E731EA">
      <w:pPr>
        <w:shd w:val="clear" w:color="auto" w:fill="FFFFFF" w:themeFill="background1"/>
        <w:tabs>
          <w:tab w:val="num" w:pos="928"/>
        </w:tabs>
        <w:autoSpaceDE w:val="0"/>
        <w:autoSpaceDN w:val="0"/>
        <w:adjustRightInd w:val="0"/>
        <w:ind w:firstLine="426"/>
        <w:contextualSpacing/>
        <w:jc w:val="both"/>
        <w:rPr>
          <w:b/>
          <w:bCs/>
          <w:sz w:val="22"/>
          <w:szCs w:val="22"/>
        </w:rPr>
      </w:pPr>
      <w:r w:rsidRPr="00DB5DC2">
        <w:rPr>
          <w:b/>
          <w:bCs/>
          <w:sz w:val="22"/>
          <w:szCs w:val="22"/>
        </w:rPr>
        <w:t xml:space="preserve">Развиване на консултативния и координиращ процес на национално ниво чрез НССЕИВ и на местно ниво чрез областните и общинските съвети за сътрудничество по етническите и интеграционните въпроси и осъществяване на мониторинг на национално, местно и областно ниво: </w:t>
      </w:r>
    </w:p>
    <w:p w14:paraId="2174EED4" w14:textId="77777777" w:rsidR="001F2F82" w:rsidRPr="00262EA8" w:rsidRDefault="001F2F82" w:rsidP="00E731EA">
      <w:pPr>
        <w:numPr>
          <w:ilvl w:val="0"/>
          <w:numId w:val="12"/>
        </w:numPr>
        <w:shd w:val="clear" w:color="auto" w:fill="FFFFFF" w:themeFill="background1"/>
        <w:tabs>
          <w:tab w:val="clear" w:pos="360"/>
          <w:tab w:val="left" w:pos="709"/>
        </w:tabs>
        <w:ind w:left="0" w:firstLine="426"/>
        <w:contextualSpacing/>
        <w:jc w:val="both"/>
        <w:rPr>
          <w:bCs/>
          <w:sz w:val="22"/>
          <w:szCs w:val="22"/>
        </w:rPr>
      </w:pPr>
      <w:r w:rsidRPr="00262EA8">
        <w:rPr>
          <w:bCs/>
          <w:sz w:val="22"/>
          <w:szCs w:val="22"/>
        </w:rPr>
        <w:t xml:space="preserve">Обучения, семинари, тематични срещи с членовете на НССЕИВ, с експерти, работещи по ЕИВ: </w:t>
      </w:r>
    </w:p>
    <w:p w14:paraId="1DFAF0BE" w14:textId="77777777" w:rsidR="001F2F82" w:rsidRPr="00DB5DC2" w:rsidRDefault="001F2F82" w:rsidP="00E731EA">
      <w:pPr>
        <w:numPr>
          <w:ilvl w:val="0"/>
          <w:numId w:val="33"/>
        </w:numPr>
        <w:shd w:val="clear" w:color="auto" w:fill="FFFFFF" w:themeFill="background1"/>
        <w:ind w:left="0" w:firstLine="426"/>
        <w:jc w:val="both"/>
        <w:rPr>
          <w:sz w:val="22"/>
          <w:szCs w:val="22"/>
        </w:rPr>
      </w:pPr>
      <w:r w:rsidRPr="00DB5DC2">
        <w:rPr>
          <w:sz w:val="22"/>
          <w:szCs w:val="22"/>
        </w:rPr>
        <w:t>Актуализирана база данните на експертите, работещи в областта на интеграционната политика в областните администрации;</w:t>
      </w:r>
    </w:p>
    <w:p w14:paraId="3EF26591" w14:textId="2DCC1A39" w:rsidR="001F2F82" w:rsidRPr="00DB5DC2" w:rsidRDefault="001F2F82" w:rsidP="00E731EA">
      <w:pPr>
        <w:numPr>
          <w:ilvl w:val="0"/>
          <w:numId w:val="33"/>
        </w:numPr>
        <w:shd w:val="clear" w:color="auto" w:fill="FFFFFF" w:themeFill="background1"/>
        <w:ind w:left="0" w:firstLine="426"/>
        <w:jc w:val="both"/>
        <w:rPr>
          <w:sz w:val="22"/>
          <w:szCs w:val="22"/>
        </w:rPr>
      </w:pPr>
      <w:r w:rsidRPr="00DB5DC2">
        <w:rPr>
          <w:sz w:val="22"/>
          <w:szCs w:val="22"/>
        </w:rPr>
        <w:t>Оказвана регулярна методическа подкрепа и указания по изпълнение и отчитане на областните стратегии и общинските планове за действие за интегриране на ромите за 2024 г. и за изготвяне на общинските планове за действие за периода 2024-2027 г.</w:t>
      </w:r>
    </w:p>
    <w:p w14:paraId="742F3C85" w14:textId="77777777" w:rsidR="001F2F82" w:rsidRPr="00450249" w:rsidRDefault="001F2F82" w:rsidP="00E731EA">
      <w:pPr>
        <w:shd w:val="clear" w:color="auto" w:fill="FFFFFF" w:themeFill="background1"/>
        <w:tabs>
          <w:tab w:val="num" w:pos="928"/>
        </w:tabs>
        <w:autoSpaceDE w:val="0"/>
        <w:autoSpaceDN w:val="0"/>
        <w:adjustRightInd w:val="0"/>
        <w:ind w:firstLine="426"/>
        <w:contextualSpacing/>
        <w:jc w:val="both"/>
        <w:rPr>
          <w:b/>
          <w:bCs/>
          <w:sz w:val="22"/>
          <w:szCs w:val="22"/>
        </w:rPr>
      </w:pPr>
      <w:r w:rsidRPr="00450249">
        <w:rPr>
          <w:b/>
          <w:bCs/>
          <w:sz w:val="22"/>
          <w:szCs w:val="22"/>
        </w:rPr>
        <w:t xml:space="preserve">Дейности в подкрепа осъществяването на интеграционната политика: </w:t>
      </w:r>
    </w:p>
    <w:p w14:paraId="35BEF2C9" w14:textId="2F2B4801" w:rsidR="001F2F82" w:rsidRPr="00450249" w:rsidRDefault="001F2F82" w:rsidP="00E731EA">
      <w:pPr>
        <w:numPr>
          <w:ilvl w:val="0"/>
          <w:numId w:val="12"/>
        </w:numPr>
        <w:shd w:val="clear" w:color="auto" w:fill="FFFFFF" w:themeFill="background1"/>
        <w:tabs>
          <w:tab w:val="clear" w:pos="360"/>
          <w:tab w:val="left" w:pos="709"/>
        </w:tabs>
        <w:ind w:left="0" w:firstLine="426"/>
        <w:contextualSpacing/>
        <w:jc w:val="both"/>
        <w:rPr>
          <w:bCs/>
          <w:sz w:val="22"/>
          <w:szCs w:val="22"/>
        </w:rPr>
      </w:pPr>
      <w:r w:rsidRPr="00450249">
        <w:rPr>
          <w:bCs/>
          <w:sz w:val="22"/>
          <w:szCs w:val="22"/>
        </w:rPr>
        <w:t>Участия в събития от национален и регионален мащаб, насочени към съхраняване</w:t>
      </w:r>
      <w:r w:rsidR="00DB5DC2" w:rsidRPr="00450249">
        <w:rPr>
          <w:bCs/>
          <w:sz w:val="22"/>
          <w:szCs w:val="22"/>
        </w:rPr>
        <w:t xml:space="preserve"> </w:t>
      </w:r>
      <w:r w:rsidRPr="00450249">
        <w:rPr>
          <w:bCs/>
          <w:sz w:val="22"/>
          <w:szCs w:val="22"/>
        </w:rPr>
        <w:t>на културната идентичност на етническите малцинства, както и такива, отнасящи се до отделни сфери на интеграционната политика: образование, здравеопазване, жилищни условия и др.</w:t>
      </w:r>
    </w:p>
    <w:p w14:paraId="7974DE96" w14:textId="77777777" w:rsidR="001F2F82" w:rsidRPr="00DB5DC2" w:rsidRDefault="001F2F82" w:rsidP="00E731EA">
      <w:pPr>
        <w:shd w:val="clear" w:color="auto" w:fill="FFFFFF" w:themeFill="background1"/>
        <w:ind w:firstLine="426"/>
        <w:contextualSpacing/>
        <w:jc w:val="both"/>
        <w:rPr>
          <w:sz w:val="22"/>
          <w:szCs w:val="22"/>
        </w:rPr>
      </w:pPr>
      <w:r w:rsidRPr="00DB5DC2">
        <w:rPr>
          <w:sz w:val="22"/>
          <w:szCs w:val="22"/>
        </w:rPr>
        <w:t>Участие на началника и на експерти от отдела в:</w:t>
      </w:r>
    </w:p>
    <w:p w14:paraId="7E8D83E9" w14:textId="543C8126" w:rsidR="001F2F82" w:rsidRPr="00DB5DC2" w:rsidRDefault="001F2F82" w:rsidP="00E731EA">
      <w:pPr>
        <w:numPr>
          <w:ilvl w:val="0"/>
          <w:numId w:val="33"/>
        </w:numPr>
        <w:shd w:val="clear" w:color="auto" w:fill="FFFFFF" w:themeFill="background1"/>
        <w:ind w:left="0" w:firstLine="426"/>
        <w:jc w:val="both"/>
        <w:rPr>
          <w:sz w:val="22"/>
          <w:szCs w:val="22"/>
        </w:rPr>
      </w:pPr>
      <w:r w:rsidRPr="00DB5DC2">
        <w:rPr>
          <w:sz w:val="22"/>
          <w:szCs w:val="22"/>
        </w:rPr>
        <w:t>Кръгла маса, организирана от Европейската комисия за борба с расизма и</w:t>
      </w:r>
      <w:r w:rsidR="00DB5DC2">
        <w:rPr>
          <w:sz w:val="22"/>
          <w:szCs w:val="22"/>
        </w:rPr>
        <w:t xml:space="preserve"> </w:t>
      </w:r>
      <w:r w:rsidRPr="00DB5DC2">
        <w:rPr>
          <w:sz w:val="22"/>
          <w:szCs w:val="22"/>
        </w:rPr>
        <w:t xml:space="preserve">нетолерантността (ЕКРН), в сътрудничество с Комисията за защита от дискриминация (КЗД) на България за обмен на мнения относно последващите действия във връзка с препоръките, предоставени от ЕКРН на България през октомври 2022 г., и следващите заключения относно изпълнението на приоритетните </w:t>
      </w:r>
      <w:r w:rsidRPr="00DB5DC2">
        <w:rPr>
          <w:sz w:val="22"/>
          <w:szCs w:val="22"/>
        </w:rPr>
        <w:lastRenderedPageBreak/>
        <w:t>препоръки, които бяха публикувани пр</w:t>
      </w:r>
      <w:r w:rsidR="004F42A8">
        <w:rPr>
          <w:sz w:val="22"/>
          <w:szCs w:val="22"/>
        </w:rPr>
        <w:t>ез февруари 2025 г. на 24.04.</w:t>
      </w:r>
      <w:r w:rsidRPr="00DB5DC2">
        <w:rPr>
          <w:sz w:val="22"/>
          <w:szCs w:val="22"/>
        </w:rPr>
        <w:t>2025 г. в София. Заместник министър-председателят, председател на НССЕИВ, у</w:t>
      </w:r>
      <w:r w:rsidR="004F42A8">
        <w:rPr>
          <w:sz w:val="22"/>
          <w:szCs w:val="22"/>
        </w:rPr>
        <w:t xml:space="preserve">частва във встъпителния панел. </w:t>
      </w:r>
      <w:r w:rsidRPr="00DB5DC2">
        <w:rPr>
          <w:sz w:val="22"/>
          <w:szCs w:val="22"/>
        </w:rPr>
        <w:t xml:space="preserve">Освен представители на националните и местните власти в кръглата маса участват представители на гражданското общество, както и членове на групи, които представляват интерес за ЕКРН. На събитието е потвърдено, че препоръка на ЕКРН за увеличаване броя на ромските медиатори и засилване на успешната им работа в областта на здравеопазването, образованието и заетостта, е изпълнена от България. </w:t>
      </w:r>
    </w:p>
    <w:p w14:paraId="2DFE7E2B" w14:textId="68E67C85" w:rsidR="001F2F82" w:rsidRPr="004F42A8" w:rsidRDefault="001F2F82" w:rsidP="00E731EA">
      <w:pPr>
        <w:numPr>
          <w:ilvl w:val="0"/>
          <w:numId w:val="33"/>
        </w:numPr>
        <w:shd w:val="clear" w:color="auto" w:fill="FFFFFF" w:themeFill="background1"/>
        <w:ind w:left="0" w:firstLine="426"/>
        <w:jc w:val="both"/>
        <w:rPr>
          <w:sz w:val="22"/>
          <w:szCs w:val="22"/>
        </w:rPr>
      </w:pPr>
      <w:r w:rsidRPr="004F42A8">
        <w:rPr>
          <w:sz w:val="22"/>
          <w:szCs w:val="22"/>
        </w:rPr>
        <w:t>Работна среща, организирана от Столична община, за намиране на спешни решения и</w:t>
      </w:r>
      <w:r w:rsidR="004F42A8">
        <w:rPr>
          <w:sz w:val="22"/>
          <w:szCs w:val="22"/>
        </w:rPr>
        <w:t xml:space="preserve"> </w:t>
      </w:r>
      <w:r w:rsidRPr="004F42A8">
        <w:rPr>
          <w:sz w:val="22"/>
          <w:szCs w:val="22"/>
        </w:rPr>
        <w:t>дългосрочен подход за настаняване и социална подкрепа на семейства, останали без подслон, след действията на районния кмет по разрушаването на незаконно изградените постройки в квартал „Захарна фабрика“ в град София. За участие са поканени представители на правителството, на парламентарните групи, на общинския съвет, неправителствени организации, лица, засегнати/потърпевши от действията на районната администрация и представители на живущите в кв. „Захарна фабрика“. От Общината е посочено, че се извършва поетапно настаняване на хората в кризисни центрове, но и че има хора, които отказват настаняване. В заключение е обявено, че ще проведе среща на представители на СО, Агенцията за социално подпомагане (АСП), Държавната агенция за закрила на детето (ДАЗД) и НПО за провеждане на оценка на нуждите на семействата. СО ще координира следващи стъпки. Отдел ПЗДНСЕИВВГО поиска информация от Сто</w:t>
      </w:r>
      <w:r w:rsidR="004F42A8">
        <w:rPr>
          <w:sz w:val="22"/>
          <w:szCs w:val="22"/>
        </w:rPr>
        <w:t xml:space="preserve">лична община, която предостави </w:t>
      </w:r>
      <w:r w:rsidRPr="004F42A8">
        <w:rPr>
          <w:sz w:val="22"/>
          <w:szCs w:val="22"/>
        </w:rPr>
        <w:t>на главния секретар на МС и на кабинета на вицепремиера, председател на НССЕИВ, м. април 2025 г.</w:t>
      </w:r>
    </w:p>
    <w:p w14:paraId="173AF537" w14:textId="77777777" w:rsidR="001F2F82" w:rsidRPr="00893E32" w:rsidRDefault="001F2F82" w:rsidP="00E731EA">
      <w:pPr>
        <w:shd w:val="clear" w:color="auto" w:fill="FFFFFF" w:themeFill="background1"/>
        <w:tabs>
          <w:tab w:val="num" w:pos="928"/>
        </w:tabs>
        <w:autoSpaceDE w:val="0"/>
        <w:autoSpaceDN w:val="0"/>
        <w:adjustRightInd w:val="0"/>
        <w:ind w:firstLine="426"/>
        <w:contextualSpacing/>
        <w:jc w:val="both"/>
        <w:rPr>
          <w:b/>
          <w:bCs/>
          <w:sz w:val="22"/>
          <w:szCs w:val="22"/>
        </w:rPr>
      </w:pPr>
      <w:r w:rsidRPr="00893E32">
        <w:rPr>
          <w:b/>
          <w:bCs/>
          <w:sz w:val="22"/>
          <w:szCs w:val="22"/>
        </w:rPr>
        <w:t xml:space="preserve">Дейности за популяризиране на Националната стратегия на Република България за равенство, приобщаване и участие на ромите 2021-2030 и </w:t>
      </w:r>
      <w:r w:rsidRPr="004F42A8">
        <w:rPr>
          <w:b/>
          <w:bCs/>
          <w:sz w:val="22"/>
          <w:szCs w:val="22"/>
        </w:rPr>
        <w:t xml:space="preserve">национални планове за действие, </w:t>
      </w:r>
      <w:r w:rsidRPr="00893E32">
        <w:rPr>
          <w:b/>
          <w:bCs/>
          <w:sz w:val="22"/>
          <w:szCs w:val="22"/>
        </w:rPr>
        <w:t xml:space="preserve">и популяризиране на инициативи на организации на други етноси, членове на НССЕИВ: </w:t>
      </w:r>
    </w:p>
    <w:p w14:paraId="4BDDFE4B" w14:textId="7EE6EC5A" w:rsidR="001F2F82" w:rsidRPr="004F42A8" w:rsidRDefault="001F2F82" w:rsidP="00E731EA">
      <w:pPr>
        <w:numPr>
          <w:ilvl w:val="0"/>
          <w:numId w:val="33"/>
        </w:numPr>
        <w:shd w:val="clear" w:color="auto" w:fill="FFFFFF" w:themeFill="background1"/>
        <w:ind w:left="0" w:firstLine="426"/>
        <w:jc w:val="both"/>
        <w:rPr>
          <w:sz w:val="22"/>
          <w:szCs w:val="22"/>
        </w:rPr>
      </w:pPr>
      <w:bookmarkStart w:id="36" w:name="_Hlk204184963"/>
      <w:r w:rsidRPr="004F42A8">
        <w:rPr>
          <w:sz w:val="22"/>
          <w:szCs w:val="22"/>
        </w:rPr>
        <w:t>По повод 8 април Международния ден на ромите, под патронажа на Атанас Зафиров, заместник министър-председател и председател на НССЕИВ бе организирана изложбата „Ромската литература и култура, част от богатството на българската култура“, в партньорство с Националната библиотека. По този начин България се присъедини към кампанията на Съвета на Европа „</w:t>
      </w:r>
      <w:proofErr w:type="spellStart"/>
      <w:r w:rsidRPr="004F42A8">
        <w:rPr>
          <w:sz w:val="22"/>
          <w:szCs w:val="22"/>
        </w:rPr>
        <w:t>Opre</w:t>
      </w:r>
      <w:proofErr w:type="spellEnd"/>
      <w:r w:rsidRPr="004F42A8">
        <w:rPr>
          <w:sz w:val="22"/>
          <w:szCs w:val="22"/>
        </w:rPr>
        <w:t xml:space="preserve"> </w:t>
      </w:r>
      <w:proofErr w:type="spellStart"/>
      <w:r w:rsidRPr="004F42A8">
        <w:rPr>
          <w:sz w:val="22"/>
          <w:szCs w:val="22"/>
        </w:rPr>
        <w:t>Roma</w:t>
      </w:r>
      <w:proofErr w:type="spellEnd"/>
      <w:r w:rsidRPr="004F42A8">
        <w:rPr>
          <w:sz w:val="22"/>
          <w:szCs w:val="22"/>
        </w:rPr>
        <w:t xml:space="preserve">!“ (Изправете се, роми!), посветена на отбелязването на ромската история и култура и на приноса на ромите за европейското културно и историческо наследство. Изложбата беше официално открита на </w:t>
      </w:r>
      <w:r w:rsidR="008F63B0">
        <w:rPr>
          <w:sz w:val="22"/>
          <w:szCs w:val="22"/>
        </w:rPr>
        <w:t>0</w:t>
      </w:r>
      <w:r w:rsidRPr="004F42A8">
        <w:rPr>
          <w:sz w:val="22"/>
          <w:szCs w:val="22"/>
        </w:rPr>
        <w:t>8</w:t>
      </w:r>
      <w:r w:rsidR="008F63B0">
        <w:rPr>
          <w:sz w:val="22"/>
          <w:szCs w:val="22"/>
        </w:rPr>
        <w:t>.04.</w:t>
      </w:r>
      <w:r w:rsidRPr="004F42A8">
        <w:rPr>
          <w:sz w:val="22"/>
          <w:szCs w:val="22"/>
        </w:rPr>
        <w:t>2025 г. в Националната библиотека „Св. Св. Кирил и Методий“. Доклад за приноса на ромската култура, безвъзмездно, представи доц. д-р Алексей Пампоров от Института по философия и социология на Българската академия на науките. Изложбата представи малко известни, но значими страници от ромската литература и култура в България. Изложени бяха литературни произведения, документи, периодични издания и фотографии, които отразяват творческите стремежи на редица ромски художници, учени, писатели и музиканти, оставили своя отпечатък върху българската култура. В кратка артистична програма млади доброволци от Фондация „Здраве и социално развитие“ рецитираха стихотворения на видни ромски поети. На събитието присъстваха посланици, представители на дипломатически мисии на държави членки на Съвета на Европа, представители на институции, неправителствени организации и др.</w:t>
      </w:r>
    </w:p>
    <w:bookmarkEnd w:id="36"/>
    <w:p w14:paraId="1E716FBF" w14:textId="77777777" w:rsidR="001F2F82" w:rsidRPr="00AC70DB" w:rsidRDefault="001F2F82" w:rsidP="00E731EA">
      <w:pPr>
        <w:shd w:val="clear" w:color="auto" w:fill="FFFFFF" w:themeFill="background1"/>
        <w:tabs>
          <w:tab w:val="num" w:pos="928"/>
        </w:tabs>
        <w:autoSpaceDE w:val="0"/>
        <w:autoSpaceDN w:val="0"/>
        <w:adjustRightInd w:val="0"/>
        <w:ind w:firstLine="426"/>
        <w:contextualSpacing/>
        <w:jc w:val="both"/>
        <w:rPr>
          <w:b/>
          <w:bCs/>
          <w:sz w:val="22"/>
          <w:szCs w:val="22"/>
        </w:rPr>
      </w:pPr>
      <w:r w:rsidRPr="00AC70DB">
        <w:rPr>
          <w:b/>
          <w:bCs/>
          <w:sz w:val="22"/>
          <w:szCs w:val="22"/>
        </w:rPr>
        <w:t>Международни форуми по въпроси, отнасящи се до междуетническите отношения, интеграция на етнически малцинства, вкл. и по отделни сфери на интеграционната политика: образование, здравеопазване, жилищни условия и др., права на човека и основни свободи и междукултурен диалог, обмен на добри практики:</w:t>
      </w:r>
    </w:p>
    <w:p w14:paraId="00D8A677" w14:textId="77777777" w:rsidR="001F2F82" w:rsidRPr="004F42A8" w:rsidRDefault="001F2F82" w:rsidP="00E731EA">
      <w:pPr>
        <w:shd w:val="clear" w:color="auto" w:fill="FFFFFF" w:themeFill="background1"/>
        <w:tabs>
          <w:tab w:val="left" w:pos="709"/>
        </w:tabs>
        <w:autoSpaceDE w:val="0"/>
        <w:autoSpaceDN w:val="0"/>
        <w:adjustRightInd w:val="0"/>
        <w:ind w:left="357"/>
        <w:contextualSpacing/>
        <w:jc w:val="both"/>
        <w:rPr>
          <w:sz w:val="22"/>
          <w:szCs w:val="22"/>
        </w:rPr>
      </w:pPr>
      <w:r w:rsidRPr="004F42A8">
        <w:rPr>
          <w:sz w:val="22"/>
          <w:szCs w:val="22"/>
        </w:rPr>
        <w:t xml:space="preserve">Участие в: </w:t>
      </w:r>
    </w:p>
    <w:p w14:paraId="75793F84" w14:textId="1B4B8554" w:rsidR="001F2F82" w:rsidRPr="004F42A8" w:rsidRDefault="001F2F82" w:rsidP="00E731EA">
      <w:pPr>
        <w:numPr>
          <w:ilvl w:val="0"/>
          <w:numId w:val="33"/>
        </w:numPr>
        <w:shd w:val="clear" w:color="auto" w:fill="FFFFFF" w:themeFill="background1"/>
        <w:ind w:left="0" w:firstLine="426"/>
        <w:jc w:val="both"/>
        <w:rPr>
          <w:sz w:val="22"/>
          <w:szCs w:val="22"/>
        </w:rPr>
      </w:pPr>
      <w:bookmarkStart w:id="37" w:name="_Hlk204185036"/>
      <w:r w:rsidRPr="004F42A8">
        <w:rPr>
          <w:sz w:val="22"/>
          <w:szCs w:val="22"/>
        </w:rPr>
        <w:t xml:space="preserve">Третото заседание на </w:t>
      </w:r>
      <w:bookmarkStart w:id="38" w:name="_Hlk204263896"/>
      <w:r w:rsidRPr="004F42A8">
        <w:rPr>
          <w:sz w:val="22"/>
          <w:szCs w:val="22"/>
        </w:rPr>
        <w:t>Подкомитета на Съвета на Европа от експерти за изкуствен</w:t>
      </w:r>
      <w:r w:rsidR="004F42A8">
        <w:rPr>
          <w:sz w:val="22"/>
          <w:szCs w:val="22"/>
        </w:rPr>
        <w:t xml:space="preserve"> </w:t>
      </w:r>
      <w:r w:rsidRPr="004F42A8">
        <w:rPr>
          <w:sz w:val="22"/>
          <w:szCs w:val="22"/>
        </w:rPr>
        <w:t>интелект, равенство и дискриминация GEC/ADI-AI)</w:t>
      </w:r>
      <w:bookmarkEnd w:id="38"/>
      <w:r w:rsidRPr="004F42A8">
        <w:rPr>
          <w:sz w:val="22"/>
          <w:szCs w:val="22"/>
        </w:rPr>
        <w:t>. Акценти на срещата: информация от секретариата на подкомитета за скорошни дейности, свързани с AI, и ключови развития на ниво Съвет на Европа; информация от наблюдателите на GEC/ADI-AI за ключовите развития и дейности, свързани с работата на GEC/ADI-AI; представяне от секретариата на основните елементи на проекта на Препоръка относно равенството и изкуствения интелект, м. февруари 2025 г., Страсбург, Република Франция;</w:t>
      </w:r>
    </w:p>
    <w:p w14:paraId="4786AE0A" w14:textId="7D216201" w:rsidR="001F2F82" w:rsidRPr="004F42A8" w:rsidRDefault="001F2F82" w:rsidP="00E731EA">
      <w:pPr>
        <w:numPr>
          <w:ilvl w:val="0"/>
          <w:numId w:val="33"/>
        </w:numPr>
        <w:shd w:val="clear" w:color="auto" w:fill="FFFFFF" w:themeFill="background1"/>
        <w:ind w:left="0" w:firstLine="426"/>
        <w:jc w:val="both"/>
        <w:rPr>
          <w:sz w:val="22"/>
          <w:szCs w:val="22"/>
        </w:rPr>
      </w:pPr>
      <w:r w:rsidRPr="004F42A8">
        <w:rPr>
          <w:sz w:val="22"/>
          <w:szCs w:val="22"/>
        </w:rPr>
        <w:t xml:space="preserve">Двадесет и петата среща на мрежата на Националните контактни точки по изпълнение на Националните стратегии за равенство, приобщаване и участие на ромите към ГД „Правосъдие и </w:t>
      </w:r>
      <w:r w:rsidRPr="004F42A8">
        <w:rPr>
          <w:sz w:val="22"/>
          <w:szCs w:val="22"/>
        </w:rPr>
        <w:lastRenderedPageBreak/>
        <w:t>потребители“ на Европейската комисия (ЕК) – онлайн заседание. Акценти на срещата: актуална информация от държавите членки на ЕС за изпълнението на националните ромски стратегии; представяне от Агенцията на Европейския съюз за основните права (FRA) на някои резу</w:t>
      </w:r>
      <w:r w:rsidR="004F42A8">
        <w:rPr>
          <w:sz w:val="22"/>
          <w:szCs w:val="22"/>
        </w:rPr>
        <w:t xml:space="preserve">лтати от Проучването за ромите </w:t>
      </w:r>
      <w:r w:rsidRPr="004F42A8">
        <w:rPr>
          <w:sz w:val="22"/>
          <w:szCs w:val="22"/>
        </w:rPr>
        <w:t>2024 г., извършено в 13 европейски държави, с цел да се съберат сравними данни за мониторинг на стратегическата рамка на ЕС за ромите; представяне на обновената дигитална платформа/инструмент за докладване от държавите членки пред ЕК, периодът за докладване е юни 2023</w:t>
      </w:r>
      <w:r w:rsidR="00F20A78">
        <w:rPr>
          <w:sz w:val="22"/>
          <w:szCs w:val="22"/>
        </w:rPr>
        <w:t xml:space="preserve"> г. – </w:t>
      </w:r>
      <w:r w:rsidRPr="004F42A8">
        <w:rPr>
          <w:sz w:val="22"/>
          <w:szCs w:val="22"/>
        </w:rPr>
        <w:t>март 2025 г. Новият инструмент е разработен с анализи от предишни рамки за докладване, като се фокусира върху целите на ниво ЕС, като същевременно взема предвид показателите и целите на национално ниво. За разлика от по-ранните докладвания, този инструмент опростява процеса, като изисква от държавите да докладват само за най-ефективните мерки, намалявайки тежестта на предоставянето на обширни списъци с мерки</w:t>
      </w:r>
      <w:r w:rsidR="00F20A78">
        <w:rPr>
          <w:sz w:val="22"/>
          <w:szCs w:val="22"/>
        </w:rPr>
        <w:t>;</w:t>
      </w:r>
      <w:r w:rsidRPr="004F42A8">
        <w:rPr>
          <w:sz w:val="22"/>
          <w:szCs w:val="22"/>
        </w:rPr>
        <w:t xml:space="preserve"> представяне на нова стратегия на ЕС за борба с бедността, която ще бъде предложена до края на 2025 г. или началото на 2026 г.; проучване на ЕК относно санкциите за различни форми на дискриминация, м. март 2025 г.;</w:t>
      </w:r>
    </w:p>
    <w:p w14:paraId="14CF9A44" w14:textId="45825ED6" w:rsidR="001F2F82" w:rsidRPr="00F20A78" w:rsidRDefault="001F2F82" w:rsidP="00E731EA">
      <w:pPr>
        <w:numPr>
          <w:ilvl w:val="0"/>
          <w:numId w:val="33"/>
        </w:numPr>
        <w:shd w:val="clear" w:color="auto" w:fill="FFFFFF" w:themeFill="background1"/>
        <w:ind w:left="0" w:firstLine="426"/>
        <w:jc w:val="both"/>
        <w:rPr>
          <w:sz w:val="22"/>
          <w:szCs w:val="22"/>
        </w:rPr>
      </w:pPr>
      <w:r w:rsidRPr="00F20A78">
        <w:rPr>
          <w:sz w:val="22"/>
          <w:szCs w:val="22"/>
        </w:rPr>
        <w:t xml:space="preserve">Единадесетото заседание на </w:t>
      </w:r>
      <w:bookmarkStart w:id="39" w:name="_Hlk204263814"/>
      <w:r w:rsidRPr="00F20A78">
        <w:rPr>
          <w:sz w:val="22"/>
          <w:szCs w:val="22"/>
        </w:rPr>
        <w:t>Експертния комитет на Съвета на Европа по въпросите на ромите и пътуващите/неуседналите общности (ADI-ROM)</w:t>
      </w:r>
      <w:bookmarkEnd w:id="39"/>
      <w:r w:rsidRPr="00F20A78">
        <w:rPr>
          <w:sz w:val="22"/>
          <w:szCs w:val="22"/>
        </w:rPr>
        <w:t xml:space="preserve">. </w:t>
      </w:r>
      <w:bookmarkStart w:id="40" w:name="_Hlk204243507"/>
      <w:r w:rsidRPr="00F20A78">
        <w:rPr>
          <w:sz w:val="22"/>
          <w:szCs w:val="22"/>
        </w:rPr>
        <w:t>Акценти</w:t>
      </w:r>
      <w:bookmarkEnd w:id="40"/>
      <w:r w:rsidRPr="00F20A78">
        <w:rPr>
          <w:sz w:val="22"/>
          <w:szCs w:val="22"/>
        </w:rPr>
        <w:t xml:space="preserve"> на срещата: изборът на председател и заместник-председател на комитета (мандат м. октомври 2025 г. – м. октомври </w:t>
      </w:r>
      <w:r w:rsidR="00AC70DB">
        <w:rPr>
          <w:sz w:val="22"/>
          <w:szCs w:val="22"/>
        </w:rPr>
        <w:br/>
      </w:r>
      <w:r w:rsidRPr="00F20A78">
        <w:rPr>
          <w:sz w:val="22"/>
          <w:szCs w:val="22"/>
        </w:rPr>
        <w:t>2026 г.); окончателен доклад за оценка на изпълнението на Стратегическия план за действие на Съвета на Европа за приобщаване на ромите и пътуващите/неуседналите общности (2020</w:t>
      </w:r>
      <w:r w:rsidR="00F20A78">
        <w:rPr>
          <w:sz w:val="22"/>
          <w:szCs w:val="22"/>
        </w:rPr>
        <w:t xml:space="preserve"> – </w:t>
      </w:r>
      <w:r w:rsidRPr="00F20A78">
        <w:rPr>
          <w:sz w:val="22"/>
          <w:szCs w:val="22"/>
        </w:rPr>
        <w:t>2025 г.); представяне на Съвместната програма на Съвета на Европа и на Европейския съюз, РОМАКТ която се изпълняват в Западните Балкани, Турция, Румъния и България; проект на Стратегия на Съвета на Европа за приобщаване на ромите и пътуващите/неуседналите общности за периода 2026</w:t>
      </w:r>
      <w:r w:rsidR="00F20A78">
        <w:rPr>
          <w:sz w:val="22"/>
          <w:szCs w:val="22"/>
        </w:rPr>
        <w:t xml:space="preserve"> – </w:t>
      </w:r>
      <w:r w:rsidRPr="00F20A78">
        <w:rPr>
          <w:sz w:val="22"/>
          <w:szCs w:val="22"/>
        </w:rPr>
        <w:t xml:space="preserve">2030 г.; проект на Препоръка относно политиките и практиките за десегрегация и приобщаване в областта на образованието на ромските деца и децата от пътуващи/неуседнали общности; дейността на Европейския съвет на </w:t>
      </w:r>
      <w:proofErr w:type="spellStart"/>
      <w:r w:rsidRPr="00F20A78">
        <w:rPr>
          <w:sz w:val="22"/>
          <w:szCs w:val="22"/>
        </w:rPr>
        <w:t>йенишите</w:t>
      </w:r>
      <w:proofErr w:type="spellEnd"/>
      <w:r w:rsidRPr="00F20A78">
        <w:rPr>
          <w:sz w:val="22"/>
          <w:szCs w:val="22"/>
        </w:rPr>
        <w:t>, местно малцинство, чиито представители живеят в Швейцария, Германия, Франция; приоритетите на Люксембургското председателство на Съвета на Европа: върховенство на закона и недискриминация, промотиране на демократичното развитие на Европа, спорт и културно наследство и др.; в рамките на срещата е проведено съвместно заседание с участници в 19-ия Диалог на Съвета на Европа с организации на роми и пътуващи/неуседнали общности, м. април 2025 г., Страсбург, Република Франция;</w:t>
      </w:r>
    </w:p>
    <w:p w14:paraId="7B5DD401" w14:textId="77777777" w:rsidR="001F2F82" w:rsidRPr="00F20A78" w:rsidRDefault="001F2F82" w:rsidP="00E731EA">
      <w:pPr>
        <w:numPr>
          <w:ilvl w:val="0"/>
          <w:numId w:val="33"/>
        </w:numPr>
        <w:shd w:val="clear" w:color="auto" w:fill="FFFFFF" w:themeFill="background1"/>
        <w:ind w:left="0" w:firstLine="426"/>
        <w:jc w:val="both"/>
        <w:rPr>
          <w:sz w:val="22"/>
          <w:szCs w:val="22"/>
        </w:rPr>
      </w:pPr>
      <w:bookmarkStart w:id="41" w:name="x__Hlk204185142"/>
      <w:bookmarkEnd w:id="37"/>
      <w:r w:rsidRPr="00F20A78">
        <w:rPr>
          <w:sz w:val="22"/>
          <w:szCs w:val="22"/>
        </w:rPr>
        <w:t>Пленарни заседания и работни комитети на Международния алианс за възпоменание</w:t>
      </w:r>
      <w:bookmarkEnd w:id="41"/>
      <w:r w:rsidRPr="00F20A78">
        <w:rPr>
          <w:sz w:val="22"/>
          <w:szCs w:val="22"/>
        </w:rPr>
        <w:t xml:space="preserve"> на Холокоста (МАВХ), онлайн, м. юни 2025 г. Акценти: в Комитета за холокоста, геноцида и престъпленията срещу човечеството се обсъждаха препоръки за обучение на правоприлагащите органи в областта на образованието/възпоменанието за Холокоста и предотвратяването на геноцида; в Комитета по геноцида срещу ромите бяха обсъдени препоръки на МАВХ за преподаване и изучаване на преследването и геноцида на ромите по време на нацистката ера.</w:t>
      </w:r>
    </w:p>
    <w:p w14:paraId="2DF9AE3D" w14:textId="3345A229" w:rsidR="001F2F82" w:rsidRPr="005B506A" w:rsidRDefault="001F2F82" w:rsidP="00E731EA">
      <w:pPr>
        <w:shd w:val="clear" w:color="auto" w:fill="FFFFFF" w:themeFill="background1"/>
        <w:autoSpaceDE w:val="0"/>
        <w:autoSpaceDN w:val="0"/>
        <w:adjustRightInd w:val="0"/>
        <w:ind w:firstLine="426"/>
        <w:jc w:val="both"/>
        <w:rPr>
          <w:sz w:val="22"/>
          <w:szCs w:val="22"/>
        </w:rPr>
      </w:pPr>
      <w:r w:rsidRPr="005B506A">
        <w:rPr>
          <w:sz w:val="22"/>
          <w:szCs w:val="22"/>
        </w:rPr>
        <w:t>Отдел ПЗДНСЕИВВГО като секретариат на НССЕИВ разпространи информация</w:t>
      </w:r>
      <w:r w:rsidR="005B506A" w:rsidRPr="005B506A">
        <w:rPr>
          <w:sz w:val="22"/>
          <w:szCs w:val="22"/>
        </w:rPr>
        <w:t xml:space="preserve"> </w:t>
      </w:r>
      <w:r w:rsidRPr="005B506A">
        <w:rPr>
          <w:sz w:val="22"/>
          <w:szCs w:val="22"/>
        </w:rPr>
        <w:t>сред институции и граждански организации за възможности за включване в обучения и други инициативи на отдела за роми и пътуващи/неуседнали общности на Съвета на Европа:</w:t>
      </w:r>
    </w:p>
    <w:p w14:paraId="73EAB070" w14:textId="6262AEEB" w:rsidR="001F2F82" w:rsidRPr="00953DCB" w:rsidRDefault="001F2F82" w:rsidP="00E731EA">
      <w:pPr>
        <w:numPr>
          <w:ilvl w:val="0"/>
          <w:numId w:val="33"/>
        </w:numPr>
        <w:shd w:val="clear" w:color="auto" w:fill="FFFFFF" w:themeFill="background1"/>
        <w:ind w:left="0" w:firstLine="426"/>
        <w:jc w:val="both"/>
        <w:rPr>
          <w:sz w:val="22"/>
          <w:szCs w:val="22"/>
        </w:rPr>
      </w:pPr>
      <w:r w:rsidRPr="00953DCB">
        <w:rPr>
          <w:sz w:val="22"/>
          <w:szCs w:val="22"/>
        </w:rPr>
        <w:t>Семинар, организиран от Отдел за роми и пътуващи/неуседнали общности на Съвета на</w:t>
      </w:r>
      <w:r w:rsidR="00953DCB">
        <w:rPr>
          <w:sz w:val="22"/>
          <w:szCs w:val="22"/>
        </w:rPr>
        <w:t xml:space="preserve"> </w:t>
      </w:r>
      <w:r w:rsidRPr="00953DCB">
        <w:rPr>
          <w:sz w:val="22"/>
          <w:szCs w:val="22"/>
        </w:rPr>
        <w:t xml:space="preserve">Европа и Чешкото правителство, за приобщаващо образование насочен към въпросите за образованието на ромски деца, диагностицирани с леки увреждания, в рамките на масовата образователна система; представители на МОН и ДАЗД </w:t>
      </w:r>
      <w:bookmarkStart w:id="42" w:name="_Hlk204240861"/>
      <w:r w:rsidRPr="00953DCB">
        <w:rPr>
          <w:sz w:val="22"/>
          <w:szCs w:val="22"/>
        </w:rPr>
        <w:t>са взели онлайн участие в семинара</w:t>
      </w:r>
      <w:bookmarkEnd w:id="42"/>
      <w:r w:rsidRPr="00953DCB">
        <w:rPr>
          <w:sz w:val="22"/>
          <w:szCs w:val="22"/>
        </w:rPr>
        <w:t>, м. март 2025 г.</w:t>
      </w:r>
    </w:p>
    <w:p w14:paraId="0D7FC183" w14:textId="481FEA9D" w:rsidR="001F2F82" w:rsidRPr="00953DCB" w:rsidRDefault="001F2F82" w:rsidP="00E731EA">
      <w:pPr>
        <w:numPr>
          <w:ilvl w:val="0"/>
          <w:numId w:val="33"/>
        </w:numPr>
        <w:shd w:val="clear" w:color="auto" w:fill="FFFFFF" w:themeFill="background1"/>
        <w:ind w:left="0" w:firstLine="426"/>
        <w:jc w:val="both"/>
        <w:rPr>
          <w:sz w:val="22"/>
          <w:szCs w:val="22"/>
        </w:rPr>
      </w:pPr>
      <w:r w:rsidRPr="00953DCB">
        <w:rPr>
          <w:sz w:val="22"/>
          <w:szCs w:val="22"/>
        </w:rPr>
        <w:t>Конференция за предотвратяване и борба с пре</w:t>
      </w:r>
      <w:r w:rsidR="00953DCB">
        <w:rPr>
          <w:sz w:val="22"/>
          <w:szCs w:val="22"/>
        </w:rPr>
        <w:t>стъпленията от омраза, 19 – 20</w:t>
      </w:r>
      <w:r w:rsidR="008F63B0">
        <w:rPr>
          <w:sz w:val="22"/>
          <w:szCs w:val="22"/>
        </w:rPr>
        <w:t>.06.</w:t>
      </w:r>
      <w:r w:rsidRPr="00953DCB">
        <w:rPr>
          <w:sz w:val="22"/>
          <w:szCs w:val="22"/>
        </w:rPr>
        <w:t>2025 г., онлайн или присъствено в Страсбург, Франция, организирана от предстоящото малтийско председателство на Комитета на министрите на Съвета на Европа и Управителния комитет по антидискриминация, многообразие и приобщаване (CDADI) към Комитета на министрите на Съвета на Европа. Събитието има за цел да спомогне прилагането от държавите членки на Препоръка CM/</w:t>
      </w:r>
      <w:proofErr w:type="spellStart"/>
      <w:r w:rsidRPr="00953DCB">
        <w:rPr>
          <w:sz w:val="22"/>
          <w:szCs w:val="22"/>
        </w:rPr>
        <w:t>Rec</w:t>
      </w:r>
      <w:proofErr w:type="spellEnd"/>
      <w:r w:rsidRPr="00953DCB">
        <w:rPr>
          <w:sz w:val="22"/>
          <w:szCs w:val="22"/>
        </w:rPr>
        <w:t xml:space="preserve"> (2024)4 относно борбата с престъпленията от омраза; представители на МВР и Прокуратурата на Република България </w:t>
      </w:r>
      <w:r w:rsidR="00953DCB">
        <w:rPr>
          <w:sz w:val="22"/>
          <w:szCs w:val="22"/>
        </w:rPr>
        <w:t>–</w:t>
      </w:r>
      <w:r w:rsidRPr="00953DCB">
        <w:rPr>
          <w:sz w:val="22"/>
          <w:szCs w:val="22"/>
        </w:rPr>
        <w:t xml:space="preserve"> полицейски служители и прокурори, специализирани в престъпленията от омраза, са взели онлайн участие в семинара;</w:t>
      </w:r>
    </w:p>
    <w:p w14:paraId="792F65C6" w14:textId="77777777" w:rsidR="001F2F82" w:rsidRPr="00953DCB" w:rsidRDefault="001F2F82" w:rsidP="00E731EA">
      <w:pPr>
        <w:numPr>
          <w:ilvl w:val="0"/>
          <w:numId w:val="33"/>
        </w:numPr>
        <w:shd w:val="clear" w:color="auto" w:fill="FFFFFF" w:themeFill="background1"/>
        <w:ind w:left="0" w:firstLine="426"/>
        <w:jc w:val="both"/>
        <w:rPr>
          <w:sz w:val="22"/>
          <w:szCs w:val="22"/>
        </w:rPr>
      </w:pPr>
      <w:r w:rsidRPr="00953DCB">
        <w:rPr>
          <w:sz w:val="22"/>
          <w:szCs w:val="22"/>
        </w:rPr>
        <w:t xml:space="preserve">Създаден от Европейската комисия, Консултативен съвет по жилищно настаняване – експертна група, натоварена със задачата да предоставя конкретни, независими политически </w:t>
      </w:r>
      <w:r w:rsidRPr="00953DCB">
        <w:rPr>
          <w:sz w:val="22"/>
          <w:szCs w:val="22"/>
        </w:rPr>
        <w:lastRenderedPageBreak/>
        <w:t>препоръки в областта на жилищното настаняване. На НПО и на областните експерти по ЕИВ е предоставена информация за разпространяване сред общини и партньорски организации на възможност за кандидатстване от желаещи лица с личен опит и експертиза, без да са обвързани с интересите на конкретни организации или сектори, за членове на групата, май 2025 г.</w:t>
      </w:r>
    </w:p>
    <w:p w14:paraId="2A605D0F" w14:textId="55F7783A" w:rsidR="001F2F82" w:rsidRPr="00953DCB" w:rsidRDefault="001F2F82" w:rsidP="00E731EA">
      <w:pPr>
        <w:numPr>
          <w:ilvl w:val="0"/>
          <w:numId w:val="33"/>
        </w:numPr>
        <w:shd w:val="clear" w:color="auto" w:fill="FFFFFF" w:themeFill="background1"/>
        <w:ind w:left="0" w:firstLine="426"/>
        <w:jc w:val="both"/>
        <w:rPr>
          <w:sz w:val="22"/>
          <w:szCs w:val="22"/>
        </w:rPr>
      </w:pPr>
      <w:r w:rsidRPr="00953DCB">
        <w:rPr>
          <w:sz w:val="22"/>
          <w:szCs w:val="22"/>
        </w:rPr>
        <w:t xml:space="preserve">Участия в работни групи, комитети за наблюдение и др.: в Комитетите за наблюдение на Програмите (2021 – 2027) по Споразумението за партньорство; в Управителен комитет (УК) на Механизма за гражданско участие и прозрачност </w:t>
      </w:r>
      <w:r w:rsidRPr="004A447E">
        <w:rPr>
          <w:sz w:val="22"/>
          <w:szCs w:val="22"/>
        </w:rPr>
        <w:t>(</w:t>
      </w:r>
      <w:proofErr w:type="spellStart"/>
      <w:r w:rsidRPr="004A447E">
        <w:rPr>
          <w:sz w:val="22"/>
          <w:szCs w:val="22"/>
        </w:rPr>
        <w:t>Civic</w:t>
      </w:r>
      <w:proofErr w:type="spellEnd"/>
      <w:r w:rsidRPr="004A447E">
        <w:rPr>
          <w:sz w:val="22"/>
          <w:szCs w:val="22"/>
        </w:rPr>
        <w:t xml:space="preserve"> </w:t>
      </w:r>
      <w:proofErr w:type="spellStart"/>
      <w:r w:rsidRPr="004A447E">
        <w:rPr>
          <w:sz w:val="22"/>
          <w:szCs w:val="22"/>
        </w:rPr>
        <w:t>Engagement</w:t>
      </w:r>
      <w:proofErr w:type="spellEnd"/>
      <w:r w:rsidRPr="004A447E">
        <w:rPr>
          <w:sz w:val="22"/>
          <w:szCs w:val="22"/>
        </w:rPr>
        <w:t xml:space="preserve"> </w:t>
      </w:r>
      <w:proofErr w:type="spellStart"/>
      <w:r w:rsidRPr="004A447E">
        <w:rPr>
          <w:sz w:val="22"/>
          <w:szCs w:val="22"/>
        </w:rPr>
        <w:t>and</w:t>
      </w:r>
      <w:proofErr w:type="spellEnd"/>
      <w:r w:rsidRPr="004A447E">
        <w:rPr>
          <w:sz w:val="22"/>
          <w:szCs w:val="22"/>
        </w:rPr>
        <w:t xml:space="preserve"> </w:t>
      </w:r>
      <w:proofErr w:type="spellStart"/>
      <w:r w:rsidRPr="004A447E">
        <w:rPr>
          <w:sz w:val="22"/>
          <w:szCs w:val="22"/>
        </w:rPr>
        <w:t>Transparency</w:t>
      </w:r>
      <w:proofErr w:type="spellEnd"/>
      <w:r w:rsidRPr="004A447E">
        <w:rPr>
          <w:sz w:val="22"/>
          <w:szCs w:val="22"/>
        </w:rPr>
        <w:t xml:space="preserve"> </w:t>
      </w:r>
      <w:proofErr w:type="spellStart"/>
      <w:r w:rsidRPr="004A447E">
        <w:rPr>
          <w:sz w:val="22"/>
          <w:szCs w:val="22"/>
        </w:rPr>
        <w:t>Facility</w:t>
      </w:r>
      <w:proofErr w:type="spellEnd"/>
      <w:r w:rsidRPr="004A447E">
        <w:rPr>
          <w:sz w:val="22"/>
          <w:szCs w:val="22"/>
        </w:rPr>
        <w:t xml:space="preserve"> </w:t>
      </w:r>
      <w:r w:rsidR="00953DCB" w:rsidRPr="004A447E">
        <w:rPr>
          <w:sz w:val="22"/>
          <w:szCs w:val="22"/>
        </w:rPr>
        <w:t>–</w:t>
      </w:r>
      <w:r w:rsidRPr="004A447E">
        <w:rPr>
          <w:sz w:val="22"/>
          <w:szCs w:val="22"/>
        </w:rPr>
        <w:t xml:space="preserve"> CETF)</w:t>
      </w:r>
      <w:r w:rsidRPr="00953DCB">
        <w:rPr>
          <w:sz w:val="22"/>
          <w:szCs w:val="22"/>
        </w:rPr>
        <w:t>, който работи по одобряването и развитието на проекти, свързани с развитието на гражданското общество; Управителния съвет на Центъра за образователна интеграция на децата и учениците от етническите малцинства (ЦОИДУЕМ).</w:t>
      </w:r>
    </w:p>
    <w:p w14:paraId="4DDED34D" w14:textId="1A9831C8" w:rsidR="001F2F82" w:rsidRPr="00EB1419" w:rsidRDefault="001F2F82" w:rsidP="00E731EA">
      <w:pPr>
        <w:shd w:val="clear" w:color="auto" w:fill="FFFFFF" w:themeFill="background1"/>
        <w:tabs>
          <w:tab w:val="num" w:pos="928"/>
        </w:tabs>
        <w:autoSpaceDE w:val="0"/>
        <w:autoSpaceDN w:val="0"/>
        <w:adjustRightInd w:val="0"/>
        <w:ind w:firstLine="426"/>
        <w:contextualSpacing/>
        <w:jc w:val="both"/>
        <w:rPr>
          <w:b/>
          <w:bCs/>
          <w:sz w:val="22"/>
          <w:szCs w:val="22"/>
        </w:rPr>
      </w:pPr>
      <w:r w:rsidRPr="00EB1419">
        <w:rPr>
          <w:b/>
          <w:bCs/>
          <w:sz w:val="22"/>
          <w:szCs w:val="22"/>
        </w:rPr>
        <w:t>Дейности по изпълнение и мониторинг на Националната стратегия на Република България за равенство, приобщаване и участие на ромите 2021 – 2030 г. и националните планове за действие по нея:</w:t>
      </w:r>
    </w:p>
    <w:p w14:paraId="785D1C6B" w14:textId="0D9C93A7" w:rsidR="001F2F82" w:rsidRPr="00953DCB" w:rsidRDefault="001F2F82" w:rsidP="00E731EA">
      <w:pPr>
        <w:numPr>
          <w:ilvl w:val="0"/>
          <w:numId w:val="33"/>
        </w:numPr>
        <w:shd w:val="clear" w:color="auto" w:fill="FFFFFF" w:themeFill="background1"/>
        <w:ind w:left="0" w:firstLine="426"/>
        <w:jc w:val="both"/>
        <w:rPr>
          <w:sz w:val="22"/>
          <w:szCs w:val="22"/>
        </w:rPr>
      </w:pPr>
      <w:r w:rsidRPr="00953DCB">
        <w:rPr>
          <w:sz w:val="22"/>
          <w:szCs w:val="22"/>
        </w:rPr>
        <w:t xml:space="preserve">Събиране и обобщаване на информация за изпълнението през 2024 г. на Националната стратегия на Република България за равенство, приобщаване и участие на ромите </w:t>
      </w:r>
      <w:bookmarkStart w:id="43" w:name="_Hlk204240973"/>
      <w:r w:rsidRPr="00953DCB">
        <w:rPr>
          <w:sz w:val="22"/>
          <w:szCs w:val="22"/>
        </w:rPr>
        <w:t>(2021 – 2030)</w:t>
      </w:r>
      <w:bookmarkEnd w:id="43"/>
      <w:r w:rsidRPr="00953DCB">
        <w:rPr>
          <w:sz w:val="22"/>
          <w:szCs w:val="22"/>
        </w:rPr>
        <w:t>, вкл. чрез Системата за мониторинг, оценка и контрол за изпълнение на Националната стратегия  на Република България за равенство, приобщаване и участие на ромите 2021</w:t>
      </w:r>
      <w:r w:rsidR="0060727B">
        <w:rPr>
          <w:sz w:val="22"/>
          <w:szCs w:val="22"/>
        </w:rPr>
        <w:t xml:space="preserve"> – </w:t>
      </w:r>
      <w:r w:rsidRPr="00953DCB">
        <w:rPr>
          <w:sz w:val="22"/>
          <w:szCs w:val="22"/>
        </w:rPr>
        <w:t xml:space="preserve">2030 г., разработена с финансиране по ОПРЧР 2014 – 2020; </w:t>
      </w:r>
    </w:p>
    <w:p w14:paraId="271820D8" w14:textId="42F73B25" w:rsidR="001F2F82" w:rsidRPr="00953DCB" w:rsidRDefault="001F2F82" w:rsidP="00E731EA">
      <w:pPr>
        <w:numPr>
          <w:ilvl w:val="0"/>
          <w:numId w:val="33"/>
        </w:numPr>
        <w:shd w:val="clear" w:color="auto" w:fill="FFFFFF" w:themeFill="background1"/>
        <w:ind w:left="0" w:firstLine="426"/>
        <w:jc w:val="both"/>
        <w:rPr>
          <w:sz w:val="22"/>
          <w:szCs w:val="22"/>
        </w:rPr>
      </w:pPr>
      <w:r w:rsidRPr="00953DCB">
        <w:rPr>
          <w:sz w:val="22"/>
          <w:szCs w:val="22"/>
        </w:rPr>
        <w:t xml:space="preserve">Изготвяне на Административния мониторингов доклад за изпълнението през 2024 г. на Националната стратегия на Република България за равенство, приобщаване и участие на ромите (2021 </w:t>
      </w:r>
      <w:r w:rsidR="0060727B">
        <w:rPr>
          <w:sz w:val="22"/>
          <w:szCs w:val="22"/>
        </w:rPr>
        <w:t>–</w:t>
      </w:r>
      <w:r w:rsidRPr="00953DCB">
        <w:rPr>
          <w:sz w:val="22"/>
          <w:szCs w:val="22"/>
        </w:rPr>
        <w:t xml:space="preserve"> 2030) и на Административен мониторингов доклад за изпълнението по административни области през 2023 г. на Националната стратегия (2021 – 2030).</w:t>
      </w:r>
    </w:p>
    <w:p w14:paraId="63B0CE91" w14:textId="3DCEA7CB" w:rsidR="001F2F82" w:rsidRPr="00953DCB" w:rsidRDefault="001F2F82" w:rsidP="00E731EA">
      <w:pPr>
        <w:numPr>
          <w:ilvl w:val="0"/>
          <w:numId w:val="33"/>
        </w:numPr>
        <w:shd w:val="clear" w:color="auto" w:fill="FFFFFF" w:themeFill="background1"/>
        <w:ind w:left="0" w:firstLine="426"/>
        <w:jc w:val="both"/>
        <w:rPr>
          <w:sz w:val="22"/>
          <w:szCs w:val="22"/>
        </w:rPr>
      </w:pPr>
      <w:bookmarkStart w:id="44" w:name="_Hlk204244898"/>
      <w:r w:rsidRPr="00953DCB">
        <w:rPr>
          <w:sz w:val="22"/>
          <w:szCs w:val="22"/>
        </w:rPr>
        <w:t>Събиране, обобщаване и попълване на отчетна информация, на английски език, в дигитална платформа на ЕС за изпълнението в периода юни 2023</w:t>
      </w:r>
      <w:r w:rsidR="0060727B">
        <w:rPr>
          <w:sz w:val="22"/>
          <w:szCs w:val="22"/>
        </w:rPr>
        <w:t xml:space="preserve"> г. – </w:t>
      </w:r>
      <w:r w:rsidRPr="00953DCB">
        <w:rPr>
          <w:sz w:val="22"/>
          <w:szCs w:val="22"/>
        </w:rPr>
        <w:t xml:space="preserve">март 2025 г. на Националната стратегия на Република България за равенство, приобщаване и участие на ромите (2021 – 2030), м. май </w:t>
      </w:r>
      <w:r w:rsidR="00EB1419">
        <w:rPr>
          <w:sz w:val="22"/>
          <w:szCs w:val="22"/>
        </w:rPr>
        <w:br/>
      </w:r>
      <w:r w:rsidRPr="00953DCB">
        <w:rPr>
          <w:sz w:val="22"/>
          <w:szCs w:val="22"/>
        </w:rPr>
        <w:t>2025 г.</w:t>
      </w:r>
    </w:p>
    <w:bookmarkEnd w:id="44"/>
    <w:p w14:paraId="10F17130" w14:textId="77777777" w:rsidR="001F2F82" w:rsidRPr="00EB1419" w:rsidRDefault="001F2F82" w:rsidP="00E731EA">
      <w:pPr>
        <w:shd w:val="clear" w:color="auto" w:fill="FFFFFF" w:themeFill="background1"/>
        <w:tabs>
          <w:tab w:val="num" w:pos="928"/>
        </w:tabs>
        <w:autoSpaceDE w:val="0"/>
        <w:autoSpaceDN w:val="0"/>
        <w:adjustRightInd w:val="0"/>
        <w:ind w:firstLine="426"/>
        <w:contextualSpacing/>
        <w:jc w:val="both"/>
        <w:rPr>
          <w:b/>
          <w:bCs/>
          <w:sz w:val="22"/>
          <w:szCs w:val="22"/>
        </w:rPr>
      </w:pPr>
      <w:r w:rsidRPr="00EB1419">
        <w:rPr>
          <w:b/>
          <w:bCs/>
          <w:sz w:val="22"/>
          <w:szCs w:val="22"/>
        </w:rPr>
        <w:t xml:space="preserve">Разработки на проекти на анализи, доклади и други документи: </w:t>
      </w:r>
    </w:p>
    <w:p w14:paraId="198FF01E" w14:textId="77777777" w:rsidR="001F2F82" w:rsidRPr="00377316" w:rsidRDefault="001F2F82" w:rsidP="00E731EA">
      <w:pPr>
        <w:numPr>
          <w:ilvl w:val="0"/>
          <w:numId w:val="33"/>
        </w:numPr>
        <w:shd w:val="clear" w:color="auto" w:fill="FFFFFF" w:themeFill="background1"/>
        <w:ind w:left="0" w:firstLine="426"/>
        <w:jc w:val="both"/>
        <w:rPr>
          <w:sz w:val="22"/>
          <w:szCs w:val="22"/>
        </w:rPr>
      </w:pPr>
      <w:r w:rsidRPr="00377316">
        <w:rPr>
          <w:sz w:val="22"/>
          <w:szCs w:val="22"/>
        </w:rPr>
        <w:t>Изготвена и предоставена, по електронна поща, на Управителния комитет по антидискриминация, многообразие и приобщаване (CDADI) на Съвета на Европа, информация във връзка с изготвяне на карта на съществуващите ресурси (наръчници за обучение, практически инструменти и насоки), разработени от международни организации (СЕ, ЕС, ОССЕ и др.), организации на гражданското общество  и отделни държави членки, които са публично достъпни, в подкрепа на държавите членки за предотвратяване и борба с престъпленията от омраза в съответствие с разпоредбите на Препоръка CM/</w:t>
      </w:r>
      <w:proofErr w:type="spellStart"/>
      <w:r w:rsidRPr="00377316">
        <w:rPr>
          <w:sz w:val="22"/>
          <w:szCs w:val="22"/>
        </w:rPr>
        <w:t>Rec</w:t>
      </w:r>
      <w:proofErr w:type="spellEnd"/>
      <w:r w:rsidRPr="00377316">
        <w:rPr>
          <w:sz w:val="22"/>
          <w:szCs w:val="22"/>
        </w:rPr>
        <w:t>(2024)4 на Комитета на министрите, на Съвета на Европа, м. февруари 2025 г.;</w:t>
      </w:r>
    </w:p>
    <w:p w14:paraId="41FB72C9" w14:textId="77777777" w:rsidR="001F2F82" w:rsidRPr="00377316" w:rsidRDefault="001F2F82" w:rsidP="00E731EA">
      <w:pPr>
        <w:numPr>
          <w:ilvl w:val="0"/>
          <w:numId w:val="33"/>
        </w:numPr>
        <w:shd w:val="clear" w:color="auto" w:fill="FFFFFF" w:themeFill="background1"/>
        <w:ind w:left="0" w:firstLine="426"/>
        <w:jc w:val="both"/>
        <w:rPr>
          <w:sz w:val="22"/>
          <w:szCs w:val="22"/>
        </w:rPr>
      </w:pPr>
      <w:r w:rsidRPr="00377316">
        <w:rPr>
          <w:sz w:val="22"/>
          <w:szCs w:val="22"/>
        </w:rPr>
        <w:t xml:space="preserve">Изготвена и предоставена на Министерството на външните работи информация за ползване при изготвяне на отговор на писмото на Комисаря на Съвета на Европа по правата на човека Майкъл </w:t>
      </w:r>
      <w:proofErr w:type="spellStart"/>
      <w:r w:rsidRPr="00377316">
        <w:rPr>
          <w:sz w:val="22"/>
          <w:szCs w:val="22"/>
        </w:rPr>
        <w:t>О’Флаерти</w:t>
      </w:r>
      <w:proofErr w:type="spellEnd"/>
      <w:r w:rsidRPr="00377316">
        <w:rPr>
          <w:sz w:val="22"/>
          <w:szCs w:val="22"/>
        </w:rPr>
        <w:t>, адресирано до министър-председателя на Република България Росен Желязков, относно действията на българските власти по разрушаването на незаконно изградените постройки в квартал „Захарна фабрика“ в град София, м. май 2025 г.;</w:t>
      </w:r>
    </w:p>
    <w:p w14:paraId="666F5239" w14:textId="77777777" w:rsidR="001F2F82" w:rsidRPr="00377316" w:rsidRDefault="001F2F82" w:rsidP="00E731EA">
      <w:pPr>
        <w:numPr>
          <w:ilvl w:val="0"/>
          <w:numId w:val="33"/>
        </w:numPr>
        <w:shd w:val="clear" w:color="auto" w:fill="FFFFFF" w:themeFill="background1"/>
        <w:ind w:left="0" w:firstLine="426"/>
        <w:jc w:val="both"/>
        <w:rPr>
          <w:sz w:val="22"/>
          <w:szCs w:val="22"/>
        </w:rPr>
      </w:pPr>
      <w:r w:rsidRPr="00377316">
        <w:rPr>
          <w:sz w:val="22"/>
          <w:szCs w:val="22"/>
        </w:rPr>
        <w:t>Изготвена и предоставена на Министерството на външните работи информация за подготовка на IV-ти национален доклад на Република България в рамките на Универсалния периодичен преглед на Съвета на ООН по правата на човека, м. юни 2025 г.;</w:t>
      </w:r>
    </w:p>
    <w:p w14:paraId="57B2404E" w14:textId="63A0F44A" w:rsidR="001F2F82" w:rsidRPr="00377316" w:rsidRDefault="001F2F82" w:rsidP="00E731EA">
      <w:pPr>
        <w:numPr>
          <w:ilvl w:val="0"/>
          <w:numId w:val="33"/>
        </w:numPr>
        <w:shd w:val="clear" w:color="auto" w:fill="FFFFFF" w:themeFill="background1"/>
        <w:ind w:left="0" w:firstLine="426"/>
        <w:jc w:val="both"/>
        <w:rPr>
          <w:sz w:val="22"/>
          <w:szCs w:val="22"/>
        </w:rPr>
      </w:pPr>
      <w:r w:rsidRPr="00377316">
        <w:rPr>
          <w:sz w:val="22"/>
          <w:szCs w:val="22"/>
        </w:rPr>
        <w:t xml:space="preserve">Изготвена информация във връзка с покана от Мониторинговата група за демокрация, върховенство на правото и основни права (DRFMG) на Европейския парламент за участие в дискусия относно  ситуацията в България, 2 юли 2025 г. по отношение гарантиране упражняването на правата на малцинствата съгласно Рамковата конвенция за защита на националните </w:t>
      </w:r>
      <w:r w:rsidR="001E52B1">
        <w:rPr>
          <w:sz w:val="22"/>
          <w:szCs w:val="22"/>
        </w:rPr>
        <w:br/>
      </w:r>
      <w:r w:rsidRPr="00377316">
        <w:rPr>
          <w:sz w:val="22"/>
          <w:szCs w:val="22"/>
        </w:rPr>
        <w:t xml:space="preserve">малцинства – м. юни 2025 г. </w:t>
      </w:r>
    </w:p>
    <w:p w14:paraId="6C59C3E1" w14:textId="77777777" w:rsidR="001F2F82" w:rsidRPr="00EB1419" w:rsidRDefault="001F2F82" w:rsidP="00E731EA">
      <w:pPr>
        <w:shd w:val="clear" w:color="auto" w:fill="FFFFFF" w:themeFill="background1"/>
        <w:tabs>
          <w:tab w:val="num" w:pos="928"/>
        </w:tabs>
        <w:autoSpaceDE w:val="0"/>
        <w:autoSpaceDN w:val="0"/>
        <w:adjustRightInd w:val="0"/>
        <w:ind w:firstLine="426"/>
        <w:contextualSpacing/>
        <w:jc w:val="both"/>
        <w:rPr>
          <w:b/>
          <w:bCs/>
          <w:sz w:val="22"/>
          <w:szCs w:val="22"/>
        </w:rPr>
      </w:pPr>
      <w:r w:rsidRPr="00EB1419">
        <w:rPr>
          <w:b/>
          <w:bCs/>
          <w:sz w:val="22"/>
          <w:szCs w:val="22"/>
        </w:rPr>
        <w:t>Популяризиране на дейността на НССЕИВ и повишаване на обществената информираност по въпросите на интеграция на малцинствата чрез електронната страница на НССЕИВ в интернет:</w:t>
      </w:r>
    </w:p>
    <w:p w14:paraId="4ABC7CE2" w14:textId="77777777" w:rsidR="001F2F82" w:rsidRPr="00377316" w:rsidRDefault="001F2F82" w:rsidP="00E731EA">
      <w:pPr>
        <w:numPr>
          <w:ilvl w:val="0"/>
          <w:numId w:val="33"/>
        </w:numPr>
        <w:shd w:val="clear" w:color="auto" w:fill="FFFFFF" w:themeFill="background1"/>
        <w:ind w:left="0" w:firstLine="426"/>
        <w:jc w:val="both"/>
        <w:rPr>
          <w:sz w:val="22"/>
          <w:szCs w:val="22"/>
        </w:rPr>
      </w:pPr>
      <w:r w:rsidRPr="00377316">
        <w:rPr>
          <w:sz w:val="22"/>
          <w:szCs w:val="22"/>
        </w:rPr>
        <w:lastRenderedPageBreak/>
        <w:t>от началото на 2024 г. няма самостоятелен сайт на НССЕИВ; информация за НССЕИВ има качена в раздел „Консултативни съвети“ на обновяващия се Портал ОК; към края на отчетния период Портал ОК не е публичен и е в тестова среда;</w:t>
      </w:r>
    </w:p>
    <w:p w14:paraId="3C0FC48A" w14:textId="59E93B9E" w:rsidR="001F2F82" w:rsidRPr="00377316" w:rsidRDefault="001F2F82" w:rsidP="00E731EA">
      <w:pPr>
        <w:numPr>
          <w:ilvl w:val="0"/>
          <w:numId w:val="33"/>
        </w:numPr>
        <w:shd w:val="clear" w:color="auto" w:fill="FFFFFF" w:themeFill="background1"/>
        <w:ind w:left="0" w:firstLine="426"/>
        <w:jc w:val="both"/>
        <w:rPr>
          <w:sz w:val="22"/>
          <w:szCs w:val="22"/>
        </w:rPr>
      </w:pPr>
      <w:r w:rsidRPr="00377316">
        <w:rPr>
          <w:sz w:val="22"/>
          <w:szCs w:val="22"/>
        </w:rPr>
        <w:t xml:space="preserve">актуализиране и поддържане </w:t>
      </w:r>
      <w:bookmarkStart w:id="45" w:name="_Hlk204245244"/>
      <w:r w:rsidRPr="00377316">
        <w:rPr>
          <w:sz w:val="22"/>
          <w:szCs w:val="22"/>
        </w:rPr>
        <w:t xml:space="preserve">на Системата за мониторинг, оценка и контрол за изпълнение на Стратегията </w:t>
      </w:r>
      <w:bookmarkEnd w:id="45"/>
      <w:r w:rsidRPr="00377316">
        <w:rPr>
          <w:sz w:val="22"/>
          <w:szCs w:val="22"/>
        </w:rPr>
        <w:t xml:space="preserve">(външен и вътрешен портал) </w:t>
      </w:r>
      <w:bookmarkStart w:id="46" w:name="_Hlk204245194"/>
      <w:r w:rsidRPr="00377316">
        <w:rPr>
          <w:sz w:val="22"/>
          <w:szCs w:val="22"/>
        </w:rPr>
        <w:t>с оглед мерките и индикаторите в приетия през м. март 2024 г. Национален план за действие 2024</w:t>
      </w:r>
      <w:r w:rsidR="001E52B1">
        <w:rPr>
          <w:sz w:val="22"/>
          <w:szCs w:val="22"/>
        </w:rPr>
        <w:t xml:space="preserve"> – </w:t>
      </w:r>
      <w:r w:rsidRPr="00377316">
        <w:rPr>
          <w:sz w:val="22"/>
          <w:szCs w:val="22"/>
        </w:rPr>
        <w:t>2027 по Националната стратегия на Република България за равенство, приобщаване и участие на ромите 2021</w:t>
      </w:r>
      <w:r w:rsidR="001E52B1">
        <w:rPr>
          <w:sz w:val="22"/>
          <w:szCs w:val="22"/>
        </w:rPr>
        <w:t xml:space="preserve"> – </w:t>
      </w:r>
      <w:r w:rsidRPr="00377316">
        <w:rPr>
          <w:sz w:val="22"/>
          <w:szCs w:val="22"/>
        </w:rPr>
        <w:t xml:space="preserve">2030 </w:t>
      </w:r>
      <w:bookmarkEnd w:id="46"/>
      <w:r w:rsidRPr="00377316">
        <w:rPr>
          <w:sz w:val="22"/>
          <w:szCs w:val="22"/>
        </w:rPr>
        <w:t xml:space="preserve">– актуализирането на Системата става част от дейностите по рамково споразумение № МС-117/09.10.2024 г. с </w:t>
      </w:r>
      <w:r w:rsidR="00377316">
        <w:rPr>
          <w:sz w:val="22"/>
          <w:szCs w:val="22"/>
        </w:rPr>
        <w:t xml:space="preserve">„Информационно обслужване“ АД. </w:t>
      </w:r>
      <w:r w:rsidRPr="00377316">
        <w:rPr>
          <w:sz w:val="22"/>
          <w:szCs w:val="22"/>
        </w:rPr>
        <w:t xml:space="preserve">През април 2025 г. отдел ПЗДНСЕИВВГО съдейства за провеждане на онлайн работни срещи с представители на институциите, които имат ангажименти по отчитането на мерките от НПД. </w:t>
      </w:r>
      <w:bookmarkStart w:id="47" w:name="_Hlk204245152"/>
      <w:r w:rsidRPr="00377316">
        <w:rPr>
          <w:sz w:val="22"/>
          <w:szCs w:val="22"/>
        </w:rPr>
        <w:t>Шаблоните за зареждане на данни за индикаторите са актуализирани и заредени на уеб сайта с контролиран достъп и на публичния уеб сайт, могат да се правят справки за 2024 г. според заредените от институциите данни</w:t>
      </w:r>
      <w:bookmarkEnd w:id="47"/>
      <w:r w:rsidRPr="00377316">
        <w:rPr>
          <w:sz w:val="22"/>
          <w:szCs w:val="22"/>
        </w:rPr>
        <w:t>.</w:t>
      </w:r>
    </w:p>
    <w:p w14:paraId="43F3C530" w14:textId="77777777" w:rsidR="001F2F82" w:rsidRPr="00EB1419" w:rsidRDefault="001F2F82" w:rsidP="00E731EA">
      <w:pPr>
        <w:shd w:val="clear" w:color="auto" w:fill="FFFFFF" w:themeFill="background1"/>
        <w:tabs>
          <w:tab w:val="num" w:pos="928"/>
        </w:tabs>
        <w:autoSpaceDE w:val="0"/>
        <w:autoSpaceDN w:val="0"/>
        <w:adjustRightInd w:val="0"/>
        <w:ind w:firstLine="426"/>
        <w:contextualSpacing/>
        <w:jc w:val="both"/>
        <w:rPr>
          <w:b/>
          <w:bCs/>
          <w:sz w:val="22"/>
          <w:szCs w:val="22"/>
        </w:rPr>
      </w:pPr>
      <w:r w:rsidRPr="00EB1419">
        <w:rPr>
          <w:b/>
          <w:bCs/>
          <w:sz w:val="22"/>
          <w:szCs w:val="22"/>
        </w:rPr>
        <w:t xml:space="preserve">Изпълнение на текущи и разработване на нови проекти по програми на Европейския съюз и други донори – до три проекта на година: </w:t>
      </w:r>
      <w:r w:rsidRPr="00EB1419">
        <w:rPr>
          <w:b/>
          <w:bCs/>
          <w:i/>
          <w:iCs/>
          <w:sz w:val="22"/>
          <w:szCs w:val="22"/>
        </w:rPr>
        <w:t>за отчетния период няма такива проекти.</w:t>
      </w:r>
    </w:p>
    <w:p w14:paraId="3995D8EE" w14:textId="51146C95" w:rsidR="001F2F82" w:rsidRPr="00E731EA" w:rsidRDefault="001F2F82" w:rsidP="00E731EA">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E731EA">
        <w:rPr>
          <w:b/>
          <w:bCs/>
          <w:i/>
          <w:iCs/>
          <w:color w:val="215E99" w:themeColor="text2" w:themeTint="BF"/>
          <w:sz w:val="22"/>
          <w:szCs w:val="22"/>
        </w:rPr>
        <w:t xml:space="preserve">Дейности за подкрепа на развитието на гражданските организации </w:t>
      </w:r>
      <w:r w:rsidR="0044142F" w:rsidRPr="00E731EA">
        <w:rPr>
          <w:b/>
          <w:bCs/>
          <w:i/>
          <w:iCs/>
          <w:color w:val="215E99" w:themeColor="text2" w:themeTint="BF"/>
          <w:sz w:val="22"/>
          <w:szCs w:val="22"/>
        </w:rPr>
        <w:t>–</w:t>
      </w:r>
      <w:r w:rsidRPr="00E731EA">
        <w:rPr>
          <w:b/>
          <w:bCs/>
          <w:i/>
          <w:iCs/>
          <w:color w:val="215E99" w:themeColor="text2" w:themeTint="BF"/>
          <w:sz w:val="22"/>
          <w:szCs w:val="22"/>
        </w:rPr>
        <w:t xml:space="preserve"> секретариат на СРГО</w:t>
      </w:r>
    </w:p>
    <w:p w14:paraId="44AFF867" w14:textId="77777777" w:rsidR="001F2F82" w:rsidRPr="00377316" w:rsidRDefault="001F2F82" w:rsidP="00E731EA">
      <w:pPr>
        <w:shd w:val="clear" w:color="auto" w:fill="FFFFFF" w:themeFill="background1"/>
        <w:ind w:firstLine="426"/>
        <w:jc w:val="both"/>
        <w:rPr>
          <w:sz w:val="22"/>
          <w:szCs w:val="22"/>
          <w:lang w:val="en-US"/>
        </w:rPr>
      </w:pPr>
      <w:r w:rsidRPr="00377316">
        <w:rPr>
          <w:sz w:val="22"/>
          <w:szCs w:val="22"/>
        </w:rPr>
        <w:t>През отчетния период са предприети действия по провеждане на избори за нов състав на Съвета за развитие на гражданското общество.</w:t>
      </w:r>
    </w:p>
    <w:p w14:paraId="2DD96E5F" w14:textId="77777777" w:rsidR="001F2F82" w:rsidRPr="006E4A6B" w:rsidRDefault="001F2F82" w:rsidP="00E731EA">
      <w:pPr>
        <w:shd w:val="clear" w:color="auto" w:fill="FFFFFF" w:themeFill="background1"/>
        <w:ind w:firstLine="426"/>
        <w:jc w:val="both"/>
        <w:rPr>
          <w:sz w:val="22"/>
          <w:szCs w:val="22"/>
        </w:rPr>
      </w:pPr>
      <w:r w:rsidRPr="00377316">
        <w:rPr>
          <w:sz w:val="22"/>
          <w:szCs w:val="22"/>
        </w:rPr>
        <w:t>В началото на 2025 г., предвид изтичащия мандат на действащия Съвет за развитие на гражданското общество, секретариатът на СРГО стартира подготовка за провеждане на процедура за избор на нов състав на Съвета.</w:t>
      </w:r>
    </w:p>
    <w:p w14:paraId="096BFC05" w14:textId="77777777" w:rsidR="001F2F82" w:rsidRPr="006E4A6B" w:rsidRDefault="001F2F82" w:rsidP="00E731EA">
      <w:pPr>
        <w:shd w:val="clear" w:color="auto" w:fill="FFFFFF" w:themeFill="background1"/>
        <w:ind w:firstLine="426"/>
        <w:jc w:val="both"/>
        <w:rPr>
          <w:sz w:val="22"/>
          <w:szCs w:val="22"/>
        </w:rPr>
      </w:pPr>
      <w:r w:rsidRPr="00377316">
        <w:rPr>
          <w:sz w:val="22"/>
          <w:szCs w:val="22"/>
        </w:rPr>
        <w:t>Съгласно чл. 18, ал. 5 от Правилника за организацията и дейността на СРГО, мандатът на членовете му е три години от решението на Министерския съвет за определяне на поименния му състав. Такова решение е прието на 16.02.2022 г., поради което секретариатът към СРГО, с цел спазване на нормативните срокове, е предприел действия по подготовка на изборната процедура.</w:t>
      </w:r>
    </w:p>
    <w:p w14:paraId="0EB00690" w14:textId="6058E9FB" w:rsidR="001F2F82" w:rsidRPr="00377316" w:rsidRDefault="001F2F82" w:rsidP="00E731EA">
      <w:pPr>
        <w:shd w:val="clear" w:color="auto" w:fill="FFFFFF" w:themeFill="background1"/>
        <w:ind w:firstLine="426"/>
        <w:jc w:val="both"/>
        <w:rPr>
          <w:sz w:val="22"/>
          <w:szCs w:val="22"/>
        </w:rPr>
      </w:pPr>
      <w:r w:rsidRPr="00377316">
        <w:rPr>
          <w:sz w:val="22"/>
          <w:szCs w:val="22"/>
        </w:rPr>
        <w:t>Със Зап</w:t>
      </w:r>
      <w:r w:rsidR="00377316">
        <w:rPr>
          <w:sz w:val="22"/>
          <w:szCs w:val="22"/>
        </w:rPr>
        <w:t>овед № В-5 от 08.01.2025 г. на г</w:t>
      </w:r>
      <w:r w:rsidRPr="00377316">
        <w:rPr>
          <w:sz w:val="22"/>
          <w:szCs w:val="22"/>
        </w:rPr>
        <w:t>лавния секретар на Министерския съвет е създадена Комисия, която да организира и проведе процедурата за избор на членове на Съвета за развитие на гражданското общество, предвидена в Глава втора от Правилника за организацията и дейността на СРГО.</w:t>
      </w:r>
    </w:p>
    <w:p w14:paraId="11F88560" w14:textId="0EC52814" w:rsidR="001F2F82" w:rsidRPr="00377316" w:rsidRDefault="001F2F82" w:rsidP="00E731EA">
      <w:pPr>
        <w:shd w:val="clear" w:color="auto" w:fill="FFFFFF" w:themeFill="background1"/>
        <w:ind w:firstLine="426"/>
        <w:jc w:val="both"/>
        <w:rPr>
          <w:sz w:val="22"/>
          <w:szCs w:val="22"/>
        </w:rPr>
      </w:pPr>
      <w:r w:rsidRPr="00377316">
        <w:rPr>
          <w:sz w:val="22"/>
          <w:szCs w:val="22"/>
        </w:rPr>
        <w:t xml:space="preserve">Предприети са действия за възобновяване функционирането на уеб базираната електронна платформа </w:t>
      </w:r>
      <w:hyperlink r:id="rId30" w:history="1">
        <w:r w:rsidR="00377316" w:rsidRPr="006E4A6B">
          <w:rPr>
            <w:rStyle w:val="Hyperlink"/>
            <w:color w:val="215E99" w:themeColor="text2" w:themeTint="BF"/>
            <w:sz w:val="22"/>
            <w:szCs w:val="22"/>
            <w:u w:val="none"/>
          </w:rPr>
          <w:t>https://voting.government.bg/</w:t>
        </w:r>
      </w:hyperlink>
      <w:r w:rsidRPr="006E4A6B">
        <w:rPr>
          <w:color w:val="215E99" w:themeColor="text2" w:themeTint="BF"/>
          <w:sz w:val="22"/>
          <w:szCs w:val="22"/>
        </w:rPr>
        <w:t>,</w:t>
      </w:r>
      <w:r w:rsidRPr="00377316">
        <w:rPr>
          <w:sz w:val="22"/>
          <w:szCs w:val="22"/>
        </w:rPr>
        <w:t xml:space="preserve"> чрез която съгласно нормативната уредба се осъществява процесът по регистрация и гласуване за членове на Съвет за развитие на гражданското общество, който е изцяло електронно базиран.</w:t>
      </w:r>
    </w:p>
    <w:p w14:paraId="06217D29" w14:textId="41958F83" w:rsidR="001F2F82" w:rsidRPr="00377316" w:rsidRDefault="001F2F82" w:rsidP="00E731EA">
      <w:pPr>
        <w:shd w:val="clear" w:color="auto" w:fill="FFFFFF" w:themeFill="background1"/>
        <w:ind w:firstLine="426"/>
        <w:jc w:val="both"/>
        <w:rPr>
          <w:sz w:val="22"/>
          <w:szCs w:val="22"/>
        </w:rPr>
      </w:pPr>
      <w:r w:rsidRPr="00377316">
        <w:rPr>
          <w:sz w:val="22"/>
          <w:szCs w:val="22"/>
        </w:rPr>
        <w:t xml:space="preserve">След </w:t>
      </w:r>
      <w:r w:rsidR="00D2510D" w:rsidRPr="00377316">
        <w:rPr>
          <w:sz w:val="22"/>
          <w:szCs w:val="22"/>
        </w:rPr>
        <w:t>избора</w:t>
      </w:r>
      <w:r w:rsidRPr="00377316">
        <w:rPr>
          <w:sz w:val="22"/>
          <w:szCs w:val="22"/>
        </w:rPr>
        <w:t xml:space="preserve"> на членове на СРГО е проведена съгласувателна процедура по чл. 32 от Устройствения правилник на Министерския съвет и неговата администрация за приемане на решение на Министерския съвет за утвърждаване състава на СРГО. С решение № 489 от 23.07.</w:t>
      </w:r>
      <w:r w:rsidR="00D2510D">
        <w:rPr>
          <w:sz w:val="22"/>
          <w:szCs w:val="22"/>
        </w:rPr>
        <w:br/>
      </w:r>
      <w:r w:rsidRPr="00377316">
        <w:rPr>
          <w:sz w:val="22"/>
          <w:szCs w:val="22"/>
        </w:rPr>
        <w:t>2025 г. на Министерски съвет е определен съставът на новия Съвет за развитие на гражданското общество.</w:t>
      </w:r>
    </w:p>
    <w:p w14:paraId="4DCB33BC" w14:textId="77777777" w:rsidR="001F2F82" w:rsidRPr="00377316" w:rsidRDefault="001F2F82" w:rsidP="00E731EA">
      <w:pPr>
        <w:shd w:val="clear" w:color="auto" w:fill="FFFFFF" w:themeFill="background1"/>
        <w:ind w:firstLine="426"/>
        <w:jc w:val="both"/>
        <w:rPr>
          <w:sz w:val="22"/>
          <w:szCs w:val="22"/>
        </w:rPr>
      </w:pPr>
      <w:r w:rsidRPr="00377316">
        <w:rPr>
          <w:sz w:val="22"/>
          <w:szCs w:val="22"/>
        </w:rPr>
        <w:t>Изготвени са и предоставени на:</w:t>
      </w:r>
    </w:p>
    <w:p w14:paraId="078C82BA" w14:textId="2F2D14CD" w:rsidR="001F2F82" w:rsidRPr="00377316" w:rsidRDefault="001F2F82" w:rsidP="00E731EA">
      <w:pPr>
        <w:numPr>
          <w:ilvl w:val="0"/>
          <w:numId w:val="33"/>
        </w:numPr>
        <w:shd w:val="clear" w:color="auto" w:fill="FFFFFF" w:themeFill="background1"/>
        <w:ind w:left="0" w:firstLine="426"/>
        <w:jc w:val="both"/>
        <w:rPr>
          <w:sz w:val="22"/>
          <w:szCs w:val="22"/>
        </w:rPr>
      </w:pPr>
      <w:r w:rsidRPr="00377316">
        <w:rPr>
          <w:sz w:val="22"/>
          <w:szCs w:val="22"/>
        </w:rPr>
        <w:t>Министерството на външните работи информация за заседание на работна група на Съвета на ЕС „Основни права, граждански права и свободно движение на хора“ (FREMP);</w:t>
      </w:r>
    </w:p>
    <w:p w14:paraId="347FBB5D" w14:textId="64741E4E" w:rsidR="001F2F82" w:rsidRPr="00377316" w:rsidRDefault="001F2F82" w:rsidP="00E731EA">
      <w:pPr>
        <w:numPr>
          <w:ilvl w:val="0"/>
          <w:numId w:val="33"/>
        </w:numPr>
        <w:shd w:val="clear" w:color="auto" w:fill="FFFFFF" w:themeFill="background1"/>
        <w:ind w:left="0" w:firstLine="426"/>
        <w:jc w:val="both"/>
        <w:rPr>
          <w:sz w:val="22"/>
          <w:szCs w:val="22"/>
        </w:rPr>
      </w:pPr>
      <w:r w:rsidRPr="00377316">
        <w:rPr>
          <w:sz w:val="22"/>
          <w:szCs w:val="22"/>
        </w:rPr>
        <w:t>Министерството на правосъдието информация за включване в Доклада на Европейската комисия за върховенството на закона.</w:t>
      </w:r>
    </w:p>
    <w:p w14:paraId="3B67ACFB" w14:textId="77777777" w:rsidR="001F2F82" w:rsidRPr="00E731EA" w:rsidRDefault="001F2F82" w:rsidP="00E731EA">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E731EA">
        <w:rPr>
          <w:b/>
          <w:bCs/>
          <w:i/>
          <w:iCs/>
          <w:color w:val="215E99" w:themeColor="text2" w:themeTint="BF"/>
          <w:sz w:val="22"/>
          <w:szCs w:val="22"/>
        </w:rPr>
        <w:t>Координация по въпросите на националната сигурност – Секретариат на Съвета по сигурността</w:t>
      </w:r>
    </w:p>
    <w:p w14:paraId="1363FE6A" w14:textId="77777777" w:rsidR="001F2F82" w:rsidRPr="00B75CCF" w:rsidRDefault="001F2F82" w:rsidP="00D20D69">
      <w:pPr>
        <w:shd w:val="clear" w:color="auto" w:fill="FFFFFF" w:themeFill="background1"/>
        <w:ind w:firstLine="426"/>
        <w:jc w:val="both"/>
        <w:rPr>
          <w:sz w:val="22"/>
          <w:szCs w:val="22"/>
        </w:rPr>
      </w:pPr>
      <w:r w:rsidRPr="00B75CCF">
        <w:rPr>
          <w:sz w:val="22"/>
          <w:szCs w:val="22"/>
        </w:rPr>
        <w:t xml:space="preserve">Чрез реализирането на продукт/услуга „Координация по въпросите на националната сигурност” Секретариатът на Съвета по сигурността работи за подпомагане на осъществяването на дейността на Съвета. Същевременно подпомага Секретаря на Съвета по сигурността при осъществяването на координация с държавните органи и организации, с органите на местното самоуправление, с юридически лица, както и със сродни структури в други държави и международни организации. </w:t>
      </w:r>
    </w:p>
    <w:p w14:paraId="7E23EB31" w14:textId="77777777" w:rsidR="001F2F82" w:rsidRPr="00B75CCF" w:rsidRDefault="001F2F82" w:rsidP="00D20D69">
      <w:pPr>
        <w:shd w:val="clear" w:color="auto" w:fill="FFFFFF" w:themeFill="background1"/>
        <w:ind w:firstLine="426"/>
        <w:jc w:val="both"/>
        <w:rPr>
          <w:sz w:val="22"/>
          <w:szCs w:val="22"/>
        </w:rPr>
      </w:pPr>
      <w:r w:rsidRPr="00B75CCF">
        <w:rPr>
          <w:sz w:val="22"/>
          <w:szCs w:val="22"/>
        </w:rPr>
        <w:lastRenderedPageBreak/>
        <w:t>Секретариатът координира междуинституционалната комуникация и дейността по изготвянето на годишен доклад за състоянието на националната сигурност, предлага изготвянето на проекти и на други нормативни актове, свързани с провеждането на държавната политика в сферата на националната сигурност, и изготвя анализи, прогнози, доклади и други информационни материали, използвайки експертни становища от различни области.</w:t>
      </w:r>
    </w:p>
    <w:p w14:paraId="583F499D" w14:textId="77777777" w:rsidR="001F2F82" w:rsidRPr="001A1B85" w:rsidRDefault="001F2F82" w:rsidP="00D20D69">
      <w:pPr>
        <w:widowControl w:val="0"/>
        <w:shd w:val="clear" w:color="auto" w:fill="FFFFFF" w:themeFill="background1"/>
        <w:spacing w:before="120"/>
        <w:ind w:firstLine="425"/>
        <w:jc w:val="both"/>
        <w:outlineLvl w:val="3"/>
        <w:rPr>
          <w:b/>
          <w:i/>
          <w:color w:val="800000"/>
          <w:sz w:val="22"/>
          <w:szCs w:val="22"/>
        </w:rPr>
      </w:pPr>
      <w:r w:rsidRPr="001A1B85">
        <w:rPr>
          <w:b/>
          <w:i/>
          <w:color w:val="800000"/>
          <w:sz w:val="22"/>
          <w:szCs w:val="22"/>
        </w:rPr>
        <w:t>Дейности, изпълнени през отчетния период за предоставяне на продукта/услугата</w:t>
      </w:r>
    </w:p>
    <w:p w14:paraId="0EF7E08F" w14:textId="4FE19398" w:rsidR="001F2F82" w:rsidRPr="00B75CCF" w:rsidRDefault="001F2F82" w:rsidP="00D20D69">
      <w:pPr>
        <w:numPr>
          <w:ilvl w:val="0"/>
          <w:numId w:val="12"/>
        </w:numPr>
        <w:shd w:val="clear" w:color="auto" w:fill="FFFFFF" w:themeFill="background1"/>
        <w:tabs>
          <w:tab w:val="clear" w:pos="360"/>
          <w:tab w:val="left" w:pos="709"/>
        </w:tabs>
        <w:ind w:left="0" w:firstLine="426"/>
        <w:contextualSpacing/>
        <w:jc w:val="both"/>
        <w:rPr>
          <w:bCs/>
          <w:sz w:val="22"/>
          <w:szCs w:val="22"/>
        </w:rPr>
      </w:pPr>
      <w:r w:rsidRPr="00B75CCF">
        <w:rPr>
          <w:bCs/>
          <w:sz w:val="22"/>
          <w:szCs w:val="22"/>
        </w:rPr>
        <w:t>Осъществена подготовка и организация за провеждането на извънредно заседание на Съвета по сигурността към Министерския съвет (</w:t>
      </w:r>
      <w:r w:rsidR="00BE4E52" w:rsidRPr="00B75CCF">
        <w:rPr>
          <w:bCs/>
          <w:sz w:val="22"/>
          <w:szCs w:val="22"/>
        </w:rPr>
        <w:t>04.03.</w:t>
      </w:r>
      <w:r w:rsidRPr="00B75CCF">
        <w:rPr>
          <w:bCs/>
          <w:sz w:val="22"/>
          <w:szCs w:val="22"/>
        </w:rPr>
        <w:t>2025 г.);</w:t>
      </w:r>
    </w:p>
    <w:p w14:paraId="566E7D3A" w14:textId="7C338551" w:rsidR="001F2F82" w:rsidRPr="00B75CCF" w:rsidRDefault="001F2F82" w:rsidP="00D20D69">
      <w:pPr>
        <w:numPr>
          <w:ilvl w:val="0"/>
          <w:numId w:val="12"/>
        </w:numPr>
        <w:shd w:val="clear" w:color="auto" w:fill="FFFFFF" w:themeFill="background1"/>
        <w:tabs>
          <w:tab w:val="clear" w:pos="360"/>
          <w:tab w:val="left" w:pos="709"/>
        </w:tabs>
        <w:ind w:left="0" w:firstLine="426"/>
        <w:contextualSpacing/>
        <w:jc w:val="both"/>
        <w:rPr>
          <w:bCs/>
          <w:sz w:val="22"/>
          <w:szCs w:val="22"/>
        </w:rPr>
      </w:pPr>
      <w:r w:rsidRPr="00B75CCF">
        <w:rPr>
          <w:bCs/>
          <w:sz w:val="22"/>
          <w:szCs w:val="22"/>
        </w:rPr>
        <w:t>Секретариатът взе участие в цялостното планиране и провеждане на  политико-военното учение на НАТО за управление при кризи CMX25, чиято активна фаза бе в периода 13</w:t>
      </w:r>
      <w:r w:rsidR="007D1668">
        <w:rPr>
          <w:bCs/>
          <w:sz w:val="22"/>
          <w:szCs w:val="22"/>
        </w:rPr>
        <w:t xml:space="preserve"> – </w:t>
      </w:r>
      <w:r w:rsidRPr="00B75CCF">
        <w:rPr>
          <w:bCs/>
          <w:sz w:val="22"/>
          <w:szCs w:val="22"/>
        </w:rPr>
        <w:t>17</w:t>
      </w:r>
      <w:r w:rsidR="007D1668">
        <w:rPr>
          <w:bCs/>
          <w:sz w:val="22"/>
          <w:szCs w:val="22"/>
        </w:rPr>
        <w:t>.03.</w:t>
      </w:r>
      <w:r w:rsidR="007D1668">
        <w:rPr>
          <w:bCs/>
          <w:sz w:val="22"/>
          <w:szCs w:val="22"/>
        </w:rPr>
        <w:br/>
      </w:r>
      <w:r w:rsidRPr="00B75CCF">
        <w:rPr>
          <w:bCs/>
          <w:sz w:val="22"/>
          <w:szCs w:val="22"/>
        </w:rPr>
        <w:t>2025 г. Учението с</w:t>
      </w:r>
      <w:r w:rsidR="00BE4E52" w:rsidRPr="00B75CCF">
        <w:rPr>
          <w:bCs/>
          <w:sz w:val="22"/>
          <w:szCs w:val="22"/>
        </w:rPr>
        <w:t xml:space="preserve">е проведе под ръководството на </w:t>
      </w:r>
      <w:r w:rsidRPr="00B75CCF">
        <w:rPr>
          <w:bCs/>
          <w:sz w:val="22"/>
          <w:szCs w:val="22"/>
        </w:rPr>
        <w:t>секретаря на Съвета по сигурността. Изготвен бе обобщен доклад от сек</w:t>
      </w:r>
      <w:r w:rsidR="00BE4E52" w:rsidRPr="00B75CCF">
        <w:rPr>
          <w:bCs/>
          <w:sz w:val="22"/>
          <w:szCs w:val="22"/>
        </w:rPr>
        <w:t>ретаря на Съвета по сигурността</w:t>
      </w:r>
      <w:r w:rsidRPr="00B75CCF">
        <w:rPr>
          <w:bCs/>
          <w:sz w:val="22"/>
          <w:szCs w:val="22"/>
        </w:rPr>
        <w:t xml:space="preserve"> до министър-председателя с резултати и препоръки за подобряване на системата за управление при кризи в страната и по-нататъшната организация на подобни учения;</w:t>
      </w:r>
    </w:p>
    <w:p w14:paraId="67C70B82" w14:textId="7A7B83C8" w:rsidR="001F2F82" w:rsidRPr="00BE4E52" w:rsidRDefault="001F2F82" w:rsidP="00D20D69">
      <w:pPr>
        <w:numPr>
          <w:ilvl w:val="0"/>
          <w:numId w:val="12"/>
        </w:numPr>
        <w:shd w:val="clear" w:color="auto" w:fill="FFFFFF" w:themeFill="background1"/>
        <w:tabs>
          <w:tab w:val="clear" w:pos="360"/>
          <w:tab w:val="left" w:pos="709"/>
        </w:tabs>
        <w:ind w:left="0" w:firstLine="426"/>
        <w:contextualSpacing/>
        <w:jc w:val="both"/>
        <w:rPr>
          <w:bCs/>
          <w:sz w:val="22"/>
          <w:szCs w:val="22"/>
        </w:rPr>
      </w:pPr>
      <w:r w:rsidRPr="00B75CCF">
        <w:rPr>
          <w:bCs/>
          <w:sz w:val="22"/>
          <w:szCs w:val="22"/>
        </w:rPr>
        <w:t xml:space="preserve">На </w:t>
      </w:r>
      <w:r w:rsidR="007D1668">
        <w:rPr>
          <w:bCs/>
          <w:sz w:val="22"/>
          <w:szCs w:val="22"/>
        </w:rPr>
        <w:t>0</w:t>
      </w:r>
      <w:r w:rsidRPr="00B75CCF">
        <w:rPr>
          <w:bCs/>
          <w:sz w:val="22"/>
          <w:szCs w:val="22"/>
        </w:rPr>
        <w:t>8</w:t>
      </w:r>
      <w:r w:rsidR="007D1668">
        <w:rPr>
          <w:bCs/>
          <w:sz w:val="22"/>
          <w:szCs w:val="22"/>
        </w:rPr>
        <w:t>.04.</w:t>
      </w:r>
      <w:r w:rsidRPr="00B75CCF">
        <w:rPr>
          <w:bCs/>
          <w:sz w:val="22"/>
          <w:szCs w:val="22"/>
        </w:rPr>
        <w:t>2025 г., под координацията на Секретариата на Съвета по сигурността се проведе панелна дискусия на тема „</w:t>
      </w:r>
      <w:r w:rsidRPr="00BE4E52">
        <w:rPr>
          <w:bCs/>
          <w:sz w:val="22"/>
          <w:szCs w:val="22"/>
        </w:rPr>
        <w:t>Повишаване на националната устойчивост: напредък, предизвикателства и път напред“, с домакин Во</w:t>
      </w:r>
      <w:r w:rsidR="00BE4E52">
        <w:rPr>
          <w:bCs/>
          <w:sz w:val="22"/>
          <w:szCs w:val="22"/>
        </w:rPr>
        <w:t xml:space="preserve">енна академия „Г.С. Раковски“. </w:t>
      </w:r>
      <w:r w:rsidRPr="00BE4E52">
        <w:rPr>
          <w:bCs/>
          <w:sz w:val="22"/>
          <w:szCs w:val="22"/>
        </w:rPr>
        <w:t xml:space="preserve">Експерт от Секретариата активно подпомогна цялостното планиране на събитието и бе модератор на един от панелите за дискусия. </w:t>
      </w:r>
    </w:p>
    <w:p w14:paraId="5A117A94" w14:textId="6BE64F73" w:rsidR="001F2F82" w:rsidRPr="00BE4E52" w:rsidRDefault="001F2F82" w:rsidP="00D20D69">
      <w:pPr>
        <w:numPr>
          <w:ilvl w:val="0"/>
          <w:numId w:val="12"/>
        </w:numPr>
        <w:shd w:val="clear" w:color="auto" w:fill="FFFFFF" w:themeFill="background1"/>
        <w:tabs>
          <w:tab w:val="clear" w:pos="360"/>
          <w:tab w:val="left" w:pos="709"/>
        </w:tabs>
        <w:ind w:left="0" w:firstLine="426"/>
        <w:contextualSpacing/>
        <w:jc w:val="both"/>
        <w:rPr>
          <w:bCs/>
          <w:sz w:val="22"/>
          <w:szCs w:val="22"/>
        </w:rPr>
      </w:pPr>
      <w:r w:rsidRPr="00BE4E52">
        <w:rPr>
          <w:bCs/>
          <w:sz w:val="22"/>
          <w:szCs w:val="22"/>
        </w:rPr>
        <w:t>С цел подпомагане изпълнение на ангажиментите на страната по линия на устойчивостта на НАТО, Секретариатът подготви и проведе два работни семинара по линия на процеса по планиране на отбранителните способности, част „ Гражданска готовност и устойчивост“, в сътруднич</w:t>
      </w:r>
      <w:r w:rsidR="00BE4E52">
        <w:rPr>
          <w:bCs/>
          <w:sz w:val="22"/>
          <w:szCs w:val="22"/>
        </w:rPr>
        <w:t>ество с ISG и CMDR COE (10.04.</w:t>
      </w:r>
      <w:r w:rsidRPr="00BE4E52">
        <w:rPr>
          <w:bCs/>
          <w:sz w:val="22"/>
          <w:szCs w:val="22"/>
        </w:rPr>
        <w:t xml:space="preserve"> и 1</w:t>
      </w:r>
      <w:r w:rsidR="00BE4E52">
        <w:rPr>
          <w:bCs/>
          <w:sz w:val="22"/>
          <w:szCs w:val="22"/>
        </w:rPr>
        <w:t>8</w:t>
      </w:r>
      <w:r w:rsidR="007D1668">
        <w:rPr>
          <w:bCs/>
          <w:sz w:val="22"/>
          <w:szCs w:val="22"/>
        </w:rPr>
        <w:t xml:space="preserve"> – </w:t>
      </w:r>
      <w:r w:rsidR="00BE4E52">
        <w:rPr>
          <w:bCs/>
          <w:sz w:val="22"/>
          <w:szCs w:val="22"/>
        </w:rPr>
        <w:t>19.06.</w:t>
      </w:r>
      <w:r w:rsidRPr="00BE4E52">
        <w:rPr>
          <w:bCs/>
          <w:sz w:val="22"/>
          <w:szCs w:val="22"/>
        </w:rPr>
        <w:t>2025 г.);</w:t>
      </w:r>
    </w:p>
    <w:p w14:paraId="6B985F5F" w14:textId="31F6BC9B" w:rsidR="001F2F82" w:rsidRPr="004C2BAA" w:rsidRDefault="001F2F82" w:rsidP="00D20D69">
      <w:pPr>
        <w:numPr>
          <w:ilvl w:val="0"/>
          <w:numId w:val="12"/>
        </w:numPr>
        <w:shd w:val="clear" w:color="auto" w:fill="FFFFFF" w:themeFill="background1"/>
        <w:tabs>
          <w:tab w:val="clear" w:pos="360"/>
          <w:tab w:val="left" w:pos="709"/>
        </w:tabs>
        <w:ind w:left="0" w:firstLine="426"/>
        <w:contextualSpacing/>
        <w:jc w:val="both"/>
        <w:rPr>
          <w:bCs/>
          <w:sz w:val="22"/>
          <w:szCs w:val="22"/>
        </w:rPr>
      </w:pPr>
      <w:r w:rsidRPr="004C2BAA">
        <w:rPr>
          <w:bCs/>
          <w:sz w:val="22"/>
          <w:szCs w:val="22"/>
        </w:rPr>
        <w:t>Секретарят на Съвета по сигурността и експерт от секретариата участваха в експертна дискусия на високо ниво по линия на Системата за отговор на НАТО, с участиет</w:t>
      </w:r>
      <w:r w:rsidR="004C2BAA">
        <w:rPr>
          <w:bCs/>
          <w:sz w:val="22"/>
          <w:szCs w:val="22"/>
        </w:rPr>
        <w:t>о на експерти от НАТО (04.04.</w:t>
      </w:r>
      <w:r w:rsidRPr="004C2BAA">
        <w:rPr>
          <w:bCs/>
          <w:sz w:val="22"/>
          <w:szCs w:val="22"/>
        </w:rPr>
        <w:t>2025 г.)</w:t>
      </w:r>
    </w:p>
    <w:p w14:paraId="4F8FB706" w14:textId="5230D29F" w:rsidR="001F2F82" w:rsidRPr="004C2BAA" w:rsidRDefault="001F2F82" w:rsidP="00D20D69">
      <w:pPr>
        <w:numPr>
          <w:ilvl w:val="0"/>
          <w:numId w:val="12"/>
        </w:numPr>
        <w:shd w:val="clear" w:color="auto" w:fill="FFFFFF" w:themeFill="background1"/>
        <w:tabs>
          <w:tab w:val="clear" w:pos="360"/>
          <w:tab w:val="left" w:pos="709"/>
        </w:tabs>
        <w:ind w:left="0" w:firstLine="426"/>
        <w:contextualSpacing/>
        <w:jc w:val="both"/>
        <w:rPr>
          <w:bCs/>
          <w:sz w:val="22"/>
          <w:szCs w:val="22"/>
        </w:rPr>
      </w:pPr>
      <w:r w:rsidRPr="004C2BAA">
        <w:rPr>
          <w:bCs/>
          <w:sz w:val="22"/>
          <w:szCs w:val="22"/>
        </w:rPr>
        <w:t>Експерт от Секретариата взе участие в основната и фина</w:t>
      </w:r>
      <w:r w:rsidR="004C2BAA">
        <w:rPr>
          <w:bCs/>
          <w:sz w:val="22"/>
          <w:szCs w:val="22"/>
        </w:rPr>
        <w:t xml:space="preserve">лната планиращи конференции за </w:t>
      </w:r>
      <w:r w:rsidRPr="004C2BAA">
        <w:rPr>
          <w:bCs/>
          <w:sz w:val="22"/>
          <w:szCs w:val="22"/>
        </w:rPr>
        <w:t>подготовка на съвместното учение с EADRCC на НАТО в България (BULGARIA 2025</w:t>
      </w:r>
      <w:r w:rsidR="004C2BAA">
        <w:rPr>
          <w:bCs/>
          <w:sz w:val="22"/>
          <w:szCs w:val="22"/>
        </w:rPr>
        <w:t xml:space="preserve">), </w:t>
      </w:r>
      <w:r w:rsidR="004C2BAA">
        <w:rPr>
          <w:bCs/>
          <w:sz w:val="22"/>
          <w:szCs w:val="22"/>
        </w:rPr>
        <w:br/>
        <w:t>(14</w:t>
      </w:r>
      <w:r w:rsidR="00333DB5">
        <w:rPr>
          <w:bCs/>
          <w:sz w:val="22"/>
          <w:szCs w:val="22"/>
        </w:rPr>
        <w:t xml:space="preserve"> – </w:t>
      </w:r>
      <w:r w:rsidR="004C2BAA">
        <w:rPr>
          <w:bCs/>
          <w:sz w:val="22"/>
          <w:szCs w:val="22"/>
        </w:rPr>
        <w:t>17.01.2025 г. и 21</w:t>
      </w:r>
      <w:r w:rsidR="00333DB5">
        <w:rPr>
          <w:bCs/>
          <w:sz w:val="22"/>
          <w:szCs w:val="22"/>
        </w:rPr>
        <w:t xml:space="preserve"> – </w:t>
      </w:r>
      <w:r w:rsidR="004C2BAA">
        <w:rPr>
          <w:bCs/>
          <w:sz w:val="22"/>
          <w:szCs w:val="22"/>
        </w:rPr>
        <w:t>23.05.</w:t>
      </w:r>
      <w:r w:rsidRPr="004C2BAA">
        <w:rPr>
          <w:bCs/>
          <w:sz w:val="22"/>
          <w:szCs w:val="22"/>
        </w:rPr>
        <w:t xml:space="preserve">2025 г.). </w:t>
      </w:r>
    </w:p>
    <w:p w14:paraId="576D303A" w14:textId="360CFF65" w:rsidR="001F2F82" w:rsidRPr="004C2BAA" w:rsidRDefault="001F2F82" w:rsidP="00D20D69">
      <w:pPr>
        <w:numPr>
          <w:ilvl w:val="0"/>
          <w:numId w:val="12"/>
        </w:numPr>
        <w:shd w:val="clear" w:color="auto" w:fill="FFFFFF" w:themeFill="background1"/>
        <w:tabs>
          <w:tab w:val="clear" w:pos="360"/>
          <w:tab w:val="left" w:pos="709"/>
        </w:tabs>
        <w:ind w:left="0" w:firstLine="426"/>
        <w:contextualSpacing/>
        <w:jc w:val="both"/>
        <w:rPr>
          <w:bCs/>
          <w:sz w:val="22"/>
          <w:szCs w:val="22"/>
        </w:rPr>
      </w:pPr>
      <w:r w:rsidRPr="004C2BAA">
        <w:rPr>
          <w:bCs/>
          <w:sz w:val="22"/>
          <w:szCs w:val="22"/>
        </w:rPr>
        <w:t xml:space="preserve">С цел осигуряване на общоправителствен подход по линия на устойчивостта и защитата на подводната критична инфраструктура, с Решение на Министерския съвет № 422 от 26.06.2025 г., секретарят на Съвета по сигурността бе определен за старши национален представител по устойчивост към НАТО и стратегическа точка за контакт по подводна критична инфраструктура към НАТО. Секретариатът изготви документите за внасяне на Решението в МС и осъществи необходимата междуведомствена координация. </w:t>
      </w:r>
    </w:p>
    <w:p w14:paraId="12E0131D" w14:textId="77777777" w:rsidR="001F2F82" w:rsidRPr="004C2BAA" w:rsidRDefault="001F2F82" w:rsidP="00D20D69">
      <w:pPr>
        <w:numPr>
          <w:ilvl w:val="0"/>
          <w:numId w:val="12"/>
        </w:numPr>
        <w:shd w:val="clear" w:color="auto" w:fill="FFFFFF" w:themeFill="background1"/>
        <w:tabs>
          <w:tab w:val="clear" w:pos="360"/>
          <w:tab w:val="left" w:pos="709"/>
        </w:tabs>
        <w:ind w:left="0" w:firstLine="426"/>
        <w:contextualSpacing/>
        <w:jc w:val="both"/>
        <w:rPr>
          <w:bCs/>
          <w:sz w:val="22"/>
          <w:szCs w:val="22"/>
        </w:rPr>
      </w:pPr>
      <w:r w:rsidRPr="004C2BAA">
        <w:rPr>
          <w:bCs/>
          <w:sz w:val="22"/>
          <w:szCs w:val="22"/>
        </w:rPr>
        <w:t xml:space="preserve">Секретариатът стартира процедура по изготвяне на Годишния доклад за състоянието на националната сигурност за 2024 г. Бе проведена междуведомствена координация с цел определяне от компетентните институции на членове на междуведомствена работна група и бе изготвена заповед на министър-председателя. </w:t>
      </w:r>
    </w:p>
    <w:p w14:paraId="394A048B" w14:textId="2478FEC8" w:rsidR="001F2F82" w:rsidRPr="004C2BAA" w:rsidRDefault="001F2F82" w:rsidP="00D20D69">
      <w:pPr>
        <w:numPr>
          <w:ilvl w:val="0"/>
          <w:numId w:val="12"/>
        </w:numPr>
        <w:shd w:val="clear" w:color="auto" w:fill="FFFFFF" w:themeFill="background1"/>
        <w:tabs>
          <w:tab w:val="clear" w:pos="360"/>
          <w:tab w:val="left" w:pos="709"/>
        </w:tabs>
        <w:ind w:left="0" w:firstLine="426"/>
        <w:contextualSpacing/>
        <w:jc w:val="both"/>
        <w:rPr>
          <w:bCs/>
          <w:sz w:val="22"/>
          <w:szCs w:val="22"/>
        </w:rPr>
      </w:pPr>
      <w:r w:rsidRPr="004C2BAA">
        <w:rPr>
          <w:bCs/>
          <w:sz w:val="22"/>
          <w:szCs w:val="22"/>
        </w:rPr>
        <w:t>В качеството си на точка за контакт с Европейския център за върхови постижения за противодействие на хибридните заплахи, в периода февруари</w:t>
      </w:r>
      <w:r w:rsidR="004C2BAA">
        <w:rPr>
          <w:bCs/>
          <w:sz w:val="22"/>
          <w:szCs w:val="22"/>
        </w:rPr>
        <w:t xml:space="preserve"> –</w:t>
      </w:r>
      <w:r w:rsidRPr="004C2BAA">
        <w:rPr>
          <w:bCs/>
          <w:sz w:val="22"/>
          <w:szCs w:val="22"/>
        </w:rPr>
        <w:t xml:space="preserve"> април 2025 г. Секретариатът осъществи подготовка, координация и провеждане на двустранни годишни консултации с Европейския център за върхови постижения за противодействие на хибридните заплахи, на които бяха представени вижданията на България за приоритетни направления на работа на Центъра;</w:t>
      </w:r>
    </w:p>
    <w:p w14:paraId="679D2D7F" w14:textId="0C6CFCD6" w:rsidR="001F2F82" w:rsidRPr="004C2BAA" w:rsidRDefault="001F2F82" w:rsidP="00D20D69">
      <w:pPr>
        <w:numPr>
          <w:ilvl w:val="0"/>
          <w:numId w:val="12"/>
        </w:numPr>
        <w:shd w:val="clear" w:color="auto" w:fill="FFFFFF" w:themeFill="background1"/>
        <w:tabs>
          <w:tab w:val="clear" w:pos="360"/>
          <w:tab w:val="left" w:pos="709"/>
        </w:tabs>
        <w:ind w:left="0" w:firstLine="426"/>
        <w:contextualSpacing/>
        <w:jc w:val="both"/>
        <w:rPr>
          <w:bCs/>
          <w:sz w:val="22"/>
          <w:szCs w:val="22"/>
        </w:rPr>
      </w:pPr>
      <w:r w:rsidRPr="004C2BAA">
        <w:rPr>
          <w:bCs/>
          <w:sz w:val="22"/>
          <w:szCs w:val="22"/>
        </w:rPr>
        <w:t>Представител от Секретариата участва в Среща на УС на Европейския център за върхови постижения за противодействие н</w:t>
      </w:r>
      <w:r w:rsidR="004C2BAA">
        <w:rPr>
          <w:bCs/>
          <w:sz w:val="22"/>
          <w:szCs w:val="22"/>
        </w:rPr>
        <w:t>а хибридните заплахи (21-23.05.</w:t>
      </w:r>
      <w:r w:rsidRPr="004C2BAA">
        <w:rPr>
          <w:bCs/>
          <w:sz w:val="22"/>
          <w:szCs w:val="22"/>
        </w:rPr>
        <w:t>2025 г.);</w:t>
      </w:r>
    </w:p>
    <w:p w14:paraId="13E75BA6" w14:textId="70EA27CF" w:rsidR="001F2F82" w:rsidRPr="004C2BAA" w:rsidRDefault="001F2F82" w:rsidP="00D20D69">
      <w:pPr>
        <w:numPr>
          <w:ilvl w:val="0"/>
          <w:numId w:val="12"/>
        </w:numPr>
        <w:shd w:val="clear" w:color="auto" w:fill="FFFFFF" w:themeFill="background1"/>
        <w:tabs>
          <w:tab w:val="clear" w:pos="360"/>
          <w:tab w:val="left" w:pos="709"/>
        </w:tabs>
        <w:ind w:left="0" w:firstLine="426"/>
        <w:contextualSpacing/>
        <w:jc w:val="both"/>
        <w:rPr>
          <w:bCs/>
          <w:sz w:val="22"/>
          <w:szCs w:val="22"/>
        </w:rPr>
      </w:pPr>
      <w:r w:rsidRPr="004C2BAA">
        <w:rPr>
          <w:bCs/>
          <w:sz w:val="22"/>
          <w:szCs w:val="22"/>
        </w:rPr>
        <w:t>С цел изграждане на капацитет за противодействие на хибридните заплахи, Секретариатът организира и проведе обучение и симулативна игра „</w:t>
      </w:r>
      <w:proofErr w:type="spellStart"/>
      <w:r w:rsidRPr="004C2BAA">
        <w:rPr>
          <w:bCs/>
          <w:sz w:val="22"/>
          <w:szCs w:val="22"/>
        </w:rPr>
        <w:t>Hybrid</w:t>
      </w:r>
      <w:proofErr w:type="spellEnd"/>
      <w:r w:rsidRPr="004C2BAA">
        <w:rPr>
          <w:bCs/>
          <w:sz w:val="22"/>
          <w:szCs w:val="22"/>
        </w:rPr>
        <w:t xml:space="preserve"> 101“ за противодействие на хибридни заплахи, съвместно с Европейския център за противодействие на хибридните заплахи, с участието на експерти от компетентни мини</w:t>
      </w:r>
      <w:r w:rsidR="004C2BAA">
        <w:rPr>
          <w:bCs/>
          <w:sz w:val="22"/>
          <w:szCs w:val="22"/>
        </w:rPr>
        <w:t>стерства и ведомства (12</w:t>
      </w:r>
      <w:r w:rsidR="00333DB5">
        <w:rPr>
          <w:bCs/>
          <w:sz w:val="22"/>
          <w:szCs w:val="22"/>
        </w:rPr>
        <w:t xml:space="preserve"> – </w:t>
      </w:r>
      <w:r w:rsidR="004C2BAA">
        <w:rPr>
          <w:bCs/>
          <w:sz w:val="22"/>
          <w:szCs w:val="22"/>
        </w:rPr>
        <w:t>13.06.</w:t>
      </w:r>
      <w:r w:rsidRPr="004C2BAA">
        <w:rPr>
          <w:bCs/>
          <w:sz w:val="22"/>
          <w:szCs w:val="22"/>
        </w:rPr>
        <w:t>2025 г.);</w:t>
      </w:r>
    </w:p>
    <w:p w14:paraId="2DB3A21C" w14:textId="2C7174C1" w:rsidR="001F2F82" w:rsidRPr="004C2BAA" w:rsidRDefault="001F2F82" w:rsidP="00D20D69">
      <w:pPr>
        <w:numPr>
          <w:ilvl w:val="0"/>
          <w:numId w:val="12"/>
        </w:numPr>
        <w:shd w:val="clear" w:color="auto" w:fill="FFFFFF" w:themeFill="background1"/>
        <w:tabs>
          <w:tab w:val="clear" w:pos="360"/>
          <w:tab w:val="left" w:pos="709"/>
        </w:tabs>
        <w:ind w:left="0" w:firstLine="426"/>
        <w:contextualSpacing/>
        <w:jc w:val="both"/>
        <w:rPr>
          <w:bCs/>
          <w:sz w:val="22"/>
          <w:szCs w:val="22"/>
        </w:rPr>
      </w:pPr>
      <w:r w:rsidRPr="004C2BAA">
        <w:rPr>
          <w:bCs/>
          <w:sz w:val="22"/>
          <w:szCs w:val="22"/>
        </w:rPr>
        <w:t xml:space="preserve">Експерти от Секретариата взеха участие в заседание на Междуведомствения съвет по участието на Р България в НАТО и ОПСО, като изнесоха доклад на тема „Членството на България в Европейския център за върхови постижения за противодействие на хибридните заплахи – </w:t>
      </w:r>
      <w:r w:rsidRPr="004C2BAA">
        <w:rPr>
          <w:bCs/>
          <w:sz w:val="22"/>
          <w:szCs w:val="22"/>
        </w:rPr>
        <w:lastRenderedPageBreak/>
        <w:t>изграждане на капацитет за адресиране на асиметричните предиз</w:t>
      </w:r>
      <w:r w:rsidR="008E07A9">
        <w:rPr>
          <w:bCs/>
          <w:sz w:val="22"/>
          <w:szCs w:val="22"/>
        </w:rPr>
        <w:t>викателства пред сигурността" (12.05.</w:t>
      </w:r>
      <w:r w:rsidRPr="004C2BAA">
        <w:rPr>
          <w:bCs/>
          <w:sz w:val="22"/>
          <w:szCs w:val="22"/>
        </w:rPr>
        <w:t xml:space="preserve">2025 г.) </w:t>
      </w:r>
    </w:p>
    <w:p w14:paraId="5F5EC57E" w14:textId="77777777" w:rsidR="001F2F82" w:rsidRPr="008511C1" w:rsidRDefault="001F2F82" w:rsidP="00D20D69">
      <w:pPr>
        <w:numPr>
          <w:ilvl w:val="0"/>
          <w:numId w:val="12"/>
        </w:numPr>
        <w:shd w:val="clear" w:color="auto" w:fill="FFFFFF" w:themeFill="background1"/>
        <w:tabs>
          <w:tab w:val="clear" w:pos="360"/>
          <w:tab w:val="left" w:pos="709"/>
        </w:tabs>
        <w:ind w:left="0" w:firstLine="426"/>
        <w:contextualSpacing/>
        <w:jc w:val="both"/>
        <w:rPr>
          <w:bCs/>
          <w:sz w:val="22"/>
          <w:szCs w:val="22"/>
        </w:rPr>
      </w:pPr>
      <w:r w:rsidRPr="008511C1">
        <w:rPr>
          <w:bCs/>
          <w:sz w:val="22"/>
          <w:szCs w:val="22"/>
        </w:rPr>
        <w:t xml:space="preserve">Експерт от Секретариата участва в междуведомствени срещи по линия на изпълнение на Меморандума за разбирателство между Министерството на външните работи на Република България и Държавния департамент на САЩ за противодействие на чуждестранното манипулиране на информация. Беше изготвен отчет за изпълнението за 2024 г. и план за 2025 г. </w:t>
      </w:r>
    </w:p>
    <w:p w14:paraId="51CB4AE3" w14:textId="15407A2B" w:rsidR="001F2F82" w:rsidRPr="008511C1" w:rsidRDefault="001F2F82" w:rsidP="00D20D69">
      <w:pPr>
        <w:numPr>
          <w:ilvl w:val="0"/>
          <w:numId w:val="12"/>
        </w:numPr>
        <w:shd w:val="clear" w:color="auto" w:fill="FFFFFF" w:themeFill="background1"/>
        <w:tabs>
          <w:tab w:val="clear" w:pos="360"/>
          <w:tab w:val="left" w:pos="709"/>
        </w:tabs>
        <w:ind w:left="0" w:firstLine="426"/>
        <w:contextualSpacing/>
        <w:jc w:val="both"/>
        <w:rPr>
          <w:bCs/>
          <w:sz w:val="22"/>
          <w:szCs w:val="22"/>
        </w:rPr>
      </w:pPr>
      <w:r w:rsidRPr="008511C1">
        <w:rPr>
          <w:bCs/>
          <w:sz w:val="22"/>
          <w:szCs w:val="22"/>
        </w:rPr>
        <w:t>Експерт от Секретариата взе участие в съвместна работна среща</w:t>
      </w:r>
      <w:r w:rsidR="008511C1">
        <w:rPr>
          <w:bCs/>
          <w:sz w:val="22"/>
          <w:szCs w:val="22"/>
        </w:rPr>
        <w:t>-</w:t>
      </w:r>
      <w:r w:rsidRPr="008511C1">
        <w:rPr>
          <w:bCs/>
          <w:sz w:val="22"/>
          <w:szCs w:val="22"/>
        </w:rPr>
        <w:t>семинар на Центъра за изследвания по национална сигурност и отбрана (ЦИНСО) – БАН и Института по отбрана „Проф. Цветан Лазаров“ на тема „Космос за сигурност и отбрана“</w:t>
      </w:r>
      <w:r w:rsidR="008511C1">
        <w:rPr>
          <w:bCs/>
          <w:sz w:val="22"/>
          <w:szCs w:val="22"/>
        </w:rPr>
        <w:t xml:space="preserve"> (26.03.</w:t>
      </w:r>
      <w:r w:rsidRPr="008511C1">
        <w:rPr>
          <w:bCs/>
          <w:sz w:val="22"/>
          <w:szCs w:val="22"/>
        </w:rPr>
        <w:t>2025 г.)</w:t>
      </w:r>
    </w:p>
    <w:p w14:paraId="7F04D7AE" w14:textId="3731E476" w:rsidR="001F2F82" w:rsidRPr="008511C1" w:rsidRDefault="001F2F82" w:rsidP="00D20D69">
      <w:pPr>
        <w:numPr>
          <w:ilvl w:val="0"/>
          <w:numId w:val="12"/>
        </w:numPr>
        <w:shd w:val="clear" w:color="auto" w:fill="FFFFFF" w:themeFill="background1"/>
        <w:tabs>
          <w:tab w:val="clear" w:pos="360"/>
          <w:tab w:val="left" w:pos="709"/>
        </w:tabs>
        <w:ind w:left="0" w:firstLine="426"/>
        <w:contextualSpacing/>
        <w:jc w:val="both"/>
        <w:rPr>
          <w:bCs/>
          <w:sz w:val="22"/>
          <w:szCs w:val="22"/>
        </w:rPr>
      </w:pPr>
      <w:r w:rsidRPr="008511C1">
        <w:rPr>
          <w:bCs/>
          <w:sz w:val="22"/>
          <w:szCs w:val="22"/>
        </w:rPr>
        <w:t>Участие в заседание на С</w:t>
      </w:r>
      <w:r w:rsidR="008511C1">
        <w:rPr>
          <w:bCs/>
          <w:sz w:val="22"/>
          <w:szCs w:val="22"/>
        </w:rPr>
        <w:t>ъвета по киберсигурност (14.05.</w:t>
      </w:r>
      <w:r w:rsidRPr="008511C1">
        <w:rPr>
          <w:bCs/>
          <w:sz w:val="22"/>
          <w:szCs w:val="22"/>
        </w:rPr>
        <w:t>2025 г.)</w:t>
      </w:r>
    </w:p>
    <w:p w14:paraId="77D319A8" w14:textId="2E93F733" w:rsidR="001F2F82" w:rsidRPr="008511C1" w:rsidRDefault="001F2F82" w:rsidP="00D20D69">
      <w:pPr>
        <w:numPr>
          <w:ilvl w:val="0"/>
          <w:numId w:val="12"/>
        </w:numPr>
        <w:shd w:val="clear" w:color="auto" w:fill="FFFFFF" w:themeFill="background1"/>
        <w:tabs>
          <w:tab w:val="clear" w:pos="360"/>
          <w:tab w:val="left" w:pos="709"/>
        </w:tabs>
        <w:ind w:left="0" w:firstLine="426"/>
        <w:contextualSpacing/>
        <w:jc w:val="both"/>
        <w:rPr>
          <w:bCs/>
          <w:sz w:val="22"/>
          <w:szCs w:val="22"/>
        </w:rPr>
      </w:pPr>
      <w:r w:rsidRPr="008511C1">
        <w:rPr>
          <w:bCs/>
          <w:sz w:val="22"/>
          <w:szCs w:val="22"/>
        </w:rPr>
        <w:t>Участие в регионален форум на възпитаници на програми, финансирани от правителството на САЩ, на тема "Осигуряване на регионален просперитет чрез лидерство от ново поколение" в Скопие, Републи</w:t>
      </w:r>
      <w:r w:rsidR="008511C1">
        <w:rPr>
          <w:bCs/>
          <w:sz w:val="22"/>
          <w:szCs w:val="22"/>
        </w:rPr>
        <w:t>ка Северна Македония (21</w:t>
      </w:r>
      <w:r w:rsidR="00333DB5">
        <w:rPr>
          <w:bCs/>
          <w:sz w:val="22"/>
          <w:szCs w:val="22"/>
        </w:rPr>
        <w:t xml:space="preserve"> – </w:t>
      </w:r>
      <w:r w:rsidR="008511C1">
        <w:rPr>
          <w:bCs/>
          <w:sz w:val="22"/>
          <w:szCs w:val="22"/>
        </w:rPr>
        <w:t>29.05.</w:t>
      </w:r>
      <w:r w:rsidRPr="008511C1">
        <w:rPr>
          <w:bCs/>
          <w:sz w:val="22"/>
          <w:szCs w:val="22"/>
        </w:rPr>
        <w:t>2025 г.)</w:t>
      </w:r>
    </w:p>
    <w:p w14:paraId="788C2E26" w14:textId="0D4A34A8" w:rsidR="001F2F82" w:rsidRDefault="001F2F82" w:rsidP="00D20D69">
      <w:pPr>
        <w:numPr>
          <w:ilvl w:val="0"/>
          <w:numId w:val="12"/>
        </w:numPr>
        <w:shd w:val="clear" w:color="auto" w:fill="FFFFFF" w:themeFill="background1"/>
        <w:tabs>
          <w:tab w:val="clear" w:pos="360"/>
          <w:tab w:val="left" w:pos="709"/>
        </w:tabs>
        <w:ind w:left="0" w:firstLine="426"/>
        <w:contextualSpacing/>
        <w:jc w:val="both"/>
        <w:rPr>
          <w:bCs/>
          <w:sz w:val="22"/>
          <w:szCs w:val="22"/>
        </w:rPr>
      </w:pPr>
      <w:r w:rsidRPr="008511C1">
        <w:rPr>
          <w:bCs/>
          <w:sz w:val="22"/>
          <w:szCs w:val="22"/>
        </w:rPr>
        <w:t>Организиране и провеждане на среща с експерти от САЩ по линия на скрининг на чуж</w:t>
      </w:r>
      <w:r w:rsidR="008511C1">
        <w:rPr>
          <w:bCs/>
          <w:sz w:val="22"/>
          <w:szCs w:val="22"/>
        </w:rPr>
        <w:t>дестранните инвестиции“ (24.06.</w:t>
      </w:r>
      <w:r w:rsidRPr="008511C1">
        <w:rPr>
          <w:bCs/>
          <w:sz w:val="22"/>
          <w:szCs w:val="22"/>
        </w:rPr>
        <w:t>2025 г.)</w:t>
      </w:r>
      <w:r w:rsidR="008511C1">
        <w:rPr>
          <w:bCs/>
          <w:sz w:val="22"/>
          <w:szCs w:val="22"/>
        </w:rPr>
        <w:t>.</w:t>
      </w:r>
    </w:p>
    <w:p w14:paraId="3CC90B86" w14:textId="77777777" w:rsidR="00514BDB" w:rsidRPr="002E6901" w:rsidRDefault="00514BDB" w:rsidP="005A4ECE">
      <w:pPr>
        <w:widowControl w:val="0"/>
        <w:shd w:val="clear" w:color="auto" w:fill="FFFFFF" w:themeFill="background1"/>
        <w:tabs>
          <w:tab w:val="num" w:pos="426"/>
        </w:tabs>
        <w:spacing w:before="120"/>
        <w:ind w:firstLine="425"/>
        <w:jc w:val="both"/>
        <w:outlineLvl w:val="3"/>
        <w:rPr>
          <w:b/>
          <w:bCs/>
          <w:color w:val="215E99" w:themeColor="text2" w:themeTint="BF"/>
          <w:sz w:val="22"/>
          <w:szCs w:val="22"/>
          <w:lang w:eastAsia="en-US"/>
        </w:rPr>
      </w:pPr>
      <w:r w:rsidRPr="002E6901">
        <w:rPr>
          <w:b/>
          <w:bCs/>
          <w:color w:val="215E99" w:themeColor="text2" w:themeTint="BF"/>
          <w:sz w:val="22"/>
          <w:szCs w:val="22"/>
          <w:lang w:eastAsia="en-US"/>
        </w:rPr>
        <w:t>Отчет на разходите по бюджетната програма с разпределение по ведомствени и администрирани разходи</w:t>
      </w:r>
    </w:p>
    <w:p w14:paraId="15229C88" w14:textId="7757B2D8" w:rsidR="00B134E5" w:rsidRPr="00934115" w:rsidRDefault="007A1E7F" w:rsidP="002E6901">
      <w:pPr>
        <w:shd w:val="clear" w:color="auto" w:fill="FFFFFF" w:themeFill="background1"/>
        <w:jc w:val="right"/>
        <w:rPr>
          <w:i/>
          <w:iCs/>
          <w:sz w:val="20"/>
          <w:szCs w:val="20"/>
        </w:rPr>
      </w:pPr>
      <w:r w:rsidRPr="00934115">
        <w:rPr>
          <w:b/>
          <w:i/>
          <w:iCs/>
          <w:sz w:val="20"/>
          <w:szCs w:val="20"/>
        </w:rPr>
        <w:t>Приложение № 7</w:t>
      </w:r>
    </w:p>
    <w:p w14:paraId="324D5C8E" w14:textId="79538BAE" w:rsidR="007A1E7F" w:rsidRPr="00934115" w:rsidRDefault="007A1E7F" w:rsidP="005A4ECE">
      <w:pPr>
        <w:shd w:val="clear" w:color="auto" w:fill="FFFFFF" w:themeFill="background1"/>
        <w:jc w:val="both"/>
        <w:rPr>
          <w:i/>
          <w:iCs/>
          <w:sz w:val="20"/>
          <w:szCs w:val="20"/>
        </w:rPr>
      </w:pPr>
      <w:r w:rsidRPr="00934115">
        <w:rPr>
          <w:i/>
          <w:iCs/>
          <w:sz w:val="20"/>
          <w:szCs w:val="20"/>
        </w:rPr>
        <w:t>Отчет на разходите по бюджетните програми с разпределение по ведомствени и администрирани разходи</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6743"/>
        <w:gridCol w:w="936"/>
        <w:gridCol w:w="936"/>
        <w:gridCol w:w="856"/>
      </w:tblGrid>
      <w:tr w:rsidR="000025E0" w14:paraId="436F813F" w14:textId="77777777" w:rsidTr="00863FD0">
        <w:trPr>
          <w:trHeight w:val="315"/>
          <w:jc w:val="center"/>
        </w:trPr>
        <w:tc>
          <w:tcPr>
            <w:tcW w:w="225" w:type="pct"/>
            <w:vMerge w:val="restart"/>
            <w:shd w:val="clear" w:color="000000" w:fill="E6E6E6"/>
            <w:noWrap/>
            <w:vAlign w:val="center"/>
            <w:hideMark/>
          </w:tcPr>
          <w:p w14:paraId="4EA4EF02" w14:textId="77777777" w:rsidR="00102589" w:rsidRDefault="00102589">
            <w:pPr>
              <w:jc w:val="center"/>
              <w:rPr>
                <w:b/>
                <w:bCs/>
                <w:sz w:val="16"/>
                <w:szCs w:val="16"/>
              </w:rPr>
            </w:pPr>
            <w:r>
              <w:rPr>
                <w:b/>
                <w:bCs/>
                <w:sz w:val="16"/>
                <w:szCs w:val="16"/>
              </w:rPr>
              <w:t>№</w:t>
            </w:r>
          </w:p>
        </w:tc>
        <w:tc>
          <w:tcPr>
            <w:tcW w:w="3330" w:type="pct"/>
            <w:tcBorders>
              <w:bottom w:val="nil"/>
            </w:tcBorders>
            <w:shd w:val="clear" w:color="000000" w:fill="E6E6E6"/>
            <w:noWrap/>
            <w:vAlign w:val="center"/>
            <w:hideMark/>
          </w:tcPr>
          <w:p w14:paraId="2871F453" w14:textId="77777777" w:rsidR="00102589" w:rsidRPr="00934115" w:rsidRDefault="00102589">
            <w:pPr>
              <w:jc w:val="center"/>
              <w:rPr>
                <w:b/>
                <w:bCs/>
                <w:sz w:val="16"/>
                <w:szCs w:val="16"/>
              </w:rPr>
            </w:pPr>
            <w:r w:rsidRPr="00934115">
              <w:rPr>
                <w:b/>
                <w:bCs/>
                <w:sz w:val="16"/>
                <w:szCs w:val="16"/>
              </w:rPr>
              <w:t>0300.01.02 'Бюджетна програма „Координация и мониторинг на хоризонтални политики”</w:t>
            </w:r>
          </w:p>
        </w:tc>
        <w:tc>
          <w:tcPr>
            <w:tcW w:w="469" w:type="pct"/>
            <w:vMerge w:val="restart"/>
            <w:shd w:val="clear" w:color="000000" w:fill="E6E6E6"/>
            <w:vAlign w:val="center"/>
            <w:hideMark/>
          </w:tcPr>
          <w:p w14:paraId="36B6CA67" w14:textId="77777777" w:rsidR="00102589" w:rsidRDefault="00102589">
            <w:pPr>
              <w:jc w:val="center"/>
              <w:rPr>
                <w:b/>
                <w:bCs/>
                <w:sz w:val="16"/>
                <w:szCs w:val="16"/>
              </w:rPr>
            </w:pPr>
            <w:r>
              <w:rPr>
                <w:b/>
                <w:bCs/>
                <w:sz w:val="16"/>
                <w:szCs w:val="16"/>
              </w:rPr>
              <w:t>Закон</w:t>
            </w:r>
          </w:p>
        </w:tc>
        <w:tc>
          <w:tcPr>
            <w:tcW w:w="469" w:type="pct"/>
            <w:vMerge w:val="restart"/>
            <w:shd w:val="clear" w:color="000000" w:fill="E6E6E6"/>
            <w:vAlign w:val="center"/>
            <w:hideMark/>
          </w:tcPr>
          <w:p w14:paraId="1D7F9861" w14:textId="77777777" w:rsidR="00102589" w:rsidRDefault="00102589">
            <w:pPr>
              <w:jc w:val="center"/>
              <w:rPr>
                <w:b/>
                <w:bCs/>
                <w:sz w:val="16"/>
                <w:szCs w:val="16"/>
              </w:rPr>
            </w:pPr>
            <w:r>
              <w:rPr>
                <w:b/>
                <w:bCs/>
                <w:sz w:val="16"/>
                <w:szCs w:val="16"/>
              </w:rPr>
              <w:t>Уточнен план</w:t>
            </w:r>
          </w:p>
        </w:tc>
        <w:tc>
          <w:tcPr>
            <w:tcW w:w="507" w:type="pct"/>
            <w:vMerge w:val="restart"/>
            <w:shd w:val="clear" w:color="000000" w:fill="E6E6E6"/>
            <w:vAlign w:val="center"/>
            <w:hideMark/>
          </w:tcPr>
          <w:p w14:paraId="4305753D" w14:textId="77777777" w:rsidR="00102589" w:rsidRDefault="00102589">
            <w:pPr>
              <w:jc w:val="center"/>
              <w:rPr>
                <w:b/>
                <w:bCs/>
                <w:sz w:val="16"/>
                <w:szCs w:val="16"/>
              </w:rPr>
            </w:pPr>
            <w:r>
              <w:rPr>
                <w:b/>
                <w:bCs/>
                <w:sz w:val="16"/>
                <w:szCs w:val="16"/>
              </w:rPr>
              <w:t>Отчет</w:t>
            </w:r>
          </w:p>
        </w:tc>
      </w:tr>
      <w:tr w:rsidR="009266C0" w14:paraId="4054F3E1" w14:textId="77777777" w:rsidTr="00915CF7">
        <w:trPr>
          <w:trHeight w:val="70"/>
          <w:jc w:val="center"/>
        </w:trPr>
        <w:tc>
          <w:tcPr>
            <w:tcW w:w="225" w:type="pct"/>
            <w:vMerge/>
            <w:vAlign w:val="center"/>
            <w:hideMark/>
          </w:tcPr>
          <w:p w14:paraId="27BE30CB" w14:textId="77777777" w:rsidR="00102589" w:rsidRDefault="00102589">
            <w:pPr>
              <w:rPr>
                <w:b/>
                <w:bCs/>
                <w:sz w:val="16"/>
                <w:szCs w:val="16"/>
              </w:rPr>
            </w:pPr>
          </w:p>
        </w:tc>
        <w:tc>
          <w:tcPr>
            <w:tcW w:w="3330" w:type="pct"/>
            <w:tcBorders>
              <w:top w:val="nil"/>
            </w:tcBorders>
            <w:shd w:val="clear" w:color="000000" w:fill="E6E6E6"/>
            <w:noWrap/>
            <w:vAlign w:val="center"/>
            <w:hideMark/>
          </w:tcPr>
          <w:p w14:paraId="4662AC98" w14:textId="77777777" w:rsidR="00102589" w:rsidRPr="00934115" w:rsidRDefault="00102589">
            <w:pPr>
              <w:jc w:val="center"/>
              <w:rPr>
                <w:b/>
                <w:bCs/>
                <w:sz w:val="16"/>
                <w:szCs w:val="16"/>
              </w:rPr>
            </w:pPr>
            <w:r w:rsidRPr="00934115">
              <w:rPr>
                <w:b/>
                <w:bCs/>
                <w:sz w:val="16"/>
                <w:szCs w:val="16"/>
              </w:rPr>
              <w:t>(в лева)</w:t>
            </w:r>
          </w:p>
        </w:tc>
        <w:tc>
          <w:tcPr>
            <w:tcW w:w="469" w:type="pct"/>
            <w:vMerge/>
            <w:vAlign w:val="center"/>
            <w:hideMark/>
          </w:tcPr>
          <w:p w14:paraId="52841CAF" w14:textId="77777777" w:rsidR="00102589" w:rsidRDefault="00102589">
            <w:pPr>
              <w:rPr>
                <w:b/>
                <w:bCs/>
                <w:sz w:val="16"/>
                <w:szCs w:val="16"/>
              </w:rPr>
            </w:pPr>
          </w:p>
        </w:tc>
        <w:tc>
          <w:tcPr>
            <w:tcW w:w="469" w:type="pct"/>
            <w:vMerge/>
            <w:vAlign w:val="center"/>
            <w:hideMark/>
          </w:tcPr>
          <w:p w14:paraId="314D3AC5" w14:textId="77777777" w:rsidR="00102589" w:rsidRDefault="00102589">
            <w:pPr>
              <w:rPr>
                <w:b/>
                <w:bCs/>
                <w:sz w:val="16"/>
                <w:szCs w:val="16"/>
              </w:rPr>
            </w:pPr>
          </w:p>
        </w:tc>
        <w:tc>
          <w:tcPr>
            <w:tcW w:w="507" w:type="pct"/>
            <w:vMerge/>
            <w:vAlign w:val="center"/>
            <w:hideMark/>
          </w:tcPr>
          <w:p w14:paraId="7AD45F32" w14:textId="77777777" w:rsidR="00102589" w:rsidRDefault="00102589">
            <w:pPr>
              <w:rPr>
                <w:b/>
                <w:bCs/>
                <w:sz w:val="16"/>
                <w:szCs w:val="16"/>
              </w:rPr>
            </w:pPr>
          </w:p>
        </w:tc>
      </w:tr>
      <w:tr w:rsidR="000025E0" w14:paraId="4F281B6B" w14:textId="77777777" w:rsidTr="00915CF7">
        <w:trPr>
          <w:trHeight w:val="157"/>
          <w:jc w:val="center"/>
        </w:trPr>
        <w:tc>
          <w:tcPr>
            <w:tcW w:w="225" w:type="pct"/>
            <w:shd w:val="clear" w:color="000000" w:fill="E6E6E6"/>
            <w:noWrap/>
            <w:vAlign w:val="center"/>
            <w:hideMark/>
          </w:tcPr>
          <w:p w14:paraId="161CDC2D" w14:textId="77777777" w:rsidR="00102589" w:rsidRDefault="00102589">
            <w:pPr>
              <w:jc w:val="both"/>
              <w:rPr>
                <w:b/>
                <w:bCs/>
                <w:sz w:val="16"/>
                <w:szCs w:val="16"/>
              </w:rPr>
            </w:pPr>
            <w:r>
              <w:rPr>
                <w:b/>
                <w:bCs/>
                <w:sz w:val="16"/>
                <w:szCs w:val="16"/>
              </w:rPr>
              <w:t>І.</w:t>
            </w:r>
          </w:p>
        </w:tc>
        <w:tc>
          <w:tcPr>
            <w:tcW w:w="3330" w:type="pct"/>
            <w:shd w:val="clear" w:color="000000" w:fill="E6E6E6"/>
            <w:noWrap/>
            <w:vAlign w:val="center"/>
            <w:hideMark/>
          </w:tcPr>
          <w:p w14:paraId="6C37713A" w14:textId="77777777" w:rsidR="00102589" w:rsidRDefault="00102589">
            <w:pPr>
              <w:rPr>
                <w:b/>
                <w:bCs/>
                <w:sz w:val="16"/>
                <w:szCs w:val="16"/>
              </w:rPr>
            </w:pPr>
            <w:r>
              <w:rPr>
                <w:b/>
                <w:bCs/>
                <w:sz w:val="16"/>
                <w:szCs w:val="16"/>
              </w:rPr>
              <w:t>Общо ведомствени разходи:</w:t>
            </w:r>
          </w:p>
        </w:tc>
        <w:tc>
          <w:tcPr>
            <w:tcW w:w="469" w:type="pct"/>
            <w:shd w:val="clear" w:color="000000" w:fill="E6E6E6"/>
            <w:noWrap/>
            <w:vAlign w:val="center"/>
            <w:hideMark/>
          </w:tcPr>
          <w:p w14:paraId="25FFB7D5" w14:textId="77777777" w:rsidR="00102589" w:rsidRDefault="00102589">
            <w:pPr>
              <w:jc w:val="right"/>
              <w:rPr>
                <w:b/>
                <w:bCs/>
                <w:sz w:val="16"/>
                <w:szCs w:val="16"/>
              </w:rPr>
            </w:pPr>
            <w:r>
              <w:rPr>
                <w:b/>
                <w:bCs/>
                <w:sz w:val="16"/>
                <w:szCs w:val="16"/>
              </w:rPr>
              <w:t>9 803 000</w:t>
            </w:r>
          </w:p>
        </w:tc>
        <w:tc>
          <w:tcPr>
            <w:tcW w:w="469" w:type="pct"/>
            <w:shd w:val="clear" w:color="000000" w:fill="E6E6E6"/>
            <w:noWrap/>
            <w:vAlign w:val="center"/>
            <w:hideMark/>
          </w:tcPr>
          <w:p w14:paraId="5E3C204C" w14:textId="77777777" w:rsidR="00102589" w:rsidRDefault="00102589">
            <w:pPr>
              <w:jc w:val="right"/>
              <w:rPr>
                <w:b/>
                <w:bCs/>
                <w:sz w:val="16"/>
                <w:szCs w:val="16"/>
              </w:rPr>
            </w:pPr>
            <w:r>
              <w:rPr>
                <w:b/>
                <w:bCs/>
                <w:sz w:val="16"/>
                <w:szCs w:val="16"/>
              </w:rPr>
              <w:t>9 803 000</w:t>
            </w:r>
          </w:p>
        </w:tc>
        <w:tc>
          <w:tcPr>
            <w:tcW w:w="507" w:type="pct"/>
            <w:shd w:val="clear" w:color="000000" w:fill="E6E6E6"/>
            <w:noWrap/>
            <w:vAlign w:val="center"/>
            <w:hideMark/>
          </w:tcPr>
          <w:p w14:paraId="43AFED1C" w14:textId="77777777" w:rsidR="00102589" w:rsidRDefault="00102589">
            <w:pPr>
              <w:jc w:val="right"/>
              <w:rPr>
                <w:b/>
                <w:bCs/>
                <w:sz w:val="16"/>
                <w:szCs w:val="16"/>
              </w:rPr>
            </w:pPr>
            <w:r>
              <w:rPr>
                <w:b/>
                <w:bCs/>
                <w:sz w:val="16"/>
                <w:szCs w:val="16"/>
              </w:rPr>
              <w:t>3 884 437</w:t>
            </w:r>
          </w:p>
        </w:tc>
      </w:tr>
      <w:tr w:rsidR="009266C0" w14:paraId="190001C6" w14:textId="77777777" w:rsidTr="00915CF7">
        <w:trPr>
          <w:trHeight w:val="104"/>
          <w:jc w:val="center"/>
        </w:trPr>
        <w:tc>
          <w:tcPr>
            <w:tcW w:w="225" w:type="pct"/>
            <w:shd w:val="clear" w:color="auto" w:fill="auto"/>
            <w:noWrap/>
            <w:vAlign w:val="center"/>
            <w:hideMark/>
          </w:tcPr>
          <w:p w14:paraId="50B0C651" w14:textId="77777777" w:rsidR="00102589" w:rsidRDefault="00102589">
            <w:pPr>
              <w:jc w:val="both"/>
              <w:rPr>
                <w:sz w:val="16"/>
                <w:szCs w:val="16"/>
              </w:rPr>
            </w:pPr>
            <w:r>
              <w:rPr>
                <w:sz w:val="16"/>
                <w:szCs w:val="16"/>
              </w:rPr>
              <w:t> </w:t>
            </w:r>
          </w:p>
        </w:tc>
        <w:tc>
          <w:tcPr>
            <w:tcW w:w="3330" w:type="pct"/>
            <w:shd w:val="clear" w:color="auto" w:fill="auto"/>
            <w:noWrap/>
            <w:vAlign w:val="center"/>
            <w:hideMark/>
          </w:tcPr>
          <w:p w14:paraId="28B4E13A" w14:textId="3B666050" w:rsidR="00102589" w:rsidRDefault="00102589" w:rsidP="00A24407">
            <w:pPr>
              <w:ind w:firstLine="159"/>
              <w:rPr>
                <w:sz w:val="16"/>
                <w:szCs w:val="16"/>
              </w:rPr>
            </w:pPr>
            <w:r>
              <w:rPr>
                <w:sz w:val="16"/>
                <w:szCs w:val="16"/>
              </w:rPr>
              <w:t>Персонал</w:t>
            </w:r>
          </w:p>
        </w:tc>
        <w:tc>
          <w:tcPr>
            <w:tcW w:w="469" w:type="pct"/>
            <w:shd w:val="clear" w:color="auto" w:fill="auto"/>
            <w:noWrap/>
            <w:vAlign w:val="center"/>
            <w:hideMark/>
          </w:tcPr>
          <w:p w14:paraId="3E3132B4" w14:textId="77777777" w:rsidR="00102589" w:rsidRDefault="00102589">
            <w:pPr>
              <w:jc w:val="right"/>
              <w:rPr>
                <w:sz w:val="16"/>
                <w:szCs w:val="16"/>
              </w:rPr>
            </w:pPr>
            <w:r>
              <w:rPr>
                <w:sz w:val="16"/>
                <w:szCs w:val="16"/>
              </w:rPr>
              <w:t>7 780 200</w:t>
            </w:r>
          </w:p>
        </w:tc>
        <w:tc>
          <w:tcPr>
            <w:tcW w:w="469" w:type="pct"/>
            <w:shd w:val="clear" w:color="auto" w:fill="auto"/>
            <w:noWrap/>
            <w:vAlign w:val="center"/>
            <w:hideMark/>
          </w:tcPr>
          <w:p w14:paraId="00730BEB" w14:textId="77777777" w:rsidR="00102589" w:rsidRDefault="00102589">
            <w:pPr>
              <w:jc w:val="right"/>
              <w:rPr>
                <w:sz w:val="16"/>
                <w:szCs w:val="16"/>
              </w:rPr>
            </w:pPr>
            <w:r>
              <w:rPr>
                <w:sz w:val="16"/>
                <w:szCs w:val="16"/>
              </w:rPr>
              <w:t>7 780 200</w:t>
            </w:r>
          </w:p>
        </w:tc>
        <w:tc>
          <w:tcPr>
            <w:tcW w:w="507" w:type="pct"/>
            <w:shd w:val="clear" w:color="auto" w:fill="auto"/>
            <w:noWrap/>
            <w:vAlign w:val="center"/>
            <w:hideMark/>
          </w:tcPr>
          <w:p w14:paraId="589CF8C2" w14:textId="77777777" w:rsidR="00102589" w:rsidRDefault="00102589">
            <w:pPr>
              <w:jc w:val="right"/>
              <w:rPr>
                <w:sz w:val="16"/>
                <w:szCs w:val="16"/>
              </w:rPr>
            </w:pPr>
            <w:r>
              <w:rPr>
                <w:sz w:val="16"/>
                <w:szCs w:val="16"/>
              </w:rPr>
              <w:t>3 745 467</w:t>
            </w:r>
          </w:p>
        </w:tc>
      </w:tr>
      <w:tr w:rsidR="009266C0" w14:paraId="56C6BBAA" w14:textId="77777777" w:rsidTr="00915CF7">
        <w:trPr>
          <w:trHeight w:val="135"/>
          <w:jc w:val="center"/>
        </w:trPr>
        <w:tc>
          <w:tcPr>
            <w:tcW w:w="225" w:type="pct"/>
            <w:shd w:val="clear" w:color="auto" w:fill="auto"/>
            <w:noWrap/>
            <w:vAlign w:val="center"/>
            <w:hideMark/>
          </w:tcPr>
          <w:p w14:paraId="3050B8F6" w14:textId="77777777" w:rsidR="00102589" w:rsidRDefault="00102589">
            <w:pPr>
              <w:jc w:val="both"/>
              <w:rPr>
                <w:sz w:val="16"/>
                <w:szCs w:val="16"/>
              </w:rPr>
            </w:pPr>
            <w:r>
              <w:rPr>
                <w:sz w:val="16"/>
                <w:szCs w:val="16"/>
              </w:rPr>
              <w:t> </w:t>
            </w:r>
          </w:p>
        </w:tc>
        <w:tc>
          <w:tcPr>
            <w:tcW w:w="3330" w:type="pct"/>
            <w:shd w:val="clear" w:color="auto" w:fill="auto"/>
            <w:noWrap/>
            <w:vAlign w:val="center"/>
            <w:hideMark/>
          </w:tcPr>
          <w:p w14:paraId="23D47967" w14:textId="68ED1AFB" w:rsidR="00102589" w:rsidRDefault="00102589" w:rsidP="00A24407">
            <w:pPr>
              <w:ind w:firstLine="159"/>
              <w:rPr>
                <w:sz w:val="16"/>
                <w:szCs w:val="16"/>
              </w:rPr>
            </w:pPr>
            <w:r>
              <w:rPr>
                <w:sz w:val="16"/>
                <w:szCs w:val="16"/>
              </w:rPr>
              <w:t>Издръжка</w:t>
            </w:r>
          </w:p>
        </w:tc>
        <w:tc>
          <w:tcPr>
            <w:tcW w:w="469" w:type="pct"/>
            <w:shd w:val="clear" w:color="auto" w:fill="auto"/>
            <w:noWrap/>
            <w:vAlign w:val="center"/>
            <w:hideMark/>
          </w:tcPr>
          <w:p w14:paraId="29423B90" w14:textId="77777777" w:rsidR="00102589" w:rsidRDefault="00102589">
            <w:pPr>
              <w:jc w:val="right"/>
              <w:rPr>
                <w:sz w:val="16"/>
                <w:szCs w:val="16"/>
              </w:rPr>
            </w:pPr>
            <w:r>
              <w:rPr>
                <w:sz w:val="16"/>
                <w:szCs w:val="16"/>
              </w:rPr>
              <w:t>1 833 000</w:t>
            </w:r>
          </w:p>
        </w:tc>
        <w:tc>
          <w:tcPr>
            <w:tcW w:w="469" w:type="pct"/>
            <w:shd w:val="clear" w:color="auto" w:fill="auto"/>
            <w:noWrap/>
            <w:vAlign w:val="center"/>
            <w:hideMark/>
          </w:tcPr>
          <w:p w14:paraId="6CF3C04D" w14:textId="77777777" w:rsidR="00102589" w:rsidRDefault="00102589">
            <w:pPr>
              <w:jc w:val="right"/>
              <w:rPr>
                <w:sz w:val="16"/>
                <w:szCs w:val="16"/>
              </w:rPr>
            </w:pPr>
            <w:r>
              <w:rPr>
                <w:sz w:val="16"/>
                <w:szCs w:val="16"/>
              </w:rPr>
              <w:t>1 833 000</w:t>
            </w:r>
          </w:p>
        </w:tc>
        <w:tc>
          <w:tcPr>
            <w:tcW w:w="507" w:type="pct"/>
            <w:shd w:val="clear" w:color="auto" w:fill="auto"/>
            <w:noWrap/>
            <w:vAlign w:val="center"/>
            <w:hideMark/>
          </w:tcPr>
          <w:p w14:paraId="5E2544A1" w14:textId="77777777" w:rsidR="00102589" w:rsidRDefault="00102589">
            <w:pPr>
              <w:jc w:val="right"/>
              <w:rPr>
                <w:sz w:val="16"/>
                <w:szCs w:val="16"/>
              </w:rPr>
            </w:pPr>
            <w:r>
              <w:rPr>
                <w:sz w:val="16"/>
                <w:szCs w:val="16"/>
              </w:rPr>
              <w:t>138 970</w:t>
            </w:r>
          </w:p>
        </w:tc>
      </w:tr>
      <w:tr w:rsidR="009266C0" w14:paraId="28EFE9F2" w14:textId="77777777" w:rsidTr="002F1FD1">
        <w:trPr>
          <w:trHeight w:val="137"/>
          <w:jc w:val="center"/>
        </w:trPr>
        <w:tc>
          <w:tcPr>
            <w:tcW w:w="225" w:type="pct"/>
            <w:shd w:val="clear" w:color="auto" w:fill="auto"/>
            <w:noWrap/>
            <w:vAlign w:val="center"/>
            <w:hideMark/>
          </w:tcPr>
          <w:p w14:paraId="211A472B" w14:textId="77777777" w:rsidR="00102589" w:rsidRDefault="00102589">
            <w:pPr>
              <w:jc w:val="both"/>
              <w:rPr>
                <w:sz w:val="16"/>
                <w:szCs w:val="16"/>
              </w:rPr>
            </w:pPr>
            <w:r>
              <w:rPr>
                <w:sz w:val="16"/>
                <w:szCs w:val="16"/>
              </w:rPr>
              <w:t> </w:t>
            </w:r>
          </w:p>
        </w:tc>
        <w:tc>
          <w:tcPr>
            <w:tcW w:w="3330" w:type="pct"/>
            <w:shd w:val="clear" w:color="auto" w:fill="auto"/>
            <w:noWrap/>
            <w:vAlign w:val="center"/>
            <w:hideMark/>
          </w:tcPr>
          <w:p w14:paraId="0829115E" w14:textId="60DD80EF" w:rsidR="00102589" w:rsidRDefault="00102589" w:rsidP="00A24407">
            <w:pPr>
              <w:ind w:firstLine="159"/>
              <w:rPr>
                <w:sz w:val="16"/>
                <w:szCs w:val="16"/>
              </w:rPr>
            </w:pPr>
            <w:r>
              <w:rPr>
                <w:sz w:val="16"/>
                <w:szCs w:val="16"/>
              </w:rPr>
              <w:t>Капиталови разходи</w:t>
            </w:r>
          </w:p>
        </w:tc>
        <w:tc>
          <w:tcPr>
            <w:tcW w:w="469" w:type="pct"/>
            <w:shd w:val="clear" w:color="auto" w:fill="auto"/>
            <w:noWrap/>
            <w:vAlign w:val="center"/>
            <w:hideMark/>
          </w:tcPr>
          <w:p w14:paraId="2A8C0756" w14:textId="77777777" w:rsidR="00102589" w:rsidRDefault="00102589">
            <w:pPr>
              <w:jc w:val="right"/>
              <w:rPr>
                <w:sz w:val="16"/>
                <w:szCs w:val="16"/>
              </w:rPr>
            </w:pPr>
            <w:r>
              <w:rPr>
                <w:sz w:val="16"/>
                <w:szCs w:val="16"/>
              </w:rPr>
              <w:t>189 800</w:t>
            </w:r>
          </w:p>
        </w:tc>
        <w:tc>
          <w:tcPr>
            <w:tcW w:w="469" w:type="pct"/>
            <w:shd w:val="clear" w:color="auto" w:fill="auto"/>
            <w:noWrap/>
            <w:vAlign w:val="center"/>
            <w:hideMark/>
          </w:tcPr>
          <w:p w14:paraId="59022CF5" w14:textId="77777777" w:rsidR="00102589" w:rsidRDefault="00102589">
            <w:pPr>
              <w:jc w:val="right"/>
              <w:rPr>
                <w:sz w:val="16"/>
                <w:szCs w:val="16"/>
              </w:rPr>
            </w:pPr>
            <w:r>
              <w:rPr>
                <w:sz w:val="16"/>
                <w:szCs w:val="16"/>
              </w:rPr>
              <w:t>189 800</w:t>
            </w:r>
          </w:p>
        </w:tc>
        <w:tc>
          <w:tcPr>
            <w:tcW w:w="507" w:type="pct"/>
            <w:shd w:val="clear" w:color="auto" w:fill="auto"/>
            <w:noWrap/>
            <w:vAlign w:val="center"/>
            <w:hideMark/>
          </w:tcPr>
          <w:p w14:paraId="43838E1E" w14:textId="77777777" w:rsidR="00102589" w:rsidRDefault="00102589">
            <w:pPr>
              <w:jc w:val="right"/>
              <w:rPr>
                <w:sz w:val="16"/>
                <w:szCs w:val="16"/>
              </w:rPr>
            </w:pPr>
            <w:r>
              <w:rPr>
                <w:sz w:val="16"/>
                <w:szCs w:val="16"/>
              </w:rPr>
              <w:t>0</w:t>
            </w:r>
          </w:p>
        </w:tc>
      </w:tr>
      <w:tr w:rsidR="000025E0" w14:paraId="7C3BDED0" w14:textId="77777777" w:rsidTr="002F1FD1">
        <w:trPr>
          <w:trHeight w:val="240"/>
          <w:jc w:val="center"/>
        </w:trPr>
        <w:tc>
          <w:tcPr>
            <w:tcW w:w="225" w:type="pct"/>
            <w:shd w:val="clear" w:color="000000" w:fill="E6E6E6"/>
            <w:noWrap/>
            <w:vAlign w:val="center"/>
            <w:hideMark/>
          </w:tcPr>
          <w:p w14:paraId="16EEA29D" w14:textId="77777777" w:rsidR="00102589" w:rsidRDefault="00102589">
            <w:pPr>
              <w:jc w:val="both"/>
              <w:rPr>
                <w:b/>
                <w:bCs/>
                <w:sz w:val="16"/>
                <w:szCs w:val="16"/>
              </w:rPr>
            </w:pPr>
            <w:r>
              <w:rPr>
                <w:b/>
                <w:bCs/>
                <w:sz w:val="16"/>
                <w:szCs w:val="16"/>
              </w:rPr>
              <w:t>1</w:t>
            </w:r>
          </w:p>
        </w:tc>
        <w:tc>
          <w:tcPr>
            <w:tcW w:w="3330" w:type="pct"/>
            <w:shd w:val="clear" w:color="000000" w:fill="E6E6E6"/>
            <w:noWrap/>
            <w:vAlign w:val="center"/>
            <w:hideMark/>
          </w:tcPr>
          <w:p w14:paraId="5BE10F44" w14:textId="77777777" w:rsidR="00102589" w:rsidRDefault="00102589">
            <w:pPr>
              <w:ind w:firstLineChars="300" w:firstLine="482"/>
              <w:rPr>
                <w:b/>
                <w:bCs/>
                <w:sz w:val="16"/>
                <w:szCs w:val="16"/>
              </w:rPr>
            </w:pPr>
            <w:r>
              <w:rPr>
                <w:b/>
                <w:bCs/>
                <w:sz w:val="16"/>
                <w:szCs w:val="16"/>
              </w:rPr>
              <w:t>Ведомствени разходи по бюджета на ПРБ:</w:t>
            </w:r>
          </w:p>
        </w:tc>
        <w:tc>
          <w:tcPr>
            <w:tcW w:w="469" w:type="pct"/>
            <w:shd w:val="clear" w:color="000000" w:fill="E6E6E6"/>
            <w:noWrap/>
            <w:vAlign w:val="center"/>
            <w:hideMark/>
          </w:tcPr>
          <w:p w14:paraId="64138050" w14:textId="77777777" w:rsidR="00102589" w:rsidRDefault="00102589">
            <w:pPr>
              <w:jc w:val="right"/>
              <w:rPr>
                <w:b/>
                <w:bCs/>
                <w:sz w:val="16"/>
                <w:szCs w:val="16"/>
              </w:rPr>
            </w:pPr>
            <w:r>
              <w:rPr>
                <w:b/>
                <w:bCs/>
                <w:sz w:val="16"/>
                <w:szCs w:val="16"/>
              </w:rPr>
              <w:t>9 803 000</w:t>
            </w:r>
          </w:p>
        </w:tc>
        <w:tc>
          <w:tcPr>
            <w:tcW w:w="469" w:type="pct"/>
            <w:shd w:val="clear" w:color="000000" w:fill="E6E6E6"/>
            <w:noWrap/>
            <w:vAlign w:val="center"/>
            <w:hideMark/>
          </w:tcPr>
          <w:p w14:paraId="5B2E6A62" w14:textId="77777777" w:rsidR="00102589" w:rsidRDefault="00102589">
            <w:pPr>
              <w:jc w:val="right"/>
              <w:rPr>
                <w:b/>
                <w:bCs/>
                <w:sz w:val="16"/>
                <w:szCs w:val="16"/>
              </w:rPr>
            </w:pPr>
            <w:r>
              <w:rPr>
                <w:b/>
                <w:bCs/>
                <w:sz w:val="16"/>
                <w:szCs w:val="16"/>
              </w:rPr>
              <w:t>9 803 000</w:t>
            </w:r>
          </w:p>
        </w:tc>
        <w:tc>
          <w:tcPr>
            <w:tcW w:w="507" w:type="pct"/>
            <w:shd w:val="clear" w:color="000000" w:fill="E6E6E6"/>
            <w:noWrap/>
            <w:vAlign w:val="center"/>
            <w:hideMark/>
          </w:tcPr>
          <w:p w14:paraId="1EB40BF8" w14:textId="77777777" w:rsidR="00102589" w:rsidRDefault="00102589">
            <w:pPr>
              <w:jc w:val="right"/>
              <w:rPr>
                <w:b/>
                <w:bCs/>
                <w:sz w:val="16"/>
                <w:szCs w:val="16"/>
              </w:rPr>
            </w:pPr>
            <w:r>
              <w:rPr>
                <w:b/>
                <w:bCs/>
                <w:sz w:val="16"/>
                <w:szCs w:val="16"/>
              </w:rPr>
              <w:t>3 884 437</w:t>
            </w:r>
          </w:p>
        </w:tc>
      </w:tr>
      <w:tr w:rsidR="009266C0" w14:paraId="4D2AB723" w14:textId="77777777" w:rsidTr="002F1FD1">
        <w:trPr>
          <w:trHeight w:val="130"/>
          <w:jc w:val="center"/>
        </w:trPr>
        <w:tc>
          <w:tcPr>
            <w:tcW w:w="225" w:type="pct"/>
            <w:shd w:val="clear" w:color="auto" w:fill="auto"/>
            <w:noWrap/>
            <w:vAlign w:val="center"/>
            <w:hideMark/>
          </w:tcPr>
          <w:p w14:paraId="1FDFDAD5" w14:textId="77777777" w:rsidR="00102589" w:rsidRDefault="00102589">
            <w:pPr>
              <w:jc w:val="both"/>
              <w:rPr>
                <w:sz w:val="16"/>
                <w:szCs w:val="16"/>
              </w:rPr>
            </w:pPr>
            <w:r>
              <w:rPr>
                <w:sz w:val="16"/>
                <w:szCs w:val="16"/>
              </w:rPr>
              <w:t> </w:t>
            </w:r>
          </w:p>
        </w:tc>
        <w:tc>
          <w:tcPr>
            <w:tcW w:w="3330" w:type="pct"/>
            <w:shd w:val="clear" w:color="auto" w:fill="auto"/>
            <w:noWrap/>
            <w:vAlign w:val="center"/>
            <w:hideMark/>
          </w:tcPr>
          <w:p w14:paraId="69DAEE39" w14:textId="74D2AA5B" w:rsidR="00102589" w:rsidRDefault="00102589" w:rsidP="00C2230A">
            <w:pPr>
              <w:ind w:firstLineChars="365" w:firstLine="584"/>
              <w:rPr>
                <w:sz w:val="16"/>
                <w:szCs w:val="16"/>
              </w:rPr>
            </w:pPr>
            <w:r>
              <w:rPr>
                <w:sz w:val="16"/>
                <w:szCs w:val="16"/>
              </w:rPr>
              <w:t>Персонал</w:t>
            </w:r>
          </w:p>
        </w:tc>
        <w:tc>
          <w:tcPr>
            <w:tcW w:w="469" w:type="pct"/>
            <w:shd w:val="clear" w:color="auto" w:fill="auto"/>
            <w:noWrap/>
            <w:vAlign w:val="center"/>
            <w:hideMark/>
          </w:tcPr>
          <w:p w14:paraId="0EF2008A" w14:textId="77777777" w:rsidR="00102589" w:rsidRDefault="00102589">
            <w:pPr>
              <w:jc w:val="right"/>
              <w:rPr>
                <w:sz w:val="16"/>
                <w:szCs w:val="16"/>
              </w:rPr>
            </w:pPr>
            <w:r>
              <w:rPr>
                <w:sz w:val="16"/>
                <w:szCs w:val="16"/>
              </w:rPr>
              <w:t>7 780 200</w:t>
            </w:r>
          </w:p>
        </w:tc>
        <w:tc>
          <w:tcPr>
            <w:tcW w:w="469" w:type="pct"/>
            <w:shd w:val="clear" w:color="auto" w:fill="auto"/>
            <w:noWrap/>
            <w:vAlign w:val="center"/>
            <w:hideMark/>
          </w:tcPr>
          <w:p w14:paraId="750B5CF6" w14:textId="77777777" w:rsidR="00102589" w:rsidRDefault="00102589">
            <w:pPr>
              <w:jc w:val="right"/>
              <w:rPr>
                <w:sz w:val="16"/>
                <w:szCs w:val="16"/>
              </w:rPr>
            </w:pPr>
            <w:r>
              <w:rPr>
                <w:sz w:val="16"/>
                <w:szCs w:val="16"/>
              </w:rPr>
              <w:t>7 780 200</w:t>
            </w:r>
          </w:p>
        </w:tc>
        <w:tc>
          <w:tcPr>
            <w:tcW w:w="507" w:type="pct"/>
            <w:shd w:val="clear" w:color="auto" w:fill="auto"/>
            <w:noWrap/>
            <w:vAlign w:val="center"/>
            <w:hideMark/>
          </w:tcPr>
          <w:p w14:paraId="4FFA375C" w14:textId="77777777" w:rsidR="00102589" w:rsidRDefault="00102589">
            <w:pPr>
              <w:jc w:val="right"/>
              <w:rPr>
                <w:sz w:val="16"/>
                <w:szCs w:val="16"/>
              </w:rPr>
            </w:pPr>
            <w:r>
              <w:rPr>
                <w:sz w:val="16"/>
                <w:szCs w:val="16"/>
              </w:rPr>
              <w:t>3 745 467</w:t>
            </w:r>
          </w:p>
        </w:tc>
      </w:tr>
      <w:tr w:rsidR="009266C0" w14:paraId="14977046" w14:textId="77777777" w:rsidTr="00A75B11">
        <w:trPr>
          <w:trHeight w:val="76"/>
          <w:jc w:val="center"/>
        </w:trPr>
        <w:tc>
          <w:tcPr>
            <w:tcW w:w="225" w:type="pct"/>
            <w:shd w:val="clear" w:color="auto" w:fill="auto"/>
            <w:noWrap/>
            <w:vAlign w:val="center"/>
            <w:hideMark/>
          </w:tcPr>
          <w:p w14:paraId="7AC09712" w14:textId="77777777" w:rsidR="00102589" w:rsidRDefault="00102589">
            <w:pPr>
              <w:jc w:val="both"/>
              <w:rPr>
                <w:sz w:val="16"/>
                <w:szCs w:val="16"/>
              </w:rPr>
            </w:pPr>
            <w:r>
              <w:rPr>
                <w:sz w:val="16"/>
                <w:szCs w:val="16"/>
              </w:rPr>
              <w:t> </w:t>
            </w:r>
          </w:p>
        </w:tc>
        <w:tc>
          <w:tcPr>
            <w:tcW w:w="3330" w:type="pct"/>
            <w:shd w:val="clear" w:color="auto" w:fill="auto"/>
            <w:noWrap/>
            <w:vAlign w:val="center"/>
            <w:hideMark/>
          </w:tcPr>
          <w:p w14:paraId="49709A2E" w14:textId="1E080AD1" w:rsidR="00102589" w:rsidRDefault="00102589" w:rsidP="00C2230A">
            <w:pPr>
              <w:ind w:firstLineChars="365" w:firstLine="584"/>
              <w:rPr>
                <w:sz w:val="16"/>
                <w:szCs w:val="16"/>
              </w:rPr>
            </w:pPr>
            <w:r>
              <w:rPr>
                <w:sz w:val="16"/>
                <w:szCs w:val="16"/>
              </w:rPr>
              <w:t>Издръжка</w:t>
            </w:r>
          </w:p>
        </w:tc>
        <w:tc>
          <w:tcPr>
            <w:tcW w:w="469" w:type="pct"/>
            <w:shd w:val="clear" w:color="auto" w:fill="auto"/>
            <w:noWrap/>
            <w:vAlign w:val="center"/>
            <w:hideMark/>
          </w:tcPr>
          <w:p w14:paraId="7FD7AE4C" w14:textId="77777777" w:rsidR="00102589" w:rsidRDefault="00102589">
            <w:pPr>
              <w:jc w:val="right"/>
              <w:rPr>
                <w:sz w:val="16"/>
                <w:szCs w:val="16"/>
              </w:rPr>
            </w:pPr>
            <w:r>
              <w:rPr>
                <w:sz w:val="16"/>
                <w:szCs w:val="16"/>
              </w:rPr>
              <w:t>1 833 000</w:t>
            </w:r>
          </w:p>
        </w:tc>
        <w:tc>
          <w:tcPr>
            <w:tcW w:w="469" w:type="pct"/>
            <w:shd w:val="clear" w:color="auto" w:fill="auto"/>
            <w:noWrap/>
            <w:vAlign w:val="center"/>
            <w:hideMark/>
          </w:tcPr>
          <w:p w14:paraId="1046A6C7" w14:textId="77777777" w:rsidR="00102589" w:rsidRDefault="00102589">
            <w:pPr>
              <w:jc w:val="right"/>
              <w:rPr>
                <w:sz w:val="16"/>
                <w:szCs w:val="16"/>
              </w:rPr>
            </w:pPr>
            <w:r>
              <w:rPr>
                <w:sz w:val="16"/>
                <w:szCs w:val="16"/>
              </w:rPr>
              <w:t>1 833 000</w:t>
            </w:r>
          </w:p>
        </w:tc>
        <w:tc>
          <w:tcPr>
            <w:tcW w:w="507" w:type="pct"/>
            <w:shd w:val="clear" w:color="auto" w:fill="auto"/>
            <w:noWrap/>
            <w:vAlign w:val="center"/>
            <w:hideMark/>
          </w:tcPr>
          <w:p w14:paraId="0178DBDD" w14:textId="77777777" w:rsidR="00102589" w:rsidRDefault="00102589">
            <w:pPr>
              <w:jc w:val="right"/>
              <w:rPr>
                <w:sz w:val="16"/>
                <w:szCs w:val="16"/>
              </w:rPr>
            </w:pPr>
            <w:r>
              <w:rPr>
                <w:sz w:val="16"/>
                <w:szCs w:val="16"/>
              </w:rPr>
              <w:t>138 970</w:t>
            </w:r>
          </w:p>
        </w:tc>
      </w:tr>
      <w:tr w:rsidR="009266C0" w14:paraId="7B2B0D3C" w14:textId="77777777" w:rsidTr="002F1FD1">
        <w:trPr>
          <w:trHeight w:val="122"/>
          <w:jc w:val="center"/>
        </w:trPr>
        <w:tc>
          <w:tcPr>
            <w:tcW w:w="225" w:type="pct"/>
            <w:shd w:val="clear" w:color="auto" w:fill="auto"/>
            <w:noWrap/>
            <w:vAlign w:val="center"/>
            <w:hideMark/>
          </w:tcPr>
          <w:p w14:paraId="10BAEFBF" w14:textId="77777777" w:rsidR="00102589" w:rsidRDefault="00102589">
            <w:pPr>
              <w:jc w:val="both"/>
              <w:rPr>
                <w:sz w:val="16"/>
                <w:szCs w:val="16"/>
              </w:rPr>
            </w:pPr>
            <w:r>
              <w:rPr>
                <w:sz w:val="16"/>
                <w:szCs w:val="16"/>
              </w:rPr>
              <w:t> </w:t>
            </w:r>
          </w:p>
        </w:tc>
        <w:tc>
          <w:tcPr>
            <w:tcW w:w="3330" w:type="pct"/>
            <w:shd w:val="clear" w:color="auto" w:fill="auto"/>
            <w:noWrap/>
            <w:vAlign w:val="center"/>
            <w:hideMark/>
          </w:tcPr>
          <w:p w14:paraId="6E8C27D8" w14:textId="2482B891" w:rsidR="00102589" w:rsidRDefault="00102589" w:rsidP="00C2230A">
            <w:pPr>
              <w:ind w:firstLineChars="365" w:firstLine="584"/>
              <w:rPr>
                <w:sz w:val="16"/>
                <w:szCs w:val="16"/>
              </w:rPr>
            </w:pPr>
            <w:r>
              <w:rPr>
                <w:sz w:val="16"/>
                <w:szCs w:val="16"/>
              </w:rPr>
              <w:t>Капиталови разходи</w:t>
            </w:r>
          </w:p>
        </w:tc>
        <w:tc>
          <w:tcPr>
            <w:tcW w:w="469" w:type="pct"/>
            <w:shd w:val="clear" w:color="auto" w:fill="auto"/>
            <w:noWrap/>
            <w:vAlign w:val="center"/>
            <w:hideMark/>
          </w:tcPr>
          <w:p w14:paraId="11E18D88" w14:textId="77777777" w:rsidR="00102589" w:rsidRDefault="00102589">
            <w:pPr>
              <w:jc w:val="right"/>
              <w:rPr>
                <w:sz w:val="16"/>
                <w:szCs w:val="16"/>
              </w:rPr>
            </w:pPr>
            <w:r>
              <w:rPr>
                <w:sz w:val="16"/>
                <w:szCs w:val="16"/>
              </w:rPr>
              <w:t>189 800</w:t>
            </w:r>
          </w:p>
        </w:tc>
        <w:tc>
          <w:tcPr>
            <w:tcW w:w="469" w:type="pct"/>
            <w:shd w:val="clear" w:color="auto" w:fill="auto"/>
            <w:noWrap/>
            <w:vAlign w:val="center"/>
            <w:hideMark/>
          </w:tcPr>
          <w:p w14:paraId="14FF669C" w14:textId="77777777" w:rsidR="00102589" w:rsidRDefault="00102589">
            <w:pPr>
              <w:jc w:val="right"/>
              <w:rPr>
                <w:sz w:val="16"/>
                <w:szCs w:val="16"/>
              </w:rPr>
            </w:pPr>
            <w:r>
              <w:rPr>
                <w:sz w:val="16"/>
                <w:szCs w:val="16"/>
              </w:rPr>
              <w:t>189 800</w:t>
            </w:r>
          </w:p>
        </w:tc>
        <w:tc>
          <w:tcPr>
            <w:tcW w:w="507" w:type="pct"/>
            <w:shd w:val="clear" w:color="auto" w:fill="auto"/>
            <w:noWrap/>
            <w:vAlign w:val="center"/>
            <w:hideMark/>
          </w:tcPr>
          <w:p w14:paraId="25103E19" w14:textId="77777777" w:rsidR="00102589" w:rsidRDefault="00102589">
            <w:pPr>
              <w:jc w:val="right"/>
              <w:rPr>
                <w:sz w:val="16"/>
                <w:szCs w:val="16"/>
              </w:rPr>
            </w:pPr>
            <w:r>
              <w:rPr>
                <w:sz w:val="16"/>
                <w:szCs w:val="16"/>
              </w:rPr>
              <w:t> </w:t>
            </w:r>
          </w:p>
        </w:tc>
      </w:tr>
      <w:tr w:rsidR="000025E0" w14:paraId="72E83772" w14:textId="77777777" w:rsidTr="002F1FD1">
        <w:trPr>
          <w:trHeight w:val="209"/>
          <w:jc w:val="center"/>
        </w:trPr>
        <w:tc>
          <w:tcPr>
            <w:tcW w:w="225" w:type="pct"/>
            <w:shd w:val="clear" w:color="000000" w:fill="E6E6E6"/>
            <w:noWrap/>
            <w:vAlign w:val="center"/>
            <w:hideMark/>
          </w:tcPr>
          <w:p w14:paraId="3DA7B3ED" w14:textId="77777777" w:rsidR="00102589" w:rsidRDefault="00102589">
            <w:pPr>
              <w:jc w:val="both"/>
              <w:rPr>
                <w:b/>
                <w:bCs/>
                <w:sz w:val="16"/>
                <w:szCs w:val="16"/>
              </w:rPr>
            </w:pPr>
            <w:r>
              <w:rPr>
                <w:b/>
                <w:bCs/>
                <w:sz w:val="16"/>
                <w:szCs w:val="16"/>
              </w:rPr>
              <w:t>2</w:t>
            </w:r>
          </w:p>
        </w:tc>
        <w:tc>
          <w:tcPr>
            <w:tcW w:w="3330" w:type="pct"/>
            <w:shd w:val="clear" w:color="000000" w:fill="E6E6E6"/>
            <w:noWrap/>
            <w:vAlign w:val="center"/>
            <w:hideMark/>
          </w:tcPr>
          <w:p w14:paraId="65AE721F" w14:textId="77777777" w:rsidR="00102589" w:rsidRDefault="00102589">
            <w:pPr>
              <w:ind w:firstLineChars="300" w:firstLine="482"/>
              <w:rPr>
                <w:b/>
                <w:bCs/>
                <w:sz w:val="16"/>
                <w:szCs w:val="16"/>
              </w:rPr>
            </w:pPr>
            <w:r>
              <w:rPr>
                <w:b/>
                <w:bCs/>
                <w:sz w:val="16"/>
                <w:szCs w:val="16"/>
              </w:rPr>
              <w:t xml:space="preserve">Ведомствени разходи по други бюджети и сметки за средства от ЕС </w:t>
            </w:r>
          </w:p>
        </w:tc>
        <w:tc>
          <w:tcPr>
            <w:tcW w:w="469" w:type="pct"/>
            <w:shd w:val="clear" w:color="000000" w:fill="E6E6E6"/>
            <w:noWrap/>
            <w:vAlign w:val="center"/>
            <w:hideMark/>
          </w:tcPr>
          <w:p w14:paraId="705D0618" w14:textId="77777777" w:rsidR="00102589" w:rsidRDefault="00102589">
            <w:pPr>
              <w:jc w:val="right"/>
              <w:rPr>
                <w:b/>
                <w:bCs/>
                <w:sz w:val="16"/>
                <w:szCs w:val="16"/>
              </w:rPr>
            </w:pPr>
            <w:r>
              <w:rPr>
                <w:b/>
                <w:bCs/>
                <w:sz w:val="16"/>
                <w:szCs w:val="16"/>
              </w:rPr>
              <w:t>0</w:t>
            </w:r>
          </w:p>
        </w:tc>
        <w:tc>
          <w:tcPr>
            <w:tcW w:w="469" w:type="pct"/>
            <w:shd w:val="clear" w:color="000000" w:fill="E6E6E6"/>
            <w:noWrap/>
            <w:vAlign w:val="center"/>
            <w:hideMark/>
          </w:tcPr>
          <w:p w14:paraId="3BBFCA12" w14:textId="77777777" w:rsidR="00102589" w:rsidRDefault="00102589">
            <w:pPr>
              <w:jc w:val="right"/>
              <w:rPr>
                <w:b/>
                <w:bCs/>
                <w:sz w:val="16"/>
                <w:szCs w:val="16"/>
              </w:rPr>
            </w:pPr>
            <w:r>
              <w:rPr>
                <w:b/>
                <w:bCs/>
                <w:sz w:val="16"/>
                <w:szCs w:val="16"/>
              </w:rPr>
              <w:t>0</w:t>
            </w:r>
          </w:p>
        </w:tc>
        <w:tc>
          <w:tcPr>
            <w:tcW w:w="507" w:type="pct"/>
            <w:shd w:val="clear" w:color="000000" w:fill="E6E6E6"/>
            <w:noWrap/>
            <w:vAlign w:val="center"/>
            <w:hideMark/>
          </w:tcPr>
          <w:p w14:paraId="47B7D80D" w14:textId="77777777" w:rsidR="00102589" w:rsidRDefault="00102589">
            <w:pPr>
              <w:jc w:val="right"/>
              <w:rPr>
                <w:b/>
                <w:bCs/>
                <w:sz w:val="16"/>
                <w:szCs w:val="16"/>
              </w:rPr>
            </w:pPr>
            <w:r>
              <w:rPr>
                <w:b/>
                <w:bCs/>
                <w:sz w:val="16"/>
                <w:szCs w:val="16"/>
              </w:rPr>
              <w:t>0</w:t>
            </w:r>
          </w:p>
        </w:tc>
      </w:tr>
      <w:tr w:rsidR="009266C0" w14:paraId="5E7836A5" w14:textId="77777777" w:rsidTr="002F1FD1">
        <w:trPr>
          <w:trHeight w:val="142"/>
          <w:jc w:val="center"/>
        </w:trPr>
        <w:tc>
          <w:tcPr>
            <w:tcW w:w="225" w:type="pct"/>
            <w:shd w:val="clear" w:color="auto" w:fill="auto"/>
            <w:noWrap/>
            <w:vAlign w:val="center"/>
            <w:hideMark/>
          </w:tcPr>
          <w:p w14:paraId="51A4109E" w14:textId="77777777" w:rsidR="00102589" w:rsidRDefault="00102589">
            <w:pPr>
              <w:jc w:val="both"/>
              <w:rPr>
                <w:sz w:val="16"/>
                <w:szCs w:val="16"/>
              </w:rPr>
            </w:pPr>
            <w:r>
              <w:rPr>
                <w:sz w:val="16"/>
                <w:szCs w:val="16"/>
              </w:rPr>
              <w:t> </w:t>
            </w:r>
          </w:p>
        </w:tc>
        <w:tc>
          <w:tcPr>
            <w:tcW w:w="3330" w:type="pct"/>
            <w:shd w:val="clear" w:color="auto" w:fill="auto"/>
            <w:noWrap/>
            <w:vAlign w:val="center"/>
            <w:hideMark/>
          </w:tcPr>
          <w:p w14:paraId="1E1E4F26" w14:textId="55A7C619" w:rsidR="00102589" w:rsidRDefault="00102589" w:rsidP="000654E2">
            <w:pPr>
              <w:ind w:firstLineChars="365" w:firstLine="584"/>
              <w:rPr>
                <w:sz w:val="16"/>
                <w:szCs w:val="16"/>
              </w:rPr>
            </w:pPr>
            <w:r>
              <w:rPr>
                <w:sz w:val="16"/>
                <w:szCs w:val="16"/>
              </w:rPr>
              <w:t>Персонал</w:t>
            </w:r>
          </w:p>
        </w:tc>
        <w:tc>
          <w:tcPr>
            <w:tcW w:w="469" w:type="pct"/>
            <w:shd w:val="clear" w:color="auto" w:fill="auto"/>
            <w:noWrap/>
            <w:vAlign w:val="center"/>
            <w:hideMark/>
          </w:tcPr>
          <w:p w14:paraId="0BCF1ECD" w14:textId="77777777" w:rsidR="00102589" w:rsidRDefault="00102589">
            <w:pPr>
              <w:jc w:val="right"/>
              <w:rPr>
                <w:sz w:val="16"/>
                <w:szCs w:val="16"/>
              </w:rPr>
            </w:pPr>
            <w:r>
              <w:rPr>
                <w:sz w:val="16"/>
                <w:szCs w:val="16"/>
              </w:rPr>
              <w:t> </w:t>
            </w:r>
          </w:p>
        </w:tc>
        <w:tc>
          <w:tcPr>
            <w:tcW w:w="469" w:type="pct"/>
            <w:shd w:val="clear" w:color="auto" w:fill="auto"/>
            <w:noWrap/>
            <w:vAlign w:val="center"/>
            <w:hideMark/>
          </w:tcPr>
          <w:p w14:paraId="23DD6894" w14:textId="77777777" w:rsidR="00102589" w:rsidRDefault="00102589">
            <w:pPr>
              <w:jc w:val="right"/>
              <w:rPr>
                <w:sz w:val="16"/>
                <w:szCs w:val="16"/>
              </w:rPr>
            </w:pPr>
            <w:r>
              <w:rPr>
                <w:sz w:val="16"/>
                <w:szCs w:val="16"/>
              </w:rPr>
              <w:t> </w:t>
            </w:r>
          </w:p>
        </w:tc>
        <w:tc>
          <w:tcPr>
            <w:tcW w:w="507" w:type="pct"/>
            <w:shd w:val="clear" w:color="auto" w:fill="auto"/>
            <w:noWrap/>
            <w:vAlign w:val="center"/>
            <w:hideMark/>
          </w:tcPr>
          <w:p w14:paraId="0001C1E6" w14:textId="77777777" w:rsidR="00102589" w:rsidRDefault="00102589">
            <w:pPr>
              <w:jc w:val="right"/>
              <w:rPr>
                <w:sz w:val="16"/>
                <w:szCs w:val="16"/>
              </w:rPr>
            </w:pPr>
            <w:r>
              <w:rPr>
                <w:sz w:val="16"/>
                <w:szCs w:val="16"/>
              </w:rPr>
              <w:t> </w:t>
            </w:r>
          </w:p>
        </w:tc>
      </w:tr>
      <w:tr w:rsidR="009266C0" w14:paraId="2BAE1075" w14:textId="77777777" w:rsidTr="00A75B11">
        <w:trPr>
          <w:trHeight w:val="116"/>
          <w:jc w:val="center"/>
        </w:trPr>
        <w:tc>
          <w:tcPr>
            <w:tcW w:w="225" w:type="pct"/>
            <w:shd w:val="clear" w:color="auto" w:fill="auto"/>
            <w:noWrap/>
            <w:vAlign w:val="center"/>
            <w:hideMark/>
          </w:tcPr>
          <w:p w14:paraId="44D54A95" w14:textId="77777777" w:rsidR="00102589" w:rsidRDefault="00102589">
            <w:pPr>
              <w:jc w:val="both"/>
              <w:rPr>
                <w:sz w:val="16"/>
                <w:szCs w:val="16"/>
              </w:rPr>
            </w:pPr>
            <w:r>
              <w:rPr>
                <w:sz w:val="16"/>
                <w:szCs w:val="16"/>
              </w:rPr>
              <w:t> </w:t>
            </w:r>
          </w:p>
        </w:tc>
        <w:tc>
          <w:tcPr>
            <w:tcW w:w="3330" w:type="pct"/>
            <w:shd w:val="clear" w:color="auto" w:fill="auto"/>
            <w:noWrap/>
            <w:vAlign w:val="center"/>
            <w:hideMark/>
          </w:tcPr>
          <w:p w14:paraId="459B1A62" w14:textId="07D37CE5" w:rsidR="00102589" w:rsidRDefault="00102589" w:rsidP="000654E2">
            <w:pPr>
              <w:ind w:firstLineChars="365" w:firstLine="584"/>
              <w:rPr>
                <w:sz w:val="16"/>
                <w:szCs w:val="16"/>
              </w:rPr>
            </w:pPr>
            <w:r>
              <w:rPr>
                <w:sz w:val="16"/>
                <w:szCs w:val="16"/>
              </w:rPr>
              <w:t>Издръжка</w:t>
            </w:r>
          </w:p>
        </w:tc>
        <w:tc>
          <w:tcPr>
            <w:tcW w:w="469" w:type="pct"/>
            <w:shd w:val="clear" w:color="auto" w:fill="auto"/>
            <w:noWrap/>
            <w:vAlign w:val="center"/>
            <w:hideMark/>
          </w:tcPr>
          <w:p w14:paraId="6A4FFCC9" w14:textId="77777777" w:rsidR="00102589" w:rsidRDefault="00102589">
            <w:pPr>
              <w:jc w:val="right"/>
              <w:rPr>
                <w:sz w:val="16"/>
                <w:szCs w:val="16"/>
              </w:rPr>
            </w:pPr>
            <w:r>
              <w:rPr>
                <w:sz w:val="16"/>
                <w:szCs w:val="16"/>
              </w:rPr>
              <w:t> </w:t>
            </w:r>
          </w:p>
        </w:tc>
        <w:tc>
          <w:tcPr>
            <w:tcW w:w="469" w:type="pct"/>
            <w:shd w:val="clear" w:color="auto" w:fill="auto"/>
            <w:noWrap/>
            <w:vAlign w:val="center"/>
            <w:hideMark/>
          </w:tcPr>
          <w:p w14:paraId="19A1AD66" w14:textId="77777777" w:rsidR="00102589" w:rsidRDefault="00102589">
            <w:pPr>
              <w:jc w:val="right"/>
              <w:rPr>
                <w:sz w:val="16"/>
                <w:szCs w:val="16"/>
              </w:rPr>
            </w:pPr>
            <w:r>
              <w:rPr>
                <w:sz w:val="16"/>
                <w:szCs w:val="16"/>
              </w:rPr>
              <w:t> </w:t>
            </w:r>
          </w:p>
        </w:tc>
        <w:tc>
          <w:tcPr>
            <w:tcW w:w="507" w:type="pct"/>
            <w:shd w:val="clear" w:color="auto" w:fill="auto"/>
            <w:noWrap/>
            <w:vAlign w:val="center"/>
            <w:hideMark/>
          </w:tcPr>
          <w:p w14:paraId="6A85D7A0" w14:textId="77777777" w:rsidR="00102589" w:rsidRDefault="00102589">
            <w:pPr>
              <w:jc w:val="right"/>
              <w:rPr>
                <w:sz w:val="16"/>
                <w:szCs w:val="16"/>
              </w:rPr>
            </w:pPr>
            <w:r>
              <w:rPr>
                <w:sz w:val="16"/>
                <w:szCs w:val="16"/>
              </w:rPr>
              <w:t> </w:t>
            </w:r>
          </w:p>
        </w:tc>
      </w:tr>
      <w:tr w:rsidR="009266C0" w14:paraId="25869369" w14:textId="77777777" w:rsidTr="00A75B11">
        <w:trPr>
          <w:trHeight w:val="75"/>
          <w:jc w:val="center"/>
        </w:trPr>
        <w:tc>
          <w:tcPr>
            <w:tcW w:w="225" w:type="pct"/>
            <w:shd w:val="clear" w:color="auto" w:fill="auto"/>
            <w:noWrap/>
            <w:vAlign w:val="center"/>
            <w:hideMark/>
          </w:tcPr>
          <w:p w14:paraId="4FBA3198" w14:textId="77777777" w:rsidR="00102589" w:rsidRDefault="00102589">
            <w:pPr>
              <w:jc w:val="both"/>
              <w:rPr>
                <w:sz w:val="16"/>
                <w:szCs w:val="16"/>
              </w:rPr>
            </w:pPr>
            <w:r>
              <w:rPr>
                <w:sz w:val="16"/>
                <w:szCs w:val="16"/>
              </w:rPr>
              <w:t> </w:t>
            </w:r>
          </w:p>
        </w:tc>
        <w:tc>
          <w:tcPr>
            <w:tcW w:w="3330" w:type="pct"/>
            <w:shd w:val="clear" w:color="auto" w:fill="auto"/>
            <w:noWrap/>
            <w:vAlign w:val="center"/>
            <w:hideMark/>
          </w:tcPr>
          <w:p w14:paraId="350D6CEF" w14:textId="79E2A0F3" w:rsidR="00102589" w:rsidRDefault="00102589" w:rsidP="000654E2">
            <w:pPr>
              <w:ind w:firstLineChars="365" w:firstLine="584"/>
              <w:rPr>
                <w:sz w:val="16"/>
                <w:szCs w:val="16"/>
              </w:rPr>
            </w:pPr>
            <w:r>
              <w:rPr>
                <w:sz w:val="16"/>
                <w:szCs w:val="16"/>
              </w:rPr>
              <w:t>Капиталови разходи</w:t>
            </w:r>
          </w:p>
        </w:tc>
        <w:tc>
          <w:tcPr>
            <w:tcW w:w="469" w:type="pct"/>
            <w:shd w:val="clear" w:color="auto" w:fill="auto"/>
            <w:noWrap/>
            <w:vAlign w:val="center"/>
            <w:hideMark/>
          </w:tcPr>
          <w:p w14:paraId="5F18E90F" w14:textId="77777777" w:rsidR="00102589" w:rsidRDefault="00102589">
            <w:pPr>
              <w:jc w:val="right"/>
              <w:rPr>
                <w:sz w:val="16"/>
                <w:szCs w:val="16"/>
              </w:rPr>
            </w:pPr>
            <w:r>
              <w:rPr>
                <w:sz w:val="16"/>
                <w:szCs w:val="16"/>
              </w:rPr>
              <w:t> </w:t>
            </w:r>
          </w:p>
        </w:tc>
        <w:tc>
          <w:tcPr>
            <w:tcW w:w="469" w:type="pct"/>
            <w:shd w:val="clear" w:color="auto" w:fill="auto"/>
            <w:noWrap/>
            <w:vAlign w:val="center"/>
            <w:hideMark/>
          </w:tcPr>
          <w:p w14:paraId="59B1D54A" w14:textId="77777777" w:rsidR="00102589" w:rsidRDefault="00102589">
            <w:pPr>
              <w:jc w:val="right"/>
              <w:rPr>
                <w:sz w:val="16"/>
                <w:szCs w:val="16"/>
              </w:rPr>
            </w:pPr>
            <w:r>
              <w:rPr>
                <w:sz w:val="16"/>
                <w:szCs w:val="16"/>
              </w:rPr>
              <w:t> </w:t>
            </w:r>
          </w:p>
        </w:tc>
        <w:tc>
          <w:tcPr>
            <w:tcW w:w="507" w:type="pct"/>
            <w:shd w:val="clear" w:color="auto" w:fill="auto"/>
            <w:noWrap/>
            <w:vAlign w:val="center"/>
            <w:hideMark/>
          </w:tcPr>
          <w:p w14:paraId="165066DB" w14:textId="77777777" w:rsidR="00102589" w:rsidRDefault="00102589">
            <w:pPr>
              <w:jc w:val="right"/>
              <w:rPr>
                <w:sz w:val="16"/>
                <w:szCs w:val="16"/>
              </w:rPr>
            </w:pPr>
            <w:r>
              <w:rPr>
                <w:sz w:val="16"/>
                <w:szCs w:val="16"/>
              </w:rPr>
              <w:t> </w:t>
            </w:r>
          </w:p>
        </w:tc>
      </w:tr>
      <w:tr w:rsidR="009266C0" w14:paraId="248374E6" w14:textId="77777777" w:rsidTr="00A75B11">
        <w:trPr>
          <w:trHeight w:val="152"/>
          <w:jc w:val="center"/>
        </w:trPr>
        <w:tc>
          <w:tcPr>
            <w:tcW w:w="225" w:type="pct"/>
            <w:shd w:val="clear" w:color="auto" w:fill="auto"/>
            <w:noWrap/>
            <w:vAlign w:val="center"/>
            <w:hideMark/>
          </w:tcPr>
          <w:p w14:paraId="36D1F14C" w14:textId="77777777" w:rsidR="00102589" w:rsidRDefault="00102589">
            <w:pPr>
              <w:jc w:val="both"/>
              <w:rPr>
                <w:sz w:val="16"/>
                <w:szCs w:val="16"/>
              </w:rPr>
            </w:pPr>
            <w:r>
              <w:rPr>
                <w:sz w:val="16"/>
                <w:szCs w:val="16"/>
              </w:rPr>
              <w:t> </w:t>
            </w:r>
          </w:p>
        </w:tc>
        <w:tc>
          <w:tcPr>
            <w:tcW w:w="3330" w:type="pct"/>
            <w:shd w:val="clear" w:color="auto" w:fill="auto"/>
            <w:noWrap/>
            <w:vAlign w:val="center"/>
            <w:hideMark/>
          </w:tcPr>
          <w:p w14:paraId="2F22B565" w14:textId="77777777" w:rsidR="00102589" w:rsidRDefault="00102589">
            <w:pPr>
              <w:ind w:firstLineChars="200" w:firstLine="320"/>
              <w:rPr>
                <w:sz w:val="16"/>
                <w:szCs w:val="16"/>
              </w:rPr>
            </w:pPr>
            <w:r>
              <w:rPr>
                <w:sz w:val="16"/>
                <w:szCs w:val="16"/>
              </w:rPr>
              <w:t xml:space="preserve">От тях за: * </w:t>
            </w:r>
          </w:p>
        </w:tc>
        <w:tc>
          <w:tcPr>
            <w:tcW w:w="469" w:type="pct"/>
            <w:shd w:val="clear" w:color="auto" w:fill="auto"/>
            <w:noWrap/>
            <w:vAlign w:val="center"/>
            <w:hideMark/>
          </w:tcPr>
          <w:p w14:paraId="6195B3CA" w14:textId="77777777" w:rsidR="00102589" w:rsidRDefault="00102589">
            <w:pPr>
              <w:jc w:val="right"/>
              <w:rPr>
                <w:sz w:val="16"/>
                <w:szCs w:val="16"/>
              </w:rPr>
            </w:pPr>
            <w:r>
              <w:rPr>
                <w:sz w:val="16"/>
                <w:szCs w:val="16"/>
              </w:rPr>
              <w:t> </w:t>
            </w:r>
          </w:p>
        </w:tc>
        <w:tc>
          <w:tcPr>
            <w:tcW w:w="469" w:type="pct"/>
            <w:shd w:val="clear" w:color="auto" w:fill="auto"/>
            <w:noWrap/>
            <w:vAlign w:val="center"/>
            <w:hideMark/>
          </w:tcPr>
          <w:p w14:paraId="471F2CE4" w14:textId="77777777" w:rsidR="00102589" w:rsidRDefault="00102589">
            <w:pPr>
              <w:jc w:val="right"/>
              <w:rPr>
                <w:sz w:val="16"/>
                <w:szCs w:val="16"/>
              </w:rPr>
            </w:pPr>
            <w:r>
              <w:rPr>
                <w:sz w:val="16"/>
                <w:szCs w:val="16"/>
              </w:rPr>
              <w:t> </w:t>
            </w:r>
          </w:p>
        </w:tc>
        <w:tc>
          <w:tcPr>
            <w:tcW w:w="507" w:type="pct"/>
            <w:shd w:val="clear" w:color="auto" w:fill="auto"/>
            <w:noWrap/>
            <w:vAlign w:val="center"/>
            <w:hideMark/>
          </w:tcPr>
          <w:p w14:paraId="1209FEDF" w14:textId="77777777" w:rsidR="00102589" w:rsidRDefault="00102589">
            <w:pPr>
              <w:jc w:val="right"/>
              <w:rPr>
                <w:sz w:val="16"/>
                <w:szCs w:val="16"/>
              </w:rPr>
            </w:pPr>
            <w:r>
              <w:rPr>
                <w:sz w:val="16"/>
                <w:szCs w:val="16"/>
              </w:rPr>
              <w:t> </w:t>
            </w:r>
          </w:p>
        </w:tc>
      </w:tr>
      <w:tr w:rsidR="009266C0" w14:paraId="19FECA5B" w14:textId="77777777" w:rsidTr="00A75B11">
        <w:trPr>
          <w:trHeight w:val="110"/>
          <w:jc w:val="center"/>
        </w:trPr>
        <w:tc>
          <w:tcPr>
            <w:tcW w:w="225" w:type="pct"/>
            <w:shd w:val="clear" w:color="auto" w:fill="auto"/>
            <w:noWrap/>
            <w:vAlign w:val="center"/>
            <w:hideMark/>
          </w:tcPr>
          <w:p w14:paraId="622864C2" w14:textId="77777777" w:rsidR="00102589" w:rsidRDefault="00102589">
            <w:pPr>
              <w:jc w:val="both"/>
              <w:rPr>
                <w:sz w:val="16"/>
                <w:szCs w:val="16"/>
              </w:rPr>
            </w:pPr>
            <w:r>
              <w:rPr>
                <w:sz w:val="16"/>
                <w:szCs w:val="16"/>
              </w:rPr>
              <w:t> </w:t>
            </w:r>
          </w:p>
        </w:tc>
        <w:tc>
          <w:tcPr>
            <w:tcW w:w="3330" w:type="pct"/>
            <w:shd w:val="clear" w:color="auto" w:fill="auto"/>
            <w:noWrap/>
            <w:vAlign w:val="center"/>
            <w:hideMark/>
          </w:tcPr>
          <w:p w14:paraId="42AE5213" w14:textId="77777777" w:rsidR="00102589" w:rsidRDefault="00102589">
            <w:pPr>
              <w:ind w:firstLineChars="500" w:firstLine="800"/>
              <w:rPr>
                <w:sz w:val="16"/>
                <w:szCs w:val="16"/>
              </w:rPr>
            </w:pPr>
            <w:r>
              <w:rPr>
                <w:sz w:val="16"/>
                <w:szCs w:val="16"/>
              </w:rPr>
              <w:t> </w:t>
            </w:r>
          </w:p>
        </w:tc>
        <w:tc>
          <w:tcPr>
            <w:tcW w:w="469" w:type="pct"/>
            <w:shd w:val="clear" w:color="auto" w:fill="auto"/>
            <w:noWrap/>
            <w:vAlign w:val="center"/>
            <w:hideMark/>
          </w:tcPr>
          <w:p w14:paraId="348F7673" w14:textId="77777777" w:rsidR="00102589" w:rsidRDefault="00102589">
            <w:pPr>
              <w:jc w:val="right"/>
              <w:rPr>
                <w:sz w:val="16"/>
                <w:szCs w:val="16"/>
              </w:rPr>
            </w:pPr>
            <w:r>
              <w:rPr>
                <w:sz w:val="16"/>
                <w:szCs w:val="16"/>
              </w:rPr>
              <w:t> </w:t>
            </w:r>
          </w:p>
        </w:tc>
        <w:tc>
          <w:tcPr>
            <w:tcW w:w="469" w:type="pct"/>
            <w:shd w:val="clear" w:color="auto" w:fill="auto"/>
            <w:noWrap/>
            <w:vAlign w:val="center"/>
            <w:hideMark/>
          </w:tcPr>
          <w:p w14:paraId="7EBFE18E" w14:textId="77777777" w:rsidR="00102589" w:rsidRDefault="00102589">
            <w:pPr>
              <w:jc w:val="right"/>
              <w:rPr>
                <w:sz w:val="16"/>
                <w:szCs w:val="16"/>
              </w:rPr>
            </w:pPr>
            <w:r>
              <w:rPr>
                <w:sz w:val="16"/>
                <w:szCs w:val="16"/>
              </w:rPr>
              <w:t> </w:t>
            </w:r>
          </w:p>
        </w:tc>
        <w:tc>
          <w:tcPr>
            <w:tcW w:w="507" w:type="pct"/>
            <w:shd w:val="clear" w:color="auto" w:fill="auto"/>
            <w:noWrap/>
            <w:vAlign w:val="center"/>
            <w:hideMark/>
          </w:tcPr>
          <w:p w14:paraId="223D053D" w14:textId="77777777" w:rsidR="00102589" w:rsidRDefault="00102589">
            <w:pPr>
              <w:jc w:val="right"/>
              <w:rPr>
                <w:sz w:val="16"/>
                <w:szCs w:val="16"/>
              </w:rPr>
            </w:pPr>
            <w:r>
              <w:rPr>
                <w:sz w:val="16"/>
                <w:szCs w:val="16"/>
              </w:rPr>
              <w:t> </w:t>
            </w:r>
          </w:p>
        </w:tc>
      </w:tr>
      <w:tr w:rsidR="009266C0" w14:paraId="79DEB5AB" w14:textId="77777777" w:rsidTr="00A75B11">
        <w:trPr>
          <w:trHeight w:val="197"/>
          <w:jc w:val="center"/>
        </w:trPr>
        <w:tc>
          <w:tcPr>
            <w:tcW w:w="225" w:type="pct"/>
            <w:shd w:val="clear" w:color="auto" w:fill="auto"/>
            <w:noWrap/>
            <w:vAlign w:val="center"/>
            <w:hideMark/>
          </w:tcPr>
          <w:p w14:paraId="5EA5CCB0" w14:textId="77777777" w:rsidR="00102589" w:rsidRDefault="00102589">
            <w:pPr>
              <w:jc w:val="both"/>
              <w:rPr>
                <w:sz w:val="16"/>
                <w:szCs w:val="16"/>
              </w:rPr>
            </w:pPr>
            <w:r>
              <w:rPr>
                <w:sz w:val="16"/>
                <w:szCs w:val="16"/>
              </w:rPr>
              <w:t> </w:t>
            </w:r>
          </w:p>
        </w:tc>
        <w:tc>
          <w:tcPr>
            <w:tcW w:w="3330" w:type="pct"/>
            <w:shd w:val="clear" w:color="auto" w:fill="auto"/>
            <w:noWrap/>
            <w:vAlign w:val="center"/>
            <w:hideMark/>
          </w:tcPr>
          <w:p w14:paraId="19AA6EA8" w14:textId="77777777" w:rsidR="00102589" w:rsidRDefault="00102589">
            <w:pPr>
              <w:rPr>
                <w:i/>
                <w:iCs/>
                <w:sz w:val="16"/>
                <w:szCs w:val="16"/>
              </w:rPr>
            </w:pPr>
            <w:r>
              <w:rPr>
                <w:i/>
                <w:iCs/>
                <w:sz w:val="16"/>
                <w:szCs w:val="16"/>
              </w:rPr>
              <w:t xml:space="preserve">Администрирани разходни показатели </w:t>
            </w:r>
            <w:r>
              <w:rPr>
                <w:sz w:val="16"/>
                <w:szCs w:val="16"/>
              </w:rPr>
              <w:t>**</w:t>
            </w:r>
          </w:p>
        </w:tc>
        <w:tc>
          <w:tcPr>
            <w:tcW w:w="469" w:type="pct"/>
            <w:shd w:val="clear" w:color="auto" w:fill="auto"/>
            <w:noWrap/>
            <w:vAlign w:val="center"/>
            <w:hideMark/>
          </w:tcPr>
          <w:p w14:paraId="3A63DA07" w14:textId="77777777" w:rsidR="00102589" w:rsidRDefault="00102589">
            <w:pPr>
              <w:jc w:val="right"/>
              <w:rPr>
                <w:sz w:val="16"/>
                <w:szCs w:val="16"/>
              </w:rPr>
            </w:pPr>
            <w:r>
              <w:rPr>
                <w:sz w:val="16"/>
                <w:szCs w:val="16"/>
              </w:rPr>
              <w:t> </w:t>
            </w:r>
          </w:p>
        </w:tc>
        <w:tc>
          <w:tcPr>
            <w:tcW w:w="469" w:type="pct"/>
            <w:shd w:val="clear" w:color="auto" w:fill="auto"/>
            <w:noWrap/>
            <w:vAlign w:val="center"/>
            <w:hideMark/>
          </w:tcPr>
          <w:p w14:paraId="23B024D2" w14:textId="77777777" w:rsidR="00102589" w:rsidRDefault="00102589">
            <w:pPr>
              <w:jc w:val="right"/>
              <w:rPr>
                <w:sz w:val="16"/>
                <w:szCs w:val="16"/>
              </w:rPr>
            </w:pPr>
            <w:r>
              <w:rPr>
                <w:sz w:val="16"/>
                <w:szCs w:val="16"/>
              </w:rPr>
              <w:t> </w:t>
            </w:r>
          </w:p>
        </w:tc>
        <w:tc>
          <w:tcPr>
            <w:tcW w:w="507" w:type="pct"/>
            <w:shd w:val="clear" w:color="auto" w:fill="auto"/>
            <w:noWrap/>
            <w:vAlign w:val="center"/>
            <w:hideMark/>
          </w:tcPr>
          <w:p w14:paraId="378163CE" w14:textId="77777777" w:rsidR="00102589" w:rsidRDefault="00102589">
            <w:pPr>
              <w:jc w:val="right"/>
              <w:rPr>
                <w:sz w:val="16"/>
                <w:szCs w:val="16"/>
              </w:rPr>
            </w:pPr>
            <w:r>
              <w:rPr>
                <w:sz w:val="16"/>
                <w:szCs w:val="16"/>
              </w:rPr>
              <w:t> </w:t>
            </w:r>
          </w:p>
        </w:tc>
      </w:tr>
      <w:tr w:rsidR="000025E0" w14:paraId="2939CB70" w14:textId="77777777" w:rsidTr="00924C86">
        <w:trPr>
          <w:trHeight w:val="130"/>
          <w:jc w:val="center"/>
        </w:trPr>
        <w:tc>
          <w:tcPr>
            <w:tcW w:w="225" w:type="pct"/>
            <w:shd w:val="clear" w:color="000000" w:fill="E6E6E6"/>
            <w:noWrap/>
            <w:vAlign w:val="center"/>
            <w:hideMark/>
          </w:tcPr>
          <w:p w14:paraId="6FEC472C" w14:textId="77777777" w:rsidR="00102589" w:rsidRDefault="00102589">
            <w:pPr>
              <w:jc w:val="both"/>
              <w:rPr>
                <w:b/>
                <w:bCs/>
                <w:sz w:val="16"/>
                <w:szCs w:val="16"/>
              </w:rPr>
            </w:pPr>
            <w:r>
              <w:rPr>
                <w:b/>
                <w:bCs/>
                <w:sz w:val="16"/>
                <w:szCs w:val="16"/>
              </w:rPr>
              <w:t>ІІ.</w:t>
            </w:r>
          </w:p>
        </w:tc>
        <w:tc>
          <w:tcPr>
            <w:tcW w:w="3330" w:type="pct"/>
            <w:shd w:val="clear" w:color="000000" w:fill="E6E6E6"/>
            <w:noWrap/>
            <w:vAlign w:val="center"/>
            <w:hideMark/>
          </w:tcPr>
          <w:p w14:paraId="56734C1C" w14:textId="77777777" w:rsidR="00102589" w:rsidRDefault="00102589">
            <w:pPr>
              <w:rPr>
                <w:b/>
                <w:bCs/>
                <w:sz w:val="16"/>
                <w:szCs w:val="16"/>
              </w:rPr>
            </w:pPr>
            <w:r>
              <w:rPr>
                <w:b/>
                <w:bCs/>
                <w:sz w:val="16"/>
                <w:szCs w:val="16"/>
              </w:rPr>
              <w:t xml:space="preserve">Администрирани разходни параграфи по бюджета </w:t>
            </w:r>
          </w:p>
        </w:tc>
        <w:tc>
          <w:tcPr>
            <w:tcW w:w="469" w:type="pct"/>
            <w:shd w:val="clear" w:color="000000" w:fill="E6E6E6"/>
            <w:noWrap/>
            <w:vAlign w:val="center"/>
            <w:hideMark/>
          </w:tcPr>
          <w:p w14:paraId="203BA205" w14:textId="77777777" w:rsidR="00102589" w:rsidRDefault="00102589">
            <w:pPr>
              <w:jc w:val="right"/>
              <w:rPr>
                <w:b/>
                <w:bCs/>
                <w:sz w:val="16"/>
                <w:szCs w:val="16"/>
              </w:rPr>
            </w:pPr>
            <w:r>
              <w:rPr>
                <w:b/>
                <w:bCs/>
                <w:sz w:val="16"/>
                <w:szCs w:val="16"/>
              </w:rPr>
              <w:t>570 000</w:t>
            </w:r>
          </w:p>
        </w:tc>
        <w:tc>
          <w:tcPr>
            <w:tcW w:w="469" w:type="pct"/>
            <w:shd w:val="clear" w:color="000000" w:fill="E6E6E6"/>
            <w:noWrap/>
            <w:vAlign w:val="center"/>
            <w:hideMark/>
          </w:tcPr>
          <w:p w14:paraId="2AC3571C" w14:textId="77777777" w:rsidR="00102589" w:rsidRDefault="00102589">
            <w:pPr>
              <w:jc w:val="right"/>
              <w:rPr>
                <w:b/>
                <w:bCs/>
                <w:sz w:val="16"/>
                <w:szCs w:val="16"/>
              </w:rPr>
            </w:pPr>
            <w:r>
              <w:rPr>
                <w:b/>
                <w:bCs/>
                <w:sz w:val="16"/>
                <w:szCs w:val="16"/>
              </w:rPr>
              <w:t>570 000</w:t>
            </w:r>
          </w:p>
        </w:tc>
        <w:tc>
          <w:tcPr>
            <w:tcW w:w="507" w:type="pct"/>
            <w:shd w:val="clear" w:color="000000" w:fill="E6E6E6"/>
            <w:noWrap/>
            <w:vAlign w:val="center"/>
            <w:hideMark/>
          </w:tcPr>
          <w:p w14:paraId="22F196FA" w14:textId="77777777" w:rsidR="00102589" w:rsidRDefault="00102589">
            <w:pPr>
              <w:jc w:val="right"/>
              <w:rPr>
                <w:b/>
                <w:bCs/>
                <w:sz w:val="16"/>
                <w:szCs w:val="16"/>
              </w:rPr>
            </w:pPr>
            <w:r>
              <w:rPr>
                <w:b/>
                <w:bCs/>
                <w:sz w:val="16"/>
                <w:szCs w:val="16"/>
              </w:rPr>
              <w:t>0</w:t>
            </w:r>
          </w:p>
        </w:tc>
      </w:tr>
      <w:tr w:rsidR="000025E0" w14:paraId="07B24BBA" w14:textId="77777777" w:rsidTr="00863FD0">
        <w:trPr>
          <w:trHeight w:val="330"/>
          <w:jc w:val="center"/>
        </w:trPr>
        <w:tc>
          <w:tcPr>
            <w:tcW w:w="225" w:type="pct"/>
            <w:shd w:val="clear" w:color="auto" w:fill="auto"/>
            <w:noWrap/>
            <w:vAlign w:val="center"/>
            <w:hideMark/>
          </w:tcPr>
          <w:p w14:paraId="293E60A1" w14:textId="77777777" w:rsidR="00102589" w:rsidRDefault="00102589">
            <w:pPr>
              <w:jc w:val="both"/>
              <w:rPr>
                <w:sz w:val="16"/>
                <w:szCs w:val="16"/>
              </w:rPr>
            </w:pPr>
            <w:r>
              <w:rPr>
                <w:sz w:val="16"/>
                <w:szCs w:val="16"/>
              </w:rPr>
              <w:t>1</w:t>
            </w:r>
          </w:p>
        </w:tc>
        <w:tc>
          <w:tcPr>
            <w:tcW w:w="3330" w:type="pct"/>
            <w:shd w:val="clear" w:color="auto" w:fill="auto"/>
            <w:vAlign w:val="center"/>
            <w:hideMark/>
          </w:tcPr>
          <w:p w14:paraId="590DCB44" w14:textId="77777777" w:rsidR="00102589" w:rsidRDefault="00102589">
            <w:pPr>
              <w:rPr>
                <w:sz w:val="16"/>
                <w:szCs w:val="16"/>
              </w:rPr>
            </w:pPr>
            <w:r>
              <w:rPr>
                <w:sz w:val="16"/>
                <w:szCs w:val="16"/>
              </w:rPr>
              <w:t>Вноска на Република България за участие в Глобалната инициатива „Партньорство за открито управление“</w:t>
            </w:r>
          </w:p>
        </w:tc>
        <w:tc>
          <w:tcPr>
            <w:tcW w:w="469" w:type="pct"/>
            <w:shd w:val="clear" w:color="auto" w:fill="auto"/>
            <w:noWrap/>
            <w:vAlign w:val="center"/>
            <w:hideMark/>
          </w:tcPr>
          <w:p w14:paraId="013BD430" w14:textId="77777777" w:rsidR="00102589" w:rsidRDefault="00102589">
            <w:pPr>
              <w:jc w:val="right"/>
              <w:rPr>
                <w:sz w:val="16"/>
                <w:szCs w:val="16"/>
              </w:rPr>
            </w:pPr>
            <w:r>
              <w:rPr>
                <w:sz w:val="16"/>
                <w:szCs w:val="16"/>
              </w:rPr>
              <w:t>120 000</w:t>
            </w:r>
          </w:p>
        </w:tc>
        <w:tc>
          <w:tcPr>
            <w:tcW w:w="469" w:type="pct"/>
            <w:shd w:val="clear" w:color="auto" w:fill="auto"/>
            <w:vAlign w:val="center"/>
            <w:hideMark/>
          </w:tcPr>
          <w:p w14:paraId="6F47D8CD" w14:textId="77777777" w:rsidR="00102589" w:rsidRDefault="00102589">
            <w:pPr>
              <w:jc w:val="right"/>
              <w:rPr>
                <w:sz w:val="20"/>
                <w:szCs w:val="20"/>
              </w:rPr>
            </w:pPr>
            <w:r>
              <w:rPr>
                <w:sz w:val="20"/>
                <w:szCs w:val="20"/>
              </w:rPr>
              <w:t>120 000</w:t>
            </w:r>
          </w:p>
        </w:tc>
        <w:tc>
          <w:tcPr>
            <w:tcW w:w="507" w:type="pct"/>
            <w:shd w:val="clear" w:color="auto" w:fill="auto"/>
            <w:noWrap/>
            <w:vAlign w:val="center"/>
            <w:hideMark/>
          </w:tcPr>
          <w:p w14:paraId="3255267D" w14:textId="77777777" w:rsidR="00102589" w:rsidRDefault="00102589">
            <w:pPr>
              <w:jc w:val="right"/>
              <w:rPr>
                <w:sz w:val="16"/>
                <w:szCs w:val="16"/>
              </w:rPr>
            </w:pPr>
            <w:r>
              <w:rPr>
                <w:sz w:val="16"/>
                <w:szCs w:val="16"/>
              </w:rPr>
              <w:t> </w:t>
            </w:r>
          </w:p>
        </w:tc>
      </w:tr>
      <w:tr w:rsidR="009266C0" w14:paraId="75AF08FE" w14:textId="77777777" w:rsidTr="00C70DD9">
        <w:trPr>
          <w:trHeight w:val="124"/>
          <w:jc w:val="center"/>
        </w:trPr>
        <w:tc>
          <w:tcPr>
            <w:tcW w:w="225" w:type="pct"/>
            <w:shd w:val="clear" w:color="auto" w:fill="auto"/>
            <w:noWrap/>
            <w:vAlign w:val="center"/>
            <w:hideMark/>
          </w:tcPr>
          <w:p w14:paraId="5E0FC887" w14:textId="77777777" w:rsidR="00102589" w:rsidRDefault="00102589">
            <w:pPr>
              <w:jc w:val="both"/>
              <w:rPr>
                <w:sz w:val="16"/>
                <w:szCs w:val="16"/>
              </w:rPr>
            </w:pPr>
            <w:r>
              <w:rPr>
                <w:sz w:val="16"/>
                <w:szCs w:val="16"/>
              </w:rPr>
              <w:t>2</w:t>
            </w:r>
          </w:p>
        </w:tc>
        <w:tc>
          <w:tcPr>
            <w:tcW w:w="3330" w:type="pct"/>
            <w:shd w:val="clear" w:color="auto" w:fill="auto"/>
            <w:vAlign w:val="center"/>
            <w:hideMark/>
          </w:tcPr>
          <w:p w14:paraId="1E8CD875" w14:textId="77777777" w:rsidR="00102589" w:rsidRDefault="00102589">
            <w:pPr>
              <w:rPr>
                <w:sz w:val="16"/>
                <w:szCs w:val="16"/>
              </w:rPr>
            </w:pPr>
            <w:r>
              <w:rPr>
                <w:sz w:val="16"/>
                <w:szCs w:val="16"/>
              </w:rPr>
              <w:t>Субсидии за финансиране на проекти по чл. 6е от Закона за защита от домашно насилие</w:t>
            </w:r>
          </w:p>
        </w:tc>
        <w:tc>
          <w:tcPr>
            <w:tcW w:w="469" w:type="pct"/>
            <w:shd w:val="clear" w:color="auto" w:fill="auto"/>
            <w:noWrap/>
            <w:vAlign w:val="center"/>
            <w:hideMark/>
          </w:tcPr>
          <w:p w14:paraId="1C58CC2F" w14:textId="77777777" w:rsidR="00102589" w:rsidRDefault="00102589">
            <w:pPr>
              <w:jc w:val="right"/>
              <w:rPr>
                <w:sz w:val="16"/>
                <w:szCs w:val="16"/>
              </w:rPr>
            </w:pPr>
            <w:r>
              <w:rPr>
                <w:sz w:val="16"/>
                <w:szCs w:val="16"/>
              </w:rPr>
              <w:t>450 000</w:t>
            </w:r>
          </w:p>
        </w:tc>
        <w:tc>
          <w:tcPr>
            <w:tcW w:w="469" w:type="pct"/>
            <w:shd w:val="clear" w:color="auto" w:fill="auto"/>
            <w:noWrap/>
            <w:vAlign w:val="center"/>
            <w:hideMark/>
          </w:tcPr>
          <w:p w14:paraId="159DEC16" w14:textId="77777777" w:rsidR="00102589" w:rsidRDefault="00102589">
            <w:pPr>
              <w:jc w:val="right"/>
              <w:rPr>
                <w:sz w:val="16"/>
                <w:szCs w:val="16"/>
              </w:rPr>
            </w:pPr>
            <w:r>
              <w:rPr>
                <w:sz w:val="16"/>
                <w:szCs w:val="16"/>
              </w:rPr>
              <w:t>450 000</w:t>
            </w:r>
          </w:p>
        </w:tc>
        <w:tc>
          <w:tcPr>
            <w:tcW w:w="507" w:type="pct"/>
            <w:shd w:val="clear" w:color="auto" w:fill="auto"/>
            <w:noWrap/>
            <w:vAlign w:val="center"/>
            <w:hideMark/>
          </w:tcPr>
          <w:p w14:paraId="6676C6A1" w14:textId="77777777" w:rsidR="00102589" w:rsidRDefault="00102589">
            <w:pPr>
              <w:jc w:val="right"/>
              <w:rPr>
                <w:sz w:val="16"/>
                <w:szCs w:val="16"/>
              </w:rPr>
            </w:pPr>
            <w:r>
              <w:rPr>
                <w:sz w:val="16"/>
                <w:szCs w:val="16"/>
              </w:rPr>
              <w:t> </w:t>
            </w:r>
          </w:p>
        </w:tc>
      </w:tr>
      <w:tr w:rsidR="009266C0" w14:paraId="16E8EA88" w14:textId="77777777" w:rsidTr="00924C86">
        <w:trPr>
          <w:trHeight w:val="71"/>
          <w:jc w:val="center"/>
        </w:trPr>
        <w:tc>
          <w:tcPr>
            <w:tcW w:w="225" w:type="pct"/>
            <w:shd w:val="clear" w:color="auto" w:fill="auto"/>
            <w:noWrap/>
            <w:vAlign w:val="center"/>
            <w:hideMark/>
          </w:tcPr>
          <w:p w14:paraId="56F8F7CD" w14:textId="77777777" w:rsidR="00102589" w:rsidRDefault="00102589">
            <w:pPr>
              <w:jc w:val="both"/>
              <w:rPr>
                <w:sz w:val="16"/>
                <w:szCs w:val="16"/>
              </w:rPr>
            </w:pPr>
            <w:r>
              <w:rPr>
                <w:sz w:val="16"/>
                <w:szCs w:val="16"/>
              </w:rPr>
              <w:t> </w:t>
            </w:r>
          </w:p>
        </w:tc>
        <w:tc>
          <w:tcPr>
            <w:tcW w:w="3330" w:type="pct"/>
            <w:shd w:val="clear" w:color="auto" w:fill="auto"/>
            <w:noWrap/>
            <w:vAlign w:val="center"/>
            <w:hideMark/>
          </w:tcPr>
          <w:p w14:paraId="2847534F" w14:textId="77777777" w:rsidR="00102589" w:rsidRDefault="00102589">
            <w:pPr>
              <w:ind w:firstLineChars="200" w:firstLine="320"/>
              <w:rPr>
                <w:sz w:val="16"/>
                <w:szCs w:val="16"/>
              </w:rPr>
            </w:pPr>
            <w:r>
              <w:rPr>
                <w:sz w:val="16"/>
                <w:szCs w:val="16"/>
              </w:rPr>
              <w:t> </w:t>
            </w:r>
          </w:p>
        </w:tc>
        <w:tc>
          <w:tcPr>
            <w:tcW w:w="469" w:type="pct"/>
            <w:shd w:val="clear" w:color="auto" w:fill="auto"/>
            <w:noWrap/>
            <w:vAlign w:val="center"/>
            <w:hideMark/>
          </w:tcPr>
          <w:p w14:paraId="5353BD63" w14:textId="77777777" w:rsidR="00102589" w:rsidRDefault="00102589">
            <w:pPr>
              <w:jc w:val="right"/>
              <w:rPr>
                <w:sz w:val="16"/>
                <w:szCs w:val="16"/>
              </w:rPr>
            </w:pPr>
            <w:r>
              <w:rPr>
                <w:sz w:val="16"/>
                <w:szCs w:val="16"/>
              </w:rPr>
              <w:t> </w:t>
            </w:r>
          </w:p>
        </w:tc>
        <w:tc>
          <w:tcPr>
            <w:tcW w:w="469" w:type="pct"/>
            <w:shd w:val="clear" w:color="auto" w:fill="auto"/>
            <w:noWrap/>
            <w:vAlign w:val="center"/>
            <w:hideMark/>
          </w:tcPr>
          <w:p w14:paraId="4E9567F0" w14:textId="77777777" w:rsidR="00102589" w:rsidRDefault="00102589">
            <w:pPr>
              <w:jc w:val="right"/>
              <w:rPr>
                <w:sz w:val="16"/>
                <w:szCs w:val="16"/>
              </w:rPr>
            </w:pPr>
            <w:r>
              <w:rPr>
                <w:sz w:val="16"/>
                <w:szCs w:val="16"/>
              </w:rPr>
              <w:t> </w:t>
            </w:r>
          </w:p>
        </w:tc>
        <w:tc>
          <w:tcPr>
            <w:tcW w:w="507" w:type="pct"/>
            <w:shd w:val="clear" w:color="auto" w:fill="auto"/>
            <w:noWrap/>
            <w:vAlign w:val="center"/>
            <w:hideMark/>
          </w:tcPr>
          <w:p w14:paraId="54C14E62" w14:textId="77777777" w:rsidR="00102589" w:rsidRDefault="00102589">
            <w:pPr>
              <w:jc w:val="right"/>
              <w:rPr>
                <w:sz w:val="16"/>
                <w:szCs w:val="16"/>
              </w:rPr>
            </w:pPr>
            <w:r>
              <w:rPr>
                <w:sz w:val="16"/>
                <w:szCs w:val="16"/>
              </w:rPr>
              <w:t> </w:t>
            </w:r>
          </w:p>
        </w:tc>
      </w:tr>
      <w:tr w:rsidR="000025E0" w14:paraId="4FE60A69" w14:textId="77777777" w:rsidTr="00924C86">
        <w:trPr>
          <w:trHeight w:val="160"/>
          <w:jc w:val="center"/>
        </w:trPr>
        <w:tc>
          <w:tcPr>
            <w:tcW w:w="225" w:type="pct"/>
            <w:shd w:val="clear" w:color="000000" w:fill="E6E6E6"/>
            <w:noWrap/>
            <w:vAlign w:val="center"/>
            <w:hideMark/>
          </w:tcPr>
          <w:p w14:paraId="007A3096" w14:textId="77777777" w:rsidR="00102589" w:rsidRDefault="00102589">
            <w:pPr>
              <w:jc w:val="both"/>
              <w:rPr>
                <w:b/>
                <w:bCs/>
                <w:sz w:val="16"/>
                <w:szCs w:val="16"/>
              </w:rPr>
            </w:pPr>
            <w:r>
              <w:rPr>
                <w:b/>
                <w:bCs/>
                <w:sz w:val="16"/>
                <w:szCs w:val="16"/>
              </w:rPr>
              <w:t>ІІІ.</w:t>
            </w:r>
          </w:p>
        </w:tc>
        <w:tc>
          <w:tcPr>
            <w:tcW w:w="3330" w:type="pct"/>
            <w:shd w:val="clear" w:color="000000" w:fill="E6E6E6"/>
            <w:noWrap/>
            <w:vAlign w:val="center"/>
            <w:hideMark/>
          </w:tcPr>
          <w:p w14:paraId="6AA6A16A" w14:textId="77777777" w:rsidR="00102589" w:rsidRDefault="00102589">
            <w:pPr>
              <w:rPr>
                <w:b/>
                <w:bCs/>
                <w:sz w:val="16"/>
                <w:szCs w:val="16"/>
              </w:rPr>
            </w:pPr>
            <w:r>
              <w:rPr>
                <w:b/>
                <w:bCs/>
                <w:sz w:val="16"/>
                <w:szCs w:val="16"/>
              </w:rPr>
              <w:t>Администрирани разходни параграфи по други бюджети и сметки за средства от ЕС</w:t>
            </w:r>
          </w:p>
        </w:tc>
        <w:tc>
          <w:tcPr>
            <w:tcW w:w="469" w:type="pct"/>
            <w:shd w:val="clear" w:color="000000" w:fill="E6E6E6"/>
            <w:noWrap/>
            <w:vAlign w:val="center"/>
            <w:hideMark/>
          </w:tcPr>
          <w:p w14:paraId="158B3ED2" w14:textId="77777777" w:rsidR="00102589" w:rsidRDefault="00102589">
            <w:pPr>
              <w:jc w:val="right"/>
              <w:rPr>
                <w:b/>
                <w:bCs/>
                <w:sz w:val="16"/>
                <w:szCs w:val="16"/>
              </w:rPr>
            </w:pPr>
            <w:r>
              <w:rPr>
                <w:b/>
                <w:bCs/>
                <w:sz w:val="16"/>
                <w:szCs w:val="16"/>
              </w:rPr>
              <w:t>0</w:t>
            </w:r>
          </w:p>
        </w:tc>
        <w:tc>
          <w:tcPr>
            <w:tcW w:w="469" w:type="pct"/>
            <w:shd w:val="clear" w:color="000000" w:fill="E6E6E6"/>
            <w:noWrap/>
            <w:vAlign w:val="center"/>
            <w:hideMark/>
          </w:tcPr>
          <w:p w14:paraId="19F5BF08" w14:textId="77777777" w:rsidR="00102589" w:rsidRDefault="00102589">
            <w:pPr>
              <w:jc w:val="right"/>
              <w:rPr>
                <w:b/>
                <w:bCs/>
                <w:sz w:val="16"/>
                <w:szCs w:val="16"/>
              </w:rPr>
            </w:pPr>
            <w:r>
              <w:rPr>
                <w:b/>
                <w:bCs/>
                <w:sz w:val="16"/>
                <w:szCs w:val="16"/>
              </w:rPr>
              <w:t>0</w:t>
            </w:r>
          </w:p>
        </w:tc>
        <w:tc>
          <w:tcPr>
            <w:tcW w:w="507" w:type="pct"/>
            <w:shd w:val="clear" w:color="000000" w:fill="E6E6E6"/>
            <w:noWrap/>
            <w:vAlign w:val="center"/>
            <w:hideMark/>
          </w:tcPr>
          <w:p w14:paraId="03AE46FD" w14:textId="77777777" w:rsidR="00102589" w:rsidRDefault="00102589">
            <w:pPr>
              <w:jc w:val="right"/>
              <w:rPr>
                <w:b/>
                <w:bCs/>
                <w:sz w:val="16"/>
                <w:szCs w:val="16"/>
              </w:rPr>
            </w:pPr>
            <w:r>
              <w:rPr>
                <w:b/>
                <w:bCs/>
                <w:sz w:val="16"/>
                <w:szCs w:val="16"/>
              </w:rPr>
              <w:t>0</w:t>
            </w:r>
          </w:p>
        </w:tc>
      </w:tr>
      <w:tr w:rsidR="009266C0" w14:paraId="70F192B8" w14:textId="77777777" w:rsidTr="00924C86">
        <w:trPr>
          <w:trHeight w:val="106"/>
          <w:jc w:val="center"/>
        </w:trPr>
        <w:tc>
          <w:tcPr>
            <w:tcW w:w="225" w:type="pct"/>
            <w:shd w:val="clear" w:color="auto" w:fill="auto"/>
            <w:noWrap/>
            <w:vAlign w:val="center"/>
            <w:hideMark/>
          </w:tcPr>
          <w:p w14:paraId="472A4851" w14:textId="77777777" w:rsidR="00102589" w:rsidRDefault="00102589">
            <w:pPr>
              <w:jc w:val="both"/>
              <w:rPr>
                <w:sz w:val="16"/>
                <w:szCs w:val="16"/>
              </w:rPr>
            </w:pPr>
            <w:r>
              <w:rPr>
                <w:sz w:val="16"/>
                <w:szCs w:val="16"/>
              </w:rPr>
              <w:t> </w:t>
            </w:r>
          </w:p>
        </w:tc>
        <w:tc>
          <w:tcPr>
            <w:tcW w:w="3330" w:type="pct"/>
            <w:shd w:val="clear" w:color="auto" w:fill="auto"/>
            <w:noWrap/>
            <w:vAlign w:val="center"/>
            <w:hideMark/>
          </w:tcPr>
          <w:p w14:paraId="3C253407" w14:textId="77777777" w:rsidR="00102589" w:rsidRDefault="00102589">
            <w:pPr>
              <w:ind w:firstLineChars="200" w:firstLine="320"/>
              <w:rPr>
                <w:sz w:val="16"/>
                <w:szCs w:val="16"/>
              </w:rPr>
            </w:pPr>
            <w:r>
              <w:rPr>
                <w:sz w:val="16"/>
                <w:szCs w:val="16"/>
              </w:rPr>
              <w:t> </w:t>
            </w:r>
          </w:p>
        </w:tc>
        <w:tc>
          <w:tcPr>
            <w:tcW w:w="469" w:type="pct"/>
            <w:shd w:val="clear" w:color="auto" w:fill="auto"/>
            <w:noWrap/>
            <w:vAlign w:val="center"/>
            <w:hideMark/>
          </w:tcPr>
          <w:p w14:paraId="7A49B9E5" w14:textId="77777777" w:rsidR="00102589" w:rsidRDefault="00102589">
            <w:pPr>
              <w:jc w:val="right"/>
              <w:rPr>
                <w:sz w:val="16"/>
                <w:szCs w:val="16"/>
              </w:rPr>
            </w:pPr>
            <w:r>
              <w:rPr>
                <w:sz w:val="16"/>
                <w:szCs w:val="16"/>
              </w:rPr>
              <w:t> </w:t>
            </w:r>
          </w:p>
        </w:tc>
        <w:tc>
          <w:tcPr>
            <w:tcW w:w="469" w:type="pct"/>
            <w:shd w:val="clear" w:color="auto" w:fill="auto"/>
            <w:noWrap/>
            <w:vAlign w:val="center"/>
            <w:hideMark/>
          </w:tcPr>
          <w:p w14:paraId="796D7FB9" w14:textId="77777777" w:rsidR="00102589" w:rsidRDefault="00102589">
            <w:pPr>
              <w:jc w:val="right"/>
              <w:rPr>
                <w:sz w:val="16"/>
                <w:szCs w:val="16"/>
              </w:rPr>
            </w:pPr>
            <w:r>
              <w:rPr>
                <w:sz w:val="16"/>
                <w:szCs w:val="16"/>
              </w:rPr>
              <w:t> </w:t>
            </w:r>
          </w:p>
        </w:tc>
        <w:tc>
          <w:tcPr>
            <w:tcW w:w="507" w:type="pct"/>
            <w:shd w:val="clear" w:color="auto" w:fill="auto"/>
            <w:noWrap/>
            <w:vAlign w:val="center"/>
            <w:hideMark/>
          </w:tcPr>
          <w:p w14:paraId="78C9CE05" w14:textId="77777777" w:rsidR="00102589" w:rsidRDefault="00102589">
            <w:pPr>
              <w:jc w:val="right"/>
              <w:rPr>
                <w:sz w:val="16"/>
                <w:szCs w:val="16"/>
              </w:rPr>
            </w:pPr>
            <w:r>
              <w:rPr>
                <w:sz w:val="16"/>
                <w:szCs w:val="16"/>
              </w:rPr>
              <w:t> </w:t>
            </w:r>
          </w:p>
        </w:tc>
      </w:tr>
      <w:tr w:rsidR="000025E0" w14:paraId="02F08C50" w14:textId="77777777" w:rsidTr="00924C86">
        <w:trPr>
          <w:trHeight w:val="193"/>
          <w:jc w:val="center"/>
        </w:trPr>
        <w:tc>
          <w:tcPr>
            <w:tcW w:w="225" w:type="pct"/>
            <w:shd w:val="clear" w:color="000000" w:fill="E6E6E6"/>
            <w:noWrap/>
            <w:vAlign w:val="center"/>
            <w:hideMark/>
          </w:tcPr>
          <w:p w14:paraId="7E969540" w14:textId="77777777" w:rsidR="00102589" w:rsidRDefault="00102589">
            <w:pPr>
              <w:jc w:val="both"/>
              <w:rPr>
                <w:b/>
                <w:bCs/>
                <w:sz w:val="16"/>
                <w:szCs w:val="16"/>
              </w:rPr>
            </w:pPr>
            <w:r>
              <w:rPr>
                <w:b/>
                <w:bCs/>
                <w:sz w:val="16"/>
                <w:szCs w:val="16"/>
              </w:rPr>
              <w:t> </w:t>
            </w:r>
          </w:p>
        </w:tc>
        <w:tc>
          <w:tcPr>
            <w:tcW w:w="3330" w:type="pct"/>
            <w:shd w:val="clear" w:color="000000" w:fill="E6E6E6"/>
            <w:noWrap/>
            <w:vAlign w:val="center"/>
            <w:hideMark/>
          </w:tcPr>
          <w:p w14:paraId="71E8B48E" w14:textId="77777777" w:rsidR="00102589" w:rsidRDefault="00102589">
            <w:pPr>
              <w:rPr>
                <w:b/>
                <w:bCs/>
                <w:sz w:val="16"/>
                <w:szCs w:val="16"/>
              </w:rPr>
            </w:pPr>
            <w:r>
              <w:rPr>
                <w:b/>
                <w:bCs/>
                <w:sz w:val="16"/>
                <w:szCs w:val="16"/>
              </w:rPr>
              <w:t>Общо администрирани разходи (ІІ.+ІІІ.):</w:t>
            </w:r>
          </w:p>
        </w:tc>
        <w:tc>
          <w:tcPr>
            <w:tcW w:w="469" w:type="pct"/>
            <w:shd w:val="clear" w:color="000000" w:fill="E6E6E6"/>
            <w:noWrap/>
            <w:vAlign w:val="center"/>
            <w:hideMark/>
          </w:tcPr>
          <w:p w14:paraId="0763929E" w14:textId="77777777" w:rsidR="00102589" w:rsidRDefault="00102589">
            <w:pPr>
              <w:jc w:val="right"/>
              <w:rPr>
                <w:b/>
                <w:bCs/>
                <w:sz w:val="16"/>
                <w:szCs w:val="16"/>
              </w:rPr>
            </w:pPr>
            <w:r>
              <w:rPr>
                <w:b/>
                <w:bCs/>
                <w:sz w:val="16"/>
                <w:szCs w:val="16"/>
              </w:rPr>
              <w:t>570 000</w:t>
            </w:r>
          </w:p>
        </w:tc>
        <w:tc>
          <w:tcPr>
            <w:tcW w:w="469" w:type="pct"/>
            <w:shd w:val="clear" w:color="000000" w:fill="E6E6E6"/>
            <w:noWrap/>
            <w:vAlign w:val="center"/>
            <w:hideMark/>
          </w:tcPr>
          <w:p w14:paraId="11FC6196" w14:textId="77777777" w:rsidR="00102589" w:rsidRDefault="00102589">
            <w:pPr>
              <w:jc w:val="right"/>
              <w:rPr>
                <w:b/>
                <w:bCs/>
                <w:sz w:val="16"/>
                <w:szCs w:val="16"/>
              </w:rPr>
            </w:pPr>
            <w:r>
              <w:rPr>
                <w:b/>
                <w:bCs/>
                <w:sz w:val="16"/>
                <w:szCs w:val="16"/>
              </w:rPr>
              <w:t>570 000</w:t>
            </w:r>
          </w:p>
        </w:tc>
        <w:tc>
          <w:tcPr>
            <w:tcW w:w="507" w:type="pct"/>
            <w:shd w:val="clear" w:color="000000" w:fill="E6E6E6"/>
            <w:noWrap/>
            <w:vAlign w:val="center"/>
            <w:hideMark/>
          </w:tcPr>
          <w:p w14:paraId="1A387516" w14:textId="77777777" w:rsidR="00102589" w:rsidRDefault="00102589">
            <w:pPr>
              <w:jc w:val="right"/>
              <w:rPr>
                <w:b/>
                <w:bCs/>
                <w:sz w:val="16"/>
                <w:szCs w:val="16"/>
              </w:rPr>
            </w:pPr>
            <w:r>
              <w:rPr>
                <w:b/>
                <w:bCs/>
                <w:sz w:val="16"/>
                <w:szCs w:val="16"/>
              </w:rPr>
              <w:t>0</w:t>
            </w:r>
          </w:p>
        </w:tc>
      </w:tr>
      <w:tr w:rsidR="009266C0" w14:paraId="15A24483" w14:textId="77777777" w:rsidTr="00924C86">
        <w:trPr>
          <w:trHeight w:val="126"/>
          <w:jc w:val="center"/>
        </w:trPr>
        <w:tc>
          <w:tcPr>
            <w:tcW w:w="225" w:type="pct"/>
            <w:shd w:val="clear" w:color="auto" w:fill="auto"/>
            <w:noWrap/>
            <w:vAlign w:val="center"/>
            <w:hideMark/>
          </w:tcPr>
          <w:p w14:paraId="614378D5" w14:textId="77777777" w:rsidR="00102589" w:rsidRDefault="00102589">
            <w:pPr>
              <w:jc w:val="both"/>
              <w:rPr>
                <w:sz w:val="16"/>
                <w:szCs w:val="16"/>
              </w:rPr>
            </w:pPr>
            <w:r>
              <w:rPr>
                <w:sz w:val="16"/>
                <w:szCs w:val="16"/>
              </w:rPr>
              <w:t> </w:t>
            </w:r>
          </w:p>
        </w:tc>
        <w:tc>
          <w:tcPr>
            <w:tcW w:w="3330" w:type="pct"/>
            <w:shd w:val="clear" w:color="auto" w:fill="auto"/>
            <w:noWrap/>
            <w:vAlign w:val="center"/>
            <w:hideMark/>
          </w:tcPr>
          <w:p w14:paraId="747F5DD1" w14:textId="77777777" w:rsidR="00102589" w:rsidRDefault="00102589">
            <w:pPr>
              <w:rPr>
                <w:sz w:val="16"/>
                <w:szCs w:val="16"/>
              </w:rPr>
            </w:pPr>
            <w:r>
              <w:rPr>
                <w:sz w:val="16"/>
                <w:szCs w:val="16"/>
              </w:rPr>
              <w:t> </w:t>
            </w:r>
          </w:p>
        </w:tc>
        <w:tc>
          <w:tcPr>
            <w:tcW w:w="469" w:type="pct"/>
            <w:shd w:val="clear" w:color="auto" w:fill="auto"/>
            <w:noWrap/>
            <w:vAlign w:val="center"/>
            <w:hideMark/>
          </w:tcPr>
          <w:p w14:paraId="553F14FC" w14:textId="77777777" w:rsidR="00102589" w:rsidRDefault="00102589">
            <w:pPr>
              <w:jc w:val="right"/>
              <w:rPr>
                <w:sz w:val="16"/>
                <w:szCs w:val="16"/>
              </w:rPr>
            </w:pPr>
            <w:r>
              <w:rPr>
                <w:sz w:val="16"/>
                <w:szCs w:val="16"/>
              </w:rPr>
              <w:t> </w:t>
            </w:r>
          </w:p>
        </w:tc>
        <w:tc>
          <w:tcPr>
            <w:tcW w:w="469" w:type="pct"/>
            <w:shd w:val="clear" w:color="auto" w:fill="auto"/>
            <w:noWrap/>
            <w:vAlign w:val="center"/>
            <w:hideMark/>
          </w:tcPr>
          <w:p w14:paraId="7014DD56" w14:textId="77777777" w:rsidR="00102589" w:rsidRDefault="00102589">
            <w:pPr>
              <w:jc w:val="right"/>
              <w:rPr>
                <w:sz w:val="16"/>
                <w:szCs w:val="16"/>
              </w:rPr>
            </w:pPr>
            <w:r>
              <w:rPr>
                <w:sz w:val="16"/>
                <w:szCs w:val="16"/>
              </w:rPr>
              <w:t> </w:t>
            </w:r>
          </w:p>
        </w:tc>
        <w:tc>
          <w:tcPr>
            <w:tcW w:w="507" w:type="pct"/>
            <w:shd w:val="clear" w:color="auto" w:fill="auto"/>
            <w:noWrap/>
            <w:vAlign w:val="center"/>
            <w:hideMark/>
          </w:tcPr>
          <w:p w14:paraId="6B7C2B9E" w14:textId="77777777" w:rsidR="00102589" w:rsidRDefault="00102589">
            <w:pPr>
              <w:jc w:val="right"/>
              <w:rPr>
                <w:sz w:val="16"/>
                <w:szCs w:val="16"/>
              </w:rPr>
            </w:pPr>
            <w:r>
              <w:rPr>
                <w:sz w:val="16"/>
                <w:szCs w:val="16"/>
              </w:rPr>
              <w:t> </w:t>
            </w:r>
          </w:p>
        </w:tc>
      </w:tr>
      <w:tr w:rsidR="000025E0" w14:paraId="0690D583" w14:textId="77777777" w:rsidTr="00924C86">
        <w:trPr>
          <w:trHeight w:val="227"/>
          <w:jc w:val="center"/>
        </w:trPr>
        <w:tc>
          <w:tcPr>
            <w:tcW w:w="225" w:type="pct"/>
            <w:shd w:val="clear" w:color="000000" w:fill="E6E6E6"/>
            <w:noWrap/>
            <w:vAlign w:val="center"/>
            <w:hideMark/>
          </w:tcPr>
          <w:p w14:paraId="0D2B0FAA" w14:textId="77777777" w:rsidR="00102589" w:rsidRDefault="00102589">
            <w:pPr>
              <w:jc w:val="both"/>
              <w:rPr>
                <w:b/>
                <w:bCs/>
                <w:sz w:val="16"/>
                <w:szCs w:val="16"/>
              </w:rPr>
            </w:pPr>
            <w:r>
              <w:rPr>
                <w:b/>
                <w:bCs/>
                <w:sz w:val="16"/>
                <w:szCs w:val="16"/>
              </w:rPr>
              <w:t> </w:t>
            </w:r>
          </w:p>
        </w:tc>
        <w:tc>
          <w:tcPr>
            <w:tcW w:w="3330" w:type="pct"/>
            <w:shd w:val="clear" w:color="000000" w:fill="E6E6E6"/>
            <w:noWrap/>
            <w:vAlign w:val="center"/>
            <w:hideMark/>
          </w:tcPr>
          <w:p w14:paraId="48049777" w14:textId="77777777" w:rsidR="00102589" w:rsidRDefault="00102589">
            <w:pPr>
              <w:rPr>
                <w:b/>
                <w:bCs/>
                <w:sz w:val="16"/>
                <w:szCs w:val="16"/>
              </w:rPr>
            </w:pPr>
            <w:r>
              <w:rPr>
                <w:b/>
                <w:bCs/>
                <w:sz w:val="16"/>
                <w:szCs w:val="16"/>
              </w:rPr>
              <w:t>Общо разходи по бюджета (І.1+ІІ.):</w:t>
            </w:r>
          </w:p>
        </w:tc>
        <w:tc>
          <w:tcPr>
            <w:tcW w:w="469" w:type="pct"/>
            <w:shd w:val="clear" w:color="000000" w:fill="E6E6E6"/>
            <w:noWrap/>
            <w:vAlign w:val="center"/>
            <w:hideMark/>
          </w:tcPr>
          <w:p w14:paraId="73339E99" w14:textId="77777777" w:rsidR="00102589" w:rsidRDefault="00102589">
            <w:pPr>
              <w:jc w:val="right"/>
              <w:rPr>
                <w:b/>
                <w:bCs/>
                <w:sz w:val="16"/>
                <w:szCs w:val="16"/>
              </w:rPr>
            </w:pPr>
            <w:r>
              <w:rPr>
                <w:b/>
                <w:bCs/>
                <w:sz w:val="16"/>
                <w:szCs w:val="16"/>
              </w:rPr>
              <w:t>10 373 000</w:t>
            </w:r>
          </w:p>
        </w:tc>
        <w:tc>
          <w:tcPr>
            <w:tcW w:w="469" w:type="pct"/>
            <w:shd w:val="clear" w:color="000000" w:fill="E6E6E6"/>
            <w:noWrap/>
            <w:vAlign w:val="center"/>
            <w:hideMark/>
          </w:tcPr>
          <w:p w14:paraId="1E5842C7" w14:textId="77777777" w:rsidR="00102589" w:rsidRDefault="00102589">
            <w:pPr>
              <w:jc w:val="right"/>
              <w:rPr>
                <w:b/>
                <w:bCs/>
                <w:sz w:val="16"/>
                <w:szCs w:val="16"/>
              </w:rPr>
            </w:pPr>
            <w:r>
              <w:rPr>
                <w:b/>
                <w:bCs/>
                <w:sz w:val="16"/>
                <w:szCs w:val="16"/>
              </w:rPr>
              <w:t>10 373 000</w:t>
            </w:r>
          </w:p>
        </w:tc>
        <w:tc>
          <w:tcPr>
            <w:tcW w:w="507" w:type="pct"/>
            <w:shd w:val="clear" w:color="000000" w:fill="E6E6E6"/>
            <w:noWrap/>
            <w:vAlign w:val="center"/>
            <w:hideMark/>
          </w:tcPr>
          <w:p w14:paraId="3B06950D" w14:textId="77777777" w:rsidR="00102589" w:rsidRDefault="00102589">
            <w:pPr>
              <w:jc w:val="right"/>
              <w:rPr>
                <w:b/>
                <w:bCs/>
                <w:sz w:val="16"/>
                <w:szCs w:val="16"/>
              </w:rPr>
            </w:pPr>
            <w:r>
              <w:rPr>
                <w:b/>
                <w:bCs/>
                <w:sz w:val="16"/>
                <w:szCs w:val="16"/>
              </w:rPr>
              <w:t>3 884 437</w:t>
            </w:r>
          </w:p>
        </w:tc>
      </w:tr>
      <w:tr w:rsidR="009266C0" w14:paraId="67CA49CD" w14:textId="77777777" w:rsidTr="00924C86">
        <w:trPr>
          <w:trHeight w:val="132"/>
          <w:jc w:val="center"/>
        </w:trPr>
        <w:tc>
          <w:tcPr>
            <w:tcW w:w="225" w:type="pct"/>
            <w:shd w:val="clear" w:color="auto" w:fill="auto"/>
            <w:noWrap/>
            <w:vAlign w:val="center"/>
            <w:hideMark/>
          </w:tcPr>
          <w:p w14:paraId="7D5BC87F" w14:textId="77777777" w:rsidR="00102589" w:rsidRDefault="00102589">
            <w:pPr>
              <w:jc w:val="both"/>
              <w:rPr>
                <w:sz w:val="16"/>
                <w:szCs w:val="16"/>
              </w:rPr>
            </w:pPr>
            <w:r>
              <w:rPr>
                <w:sz w:val="16"/>
                <w:szCs w:val="16"/>
              </w:rPr>
              <w:t> </w:t>
            </w:r>
          </w:p>
        </w:tc>
        <w:tc>
          <w:tcPr>
            <w:tcW w:w="3330" w:type="pct"/>
            <w:shd w:val="clear" w:color="auto" w:fill="auto"/>
            <w:noWrap/>
            <w:vAlign w:val="center"/>
            <w:hideMark/>
          </w:tcPr>
          <w:p w14:paraId="45279C09" w14:textId="77777777" w:rsidR="00102589" w:rsidRDefault="00102589">
            <w:pPr>
              <w:rPr>
                <w:sz w:val="16"/>
                <w:szCs w:val="16"/>
              </w:rPr>
            </w:pPr>
            <w:r>
              <w:rPr>
                <w:sz w:val="16"/>
                <w:szCs w:val="16"/>
              </w:rPr>
              <w:t> </w:t>
            </w:r>
          </w:p>
        </w:tc>
        <w:tc>
          <w:tcPr>
            <w:tcW w:w="469" w:type="pct"/>
            <w:shd w:val="clear" w:color="auto" w:fill="auto"/>
            <w:noWrap/>
            <w:vAlign w:val="center"/>
            <w:hideMark/>
          </w:tcPr>
          <w:p w14:paraId="1B99CE54" w14:textId="77777777" w:rsidR="00102589" w:rsidRDefault="00102589">
            <w:pPr>
              <w:jc w:val="right"/>
              <w:rPr>
                <w:sz w:val="16"/>
                <w:szCs w:val="16"/>
              </w:rPr>
            </w:pPr>
            <w:r>
              <w:rPr>
                <w:sz w:val="16"/>
                <w:szCs w:val="16"/>
              </w:rPr>
              <w:t> </w:t>
            </w:r>
          </w:p>
        </w:tc>
        <w:tc>
          <w:tcPr>
            <w:tcW w:w="469" w:type="pct"/>
            <w:shd w:val="clear" w:color="auto" w:fill="auto"/>
            <w:noWrap/>
            <w:vAlign w:val="center"/>
            <w:hideMark/>
          </w:tcPr>
          <w:p w14:paraId="768D23CF" w14:textId="77777777" w:rsidR="00102589" w:rsidRDefault="00102589">
            <w:pPr>
              <w:jc w:val="right"/>
              <w:rPr>
                <w:sz w:val="16"/>
                <w:szCs w:val="16"/>
              </w:rPr>
            </w:pPr>
            <w:r>
              <w:rPr>
                <w:sz w:val="16"/>
                <w:szCs w:val="16"/>
              </w:rPr>
              <w:t> </w:t>
            </w:r>
          </w:p>
        </w:tc>
        <w:tc>
          <w:tcPr>
            <w:tcW w:w="507" w:type="pct"/>
            <w:shd w:val="clear" w:color="auto" w:fill="auto"/>
            <w:noWrap/>
            <w:vAlign w:val="center"/>
            <w:hideMark/>
          </w:tcPr>
          <w:p w14:paraId="1FA3BE5A" w14:textId="77777777" w:rsidR="00102589" w:rsidRDefault="00102589">
            <w:pPr>
              <w:jc w:val="right"/>
              <w:rPr>
                <w:sz w:val="16"/>
                <w:szCs w:val="16"/>
              </w:rPr>
            </w:pPr>
            <w:r>
              <w:rPr>
                <w:sz w:val="16"/>
                <w:szCs w:val="16"/>
              </w:rPr>
              <w:t> </w:t>
            </w:r>
          </w:p>
        </w:tc>
      </w:tr>
      <w:tr w:rsidR="000025E0" w14:paraId="46B19AF5" w14:textId="77777777" w:rsidTr="00924C86">
        <w:trPr>
          <w:trHeight w:val="131"/>
          <w:jc w:val="center"/>
        </w:trPr>
        <w:tc>
          <w:tcPr>
            <w:tcW w:w="225" w:type="pct"/>
            <w:shd w:val="clear" w:color="000000" w:fill="E6E6E6"/>
            <w:noWrap/>
            <w:vAlign w:val="center"/>
            <w:hideMark/>
          </w:tcPr>
          <w:p w14:paraId="567E25C6" w14:textId="77777777" w:rsidR="00102589" w:rsidRDefault="00102589">
            <w:pPr>
              <w:jc w:val="both"/>
              <w:rPr>
                <w:b/>
                <w:bCs/>
                <w:sz w:val="16"/>
                <w:szCs w:val="16"/>
              </w:rPr>
            </w:pPr>
            <w:r>
              <w:rPr>
                <w:b/>
                <w:bCs/>
                <w:sz w:val="16"/>
                <w:szCs w:val="16"/>
              </w:rPr>
              <w:t> </w:t>
            </w:r>
          </w:p>
        </w:tc>
        <w:tc>
          <w:tcPr>
            <w:tcW w:w="3330" w:type="pct"/>
            <w:shd w:val="clear" w:color="000000" w:fill="E6E6E6"/>
            <w:noWrap/>
            <w:vAlign w:val="center"/>
            <w:hideMark/>
          </w:tcPr>
          <w:p w14:paraId="407BF0C6" w14:textId="77777777" w:rsidR="00102589" w:rsidRDefault="00102589">
            <w:pPr>
              <w:rPr>
                <w:b/>
                <w:bCs/>
                <w:sz w:val="16"/>
                <w:szCs w:val="16"/>
              </w:rPr>
            </w:pPr>
            <w:r>
              <w:rPr>
                <w:b/>
                <w:bCs/>
                <w:sz w:val="16"/>
                <w:szCs w:val="16"/>
              </w:rPr>
              <w:t>Общо разходи (І.+ІІ.+ІІІ.):</w:t>
            </w:r>
          </w:p>
        </w:tc>
        <w:tc>
          <w:tcPr>
            <w:tcW w:w="469" w:type="pct"/>
            <w:shd w:val="clear" w:color="000000" w:fill="E6E6E6"/>
            <w:noWrap/>
            <w:vAlign w:val="center"/>
            <w:hideMark/>
          </w:tcPr>
          <w:p w14:paraId="6DD0BF95" w14:textId="77777777" w:rsidR="00102589" w:rsidRDefault="00102589">
            <w:pPr>
              <w:jc w:val="right"/>
              <w:rPr>
                <w:b/>
                <w:bCs/>
                <w:sz w:val="16"/>
                <w:szCs w:val="16"/>
              </w:rPr>
            </w:pPr>
            <w:r>
              <w:rPr>
                <w:b/>
                <w:bCs/>
                <w:sz w:val="16"/>
                <w:szCs w:val="16"/>
              </w:rPr>
              <w:t>10 373 000</w:t>
            </w:r>
          </w:p>
        </w:tc>
        <w:tc>
          <w:tcPr>
            <w:tcW w:w="469" w:type="pct"/>
            <w:shd w:val="clear" w:color="000000" w:fill="E6E6E6"/>
            <w:noWrap/>
            <w:vAlign w:val="center"/>
            <w:hideMark/>
          </w:tcPr>
          <w:p w14:paraId="7C52A74B" w14:textId="77777777" w:rsidR="00102589" w:rsidRDefault="00102589">
            <w:pPr>
              <w:jc w:val="right"/>
              <w:rPr>
                <w:b/>
                <w:bCs/>
                <w:sz w:val="16"/>
                <w:szCs w:val="16"/>
              </w:rPr>
            </w:pPr>
            <w:r>
              <w:rPr>
                <w:b/>
                <w:bCs/>
                <w:sz w:val="16"/>
                <w:szCs w:val="16"/>
              </w:rPr>
              <w:t>10 373 000</w:t>
            </w:r>
          </w:p>
        </w:tc>
        <w:tc>
          <w:tcPr>
            <w:tcW w:w="507" w:type="pct"/>
            <w:shd w:val="clear" w:color="000000" w:fill="E6E6E6"/>
            <w:noWrap/>
            <w:vAlign w:val="center"/>
            <w:hideMark/>
          </w:tcPr>
          <w:p w14:paraId="09E8E54E" w14:textId="77777777" w:rsidR="00102589" w:rsidRDefault="00102589">
            <w:pPr>
              <w:jc w:val="right"/>
              <w:rPr>
                <w:b/>
                <w:bCs/>
                <w:sz w:val="16"/>
                <w:szCs w:val="16"/>
              </w:rPr>
            </w:pPr>
            <w:r>
              <w:rPr>
                <w:b/>
                <w:bCs/>
                <w:sz w:val="16"/>
                <w:szCs w:val="16"/>
              </w:rPr>
              <w:t>3 884 437</w:t>
            </w:r>
          </w:p>
        </w:tc>
      </w:tr>
      <w:tr w:rsidR="009266C0" w14:paraId="58C91D39" w14:textId="77777777" w:rsidTr="00924C86">
        <w:trPr>
          <w:trHeight w:val="60"/>
          <w:jc w:val="center"/>
        </w:trPr>
        <w:tc>
          <w:tcPr>
            <w:tcW w:w="225" w:type="pct"/>
            <w:shd w:val="clear" w:color="auto" w:fill="auto"/>
            <w:noWrap/>
            <w:vAlign w:val="center"/>
            <w:hideMark/>
          </w:tcPr>
          <w:p w14:paraId="269276A2" w14:textId="77777777" w:rsidR="00102589" w:rsidRDefault="00102589">
            <w:pPr>
              <w:jc w:val="both"/>
              <w:rPr>
                <w:sz w:val="16"/>
                <w:szCs w:val="16"/>
              </w:rPr>
            </w:pPr>
            <w:r>
              <w:rPr>
                <w:sz w:val="16"/>
                <w:szCs w:val="16"/>
              </w:rPr>
              <w:t> </w:t>
            </w:r>
          </w:p>
        </w:tc>
        <w:tc>
          <w:tcPr>
            <w:tcW w:w="3330" w:type="pct"/>
            <w:shd w:val="clear" w:color="auto" w:fill="auto"/>
            <w:noWrap/>
            <w:vAlign w:val="center"/>
            <w:hideMark/>
          </w:tcPr>
          <w:p w14:paraId="5BDDDF38" w14:textId="77777777" w:rsidR="00102589" w:rsidRDefault="00102589">
            <w:pPr>
              <w:rPr>
                <w:sz w:val="16"/>
                <w:szCs w:val="16"/>
              </w:rPr>
            </w:pPr>
            <w:r>
              <w:rPr>
                <w:sz w:val="16"/>
                <w:szCs w:val="16"/>
              </w:rPr>
              <w:t>Численост на щатния персонал</w:t>
            </w:r>
          </w:p>
        </w:tc>
        <w:tc>
          <w:tcPr>
            <w:tcW w:w="469" w:type="pct"/>
            <w:shd w:val="clear" w:color="auto" w:fill="auto"/>
            <w:noWrap/>
            <w:vAlign w:val="center"/>
            <w:hideMark/>
          </w:tcPr>
          <w:p w14:paraId="69C9544A" w14:textId="77777777" w:rsidR="00102589" w:rsidRDefault="00102589">
            <w:pPr>
              <w:jc w:val="right"/>
              <w:rPr>
                <w:sz w:val="16"/>
                <w:szCs w:val="16"/>
              </w:rPr>
            </w:pPr>
            <w:r>
              <w:rPr>
                <w:sz w:val="16"/>
                <w:szCs w:val="16"/>
              </w:rPr>
              <w:t>117</w:t>
            </w:r>
          </w:p>
        </w:tc>
        <w:tc>
          <w:tcPr>
            <w:tcW w:w="469" w:type="pct"/>
            <w:shd w:val="clear" w:color="auto" w:fill="auto"/>
            <w:noWrap/>
            <w:vAlign w:val="center"/>
            <w:hideMark/>
          </w:tcPr>
          <w:p w14:paraId="6BB378C4" w14:textId="77777777" w:rsidR="00102589" w:rsidRDefault="00102589">
            <w:pPr>
              <w:jc w:val="right"/>
              <w:rPr>
                <w:sz w:val="16"/>
                <w:szCs w:val="16"/>
              </w:rPr>
            </w:pPr>
            <w:r>
              <w:rPr>
                <w:sz w:val="16"/>
                <w:szCs w:val="16"/>
              </w:rPr>
              <w:t>116</w:t>
            </w:r>
          </w:p>
        </w:tc>
        <w:tc>
          <w:tcPr>
            <w:tcW w:w="507" w:type="pct"/>
            <w:shd w:val="clear" w:color="auto" w:fill="auto"/>
            <w:noWrap/>
            <w:vAlign w:val="center"/>
            <w:hideMark/>
          </w:tcPr>
          <w:p w14:paraId="5F2CE7E5" w14:textId="77777777" w:rsidR="00102589" w:rsidRDefault="00102589">
            <w:pPr>
              <w:jc w:val="right"/>
              <w:rPr>
                <w:sz w:val="16"/>
                <w:szCs w:val="16"/>
              </w:rPr>
            </w:pPr>
            <w:r>
              <w:rPr>
                <w:sz w:val="16"/>
                <w:szCs w:val="16"/>
              </w:rPr>
              <w:t>98</w:t>
            </w:r>
          </w:p>
        </w:tc>
      </w:tr>
    </w:tbl>
    <w:p w14:paraId="370922BE" w14:textId="2F421C93" w:rsidR="00172822" w:rsidRDefault="00B61BBB" w:rsidP="002E6901">
      <w:pPr>
        <w:shd w:val="clear" w:color="auto" w:fill="FFFFFF" w:themeFill="background1"/>
        <w:spacing w:before="120"/>
        <w:ind w:firstLine="426"/>
        <w:jc w:val="both"/>
        <w:rPr>
          <w:b/>
          <w:bCs/>
          <w:i/>
          <w:iCs/>
          <w:color w:val="215E99" w:themeColor="text2" w:themeTint="BF"/>
          <w:sz w:val="22"/>
          <w:szCs w:val="22"/>
        </w:rPr>
      </w:pPr>
      <w:r w:rsidRPr="00B61BBB">
        <w:rPr>
          <w:b/>
          <w:bCs/>
          <w:i/>
          <w:iCs/>
          <w:color w:val="215E99" w:themeColor="text2" w:themeTint="BF"/>
          <w:sz w:val="22"/>
          <w:szCs w:val="22"/>
        </w:rPr>
        <w:t>Отговорност за изпълнение на програмата</w:t>
      </w:r>
    </w:p>
    <w:p w14:paraId="2B23D170" w14:textId="77777777" w:rsidR="00B61BBB" w:rsidRPr="00C414E0" w:rsidRDefault="00B61BBB" w:rsidP="002E6901">
      <w:pPr>
        <w:shd w:val="clear" w:color="auto" w:fill="FFFFFF" w:themeFill="background1"/>
        <w:autoSpaceDE w:val="0"/>
        <w:autoSpaceDN w:val="0"/>
        <w:adjustRightInd w:val="0"/>
        <w:spacing w:after="240"/>
        <w:ind w:firstLine="425"/>
        <w:jc w:val="both"/>
        <w:rPr>
          <w:sz w:val="22"/>
          <w:szCs w:val="22"/>
        </w:rPr>
      </w:pPr>
      <w:r w:rsidRPr="002E6901">
        <w:rPr>
          <w:sz w:val="22"/>
          <w:szCs w:val="22"/>
          <w:shd w:val="clear" w:color="auto" w:fill="FFFFFF" w:themeFill="background1"/>
        </w:rPr>
        <w:t>Отговорността е на отдел</w:t>
      </w:r>
      <w:r w:rsidRPr="002E6901">
        <w:rPr>
          <w:sz w:val="22"/>
          <w:szCs w:val="22"/>
          <w:shd w:val="clear" w:color="auto" w:fill="FFFFFF" w:themeFill="background1"/>
          <w:lang w:val="en-US"/>
        </w:rPr>
        <w:t xml:space="preserve"> </w:t>
      </w:r>
      <w:r w:rsidRPr="002E6901">
        <w:rPr>
          <w:sz w:val="22"/>
          <w:szCs w:val="22"/>
          <w:shd w:val="clear" w:color="auto" w:fill="FFFFFF" w:themeFill="background1"/>
        </w:rPr>
        <w:t>„Регионална координация“, отдел „Сигурност на информацията“, отдел „Превенция и защита от домашно насилие, сътрудничество по етническите и интеграционните въпроси и взаимодействие с гражданското общество“, Главен инспекторат, дирекция „Стратегическо развитие, координация и концесии“, дирекция „Координация по въпросите на Европейския съюз“, дирекция „Координация и модернизация на администрацията“,</w:t>
      </w:r>
      <w:r w:rsidRPr="00C414E0">
        <w:rPr>
          <w:sz w:val="22"/>
          <w:szCs w:val="22"/>
        </w:rPr>
        <w:t xml:space="preserve"> Секретариат на Съвета по сигурността, Секретариат на Междуведомствения съвет по отбранителна индустрия и сигурността на доставките и Секретариат на Националния съвет за тристранно сътрудничество в администрацията на Министерския съвет.</w:t>
      </w:r>
    </w:p>
    <w:p w14:paraId="60EFACC7" w14:textId="77777777" w:rsidR="00663D10" w:rsidRPr="00411963" w:rsidRDefault="000948B2" w:rsidP="00FE5CDF">
      <w:pPr>
        <w:pStyle w:val="Heading1"/>
      </w:pPr>
      <w:r w:rsidRPr="00411963">
        <w:lastRenderedPageBreak/>
        <w:t>9</w:t>
      </w:r>
      <w:r w:rsidR="00663D10" w:rsidRPr="00411963">
        <w:t xml:space="preserve">.3 </w:t>
      </w:r>
      <w:r w:rsidR="00D11255" w:rsidRPr="00411963">
        <w:t>Бюджетна п</w:t>
      </w:r>
      <w:r w:rsidR="00663D10" w:rsidRPr="00411963">
        <w:t xml:space="preserve">рограма </w:t>
      </w:r>
      <w:r w:rsidR="000B3F94" w:rsidRPr="00411963">
        <w:t xml:space="preserve">0300.02.01 </w:t>
      </w:r>
      <w:r w:rsidR="00663D10" w:rsidRPr="00411963">
        <w:t>“Координация при управление на средствата от Европейския съюз”</w:t>
      </w:r>
    </w:p>
    <w:p w14:paraId="6DDA3505" w14:textId="77777777" w:rsidR="00CA544E" w:rsidRPr="00C54E81" w:rsidRDefault="00CA544E" w:rsidP="00C54E81">
      <w:pPr>
        <w:widowControl w:val="0"/>
        <w:shd w:val="clear" w:color="auto" w:fill="FFFFFF" w:themeFill="background1"/>
        <w:ind w:firstLine="425"/>
        <w:jc w:val="both"/>
        <w:outlineLvl w:val="3"/>
        <w:rPr>
          <w:b/>
          <w:bCs/>
          <w:iCs/>
          <w:color w:val="215E99" w:themeColor="text2" w:themeTint="BF"/>
          <w:sz w:val="22"/>
          <w:szCs w:val="22"/>
          <w:lang w:eastAsia="en-US"/>
        </w:rPr>
      </w:pPr>
      <w:r w:rsidRPr="00C54E81">
        <w:rPr>
          <w:b/>
          <w:bCs/>
          <w:iCs/>
          <w:color w:val="215E99" w:themeColor="text2" w:themeTint="BF"/>
          <w:sz w:val="22"/>
          <w:szCs w:val="22"/>
          <w:lang w:eastAsia="en-US"/>
        </w:rPr>
        <w:t>Описание на степента на изпълнение на заложените в програмата цели</w:t>
      </w:r>
    </w:p>
    <w:p w14:paraId="6730F674" w14:textId="5D3E2017" w:rsidR="00CA544E" w:rsidRPr="00F34824" w:rsidRDefault="00CA544E" w:rsidP="00C54E81">
      <w:pPr>
        <w:shd w:val="clear" w:color="auto" w:fill="FFFFFF" w:themeFill="background1"/>
        <w:ind w:firstLine="426"/>
        <w:jc w:val="both"/>
        <w:rPr>
          <w:color w:val="000000" w:themeColor="text1"/>
          <w:sz w:val="22"/>
          <w:szCs w:val="22"/>
        </w:rPr>
      </w:pPr>
      <w:r w:rsidRPr="00F34824">
        <w:rPr>
          <w:color w:val="000000" w:themeColor="text1"/>
          <w:sz w:val="22"/>
          <w:szCs w:val="22"/>
        </w:rPr>
        <w:t>Изпълнените дейности по програмата и постигнатите целеви стойности за отчетния период демонстрират наличието на ефективна координация на изпълнението, оценката и наблюдението на СП за периода 2014</w:t>
      </w:r>
      <w:r w:rsidR="00B04353">
        <w:rPr>
          <w:color w:val="000000" w:themeColor="text1"/>
          <w:sz w:val="22"/>
          <w:szCs w:val="22"/>
        </w:rPr>
        <w:t xml:space="preserve"> – </w:t>
      </w:r>
      <w:r w:rsidRPr="00F34824">
        <w:rPr>
          <w:color w:val="000000" w:themeColor="text1"/>
          <w:sz w:val="22"/>
          <w:szCs w:val="22"/>
        </w:rPr>
        <w:t>2020 г. и за период 2021</w:t>
      </w:r>
      <w:r w:rsidR="00B04353">
        <w:rPr>
          <w:color w:val="000000" w:themeColor="text1"/>
          <w:sz w:val="22"/>
          <w:szCs w:val="22"/>
        </w:rPr>
        <w:t xml:space="preserve"> – </w:t>
      </w:r>
      <w:r w:rsidRPr="00F34824">
        <w:rPr>
          <w:color w:val="000000" w:themeColor="text1"/>
          <w:sz w:val="22"/>
          <w:szCs w:val="22"/>
        </w:rPr>
        <w:t xml:space="preserve">2027 г. и на програмите, обхванати от тях в съответствие с изискванията на националното законодателство и приложимото законодателство и приоритети на ЕС. </w:t>
      </w:r>
    </w:p>
    <w:p w14:paraId="5C6BB7CD" w14:textId="77777777" w:rsidR="00CA544E" w:rsidRPr="00F34824" w:rsidRDefault="00CA544E" w:rsidP="00C54E81">
      <w:pPr>
        <w:shd w:val="clear" w:color="auto" w:fill="FFFFFF" w:themeFill="background1"/>
        <w:ind w:firstLine="426"/>
        <w:jc w:val="both"/>
        <w:rPr>
          <w:color w:val="000000" w:themeColor="text1"/>
          <w:sz w:val="22"/>
          <w:szCs w:val="22"/>
        </w:rPr>
      </w:pPr>
      <w:r w:rsidRPr="00F34824">
        <w:rPr>
          <w:color w:val="000000" w:themeColor="text1"/>
          <w:sz w:val="22"/>
          <w:szCs w:val="22"/>
        </w:rPr>
        <w:t>Ефективната координация се постига чрез осигуряване на необходимата нормативна уредба и методическа помощ при изпълнението на програмите, провеждане на регулярни срещи и чрез популяризиране на ефектите от изпълнението на КП в България. Осигурено е активно сътрудничество с всички компетентни ведомства и представителите на различните партньори, както и ефективна комуникация и сътрудничество с ЕК.</w:t>
      </w:r>
    </w:p>
    <w:p w14:paraId="2B771063" w14:textId="76404233" w:rsidR="00CA544E" w:rsidRPr="00F34824" w:rsidRDefault="00CA544E" w:rsidP="00C54E81">
      <w:pPr>
        <w:shd w:val="clear" w:color="auto" w:fill="FFFFFF" w:themeFill="background1"/>
        <w:ind w:firstLine="426"/>
        <w:jc w:val="both"/>
        <w:rPr>
          <w:color w:val="000000" w:themeColor="text1"/>
          <w:sz w:val="22"/>
          <w:szCs w:val="22"/>
        </w:rPr>
      </w:pPr>
      <w:r w:rsidRPr="00F34824">
        <w:rPr>
          <w:color w:val="000000" w:themeColor="text1"/>
          <w:sz w:val="22"/>
          <w:szCs w:val="22"/>
        </w:rPr>
        <w:t>За пълноценното участие на Р. България в дискусиите за КП на европейско ниво, продължи регулярната комуникация с програмните органи и други заинтересовани страни в рамките на междуведомствена РГ19 „Регионална политика и координация на структурните инструменти“ към СЕВ. Участниците се информираха навреме и в оперативен порядък за дневния ред и документите за обсъждане на подготвително и политическо ниво в работните формати на Съвета на ЕС и ЕК. Редовно беше разпространявана информация за хода и резултатите от дискусиите, в т.ч. на българското участие в тях и бяха предприети мерки за активно въвличане на министерствата и ведомствата в последващите действия с оглед защита на националния интерес в процеса на вземане на решения в ЕС. Успоредно на това, д</w:t>
      </w:r>
      <w:r w:rsidR="00693F4C">
        <w:rPr>
          <w:color w:val="000000" w:themeColor="text1"/>
          <w:sz w:val="22"/>
          <w:szCs w:val="22"/>
        </w:rPr>
        <w:t>ирекци</w:t>
      </w:r>
      <w:r w:rsidRPr="00F34824">
        <w:rPr>
          <w:color w:val="000000" w:themeColor="text1"/>
          <w:sz w:val="22"/>
          <w:szCs w:val="22"/>
        </w:rPr>
        <w:t xml:space="preserve">я ЦКЗ, осигури чрез ППРБЕС активно експертно и дипломатическо участие от името на България, като конструктивен партньор в изготвянето на политическите заключения на Съвета, </w:t>
      </w:r>
      <w:proofErr w:type="spellStart"/>
      <w:r w:rsidRPr="00F34824">
        <w:rPr>
          <w:color w:val="000000" w:themeColor="text1"/>
          <w:sz w:val="22"/>
          <w:szCs w:val="22"/>
        </w:rPr>
        <w:t>нон-пейпърите</w:t>
      </w:r>
      <w:proofErr w:type="spellEnd"/>
      <w:r w:rsidRPr="00F34824">
        <w:rPr>
          <w:color w:val="000000" w:themeColor="text1"/>
          <w:sz w:val="22"/>
          <w:szCs w:val="22"/>
        </w:rPr>
        <w:t xml:space="preserve"> на </w:t>
      </w:r>
      <w:proofErr w:type="spellStart"/>
      <w:r w:rsidRPr="00F34824">
        <w:rPr>
          <w:color w:val="000000" w:themeColor="text1"/>
          <w:sz w:val="22"/>
          <w:szCs w:val="22"/>
        </w:rPr>
        <w:t>сходномислещи</w:t>
      </w:r>
      <w:proofErr w:type="spellEnd"/>
      <w:r w:rsidRPr="00F34824">
        <w:rPr>
          <w:color w:val="000000" w:themeColor="text1"/>
          <w:sz w:val="22"/>
          <w:szCs w:val="22"/>
        </w:rPr>
        <w:t xml:space="preserve"> </w:t>
      </w:r>
      <w:r w:rsidR="00C619AB">
        <w:rPr>
          <w:color w:val="000000" w:themeColor="text1"/>
          <w:sz w:val="22"/>
          <w:szCs w:val="22"/>
        </w:rPr>
        <w:t>държави членки (</w:t>
      </w:r>
      <w:r w:rsidRPr="00C619AB">
        <w:rPr>
          <w:sz w:val="22"/>
          <w:szCs w:val="22"/>
        </w:rPr>
        <w:t>ДЧ</w:t>
      </w:r>
      <w:r w:rsidR="00C619AB">
        <w:rPr>
          <w:color w:val="000000" w:themeColor="text1"/>
          <w:sz w:val="22"/>
          <w:szCs w:val="22"/>
        </w:rPr>
        <w:t>)</w:t>
      </w:r>
      <w:r w:rsidRPr="00F34824">
        <w:rPr>
          <w:color w:val="000000" w:themeColor="text1"/>
          <w:sz w:val="22"/>
          <w:szCs w:val="22"/>
        </w:rPr>
        <w:t xml:space="preserve"> и проектите на регламенти в съответните формати. Всичко това резултира в отразяването на съществена част от българските предложения в хода на дискусиите по съответните актове.</w:t>
      </w:r>
    </w:p>
    <w:p w14:paraId="11BC626F" w14:textId="77777777" w:rsidR="00CA544E" w:rsidRPr="00F34824" w:rsidRDefault="00CA544E" w:rsidP="00C54E81">
      <w:pPr>
        <w:shd w:val="clear" w:color="auto" w:fill="FFFFFF" w:themeFill="background1"/>
        <w:spacing w:after="120"/>
        <w:ind w:firstLine="425"/>
        <w:jc w:val="both"/>
        <w:rPr>
          <w:color w:val="000000" w:themeColor="text1"/>
          <w:sz w:val="22"/>
          <w:szCs w:val="22"/>
        </w:rPr>
      </w:pPr>
      <w:r w:rsidRPr="00F34824">
        <w:rPr>
          <w:color w:val="000000" w:themeColor="text1"/>
          <w:sz w:val="22"/>
          <w:szCs w:val="22"/>
        </w:rPr>
        <w:t xml:space="preserve">Основните функции на дирекция „Добро управление“ са да изпълнява всички необходими действия за управление на програмите, за които отговаря, с оглед на постигане на целите им. Степента на изпълнение на заложените цели може да бъде оценена като добра, с оглед отчетените резултати по ОПДУ и ПТП. </w:t>
      </w:r>
    </w:p>
    <w:p w14:paraId="3D176522" w14:textId="77777777" w:rsidR="00BA79C5" w:rsidRPr="00BA79C5" w:rsidRDefault="00BA79C5" w:rsidP="00C54E81">
      <w:pPr>
        <w:widowControl w:val="0"/>
        <w:shd w:val="clear" w:color="auto" w:fill="FFFFFF" w:themeFill="background1"/>
        <w:ind w:firstLine="425"/>
        <w:jc w:val="both"/>
        <w:outlineLvl w:val="3"/>
        <w:rPr>
          <w:b/>
          <w:i/>
          <w:color w:val="800000"/>
          <w:sz w:val="22"/>
          <w:szCs w:val="22"/>
        </w:rPr>
      </w:pPr>
      <w:r w:rsidRPr="00BA79C5">
        <w:rPr>
          <w:b/>
          <w:i/>
          <w:color w:val="800000"/>
          <w:sz w:val="22"/>
          <w:szCs w:val="22"/>
        </w:rPr>
        <w:t>Продукти/услуги, предоставяни по програмата – описание на постигнатите резултати и изпълнените дейности за тяхното предоставяне:</w:t>
      </w:r>
    </w:p>
    <w:p w14:paraId="1D2D79C9" w14:textId="77777777" w:rsidR="00BA79C5" w:rsidRPr="00C54E81" w:rsidRDefault="00BA79C5" w:rsidP="00C54E81">
      <w:pPr>
        <w:pStyle w:val="ListParagraph"/>
        <w:widowControl w:val="0"/>
        <w:numPr>
          <w:ilvl w:val="0"/>
          <w:numId w:val="69"/>
        </w:numPr>
        <w:shd w:val="clear" w:color="auto" w:fill="FFFFFF" w:themeFill="background1"/>
        <w:ind w:left="0" w:firstLine="425"/>
        <w:jc w:val="both"/>
        <w:outlineLvl w:val="3"/>
        <w:rPr>
          <w:b/>
          <w:bCs/>
          <w:i/>
          <w:iCs/>
          <w:color w:val="215E99" w:themeColor="text2" w:themeTint="BF"/>
          <w:sz w:val="22"/>
          <w:szCs w:val="22"/>
        </w:rPr>
      </w:pPr>
      <w:r w:rsidRPr="00C54E81">
        <w:rPr>
          <w:b/>
          <w:bCs/>
          <w:i/>
          <w:iCs/>
          <w:color w:val="215E99" w:themeColor="text2" w:themeTint="BF"/>
          <w:sz w:val="22"/>
          <w:szCs w:val="22"/>
        </w:rPr>
        <w:t>Координация при управлението на средствата от Европейския съюз и от други донорски програми</w:t>
      </w:r>
    </w:p>
    <w:p w14:paraId="74A5D2E2" w14:textId="4E9B23D0" w:rsidR="00BA79C5" w:rsidRPr="00327A80" w:rsidRDefault="00BA79C5" w:rsidP="00C54E81">
      <w:pPr>
        <w:numPr>
          <w:ilvl w:val="0"/>
          <w:numId w:val="28"/>
        </w:numPr>
        <w:shd w:val="clear" w:color="auto" w:fill="FFFFFF" w:themeFill="background1"/>
        <w:tabs>
          <w:tab w:val="num" w:pos="1712"/>
        </w:tabs>
        <w:spacing w:after="120"/>
        <w:ind w:left="0" w:firstLine="425"/>
        <w:contextualSpacing/>
        <w:jc w:val="both"/>
        <w:rPr>
          <w:b/>
          <w:bCs/>
          <w:sz w:val="22"/>
          <w:szCs w:val="22"/>
        </w:rPr>
      </w:pPr>
      <w:r w:rsidRPr="00327A80">
        <w:rPr>
          <w:b/>
          <w:bCs/>
          <w:sz w:val="22"/>
          <w:szCs w:val="22"/>
        </w:rPr>
        <w:t>Осигурени предпоставки за ефективното изпълнение на Споразумението за партньорство на Република България за програмен период 2021</w:t>
      </w:r>
      <w:r w:rsidR="00327A80">
        <w:rPr>
          <w:b/>
          <w:bCs/>
          <w:sz w:val="22"/>
          <w:szCs w:val="22"/>
        </w:rPr>
        <w:t xml:space="preserve"> – </w:t>
      </w:r>
      <w:r w:rsidRPr="00327A80">
        <w:rPr>
          <w:b/>
          <w:bCs/>
          <w:sz w:val="22"/>
          <w:szCs w:val="22"/>
        </w:rPr>
        <w:t>2027 г. и на програмите, съфинансирани от Европейските фондове при споделено управление (ЕФСУ):</w:t>
      </w:r>
    </w:p>
    <w:p w14:paraId="18981127" w14:textId="632865EE"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 xml:space="preserve">Осъществена е координация за провеждане на междинния преглед на програмите, съфинансирани от фондовете на Кохезионната политика. От страна на ЦКЗ са изготвени указания към УО на програмите, обект на прегледа. Проведени са редица координационни срещи в различни формати. Осъществена е координация и по разработването на </w:t>
      </w:r>
      <w:proofErr w:type="spellStart"/>
      <w:r w:rsidRPr="00F0472C">
        <w:rPr>
          <w:sz w:val="22"/>
          <w:szCs w:val="22"/>
        </w:rPr>
        <w:t>Нон-пейпър</w:t>
      </w:r>
      <w:proofErr w:type="spellEnd"/>
      <w:r w:rsidRPr="00F0472C">
        <w:rPr>
          <w:sz w:val="22"/>
          <w:szCs w:val="22"/>
        </w:rPr>
        <w:t>, обосноваващ необходимостта от допълнителен трансфер от по-слабо</w:t>
      </w:r>
      <w:r w:rsidR="006A6679">
        <w:rPr>
          <w:sz w:val="22"/>
          <w:szCs w:val="22"/>
        </w:rPr>
        <w:t xml:space="preserve"> </w:t>
      </w:r>
      <w:r w:rsidRPr="00F0472C">
        <w:rPr>
          <w:sz w:val="22"/>
          <w:szCs w:val="22"/>
        </w:rPr>
        <w:t>развитите региони на страната към региона в преход, вкл. по провеждането на преговорите с Европейската комисия по него;</w:t>
      </w:r>
    </w:p>
    <w:p w14:paraId="1CD6D21F" w14:textId="77777777"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 xml:space="preserve">Организирана е дейността на Съвета за координация при управлението на средствата от ЕС (СКУСЕС), функциониращ като консултативен орган към Министерския съвет. В рамките на отчетния период са проведени 13 писмени процедури, издадени са протоколи за взети решения по въпроси, касаещи ефективното управление, контрола и координацията на средствата от ЕС. Сред проведените процедури следва да бъдат отбелязани проекти на изменения на програми за оползотворяване в максимална степен на финансирането от фондовете на ЕС и за намаляване на риска от загуба на средства; проекти на решения за осигуряване на консултантски услуги за </w:t>
      </w:r>
      <w:r w:rsidRPr="00F0472C">
        <w:rPr>
          <w:sz w:val="22"/>
          <w:szCs w:val="22"/>
        </w:rPr>
        <w:lastRenderedPageBreak/>
        <w:t xml:space="preserve">повишаване конкурентоспособността и модернизацията на малките и средните предприятия и </w:t>
      </w:r>
      <w:r w:rsidRPr="00F0472C">
        <w:rPr>
          <w:rFonts w:hint="eastAsia"/>
          <w:sz w:val="22"/>
          <w:szCs w:val="22"/>
        </w:rPr>
        <w:t>за</w:t>
      </w:r>
      <w:r w:rsidRPr="00F0472C">
        <w:rPr>
          <w:sz w:val="22"/>
          <w:szCs w:val="22"/>
        </w:rPr>
        <w:t xml:space="preserve"> </w:t>
      </w:r>
      <w:r w:rsidRPr="00F0472C">
        <w:rPr>
          <w:rFonts w:hint="eastAsia"/>
          <w:sz w:val="22"/>
          <w:szCs w:val="22"/>
        </w:rPr>
        <w:t>подобряване</w:t>
      </w:r>
      <w:r w:rsidRPr="00F0472C">
        <w:rPr>
          <w:sz w:val="22"/>
          <w:szCs w:val="22"/>
        </w:rPr>
        <w:t xml:space="preserve"> </w:t>
      </w:r>
      <w:r w:rsidRPr="00F0472C">
        <w:rPr>
          <w:rFonts w:hint="eastAsia"/>
          <w:sz w:val="22"/>
          <w:szCs w:val="22"/>
        </w:rPr>
        <w:t>изготвянето</w:t>
      </w:r>
      <w:r w:rsidRPr="00F0472C">
        <w:rPr>
          <w:sz w:val="22"/>
          <w:szCs w:val="22"/>
        </w:rPr>
        <w:t xml:space="preserve"> </w:t>
      </w:r>
      <w:r w:rsidRPr="00F0472C">
        <w:rPr>
          <w:rFonts w:hint="eastAsia"/>
          <w:sz w:val="22"/>
          <w:szCs w:val="22"/>
        </w:rPr>
        <w:t>и</w:t>
      </w:r>
      <w:r w:rsidRPr="00F0472C">
        <w:rPr>
          <w:sz w:val="22"/>
          <w:szCs w:val="22"/>
        </w:rPr>
        <w:t xml:space="preserve"> </w:t>
      </w:r>
      <w:r w:rsidRPr="00F0472C">
        <w:rPr>
          <w:rFonts w:hint="eastAsia"/>
          <w:sz w:val="22"/>
          <w:szCs w:val="22"/>
        </w:rPr>
        <w:t>използването</w:t>
      </w:r>
      <w:r w:rsidRPr="00F0472C">
        <w:rPr>
          <w:sz w:val="22"/>
          <w:szCs w:val="22"/>
        </w:rPr>
        <w:t xml:space="preserve"> </w:t>
      </w:r>
      <w:r w:rsidRPr="00F0472C">
        <w:rPr>
          <w:rFonts w:hint="eastAsia"/>
          <w:sz w:val="22"/>
          <w:szCs w:val="22"/>
        </w:rPr>
        <w:t>на</w:t>
      </w:r>
      <w:r w:rsidRPr="00F0472C">
        <w:rPr>
          <w:sz w:val="22"/>
          <w:szCs w:val="22"/>
        </w:rPr>
        <w:t xml:space="preserve"> </w:t>
      </w:r>
      <w:r w:rsidRPr="00F0472C">
        <w:rPr>
          <w:rFonts w:hint="eastAsia"/>
          <w:sz w:val="22"/>
          <w:szCs w:val="22"/>
        </w:rPr>
        <w:t>данни</w:t>
      </w:r>
      <w:r w:rsidRPr="00F0472C">
        <w:rPr>
          <w:sz w:val="22"/>
          <w:szCs w:val="22"/>
        </w:rPr>
        <w:t xml:space="preserve"> </w:t>
      </w:r>
      <w:r w:rsidRPr="00F0472C">
        <w:rPr>
          <w:rFonts w:hint="eastAsia"/>
          <w:sz w:val="22"/>
          <w:szCs w:val="22"/>
        </w:rPr>
        <w:t>за</w:t>
      </w:r>
      <w:r w:rsidRPr="00F0472C">
        <w:rPr>
          <w:sz w:val="22"/>
          <w:szCs w:val="22"/>
        </w:rPr>
        <w:t xml:space="preserve"> </w:t>
      </w:r>
      <w:r w:rsidRPr="00F0472C">
        <w:rPr>
          <w:rFonts w:hint="eastAsia"/>
          <w:sz w:val="22"/>
          <w:szCs w:val="22"/>
        </w:rPr>
        <w:t>българската</w:t>
      </w:r>
      <w:r w:rsidRPr="00F0472C">
        <w:rPr>
          <w:sz w:val="22"/>
          <w:szCs w:val="22"/>
        </w:rPr>
        <w:t xml:space="preserve"> </w:t>
      </w:r>
      <w:r w:rsidRPr="00F0472C">
        <w:rPr>
          <w:rFonts w:hint="eastAsia"/>
          <w:sz w:val="22"/>
          <w:szCs w:val="22"/>
        </w:rPr>
        <w:t>образователна</w:t>
      </w:r>
      <w:r w:rsidRPr="00F0472C">
        <w:rPr>
          <w:sz w:val="22"/>
          <w:szCs w:val="22"/>
        </w:rPr>
        <w:t xml:space="preserve"> </w:t>
      </w:r>
      <w:r w:rsidRPr="00F0472C">
        <w:rPr>
          <w:rFonts w:hint="eastAsia"/>
          <w:sz w:val="22"/>
          <w:szCs w:val="22"/>
        </w:rPr>
        <w:t>система</w:t>
      </w:r>
      <w:r w:rsidRPr="00F0472C">
        <w:rPr>
          <w:sz w:val="22"/>
          <w:szCs w:val="22"/>
        </w:rPr>
        <w:t>; проекти на индикативни годишни работни програми за 2025 г.;</w:t>
      </w:r>
    </w:p>
    <w:p w14:paraId="7847B7A4" w14:textId="77777777"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 xml:space="preserve">Осъществена ефективна координация на предоставяната от инструмента </w:t>
      </w:r>
      <w:r w:rsidRPr="006A6679">
        <w:rPr>
          <w:sz w:val="22"/>
          <w:szCs w:val="22"/>
        </w:rPr>
        <w:t>JASPERS</w:t>
      </w:r>
      <w:r w:rsidRPr="00F0472C">
        <w:rPr>
          <w:sz w:val="22"/>
          <w:szCs w:val="22"/>
        </w:rPr>
        <w:t xml:space="preserve"> техническа помощ. Проведена е тристранна работна среща между Европейската комисия, </w:t>
      </w:r>
      <w:r w:rsidRPr="006A6679">
        <w:rPr>
          <w:sz w:val="22"/>
          <w:szCs w:val="22"/>
        </w:rPr>
        <w:t>JASPERS</w:t>
      </w:r>
      <w:r w:rsidRPr="00F0472C">
        <w:rPr>
          <w:sz w:val="22"/>
          <w:szCs w:val="22"/>
        </w:rPr>
        <w:t xml:space="preserve"> и българската страна, по време на която са обсъдени сферите на интервенция и мерките, които да бъдат включени в Многогодишната работна програма на </w:t>
      </w:r>
      <w:r w:rsidRPr="006A6679">
        <w:rPr>
          <w:sz w:val="22"/>
          <w:szCs w:val="22"/>
        </w:rPr>
        <w:t>JASPERS</w:t>
      </w:r>
      <w:r w:rsidRPr="00F0472C">
        <w:rPr>
          <w:sz w:val="22"/>
          <w:szCs w:val="22"/>
        </w:rPr>
        <w:t xml:space="preserve"> за периода до края на 2027 г.;</w:t>
      </w:r>
    </w:p>
    <w:p w14:paraId="725CFA3F" w14:textId="49B989A5"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 xml:space="preserve">Осигурено е участие във всички заседания и процедури за неприсъствено вземане на решения от Комитетите за наблюдение на програмите, съфинансирани от ЕФСУ и програмите за териториално сътрудничество и са представени становищата по компетентност: ПРР – 1 присъствено заседание и </w:t>
      </w:r>
      <w:r w:rsidRPr="00AE1F12">
        <w:rPr>
          <w:sz w:val="22"/>
          <w:szCs w:val="22"/>
        </w:rPr>
        <w:t>3</w:t>
      </w:r>
      <w:r w:rsidRPr="00F0472C">
        <w:rPr>
          <w:sz w:val="22"/>
          <w:szCs w:val="22"/>
        </w:rPr>
        <w:t xml:space="preserve"> писмени процедури; ПОС </w:t>
      </w:r>
      <w:r w:rsidR="00AE1F12">
        <w:rPr>
          <w:sz w:val="22"/>
          <w:szCs w:val="22"/>
        </w:rPr>
        <w:t>–</w:t>
      </w:r>
      <w:r w:rsidRPr="00F0472C">
        <w:rPr>
          <w:sz w:val="22"/>
          <w:szCs w:val="22"/>
        </w:rPr>
        <w:t xml:space="preserve"> 1 присъствено и 1 онлайн заседания; ПРЧР </w:t>
      </w:r>
      <w:r w:rsidR="00AE1F12">
        <w:rPr>
          <w:sz w:val="22"/>
          <w:szCs w:val="22"/>
        </w:rPr>
        <w:t>–</w:t>
      </w:r>
      <w:r w:rsidRPr="00F0472C">
        <w:rPr>
          <w:sz w:val="22"/>
          <w:szCs w:val="22"/>
        </w:rPr>
        <w:t xml:space="preserve"> 2 присъствени заседания и 1 писмена процедура; ПО </w:t>
      </w:r>
      <w:r w:rsidR="00AE1F12">
        <w:rPr>
          <w:sz w:val="22"/>
          <w:szCs w:val="22"/>
        </w:rPr>
        <w:t>–</w:t>
      </w:r>
      <w:r w:rsidRPr="00F0472C">
        <w:rPr>
          <w:sz w:val="22"/>
          <w:szCs w:val="22"/>
        </w:rPr>
        <w:t xml:space="preserve"> 1 присъствено заседание и 1 писмена процедура; ПТП – 1 онлайн заседание; ПКИП – 1 присъствено заседание и 3 писмени процедури; ПНИИДИТ – 1 присъствено заседание; ПТС – 2 присъствени заседания; ПМДРА 2021</w:t>
      </w:r>
      <w:r w:rsidR="00AE1F12">
        <w:rPr>
          <w:sz w:val="22"/>
          <w:szCs w:val="22"/>
        </w:rPr>
        <w:t xml:space="preserve"> – </w:t>
      </w:r>
      <w:r w:rsidRPr="00F0472C">
        <w:rPr>
          <w:sz w:val="22"/>
          <w:szCs w:val="22"/>
        </w:rPr>
        <w:t xml:space="preserve">2027 </w:t>
      </w:r>
      <w:r w:rsidR="00AE1F12">
        <w:rPr>
          <w:sz w:val="22"/>
          <w:szCs w:val="22"/>
        </w:rPr>
        <w:t>–</w:t>
      </w:r>
      <w:r w:rsidRPr="00F0472C">
        <w:rPr>
          <w:sz w:val="22"/>
          <w:szCs w:val="22"/>
        </w:rPr>
        <w:t xml:space="preserve"> 1 присъствено заседание и 1 писмена процедура; СПРЗСР 2023</w:t>
      </w:r>
      <w:r w:rsidR="00C96156">
        <w:rPr>
          <w:sz w:val="22"/>
          <w:szCs w:val="22"/>
        </w:rPr>
        <w:t xml:space="preserve"> – </w:t>
      </w:r>
      <w:r w:rsidRPr="00F0472C">
        <w:rPr>
          <w:sz w:val="22"/>
          <w:szCs w:val="22"/>
        </w:rPr>
        <w:t xml:space="preserve">2027 </w:t>
      </w:r>
      <w:r w:rsidR="00C96156">
        <w:rPr>
          <w:sz w:val="22"/>
          <w:szCs w:val="22"/>
        </w:rPr>
        <w:t>–</w:t>
      </w:r>
      <w:r w:rsidRPr="00F0472C">
        <w:rPr>
          <w:sz w:val="22"/>
          <w:szCs w:val="22"/>
        </w:rPr>
        <w:t xml:space="preserve"> 1 присъствено заседание и 7 писмени процедури; Програма </w:t>
      </w:r>
      <w:proofErr w:type="spellStart"/>
      <w:r w:rsidRPr="00F0472C">
        <w:rPr>
          <w:sz w:val="22"/>
          <w:szCs w:val="22"/>
        </w:rPr>
        <w:t>Интеррег</w:t>
      </w:r>
      <w:proofErr w:type="spellEnd"/>
      <w:r w:rsidRPr="00F0472C">
        <w:rPr>
          <w:sz w:val="22"/>
          <w:szCs w:val="22"/>
        </w:rPr>
        <w:t xml:space="preserve"> VI-A </w:t>
      </w:r>
      <w:r w:rsidR="00CB5189">
        <w:rPr>
          <w:sz w:val="22"/>
          <w:szCs w:val="22"/>
        </w:rPr>
        <w:br/>
      </w:r>
      <w:r w:rsidRPr="00F0472C">
        <w:rPr>
          <w:sz w:val="22"/>
          <w:szCs w:val="22"/>
        </w:rPr>
        <w:t xml:space="preserve">Румъния – България – 1 присъствено заседание и 12 писмени процедури; Програма </w:t>
      </w:r>
      <w:proofErr w:type="spellStart"/>
      <w:r w:rsidRPr="00F0472C">
        <w:rPr>
          <w:sz w:val="22"/>
          <w:szCs w:val="22"/>
        </w:rPr>
        <w:t>Интеррег</w:t>
      </w:r>
      <w:proofErr w:type="spellEnd"/>
      <w:r w:rsidRPr="00F0472C">
        <w:rPr>
          <w:sz w:val="22"/>
          <w:szCs w:val="22"/>
        </w:rPr>
        <w:t xml:space="preserve"> VI-A Гърция – България – 6 писмени процедури; Програма </w:t>
      </w:r>
      <w:proofErr w:type="spellStart"/>
      <w:r w:rsidRPr="00F0472C">
        <w:rPr>
          <w:sz w:val="22"/>
          <w:szCs w:val="22"/>
        </w:rPr>
        <w:t>Интеррег</w:t>
      </w:r>
      <w:proofErr w:type="spellEnd"/>
      <w:r w:rsidRPr="00F0472C">
        <w:rPr>
          <w:sz w:val="22"/>
          <w:szCs w:val="22"/>
        </w:rPr>
        <w:t xml:space="preserve"> VI-A ИПП България – Сърбия – 1 присъствено заседание и 3 писмени процедури; Програма </w:t>
      </w:r>
      <w:proofErr w:type="spellStart"/>
      <w:r w:rsidRPr="00F0472C">
        <w:rPr>
          <w:sz w:val="22"/>
          <w:szCs w:val="22"/>
        </w:rPr>
        <w:t>Интеррег</w:t>
      </w:r>
      <w:proofErr w:type="spellEnd"/>
      <w:r w:rsidRPr="00F0472C">
        <w:rPr>
          <w:sz w:val="22"/>
          <w:szCs w:val="22"/>
        </w:rPr>
        <w:t xml:space="preserve"> VI-A ИПП България – Турция – 1 присъствено заседание и 5 писмени процедури; Програма </w:t>
      </w:r>
      <w:r w:rsidR="00E80BAC">
        <w:rPr>
          <w:sz w:val="22"/>
          <w:szCs w:val="22"/>
        </w:rPr>
        <w:br/>
      </w:r>
      <w:proofErr w:type="spellStart"/>
      <w:r w:rsidRPr="00F0472C">
        <w:rPr>
          <w:sz w:val="22"/>
          <w:szCs w:val="22"/>
        </w:rPr>
        <w:t>Интеррег</w:t>
      </w:r>
      <w:proofErr w:type="spellEnd"/>
      <w:r w:rsidRPr="00F0472C">
        <w:rPr>
          <w:sz w:val="22"/>
          <w:szCs w:val="22"/>
        </w:rPr>
        <w:t xml:space="preserve"> VI-A ИПП България – Северна Македония – 1 присъствено заседание и 1 писмена процедура; ФУМИ – 1 присъствено заседание и 2 писмени процедури; ФВС – 1 присъствено заседание и 1 писмена процедура; ИУГВП – 1 присъствено заседание и 1 писмена процедура.</w:t>
      </w:r>
    </w:p>
    <w:p w14:paraId="73F943D6" w14:textId="77777777" w:rsidR="00BA79C5" w:rsidRPr="006E43B9" w:rsidRDefault="00BA79C5" w:rsidP="00C54E81">
      <w:pPr>
        <w:numPr>
          <w:ilvl w:val="0"/>
          <w:numId w:val="28"/>
        </w:numPr>
        <w:shd w:val="clear" w:color="auto" w:fill="FFFFFF" w:themeFill="background1"/>
        <w:tabs>
          <w:tab w:val="num" w:pos="1712"/>
        </w:tabs>
        <w:spacing w:after="120"/>
        <w:ind w:left="0" w:firstLine="426"/>
        <w:contextualSpacing/>
        <w:jc w:val="both"/>
        <w:rPr>
          <w:b/>
          <w:bCs/>
          <w:sz w:val="22"/>
          <w:szCs w:val="22"/>
        </w:rPr>
      </w:pPr>
      <w:r w:rsidRPr="006E43B9">
        <w:rPr>
          <w:b/>
          <w:bCs/>
          <w:sz w:val="22"/>
          <w:szCs w:val="22"/>
        </w:rPr>
        <w:t>Осъществена ефективна координация на процеса по управление на програмите, финансирани от ШБПС, ФМ на ЕИП и НФМ в България:</w:t>
      </w:r>
    </w:p>
    <w:p w14:paraId="3CAC59CF" w14:textId="77777777"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Проведени са месечни срещи с Швейцарския офис за сътрудничество и координационни срещи с програмните оператори и програмните компонентни оператори за проследяване на процеса на подготовка и изпълнение на програмите и системите им за управление и контрол по ШБПС;</w:t>
      </w:r>
    </w:p>
    <w:p w14:paraId="3AFE37C9" w14:textId="77777777"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Актуализирани са Системите за управление и контрол на изпълнението на ШБПС (версия 2 юни 2025 г.); стартирани са дейностите по подготовка и финализиране на Споразуменията за мерки за подкрепа в тясна координация с програмните оператори;</w:t>
      </w:r>
    </w:p>
    <w:p w14:paraId="45AEEED7" w14:textId="77777777"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Съгласувани Вътрешните правила за дейността на Направляващия комитет по процедура MAPS (съвместни научноизследователски проекти между участници от Швейцария, България, Румъния, Унгария, Полша и Хърватия);</w:t>
      </w:r>
    </w:p>
    <w:p w14:paraId="630D7942" w14:textId="72E42324"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Актуализирани са Системите за управление и контрол на изпълнението на ФМ на ЕИП и НФМ 2014 – 2021 г. (версия 11, в сила от 25.03.2025 г.);</w:t>
      </w:r>
    </w:p>
    <w:p w14:paraId="16F1B9F0" w14:textId="082A773E"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Процедирани са междинни финансови отчети по ФТП и ФДО по ФМ на ЕИП и НФМ за периода юли-декември 2024 г.;</w:t>
      </w:r>
    </w:p>
    <w:p w14:paraId="5276E150" w14:textId="23303FD2"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 xml:space="preserve">Процедиран е доклад за нередности за </w:t>
      </w:r>
      <w:r w:rsidR="00EF329E">
        <w:rPr>
          <w:sz w:val="22"/>
          <w:szCs w:val="22"/>
        </w:rPr>
        <w:t>първото</w:t>
      </w:r>
      <w:r w:rsidRPr="00F0472C">
        <w:rPr>
          <w:sz w:val="22"/>
          <w:szCs w:val="22"/>
        </w:rPr>
        <w:t xml:space="preserve"> тримесечие на 2025 г. по ФМ на ЕИП и НФМ, като са докладвани 17 нови случаи на нередности във връзка с окончателни одитни доклади;</w:t>
      </w:r>
    </w:p>
    <w:p w14:paraId="35AE8B96" w14:textId="37717D50"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 xml:space="preserve">Актуализирана е прогнозата за плащанията по ФТП и ФДО по ФМ на ЕИП и НФМ 2014 – 2021 г.; </w:t>
      </w:r>
    </w:p>
    <w:p w14:paraId="042DC4F3" w14:textId="77777777"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Предоставени са информация и документи във връзка с одита на проекти по ФТП и ФДО, финансирани по линия на ФМ на ЕИП и НФМ 2014 – 2021 г.;</w:t>
      </w:r>
    </w:p>
    <w:p w14:paraId="6AE94E61" w14:textId="77777777"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Проведени са технически срещи между Програмните оператори, НКЗ и Офиса на ФМ на ЕИП във връзка с уточняване на бъдещите мерки за финансиране по програмите по ФМ на ЕИП и НФМ. От българска страна са изпратени концептуални документи с предложения за мерки и разпределение на бюджета по програми;</w:t>
      </w:r>
    </w:p>
    <w:p w14:paraId="1370D09C" w14:textId="548750C0"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Проведени са две</w:t>
      </w:r>
      <w:r w:rsidRPr="00AD774B">
        <w:rPr>
          <w:sz w:val="22"/>
          <w:szCs w:val="22"/>
        </w:rPr>
        <w:t xml:space="preserve"> </w:t>
      </w:r>
      <w:r w:rsidRPr="00F0472C">
        <w:rPr>
          <w:sz w:val="22"/>
          <w:szCs w:val="22"/>
        </w:rPr>
        <w:t>официални срещи</w:t>
      </w:r>
      <w:r w:rsidRPr="00AD774B">
        <w:rPr>
          <w:sz w:val="22"/>
          <w:szCs w:val="22"/>
        </w:rPr>
        <w:t xml:space="preserve"> </w:t>
      </w:r>
      <w:r w:rsidRPr="00F0472C">
        <w:rPr>
          <w:sz w:val="22"/>
          <w:szCs w:val="22"/>
        </w:rPr>
        <w:t>на преговорните екипи на България, Норвегия, Исландия и Лихтенщайн във връзка с новия период на Финансовите механизми на ЕИП и Норвегия 2021 – 2028 г. (18</w:t>
      </w:r>
      <w:r w:rsidR="008E588D">
        <w:rPr>
          <w:sz w:val="22"/>
          <w:szCs w:val="22"/>
        </w:rPr>
        <w:t>.02.</w:t>
      </w:r>
      <w:r w:rsidRPr="00F0472C">
        <w:rPr>
          <w:sz w:val="22"/>
          <w:szCs w:val="22"/>
        </w:rPr>
        <w:t>2025 г. и 19</w:t>
      </w:r>
      <w:r w:rsidR="008E588D">
        <w:rPr>
          <w:sz w:val="22"/>
          <w:szCs w:val="22"/>
        </w:rPr>
        <w:t>.06.</w:t>
      </w:r>
      <w:r w:rsidRPr="00F0472C">
        <w:rPr>
          <w:sz w:val="22"/>
          <w:szCs w:val="22"/>
        </w:rPr>
        <w:t>2025 г.);</w:t>
      </w:r>
    </w:p>
    <w:p w14:paraId="69FF9D67" w14:textId="5E0DEBE3"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lastRenderedPageBreak/>
        <w:t>Участие на представители на Националното координационно звено в заключителните събития по програми: „Културно предприемачество, наследство и сътрудничество“ (24</w:t>
      </w:r>
      <w:r w:rsidR="00C237F3">
        <w:rPr>
          <w:sz w:val="22"/>
          <w:szCs w:val="22"/>
        </w:rPr>
        <w:t xml:space="preserve"> – </w:t>
      </w:r>
      <w:r w:rsidRPr="00F0472C">
        <w:rPr>
          <w:sz w:val="22"/>
          <w:szCs w:val="22"/>
        </w:rPr>
        <w:t>25 февруари 2025 г.), „Възобновяема енергия, енергийна ефективност, енергийна сигурност” (</w:t>
      </w:r>
      <w:r w:rsidR="00C237F3">
        <w:rPr>
          <w:sz w:val="22"/>
          <w:szCs w:val="22"/>
        </w:rPr>
        <w:t>0</w:t>
      </w:r>
      <w:r w:rsidRPr="00F0472C">
        <w:rPr>
          <w:sz w:val="22"/>
          <w:szCs w:val="22"/>
        </w:rPr>
        <w:t>9</w:t>
      </w:r>
      <w:r w:rsidR="00C237F3">
        <w:rPr>
          <w:sz w:val="22"/>
          <w:szCs w:val="22"/>
        </w:rPr>
        <w:t>.04.</w:t>
      </w:r>
      <w:r w:rsidRPr="00F0472C">
        <w:rPr>
          <w:sz w:val="22"/>
          <w:szCs w:val="22"/>
        </w:rPr>
        <w:t>2025 г.) и Програмата за бизнес развитие, иновации и МСП (</w:t>
      </w:r>
      <w:r w:rsidR="00C237F3">
        <w:rPr>
          <w:sz w:val="22"/>
          <w:szCs w:val="22"/>
        </w:rPr>
        <w:t>0</w:t>
      </w:r>
      <w:r w:rsidRPr="00F0472C">
        <w:rPr>
          <w:sz w:val="22"/>
          <w:szCs w:val="22"/>
        </w:rPr>
        <w:t>9</w:t>
      </w:r>
      <w:r w:rsidR="00C237F3">
        <w:rPr>
          <w:sz w:val="22"/>
          <w:szCs w:val="22"/>
        </w:rPr>
        <w:t>.04.</w:t>
      </w:r>
      <w:r w:rsidRPr="00F0472C">
        <w:rPr>
          <w:sz w:val="22"/>
          <w:szCs w:val="22"/>
        </w:rPr>
        <w:t xml:space="preserve">2025 г.); </w:t>
      </w:r>
    </w:p>
    <w:p w14:paraId="0E46631F" w14:textId="09524A53"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Проведена Годишна среща за изпълнението на ФМ на ЕИП и НФМ 2014-2021 г. (19</w:t>
      </w:r>
      <w:r w:rsidR="00C237F3">
        <w:rPr>
          <w:sz w:val="22"/>
          <w:szCs w:val="22"/>
        </w:rPr>
        <w:t>.06.</w:t>
      </w:r>
      <w:r w:rsidR="00C237F3">
        <w:rPr>
          <w:sz w:val="22"/>
          <w:szCs w:val="22"/>
        </w:rPr>
        <w:br/>
      </w:r>
      <w:r w:rsidRPr="00F0472C">
        <w:rPr>
          <w:sz w:val="22"/>
          <w:szCs w:val="22"/>
        </w:rPr>
        <w:t xml:space="preserve">2025 г.); </w:t>
      </w:r>
    </w:p>
    <w:p w14:paraId="3D55428D" w14:textId="1F3FE481"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Организирано и проведено е заключително събитие за третия за България програмен период на Финансовите механизми на Европейското икономическо пространство и Норвегия (19</w:t>
      </w:r>
      <w:r w:rsidR="0044617B">
        <w:rPr>
          <w:sz w:val="22"/>
          <w:szCs w:val="22"/>
        </w:rPr>
        <w:t>.06.</w:t>
      </w:r>
      <w:r w:rsidRPr="00F0472C">
        <w:rPr>
          <w:sz w:val="22"/>
          <w:szCs w:val="22"/>
        </w:rPr>
        <w:t xml:space="preserve">2025 г.), в рамките на което бяха показани технологични иновации, откъси от артистични прояви, закупена модерна технология и разкази от първо лице на хора, работили по проекти; </w:t>
      </w:r>
    </w:p>
    <w:p w14:paraId="0AE6EE19" w14:textId="77777777"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Процедирани са междинни финансови отчети по ФТП и ФПМП на ШБПС за периода юли-декември 2024 г., след извършена верификация на разходи. Стартиран процес по подготовка за верификация на разходите за периода януари</w:t>
      </w:r>
      <w:r w:rsidRPr="00B43B81">
        <w:rPr>
          <w:sz w:val="22"/>
          <w:szCs w:val="22"/>
        </w:rPr>
        <w:t>-</w:t>
      </w:r>
      <w:r w:rsidRPr="00F0472C">
        <w:rPr>
          <w:sz w:val="22"/>
          <w:szCs w:val="22"/>
        </w:rPr>
        <w:t>юни 2025 г.;</w:t>
      </w:r>
    </w:p>
    <w:p w14:paraId="5848E483" w14:textId="77777777"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Организирано и проведено е откриващо събитие по ШБПС;</w:t>
      </w:r>
    </w:p>
    <w:p w14:paraId="7F734E9A" w14:textId="77777777"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Организирана и проведена е третата годишна среща за отчитане на напредъка в изпълнението на ШБПС.</w:t>
      </w:r>
    </w:p>
    <w:p w14:paraId="059B620F" w14:textId="1C8BAC48" w:rsidR="00BA79C5" w:rsidRPr="006E43B9" w:rsidRDefault="00BA79C5" w:rsidP="00C54E81">
      <w:pPr>
        <w:numPr>
          <w:ilvl w:val="0"/>
          <w:numId w:val="28"/>
        </w:numPr>
        <w:shd w:val="clear" w:color="auto" w:fill="FFFFFF" w:themeFill="background1"/>
        <w:tabs>
          <w:tab w:val="num" w:pos="1712"/>
        </w:tabs>
        <w:spacing w:after="120"/>
        <w:ind w:left="0" w:firstLine="426"/>
        <w:contextualSpacing/>
        <w:jc w:val="both"/>
        <w:rPr>
          <w:b/>
          <w:bCs/>
          <w:sz w:val="22"/>
          <w:szCs w:val="22"/>
        </w:rPr>
      </w:pPr>
      <w:r w:rsidRPr="006E43B9">
        <w:rPr>
          <w:b/>
          <w:bCs/>
          <w:sz w:val="22"/>
          <w:szCs w:val="22"/>
        </w:rPr>
        <w:t xml:space="preserve">Осигурени предпоставки за намаляване на икономическите и социални различия, осигуряване на стабилност, сигурност и развитие и укрепване на двустранните отношения между България и Конфедерация Швейцария, както и между България и страните </w:t>
      </w:r>
      <w:r w:rsidR="00A774F1" w:rsidRPr="006E43B9">
        <w:rPr>
          <w:b/>
          <w:bCs/>
          <w:sz w:val="22"/>
          <w:szCs w:val="22"/>
        </w:rPr>
        <w:t>–</w:t>
      </w:r>
      <w:r w:rsidRPr="006E43B9">
        <w:rPr>
          <w:b/>
          <w:bCs/>
          <w:sz w:val="22"/>
          <w:szCs w:val="22"/>
        </w:rPr>
        <w:t xml:space="preserve"> донори от ЕАСТ – Норвегия, Исландия и Лихтенщайн:</w:t>
      </w:r>
    </w:p>
    <w:p w14:paraId="350D9385" w14:textId="5486EAA2"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 xml:space="preserve">Подписани са 5 Споразумения за мерки за подкрепа по ШБПС: Интегриране на </w:t>
      </w:r>
      <w:proofErr w:type="spellStart"/>
      <w:r w:rsidRPr="00F0472C">
        <w:rPr>
          <w:sz w:val="22"/>
          <w:szCs w:val="22"/>
        </w:rPr>
        <w:t>дуалното</w:t>
      </w:r>
      <w:proofErr w:type="spellEnd"/>
      <w:r w:rsidRPr="00F0472C">
        <w:rPr>
          <w:sz w:val="22"/>
          <w:szCs w:val="22"/>
        </w:rPr>
        <w:t xml:space="preserve"> професионално образование и обучение (ДПОО) в България (ДОМИНО 2) на 23.04.2025 г., Осигуряване на подкрепа за управлението на миграцията и насърчаване на мерките за интеграция на 25.06.2025 г., Подобрено качество на въздуха чрез модернизирана и призната национална система за измерване на качеството на въздуха и научни партньорства (</w:t>
      </w:r>
      <w:proofErr w:type="spellStart"/>
      <w:r w:rsidRPr="005627C2">
        <w:rPr>
          <w:sz w:val="22"/>
          <w:szCs w:val="22"/>
        </w:rPr>
        <w:t>ModAIRn</w:t>
      </w:r>
      <w:proofErr w:type="spellEnd"/>
      <w:r w:rsidRPr="00F0472C">
        <w:rPr>
          <w:sz w:val="22"/>
          <w:szCs w:val="22"/>
        </w:rPr>
        <w:t xml:space="preserve">) на 25.06.2025 г., Профилактика и укрепване на здравето на 23.04.2025 г., Здраве и образование за всички (ЗОВ II) на 11.02.2025 г.; </w:t>
      </w:r>
    </w:p>
    <w:p w14:paraId="64E12663" w14:textId="77777777"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 xml:space="preserve">Подписано е Споразумение на изпълнение на мярка на подкрепа по Швейцарско-българска програма за научни изследвания (на 06.02.2025 г.); </w:t>
      </w:r>
    </w:p>
    <w:p w14:paraId="2C8A9256" w14:textId="77777777"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 xml:space="preserve">Приключена е оценката по </w:t>
      </w:r>
      <w:proofErr w:type="spellStart"/>
      <w:r w:rsidRPr="005627C2">
        <w:rPr>
          <w:sz w:val="22"/>
          <w:szCs w:val="22"/>
        </w:rPr>
        <w:t>Sciex</w:t>
      </w:r>
      <w:proofErr w:type="spellEnd"/>
      <w:r w:rsidRPr="00F0472C">
        <w:rPr>
          <w:sz w:val="22"/>
          <w:szCs w:val="22"/>
        </w:rPr>
        <w:t xml:space="preserve"> и MAPS. Договорите по PROMYS са в процес на изпълнение от декември 2024 г. ПО подаде и първото искане за възстановяване до НФ. Беше представен и първият годишен доклад за изпълнението на мярката за подкрепа;</w:t>
      </w:r>
    </w:p>
    <w:p w14:paraId="5B1CB612" w14:textId="589D06DB"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 xml:space="preserve">В рамките на първата половина на 2025 г. са проведени по едно заседание на Направляващите комитети по програми Сигурност (10.06.2025 г.), Швейцарско-българска програма за научни изследвания (11.06.2025 г.) и CETF </w:t>
      </w:r>
      <w:r w:rsidR="00A774F1">
        <w:rPr>
          <w:sz w:val="22"/>
          <w:szCs w:val="22"/>
        </w:rPr>
        <w:t>–</w:t>
      </w:r>
      <w:r w:rsidRPr="00F0472C">
        <w:rPr>
          <w:sz w:val="22"/>
          <w:szCs w:val="22"/>
        </w:rPr>
        <w:t xml:space="preserve"> Механизъм за гражданска ангажираност и прозрачност (28.05.2025</w:t>
      </w:r>
      <w:r w:rsidR="00A774F1">
        <w:rPr>
          <w:sz w:val="22"/>
          <w:szCs w:val="22"/>
        </w:rPr>
        <w:t xml:space="preserve"> г.</w:t>
      </w:r>
      <w:r w:rsidRPr="00F0472C">
        <w:rPr>
          <w:sz w:val="22"/>
          <w:szCs w:val="22"/>
        </w:rPr>
        <w:t>);</w:t>
      </w:r>
    </w:p>
    <w:p w14:paraId="7781BFA8" w14:textId="77777777"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Във връзка с уреждането на авансовите плащания и верификацията на разходите на швейцарските партньори, на 25.06.2025 бяха подписани анекси към Споразуменията за мерки за подкрепа по програми с акроними ДОМИНО 2, Здраве, ЗОВ 2 и Сигурност;</w:t>
      </w:r>
    </w:p>
    <w:p w14:paraId="47A2782E" w14:textId="77777777"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На 19.06.2025 към Швейцарския офис за сътрудничество са подадени ревизирани документи, както и проект на споразумение за мярка за подкрепа по програма „Мониторинг, контрол и обезвреждане на остарели пестициди и мерки за превенция“.</w:t>
      </w:r>
    </w:p>
    <w:p w14:paraId="3EE96922" w14:textId="77777777" w:rsidR="00BA79C5" w:rsidRPr="00A03086" w:rsidRDefault="00BA79C5" w:rsidP="00C54E81">
      <w:pPr>
        <w:numPr>
          <w:ilvl w:val="0"/>
          <w:numId w:val="28"/>
        </w:numPr>
        <w:shd w:val="clear" w:color="auto" w:fill="FFFFFF" w:themeFill="background1"/>
        <w:tabs>
          <w:tab w:val="num" w:pos="1712"/>
        </w:tabs>
        <w:spacing w:after="120"/>
        <w:ind w:left="0" w:firstLine="426"/>
        <w:contextualSpacing/>
        <w:jc w:val="both"/>
        <w:rPr>
          <w:b/>
          <w:bCs/>
          <w:sz w:val="22"/>
          <w:szCs w:val="22"/>
        </w:rPr>
      </w:pPr>
      <w:r w:rsidRPr="00A03086">
        <w:rPr>
          <w:b/>
          <w:bCs/>
          <w:sz w:val="22"/>
          <w:szCs w:val="22"/>
        </w:rPr>
        <w:t>Ръководене и координиране на дейността на РГ 19 към СЕВ:</w:t>
      </w:r>
    </w:p>
    <w:p w14:paraId="1B7310D3" w14:textId="12479C55"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 xml:space="preserve">Участие в заседание на Съвета на ЕС по общи въпроси – част „Кохезионна политика“, което се проведе на 28 март в Брюксел, на което министрите, отговарящи за сближаването превръщането на КП в </w:t>
      </w:r>
      <w:r w:rsidRPr="00296CF2">
        <w:rPr>
          <w:sz w:val="22"/>
          <w:szCs w:val="22"/>
        </w:rPr>
        <w:t>по-динамична, стратегическа и осигуряваща промяна в настоящата и следващата МФР, както и обмениха неформално мнения относно възможностите за осигуряване на достатъчно финансиране</w:t>
      </w:r>
      <w:r w:rsidRPr="00F0472C">
        <w:rPr>
          <w:sz w:val="22"/>
          <w:szCs w:val="22"/>
        </w:rPr>
        <w:t>. Също така бяха одобрени подготвените и дискутирани с българско участие в РГСМОР и КОРЕПЕР, Заключения на Съвета относно сближаването и КП след 2027 г.; За целите на заседанието ЦКЗ предварително подготви, съгласува в РГ19 и представи за одобрение на СЕВ, проект на позиция за участие на Р. България която беше одобрена впоследствие и от МС. След заседанието беше представен на СЕВ и МС доклад за резултатите от обсъжданията и българското участие в тях;</w:t>
      </w:r>
    </w:p>
    <w:p w14:paraId="28592F78" w14:textId="77777777"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lastRenderedPageBreak/>
        <w:t>Съгласуване в РГ19 на позиция за участие на Р. България в неформалното заседание на министрите от ЕС за кохезия, териториално развитие и градски въпроси на 28 май във Варшава;</w:t>
      </w:r>
    </w:p>
    <w:p w14:paraId="007EC6A5" w14:textId="00786DAB"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 xml:space="preserve">ЦКЗ предостави принос и съгласува в РГ19 предложения за два </w:t>
      </w:r>
      <w:proofErr w:type="spellStart"/>
      <w:r w:rsidRPr="00F0472C">
        <w:rPr>
          <w:sz w:val="22"/>
          <w:szCs w:val="22"/>
        </w:rPr>
        <w:t>нон-пейпъра</w:t>
      </w:r>
      <w:proofErr w:type="spellEnd"/>
      <w:r w:rsidRPr="00F0472C">
        <w:rPr>
          <w:sz w:val="22"/>
          <w:szCs w:val="22"/>
        </w:rPr>
        <w:t>, които бяха изработени и изпратени на високо ниво на ЕК: 1</w:t>
      </w:r>
      <w:r w:rsidRPr="00296CF2">
        <w:rPr>
          <w:sz w:val="22"/>
          <w:szCs w:val="22"/>
        </w:rPr>
        <w:t>)</w:t>
      </w:r>
      <w:r w:rsidRPr="00F0472C">
        <w:rPr>
          <w:sz w:val="22"/>
          <w:szCs w:val="22"/>
        </w:rPr>
        <w:t xml:space="preserve"> </w:t>
      </w:r>
      <w:proofErr w:type="spellStart"/>
      <w:r w:rsidRPr="00F0472C">
        <w:rPr>
          <w:sz w:val="22"/>
          <w:szCs w:val="22"/>
        </w:rPr>
        <w:t>Нон-пейпър</w:t>
      </w:r>
      <w:proofErr w:type="spellEnd"/>
      <w:r w:rsidRPr="00F0472C">
        <w:rPr>
          <w:sz w:val="22"/>
          <w:szCs w:val="22"/>
        </w:rPr>
        <w:t xml:space="preserve"> „Силна политика на сближаване за растеж, конвергенция и конкурентоспособност“ на 16 ДЧ “приятели на кохезията“, февруари 2025 г. и </w:t>
      </w:r>
      <w:r w:rsidRPr="00296CF2">
        <w:rPr>
          <w:sz w:val="22"/>
          <w:szCs w:val="22"/>
        </w:rPr>
        <w:t xml:space="preserve">2) </w:t>
      </w:r>
      <w:proofErr w:type="spellStart"/>
      <w:r w:rsidRPr="00F0472C">
        <w:rPr>
          <w:sz w:val="22"/>
          <w:szCs w:val="22"/>
        </w:rPr>
        <w:t>Нон-пейпър</w:t>
      </w:r>
      <w:proofErr w:type="spellEnd"/>
      <w:r w:rsidRPr="00F0472C">
        <w:rPr>
          <w:sz w:val="22"/>
          <w:szCs w:val="22"/>
        </w:rPr>
        <w:t xml:space="preserve"> „Политиката за сближаване в бъдещата МФР“ на 14 ДЧ „приятели на кохезията“, юни 2025;</w:t>
      </w:r>
    </w:p>
    <w:p w14:paraId="1A975653" w14:textId="48FEB072"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 xml:space="preserve">Като секретариат на РГ19 ЦКЗ подготви, съгласува в РГ и представи на СЕВ 2 проекта на рамкови позиции за участие на България в преговорите, вкл. на техническо ниво, по 2 предложения на ЕК: 1) предложение за Регламент на Европейския парламент (EП) и на Съвета за изменение на Регламенти (EС) 2021/1058 и (EC) 2021/1056 относно конкретни мерки за справяне със стратегически предизвикателства в контекста на Средносрочния преглед и </w:t>
      </w:r>
      <w:r w:rsidR="00327A80">
        <w:rPr>
          <w:sz w:val="22"/>
          <w:szCs w:val="22"/>
        </w:rPr>
        <w:br/>
      </w:r>
      <w:r w:rsidRPr="00F20DBA">
        <w:rPr>
          <w:sz w:val="22"/>
          <w:szCs w:val="22"/>
        </w:rPr>
        <w:t xml:space="preserve">2) </w:t>
      </w:r>
      <w:r w:rsidRPr="00F0472C">
        <w:rPr>
          <w:sz w:val="22"/>
          <w:szCs w:val="22"/>
        </w:rPr>
        <w:t>предложение за Регламент за изменение на Регламент (EС) 2021/1057 за създаването на Европейския социален фонд + относно конкретни мерки за справяне със стратегически предизвикателства, одобрени на СЕВ на 17 април;</w:t>
      </w:r>
    </w:p>
    <w:p w14:paraId="3AD77257" w14:textId="77777777"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предоставени 6 приноса и информация към МВнР за целите на обсъжданията в рамките на Комитета на постоянните представители във връзка с предложенията за регламенти, подготовката на заседанията на Съвет по общи въпроси, формат „Кохезионна политика“, както и проект на заключения за одобряване от Европейския съвет на заседанието му на 20-21 март;</w:t>
      </w:r>
    </w:p>
    <w:p w14:paraId="764A3DD2" w14:textId="77777777" w:rsidR="00BA79C5" w:rsidRPr="00F0472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Дирекция ЦКЗ в АМС координира и осигури българското участие и в заседанието на Експертната група към ЕК по Регламента относно общоприложимите разпоредби за фондовете на споделено управление ЕГРОР на 16 юни, на което бяха обсъдени практически въпроси на изпълнението на програмите за сближаване;</w:t>
      </w:r>
    </w:p>
    <w:p w14:paraId="46E68C67" w14:textId="0B3796F4" w:rsidR="00C1608C" w:rsidRPr="00C1608C" w:rsidRDefault="00BA79C5" w:rsidP="00C54E81">
      <w:pPr>
        <w:numPr>
          <w:ilvl w:val="0"/>
          <w:numId w:val="42"/>
        </w:numPr>
        <w:shd w:val="clear" w:color="auto" w:fill="FFFFFF" w:themeFill="background1"/>
        <w:tabs>
          <w:tab w:val="left" w:pos="709"/>
        </w:tabs>
        <w:ind w:left="426" w:firstLine="0"/>
        <w:jc w:val="both"/>
        <w:rPr>
          <w:sz w:val="22"/>
          <w:szCs w:val="22"/>
        </w:rPr>
      </w:pPr>
      <w:r w:rsidRPr="00F0472C">
        <w:rPr>
          <w:sz w:val="22"/>
          <w:szCs w:val="22"/>
        </w:rPr>
        <w:t>ЦКЗ представляваше страната ни в заседанията на РГСМОР, както и в предварителни координационни срещи с представители на отделни ДЧ по определени въпроси. За отчетния период бяха подготвени, съгласувани, в рамките на РГ 19 и изпратени указания за участие в 13 заседания на РГСМОР. Съответните доклади от заседанията са разпространени в РГ19.</w:t>
      </w:r>
    </w:p>
    <w:p w14:paraId="626BDEE0" w14:textId="77777777" w:rsidR="00C1608C" w:rsidRPr="00C54E81" w:rsidRDefault="00C1608C" w:rsidP="00C54E81">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C54E81">
        <w:rPr>
          <w:b/>
          <w:bCs/>
          <w:i/>
          <w:iCs/>
          <w:color w:val="215E99" w:themeColor="text2" w:themeTint="BF"/>
          <w:sz w:val="22"/>
          <w:szCs w:val="22"/>
        </w:rPr>
        <w:t>Осигуряване на предпоставки за ефективно функциониране на системата за управление и контрол на средствата от Европейския съюз и от други донорски програми</w:t>
      </w:r>
    </w:p>
    <w:p w14:paraId="5F522FB5" w14:textId="77777777" w:rsidR="00C1608C" w:rsidRPr="009E12D9" w:rsidRDefault="00C1608C" w:rsidP="00C54E81">
      <w:pPr>
        <w:numPr>
          <w:ilvl w:val="0"/>
          <w:numId w:val="28"/>
        </w:numPr>
        <w:shd w:val="clear" w:color="auto" w:fill="FFFFFF" w:themeFill="background1"/>
        <w:tabs>
          <w:tab w:val="num" w:pos="1712"/>
        </w:tabs>
        <w:spacing w:after="120"/>
        <w:ind w:left="0" w:firstLine="426"/>
        <w:contextualSpacing/>
        <w:jc w:val="both"/>
        <w:rPr>
          <w:b/>
          <w:bCs/>
          <w:sz w:val="22"/>
          <w:szCs w:val="22"/>
        </w:rPr>
      </w:pPr>
      <w:r w:rsidRPr="009E12D9">
        <w:rPr>
          <w:b/>
          <w:bCs/>
          <w:sz w:val="22"/>
          <w:szCs w:val="22"/>
        </w:rPr>
        <w:t>Наличие на надеждна информационна система за управление и наблюдение на средствата от ЕСИФ, ЕФСУ и НПВУ:</w:t>
      </w:r>
    </w:p>
    <w:p w14:paraId="6EFD2804" w14:textId="38A9C662" w:rsidR="00C1608C" w:rsidRPr="00E77FF6" w:rsidRDefault="00C1608C" w:rsidP="00C54E81">
      <w:pPr>
        <w:numPr>
          <w:ilvl w:val="0"/>
          <w:numId w:val="42"/>
        </w:numPr>
        <w:shd w:val="clear" w:color="auto" w:fill="FFFFFF" w:themeFill="background1"/>
        <w:tabs>
          <w:tab w:val="left" w:pos="709"/>
        </w:tabs>
        <w:ind w:left="426" w:firstLine="0"/>
        <w:jc w:val="both"/>
        <w:rPr>
          <w:sz w:val="22"/>
          <w:szCs w:val="22"/>
        </w:rPr>
      </w:pPr>
      <w:r w:rsidRPr="00E77FF6">
        <w:rPr>
          <w:sz w:val="22"/>
          <w:szCs w:val="22"/>
        </w:rPr>
        <w:t xml:space="preserve">През отчетния период </w:t>
      </w:r>
      <w:r w:rsidRPr="00C1608C">
        <w:rPr>
          <w:sz w:val="22"/>
          <w:szCs w:val="22"/>
        </w:rPr>
        <w:t>е добавена нова функционалност, свързана с прехвърляне на данни от програмен период 2007</w:t>
      </w:r>
      <w:r>
        <w:rPr>
          <w:sz w:val="22"/>
          <w:szCs w:val="22"/>
        </w:rPr>
        <w:t xml:space="preserve"> – </w:t>
      </w:r>
      <w:r w:rsidRPr="00C1608C">
        <w:rPr>
          <w:sz w:val="22"/>
          <w:szCs w:val="22"/>
        </w:rPr>
        <w:t xml:space="preserve">2013 към публичния модул на ИСУН. Извършени са също така редица актуализации с оглед подобряване и ускоряване на работните процеси и електронизация на процеси, свързани с изпълнението на проектите и програмите. </w:t>
      </w:r>
      <w:r w:rsidRPr="00E77FF6">
        <w:rPr>
          <w:sz w:val="22"/>
          <w:szCs w:val="22"/>
        </w:rPr>
        <w:t>Наличността и сигурността при функционирането на системата е от ключово значение за цялостното изпълнение на програми, финансирани от ЕС на стойност над 65 млрд. лева. Към настоящия момент в системата има регистрирани над 240 000 потребителя, а базите данни на системата възлизат на над 105 ТБ. Това обуславя необходимостта от определено преобразуване и оптимизация на структурата на базите данни, за да бъде осигурено бързото и надеждно обработване на въвежданата в системата информация, което изисква и използването на значителни ресурси за безпроблемното изпълнение на различните операции;</w:t>
      </w:r>
    </w:p>
    <w:p w14:paraId="00F50590" w14:textId="7E5EEAA3" w:rsidR="00C1608C" w:rsidRPr="00E77FF6" w:rsidRDefault="00C1608C" w:rsidP="00C54E81">
      <w:pPr>
        <w:numPr>
          <w:ilvl w:val="0"/>
          <w:numId w:val="42"/>
        </w:numPr>
        <w:shd w:val="clear" w:color="auto" w:fill="FFFFFF" w:themeFill="background1"/>
        <w:tabs>
          <w:tab w:val="left" w:pos="709"/>
        </w:tabs>
        <w:ind w:left="426" w:firstLine="0"/>
        <w:jc w:val="both"/>
        <w:rPr>
          <w:sz w:val="22"/>
          <w:szCs w:val="22"/>
        </w:rPr>
      </w:pPr>
      <w:r w:rsidRPr="00E77FF6">
        <w:rPr>
          <w:sz w:val="22"/>
          <w:szCs w:val="22"/>
        </w:rPr>
        <w:t>Чрез звеното за техническа помощ на ИСУН 2020 е осигурено текущо съдействие на всички потребители на системата. През отчетния период са обработени 1</w:t>
      </w:r>
      <w:r w:rsidR="001C3D21">
        <w:rPr>
          <w:sz w:val="22"/>
          <w:szCs w:val="22"/>
        </w:rPr>
        <w:t xml:space="preserve"> </w:t>
      </w:r>
      <w:r w:rsidRPr="00E77FF6">
        <w:rPr>
          <w:sz w:val="22"/>
          <w:szCs w:val="22"/>
        </w:rPr>
        <w:t>174</w:t>
      </w:r>
      <w:r w:rsidRPr="001C3D21">
        <w:rPr>
          <w:sz w:val="22"/>
          <w:szCs w:val="22"/>
        </w:rPr>
        <w:t xml:space="preserve"> </w:t>
      </w:r>
      <w:r w:rsidRPr="00E77FF6">
        <w:rPr>
          <w:sz w:val="22"/>
          <w:szCs w:val="22"/>
        </w:rPr>
        <w:t>заявки от потребители на системата и е оказано методическо съдействие. За отчетния период са налични 227 бр. пакета за актуализации на потребителски профили, с които са обработени 970 бр. заявки;</w:t>
      </w:r>
    </w:p>
    <w:p w14:paraId="52E30C33" w14:textId="3B662455" w:rsidR="00C1608C" w:rsidRPr="00E77FF6" w:rsidRDefault="00C1608C" w:rsidP="00C54E81">
      <w:pPr>
        <w:numPr>
          <w:ilvl w:val="0"/>
          <w:numId w:val="42"/>
        </w:numPr>
        <w:shd w:val="clear" w:color="auto" w:fill="FFFFFF" w:themeFill="background1"/>
        <w:tabs>
          <w:tab w:val="left" w:pos="709"/>
        </w:tabs>
        <w:ind w:left="426" w:firstLine="0"/>
        <w:jc w:val="both"/>
        <w:rPr>
          <w:sz w:val="22"/>
          <w:szCs w:val="22"/>
        </w:rPr>
      </w:pPr>
      <w:r w:rsidRPr="00E77FF6">
        <w:rPr>
          <w:sz w:val="22"/>
          <w:szCs w:val="22"/>
        </w:rPr>
        <w:t>Осъществено е управление на достъпа на Системата SFC 2007-2013, SFC 2014 и SFC 2021 на Европейската комисия. През отчетния период са обработени общо 36 заявки за Системата SFC 2007</w:t>
      </w:r>
      <w:r w:rsidR="001C3D21">
        <w:rPr>
          <w:sz w:val="22"/>
          <w:szCs w:val="22"/>
        </w:rPr>
        <w:t xml:space="preserve"> – </w:t>
      </w:r>
      <w:r w:rsidRPr="00E77FF6">
        <w:rPr>
          <w:sz w:val="22"/>
          <w:szCs w:val="22"/>
        </w:rPr>
        <w:t>2013 и SFC 2014</w:t>
      </w:r>
      <w:r w:rsidR="001C3D21">
        <w:rPr>
          <w:sz w:val="22"/>
          <w:szCs w:val="22"/>
        </w:rPr>
        <w:t>,</w:t>
      </w:r>
      <w:r w:rsidRPr="00E77FF6">
        <w:rPr>
          <w:sz w:val="22"/>
          <w:szCs w:val="22"/>
        </w:rPr>
        <w:t xml:space="preserve"> и SFC 2021 на ЕК;</w:t>
      </w:r>
    </w:p>
    <w:p w14:paraId="6B57E4C8" w14:textId="720DF441" w:rsidR="00C1608C" w:rsidRPr="00E77FF6" w:rsidRDefault="00C1608C" w:rsidP="00C54E81">
      <w:pPr>
        <w:numPr>
          <w:ilvl w:val="0"/>
          <w:numId w:val="42"/>
        </w:numPr>
        <w:shd w:val="clear" w:color="auto" w:fill="FFFFFF" w:themeFill="background1"/>
        <w:tabs>
          <w:tab w:val="left" w:pos="709"/>
        </w:tabs>
        <w:ind w:left="426" w:firstLine="0"/>
        <w:jc w:val="both"/>
        <w:rPr>
          <w:sz w:val="22"/>
          <w:szCs w:val="22"/>
        </w:rPr>
      </w:pPr>
      <w:r w:rsidRPr="00E77FF6">
        <w:rPr>
          <w:sz w:val="22"/>
          <w:szCs w:val="22"/>
        </w:rPr>
        <w:t xml:space="preserve">Осъществено е управление на достъпа и актуализиране на информацията в Системата ARACHNE на Европейската комисия: През отчетния период са обработени общо 166 заявки за създаване и актуализация на потребителски профили в системата. Генерирана и предоставена е детайлна информация по програмите, финансирани от ЕС за целите на инструмента на ЕК за </w:t>
      </w:r>
      <w:r w:rsidRPr="00E77FF6">
        <w:rPr>
          <w:sz w:val="22"/>
          <w:szCs w:val="22"/>
        </w:rPr>
        <w:lastRenderedPageBreak/>
        <w:t>измерване на риска от измами и нередности ARACHNE. В системата са заредени 285 файла с информация за програмен период 2014</w:t>
      </w:r>
      <w:r w:rsidR="001C3D21">
        <w:rPr>
          <w:sz w:val="22"/>
          <w:szCs w:val="22"/>
        </w:rPr>
        <w:t xml:space="preserve"> – </w:t>
      </w:r>
      <w:r w:rsidRPr="00E77FF6">
        <w:rPr>
          <w:sz w:val="22"/>
          <w:szCs w:val="22"/>
        </w:rPr>
        <w:t>2020, програмен период 2021</w:t>
      </w:r>
      <w:r w:rsidR="001C3D21">
        <w:rPr>
          <w:sz w:val="22"/>
          <w:szCs w:val="22"/>
        </w:rPr>
        <w:t xml:space="preserve"> – </w:t>
      </w:r>
      <w:r w:rsidRPr="00E77FF6">
        <w:rPr>
          <w:sz w:val="22"/>
          <w:szCs w:val="22"/>
        </w:rPr>
        <w:t>2027 и Плана за възстановяване и устойчивост.</w:t>
      </w:r>
    </w:p>
    <w:p w14:paraId="25F0B34F" w14:textId="31E07FC6" w:rsidR="00C1608C" w:rsidRPr="00E77FF6" w:rsidRDefault="00C1608C" w:rsidP="00C54E81">
      <w:pPr>
        <w:numPr>
          <w:ilvl w:val="0"/>
          <w:numId w:val="42"/>
        </w:numPr>
        <w:shd w:val="clear" w:color="auto" w:fill="FFFFFF" w:themeFill="background1"/>
        <w:tabs>
          <w:tab w:val="left" w:pos="709"/>
        </w:tabs>
        <w:ind w:left="426" w:firstLine="0"/>
        <w:jc w:val="both"/>
        <w:rPr>
          <w:sz w:val="22"/>
          <w:szCs w:val="22"/>
        </w:rPr>
      </w:pPr>
      <w:r w:rsidRPr="00E77FF6">
        <w:rPr>
          <w:sz w:val="22"/>
          <w:szCs w:val="22"/>
        </w:rPr>
        <w:t>Проведени са две заседания на Работната група за развитие на ИСУН: на дата 14.01.2025 г. е проведена работна среща относно управлението на финансовите инструменти през програмен период 2021</w:t>
      </w:r>
      <w:r w:rsidR="001C3D21">
        <w:rPr>
          <w:sz w:val="22"/>
          <w:szCs w:val="22"/>
        </w:rPr>
        <w:t xml:space="preserve"> – </w:t>
      </w:r>
      <w:r w:rsidRPr="00E77FF6">
        <w:rPr>
          <w:sz w:val="22"/>
          <w:szCs w:val="22"/>
        </w:rPr>
        <w:t>2027 г. за развитие на ИСУН и на дата 21.01.2025 г. е проведена втората работна среща, свързана с начина на въвеждане на информацията за място на изпълнение на проектите, както и специфичните данни, необходими за отчитане на програмите, финансирани по ЕСФ+ в ИСУН през програмен период 2021</w:t>
      </w:r>
      <w:r w:rsidR="001C3D21">
        <w:rPr>
          <w:sz w:val="22"/>
          <w:szCs w:val="22"/>
        </w:rPr>
        <w:t xml:space="preserve"> – </w:t>
      </w:r>
      <w:r w:rsidRPr="00E77FF6">
        <w:rPr>
          <w:sz w:val="22"/>
          <w:szCs w:val="22"/>
        </w:rPr>
        <w:t>2027 г.</w:t>
      </w:r>
    </w:p>
    <w:p w14:paraId="278284A3" w14:textId="77777777" w:rsidR="00C1608C" w:rsidRPr="00E00069" w:rsidRDefault="00C1608C" w:rsidP="00C54E81">
      <w:pPr>
        <w:numPr>
          <w:ilvl w:val="0"/>
          <w:numId w:val="28"/>
        </w:numPr>
        <w:shd w:val="clear" w:color="auto" w:fill="FFFFFF" w:themeFill="background1"/>
        <w:tabs>
          <w:tab w:val="num" w:pos="1712"/>
        </w:tabs>
        <w:spacing w:after="120"/>
        <w:ind w:left="0" w:firstLine="426"/>
        <w:contextualSpacing/>
        <w:jc w:val="both"/>
        <w:rPr>
          <w:b/>
          <w:bCs/>
          <w:sz w:val="22"/>
          <w:szCs w:val="22"/>
        </w:rPr>
      </w:pPr>
      <w:r w:rsidRPr="00E00069">
        <w:rPr>
          <w:b/>
          <w:bCs/>
          <w:sz w:val="22"/>
          <w:szCs w:val="22"/>
        </w:rPr>
        <w:t>Осъществено цялостното управление на Фонда за техническа помощ (ФТП) и Фонда за двустранни отношения (ФДО) по ФМ на ЕИП и НФМ, както и на Фонда за техническа помощ и Фонда за подготовка на мерки за подкрепа (ФПМП) по ШБПС, насочено към постигане на техните цели и изпълнение на финансовите им планове:</w:t>
      </w:r>
    </w:p>
    <w:p w14:paraId="55271A89" w14:textId="7D3ED892" w:rsidR="00C1608C" w:rsidRPr="00E77FF6" w:rsidRDefault="00C1608C" w:rsidP="00C54E81">
      <w:pPr>
        <w:numPr>
          <w:ilvl w:val="0"/>
          <w:numId w:val="42"/>
        </w:numPr>
        <w:shd w:val="clear" w:color="auto" w:fill="FFFFFF" w:themeFill="background1"/>
        <w:tabs>
          <w:tab w:val="left" w:pos="709"/>
        </w:tabs>
        <w:ind w:left="426" w:firstLine="0"/>
        <w:jc w:val="both"/>
        <w:rPr>
          <w:sz w:val="22"/>
          <w:szCs w:val="22"/>
        </w:rPr>
      </w:pPr>
      <w:r w:rsidRPr="00E77FF6">
        <w:rPr>
          <w:sz w:val="22"/>
          <w:szCs w:val="22"/>
        </w:rPr>
        <w:t>Извършени плащания по Фонд за техническа помощ на ШБПС в размер на 29 512 лв. и заявено искане за възстановяване на разходи в размер на 71</w:t>
      </w:r>
      <w:r w:rsidR="00E23AE4">
        <w:rPr>
          <w:sz w:val="22"/>
          <w:szCs w:val="22"/>
        </w:rPr>
        <w:t xml:space="preserve"> </w:t>
      </w:r>
      <w:r w:rsidRPr="00E77FF6">
        <w:rPr>
          <w:sz w:val="22"/>
          <w:szCs w:val="22"/>
        </w:rPr>
        <w:t>161 лв.;</w:t>
      </w:r>
    </w:p>
    <w:p w14:paraId="5831D1E2" w14:textId="5B25144A" w:rsidR="00C1608C" w:rsidRPr="00E77FF6" w:rsidRDefault="00C1608C" w:rsidP="00C54E81">
      <w:pPr>
        <w:numPr>
          <w:ilvl w:val="0"/>
          <w:numId w:val="42"/>
        </w:numPr>
        <w:shd w:val="clear" w:color="auto" w:fill="FFFFFF" w:themeFill="background1"/>
        <w:tabs>
          <w:tab w:val="left" w:pos="709"/>
        </w:tabs>
        <w:ind w:left="426" w:firstLine="0"/>
        <w:jc w:val="both"/>
        <w:rPr>
          <w:sz w:val="22"/>
          <w:szCs w:val="22"/>
        </w:rPr>
      </w:pPr>
      <w:r w:rsidRPr="00E77FF6">
        <w:rPr>
          <w:sz w:val="22"/>
          <w:szCs w:val="22"/>
        </w:rPr>
        <w:t xml:space="preserve">Извършени плащания по Фонд за подготовка на мерки за подкрепа по ШБПС в размер на </w:t>
      </w:r>
      <w:r w:rsidR="00E00069">
        <w:rPr>
          <w:sz w:val="22"/>
          <w:szCs w:val="22"/>
        </w:rPr>
        <w:br/>
      </w:r>
      <w:r w:rsidRPr="00E77FF6">
        <w:rPr>
          <w:sz w:val="22"/>
          <w:szCs w:val="22"/>
        </w:rPr>
        <w:t>66 492 лв. и заявено искане за възстановяване на разходи в размер на 414</w:t>
      </w:r>
      <w:r w:rsidR="00E23AE4">
        <w:rPr>
          <w:sz w:val="22"/>
          <w:szCs w:val="22"/>
        </w:rPr>
        <w:t xml:space="preserve"> </w:t>
      </w:r>
      <w:r w:rsidRPr="00E77FF6">
        <w:rPr>
          <w:sz w:val="22"/>
          <w:szCs w:val="22"/>
        </w:rPr>
        <w:t xml:space="preserve">792 лв.; Плащанията по Фонда за техническа помощ, финансиран със средства от ФМ на ЕИП и НФМ 2014 – 2021 г. са в размер на </w:t>
      </w:r>
      <w:r w:rsidRPr="00E23AE4">
        <w:rPr>
          <w:sz w:val="22"/>
          <w:szCs w:val="22"/>
        </w:rPr>
        <w:t>907</w:t>
      </w:r>
      <w:r w:rsidR="00E23AE4">
        <w:rPr>
          <w:sz w:val="22"/>
          <w:szCs w:val="22"/>
        </w:rPr>
        <w:t xml:space="preserve"> </w:t>
      </w:r>
      <w:r w:rsidRPr="00E23AE4">
        <w:rPr>
          <w:sz w:val="22"/>
          <w:szCs w:val="22"/>
        </w:rPr>
        <w:t>112</w:t>
      </w:r>
      <w:r w:rsidRPr="00E77FF6">
        <w:rPr>
          <w:sz w:val="22"/>
          <w:szCs w:val="22"/>
        </w:rPr>
        <w:t xml:space="preserve"> лв.;</w:t>
      </w:r>
    </w:p>
    <w:p w14:paraId="0A4DBC52" w14:textId="4EC79ED4" w:rsidR="00C1608C" w:rsidRPr="00E77FF6" w:rsidRDefault="00C1608C" w:rsidP="00C54E81">
      <w:pPr>
        <w:numPr>
          <w:ilvl w:val="0"/>
          <w:numId w:val="42"/>
        </w:numPr>
        <w:shd w:val="clear" w:color="auto" w:fill="FFFFFF" w:themeFill="background1"/>
        <w:tabs>
          <w:tab w:val="left" w:pos="709"/>
        </w:tabs>
        <w:ind w:left="426" w:firstLine="0"/>
        <w:jc w:val="both"/>
        <w:rPr>
          <w:sz w:val="22"/>
          <w:szCs w:val="22"/>
        </w:rPr>
      </w:pPr>
      <w:r w:rsidRPr="00E77FF6">
        <w:rPr>
          <w:sz w:val="22"/>
          <w:szCs w:val="22"/>
        </w:rPr>
        <w:t xml:space="preserve">Плащанията по Фонда за двустранни отношения, финансиран по ФМ на ЕИП и НФМ </w:t>
      </w:r>
      <w:r w:rsidR="00E00069">
        <w:rPr>
          <w:sz w:val="22"/>
          <w:szCs w:val="22"/>
        </w:rPr>
        <w:br/>
      </w:r>
      <w:r w:rsidRPr="00E77FF6">
        <w:rPr>
          <w:sz w:val="22"/>
          <w:szCs w:val="22"/>
        </w:rPr>
        <w:t>2014 – 2021 г. са в размер на 5</w:t>
      </w:r>
      <w:r w:rsidR="00E23AE4">
        <w:rPr>
          <w:sz w:val="22"/>
          <w:szCs w:val="22"/>
        </w:rPr>
        <w:t xml:space="preserve"> </w:t>
      </w:r>
      <w:r w:rsidRPr="00E77FF6">
        <w:rPr>
          <w:sz w:val="22"/>
          <w:szCs w:val="22"/>
        </w:rPr>
        <w:t>349</w:t>
      </w:r>
      <w:r w:rsidR="00E23AE4">
        <w:rPr>
          <w:sz w:val="22"/>
          <w:szCs w:val="22"/>
        </w:rPr>
        <w:t xml:space="preserve"> </w:t>
      </w:r>
      <w:r w:rsidRPr="00E77FF6">
        <w:rPr>
          <w:sz w:val="22"/>
          <w:szCs w:val="22"/>
        </w:rPr>
        <w:t>128 лв.</w:t>
      </w:r>
    </w:p>
    <w:p w14:paraId="2489663E" w14:textId="77777777" w:rsidR="00C16750" w:rsidRPr="00C54E81" w:rsidRDefault="00C16750" w:rsidP="00C54E81">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C54E81">
        <w:rPr>
          <w:b/>
          <w:bCs/>
          <w:i/>
          <w:iCs/>
          <w:color w:val="215E99" w:themeColor="text2" w:themeTint="BF"/>
          <w:sz w:val="22"/>
          <w:szCs w:val="22"/>
        </w:rPr>
        <w:t>Осигуряване на публичност и прозрачност при разходването на средствата от Европейския съюз и от други донорски програми</w:t>
      </w:r>
    </w:p>
    <w:p w14:paraId="46241F68" w14:textId="77777777" w:rsidR="00C16750" w:rsidRPr="00700EEB" w:rsidRDefault="00C16750" w:rsidP="00C54E81">
      <w:pPr>
        <w:numPr>
          <w:ilvl w:val="0"/>
          <w:numId w:val="28"/>
        </w:numPr>
        <w:shd w:val="clear" w:color="auto" w:fill="FFFFFF" w:themeFill="background1"/>
        <w:tabs>
          <w:tab w:val="num" w:pos="1712"/>
        </w:tabs>
        <w:spacing w:after="120"/>
        <w:ind w:left="0" w:firstLine="426"/>
        <w:contextualSpacing/>
        <w:jc w:val="both"/>
        <w:rPr>
          <w:b/>
          <w:bCs/>
          <w:sz w:val="22"/>
          <w:szCs w:val="22"/>
        </w:rPr>
      </w:pPr>
      <w:r w:rsidRPr="00700EEB">
        <w:rPr>
          <w:b/>
          <w:bCs/>
          <w:sz w:val="22"/>
          <w:szCs w:val="22"/>
        </w:rPr>
        <w:t>Повишена информираност относно възможностите за финансиране със средствата от Европейския съюз и други донорски програми, както и относно резултатите, постигнати в резултат на инвестициите, финансирани от тях:</w:t>
      </w:r>
    </w:p>
    <w:p w14:paraId="0A3B1A8F" w14:textId="3675A669" w:rsidR="00C16750" w:rsidRPr="00813AEC" w:rsidRDefault="00C16750" w:rsidP="00C54E81">
      <w:pPr>
        <w:numPr>
          <w:ilvl w:val="0"/>
          <w:numId w:val="42"/>
        </w:numPr>
        <w:shd w:val="clear" w:color="auto" w:fill="FFFFFF" w:themeFill="background1"/>
        <w:tabs>
          <w:tab w:val="left" w:pos="709"/>
        </w:tabs>
        <w:ind w:left="426" w:firstLine="0"/>
        <w:jc w:val="both"/>
        <w:rPr>
          <w:color w:val="215E99" w:themeColor="text2" w:themeTint="BF"/>
          <w:sz w:val="22"/>
          <w:szCs w:val="22"/>
        </w:rPr>
      </w:pPr>
      <w:r w:rsidRPr="00813AEC">
        <w:rPr>
          <w:sz w:val="22"/>
          <w:szCs w:val="22"/>
        </w:rPr>
        <w:t xml:space="preserve">В периода от 24 април до 24 май 2025 г. във Видин се реализира инициативата „Европа в моя регион“ на Европейската комисия. Тя се осъществи от Областния информационен </w:t>
      </w:r>
      <w:r w:rsidR="00194127">
        <w:rPr>
          <w:sz w:val="22"/>
          <w:szCs w:val="22"/>
        </w:rPr>
        <w:br/>
      </w:r>
      <w:r w:rsidRPr="00813AEC">
        <w:rPr>
          <w:sz w:val="22"/>
          <w:szCs w:val="22"/>
        </w:rPr>
        <w:t>център – Видин с подкрепата на ЦКЗ под мотото „</w:t>
      </w:r>
      <w:proofErr w:type="spellStart"/>
      <w:r w:rsidRPr="00813AEC">
        <w:rPr>
          <w:sz w:val="22"/>
          <w:szCs w:val="22"/>
        </w:rPr>
        <w:t>Т</w:t>
      </w:r>
      <w:r w:rsidR="0025451B" w:rsidRPr="00813AEC">
        <w:rPr>
          <w:sz w:val="22"/>
          <w:szCs w:val="22"/>
        </w:rPr>
        <w:t>и</w:t>
      </w:r>
      <w:proofErr w:type="spellEnd"/>
      <w:r w:rsidRPr="00813AEC">
        <w:rPr>
          <w:sz w:val="22"/>
          <w:szCs w:val="22"/>
        </w:rPr>
        <w:t xml:space="preserve"> да видиш наш Видин!“ и насочи вниманието на местното население към важни места в града, обновени с европейски средства. Детайлно представяне на местната кампания може да бъде намерено на Единния информационен портал: </w:t>
      </w:r>
      <w:hyperlink r:id="rId31" w:history="1">
        <w:r w:rsidR="00813AEC" w:rsidRPr="00813AEC">
          <w:rPr>
            <w:rStyle w:val="Hyperlink"/>
            <w:color w:val="215E99" w:themeColor="text2" w:themeTint="BF"/>
            <w:sz w:val="22"/>
            <w:szCs w:val="22"/>
            <w:u w:val="none"/>
          </w:rPr>
          <w:t>https://eufunds.bg/bg/node/17861</w:t>
        </w:r>
      </w:hyperlink>
      <w:r w:rsidRPr="00813AEC">
        <w:rPr>
          <w:color w:val="215E99" w:themeColor="text2" w:themeTint="BF"/>
          <w:sz w:val="22"/>
          <w:szCs w:val="22"/>
        </w:rPr>
        <w:t>;</w:t>
      </w:r>
    </w:p>
    <w:p w14:paraId="18769C1F" w14:textId="5B87EF61" w:rsidR="00C16750" w:rsidRPr="00813AEC" w:rsidRDefault="00C16750" w:rsidP="00C54E81">
      <w:pPr>
        <w:numPr>
          <w:ilvl w:val="0"/>
          <w:numId w:val="42"/>
        </w:numPr>
        <w:shd w:val="clear" w:color="auto" w:fill="FFFFFF" w:themeFill="background1"/>
        <w:tabs>
          <w:tab w:val="left" w:pos="709"/>
        </w:tabs>
        <w:ind w:left="426" w:firstLine="0"/>
        <w:jc w:val="both"/>
        <w:rPr>
          <w:rStyle w:val="Hyperlink"/>
          <w:color w:val="215E99" w:themeColor="text2" w:themeTint="BF"/>
          <w:sz w:val="22"/>
          <w:szCs w:val="22"/>
          <w:u w:val="none"/>
        </w:rPr>
      </w:pPr>
      <w:r w:rsidRPr="00D4112E">
        <w:rPr>
          <w:sz w:val="22"/>
          <w:szCs w:val="22"/>
        </w:rPr>
        <w:t xml:space="preserve">В периода 1 януари – 30 юни 2025 г. беше изпълнена втора фаза на националната кампания „Детективи на европейски проекти“ на Мрежата от ОИЦ. В инициативата се включиха повече от 630 ученици от горен гимназиален клас и близо 70 учители от цялата страна. Целта на кампанията бе да повиши информираността сред младите хора за европейските проекти, които променят техните градове и общности. Учениците проучиха над 60 проекта, финансирани по различни оперативни програми от три програмни периода – от 2007 до 2027 г. Материалите за наблюдаваните проекти бяха споделени на присъствени събития и в социалните мрежи, като кампанията е обект на близо 670 национални и регионални публикации в медиите. Всички резултати са достъпни в специалната секция на Единния информационен портал: https://eufunds.bg/bg/oic/term/823, както и в социалните мрежи на Eufunds.bg www.facebook.com/eufundsinbulgaria, </w:t>
      </w:r>
      <w:proofErr w:type="spellStart"/>
      <w:r w:rsidRPr="00D4112E">
        <w:rPr>
          <w:sz w:val="22"/>
          <w:szCs w:val="22"/>
        </w:rPr>
        <w:t>Ютюб</w:t>
      </w:r>
      <w:proofErr w:type="spellEnd"/>
      <w:r w:rsidRPr="00D4112E">
        <w:rPr>
          <w:sz w:val="22"/>
          <w:szCs w:val="22"/>
        </w:rPr>
        <w:t xml:space="preserve"> канала https://www.youtube.com/@eufunds/videos и страниците на Областните информационни центрове</w:t>
      </w:r>
      <w:r w:rsidR="001B2570">
        <w:rPr>
          <w:sz w:val="22"/>
          <w:szCs w:val="22"/>
        </w:rPr>
        <w:t xml:space="preserve"> (ОИЦ)</w:t>
      </w:r>
      <w:r w:rsidRPr="00D4112E">
        <w:rPr>
          <w:sz w:val="22"/>
          <w:szCs w:val="22"/>
        </w:rPr>
        <w:t xml:space="preserve">. Детайли за кампанията могат да бъдат намерени на следния линк: </w:t>
      </w:r>
      <w:hyperlink r:id="rId32" w:history="1">
        <w:r w:rsidRPr="00813AEC">
          <w:rPr>
            <w:rStyle w:val="Hyperlink"/>
            <w:color w:val="215E99" w:themeColor="text2" w:themeTint="BF"/>
            <w:sz w:val="22"/>
            <w:szCs w:val="22"/>
            <w:u w:val="none"/>
          </w:rPr>
          <w:t>https://eufunds.bg/bg/node/18220</w:t>
        </w:r>
      </w:hyperlink>
      <w:r w:rsidRPr="00813AEC">
        <w:rPr>
          <w:rStyle w:val="Hyperlink"/>
          <w:color w:val="215E99" w:themeColor="text2" w:themeTint="BF"/>
          <w:sz w:val="22"/>
          <w:szCs w:val="22"/>
          <w:u w:val="none"/>
        </w:rPr>
        <w:t>;</w:t>
      </w:r>
    </w:p>
    <w:p w14:paraId="194FFF45" w14:textId="6FC0FFBB" w:rsidR="00C16750" w:rsidRPr="00D4112E" w:rsidRDefault="00C16750" w:rsidP="00C54E81">
      <w:pPr>
        <w:numPr>
          <w:ilvl w:val="0"/>
          <w:numId w:val="42"/>
        </w:numPr>
        <w:shd w:val="clear" w:color="auto" w:fill="FFFFFF" w:themeFill="background1"/>
        <w:tabs>
          <w:tab w:val="left" w:pos="709"/>
        </w:tabs>
        <w:ind w:left="426" w:firstLine="0"/>
        <w:jc w:val="both"/>
        <w:rPr>
          <w:sz w:val="22"/>
          <w:szCs w:val="22"/>
        </w:rPr>
      </w:pPr>
      <w:r w:rsidRPr="00D4112E">
        <w:rPr>
          <w:sz w:val="22"/>
          <w:szCs w:val="22"/>
        </w:rPr>
        <w:t>На 24</w:t>
      </w:r>
      <w:r w:rsidR="00813AEC">
        <w:rPr>
          <w:sz w:val="22"/>
          <w:szCs w:val="22"/>
        </w:rPr>
        <w:t>.04.</w:t>
      </w:r>
      <w:r w:rsidRPr="00D4112E">
        <w:rPr>
          <w:sz w:val="22"/>
          <w:szCs w:val="22"/>
        </w:rPr>
        <w:t xml:space="preserve">2025 г. се проведе работна среща </w:t>
      </w:r>
      <w:r w:rsidRPr="00A82667">
        <w:rPr>
          <w:sz w:val="22"/>
          <w:szCs w:val="22"/>
        </w:rPr>
        <w:t>(</w:t>
      </w:r>
      <w:proofErr w:type="spellStart"/>
      <w:r w:rsidRPr="00A82667">
        <w:rPr>
          <w:sz w:val="22"/>
          <w:szCs w:val="22"/>
        </w:rPr>
        <w:t>Country</w:t>
      </w:r>
      <w:proofErr w:type="spellEnd"/>
      <w:r w:rsidRPr="00A82667">
        <w:rPr>
          <w:sz w:val="22"/>
          <w:szCs w:val="22"/>
        </w:rPr>
        <w:t xml:space="preserve"> </w:t>
      </w:r>
      <w:proofErr w:type="spellStart"/>
      <w:r w:rsidRPr="00A82667">
        <w:rPr>
          <w:sz w:val="22"/>
          <w:szCs w:val="22"/>
        </w:rPr>
        <w:t>Team</w:t>
      </w:r>
      <w:proofErr w:type="spellEnd"/>
      <w:r w:rsidRPr="00A82667">
        <w:rPr>
          <w:sz w:val="22"/>
          <w:szCs w:val="22"/>
        </w:rPr>
        <w:t xml:space="preserve"> </w:t>
      </w:r>
      <w:proofErr w:type="spellStart"/>
      <w:r w:rsidRPr="00A82667">
        <w:rPr>
          <w:sz w:val="22"/>
          <w:szCs w:val="22"/>
        </w:rPr>
        <w:t>Meeting</w:t>
      </w:r>
      <w:proofErr w:type="spellEnd"/>
      <w:r w:rsidRPr="00D4112E">
        <w:rPr>
          <w:sz w:val="22"/>
          <w:szCs w:val="22"/>
        </w:rPr>
        <w:t>) в онлайн формат с участието на представители на Е</w:t>
      </w:r>
      <w:r w:rsidRPr="00813AEC">
        <w:rPr>
          <w:sz w:val="22"/>
          <w:szCs w:val="22"/>
        </w:rPr>
        <w:t>K</w:t>
      </w:r>
      <w:r w:rsidRPr="00D4112E">
        <w:rPr>
          <w:sz w:val="22"/>
          <w:szCs w:val="22"/>
        </w:rPr>
        <w:t>, ЦКЗ и членове на Националната мрежа на комуникаторите на програми, съфинансирани от ЕСИФ и ЕФСУ. По време на срещата се състоя преглед на текущите и предстоящите комуникационни кампании и дейности на УО, ЦКЗ и различните генерални дирекции в ЕК;</w:t>
      </w:r>
    </w:p>
    <w:p w14:paraId="2D00C1C6" w14:textId="7445B2E6" w:rsidR="00C16750" w:rsidRPr="00D4112E" w:rsidRDefault="00C16750" w:rsidP="00C54E81">
      <w:pPr>
        <w:numPr>
          <w:ilvl w:val="0"/>
          <w:numId w:val="42"/>
        </w:numPr>
        <w:shd w:val="clear" w:color="auto" w:fill="FFFFFF" w:themeFill="background1"/>
        <w:tabs>
          <w:tab w:val="left" w:pos="709"/>
        </w:tabs>
        <w:ind w:left="426" w:firstLine="0"/>
        <w:jc w:val="both"/>
        <w:rPr>
          <w:sz w:val="22"/>
          <w:szCs w:val="22"/>
        </w:rPr>
      </w:pPr>
      <w:r w:rsidRPr="00D4112E">
        <w:rPr>
          <w:sz w:val="22"/>
          <w:szCs w:val="22"/>
        </w:rPr>
        <w:t>В периода 15</w:t>
      </w:r>
      <w:r w:rsidR="00F478B4">
        <w:rPr>
          <w:sz w:val="22"/>
          <w:szCs w:val="22"/>
        </w:rPr>
        <w:t xml:space="preserve"> – </w:t>
      </w:r>
      <w:r w:rsidRPr="00D4112E">
        <w:rPr>
          <w:sz w:val="22"/>
          <w:szCs w:val="22"/>
        </w:rPr>
        <w:t xml:space="preserve">16 май в град Пловдив беше проведена съвместна среща между Мрежата от служители по комуникация на програмите, съфинансирани от ЕФСУ и Мрежата от 27 Областни информационни центрове. По време на срещата бяха представени бъдещи комуникационни </w:t>
      </w:r>
      <w:r w:rsidRPr="00D4112E">
        <w:rPr>
          <w:sz w:val="22"/>
          <w:szCs w:val="22"/>
        </w:rPr>
        <w:lastRenderedPageBreak/>
        <w:t>инициативи за 2025 г., които ще бъдат организирани от Управляващите органи. Мрежата от ОИЦ представи работата и резултатите по Общата кампания на мрежата за 2025 г. „Детективи на европейски проект“. Двете мрежи се срещнаха в онлайн връзка с директора на дирекция „Централно координационно звено“, който им представи бъдещите ангажименти пред дирекцията и бъдещи ангажименти на ОИЦ, свързани с тях;</w:t>
      </w:r>
    </w:p>
    <w:p w14:paraId="11169C41" w14:textId="77777777" w:rsidR="00C16750" w:rsidRPr="00F478B4" w:rsidRDefault="00C16750" w:rsidP="00C54E81">
      <w:pPr>
        <w:numPr>
          <w:ilvl w:val="0"/>
          <w:numId w:val="42"/>
        </w:numPr>
        <w:shd w:val="clear" w:color="auto" w:fill="FFFFFF" w:themeFill="background1"/>
        <w:tabs>
          <w:tab w:val="left" w:pos="709"/>
        </w:tabs>
        <w:ind w:left="426" w:firstLine="0"/>
        <w:jc w:val="both"/>
        <w:rPr>
          <w:sz w:val="22"/>
          <w:szCs w:val="22"/>
        </w:rPr>
      </w:pPr>
      <w:r w:rsidRPr="00F478B4">
        <w:rPr>
          <w:sz w:val="22"/>
          <w:szCs w:val="22"/>
        </w:rPr>
        <w:t xml:space="preserve">В периода 1 януари  – 30 юни 2025 г. са изготвени 2 тримесечни справки за изпълнението на методологията за разпределение на финансовия ресурс за видимост, прозрачност и комуникация на програмите, съфинансирани чрез ЕФСУ, публикувани на </w:t>
      </w:r>
      <w:r w:rsidRPr="00F478B4">
        <w:rPr>
          <w:rStyle w:val="Hyperlink"/>
          <w:color w:val="215E99" w:themeColor="text2" w:themeTint="BF"/>
          <w:sz w:val="22"/>
          <w:szCs w:val="22"/>
          <w:u w:val="none"/>
        </w:rPr>
        <w:t>https://eufunds.bg/bg/node/16649;</w:t>
      </w:r>
    </w:p>
    <w:p w14:paraId="2B751C7E" w14:textId="77777777" w:rsidR="00C16750" w:rsidRPr="00D4112E" w:rsidRDefault="00C16750" w:rsidP="00C54E81">
      <w:pPr>
        <w:numPr>
          <w:ilvl w:val="0"/>
          <w:numId w:val="42"/>
        </w:numPr>
        <w:shd w:val="clear" w:color="auto" w:fill="FFFFFF" w:themeFill="background1"/>
        <w:tabs>
          <w:tab w:val="left" w:pos="709"/>
        </w:tabs>
        <w:ind w:left="426" w:firstLine="0"/>
        <w:jc w:val="both"/>
        <w:rPr>
          <w:sz w:val="22"/>
          <w:szCs w:val="22"/>
        </w:rPr>
      </w:pPr>
      <w:r w:rsidRPr="00D4112E">
        <w:rPr>
          <w:sz w:val="22"/>
          <w:szCs w:val="22"/>
        </w:rPr>
        <w:t>В периода 1 януари – 30 юни 2025 г. е осъществено подпомагане на общините Пловдив, Варна, Шумен, Велико Търново, Ловеч при провеждането на конкурси за избор на служители в Мрежата от 27 ОИЦ; подготвени са тестове и са подпомогнати комисиите за избор на служители;</w:t>
      </w:r>
    </w:p>
    <w:p w14:paraId="46D2CE10" w14:textId="48B80580" w:rsidR="00C16750" w:rsidRPr="00D4112E" w:rsidRDefault="00C16750" w:rsidP="00C54E81">
      <w:pPr>
        <w:numPr>
          <w:ilvl w:val="0"/>
          <w:numId w:val="42"/>
        </w:numPr>
        <w:shd w:val="clear" w:color="auto" w:fill="FFFFFF" w:themeFill="background1"/>
        <w:tabs>
          <w:tab w:val="left" w:pos="709"/>
        </w:tabs>
        <w:ind w:left="426" w:firstLine="0"/>
        <w:jc w:val="both"/>
        <w:rPr>
          <w:sz w:val="22"/>
          <w:szCs w:val="22"/>
        </w:rPr>
      </w:pPr>
      <w:r w:rsidRPr="00D4112E">
        <w:rPr>
          <w:sz w:val="22"/>
          <w:szCs w:val="22"/>
        </w:rPr>
        <w:t>Организирано бе</w:t>
      </w:r>
      <w:r w:rsidRPr="007F2675">
        <w:rPr>
          <w:sz w:val="22"/>
          <w:szCs w:val="22"/>
        </w:rPr>
        <w:t>,</w:t>
      </w:r>
      <w:r w:rsidRPr="00D4112E">
        <w:rPr>
          <w:sz w:val="22"/>
          <w:szCs w:val="22"/>
        </w:rPr>
        <w:t xml:space="preserve"> съвместно с Представителството на ЕК и Министерство на здравеопазването, посещение на място по инвестиция за доставка на медицински хеликоптери, подкрепена по Плана за възстановяване и устойчивост, което се състоя на 10</w:t>
      </w:r>
      <w:r w:rsidR="007F2675">
        <w:rPr>
          <w:sz w:val="22"/>
          <w:szCs w:val="22"/>
        </w:rPr>
        <w:t>.07.</w:t>
      </w:r>
      <w:r w:rsidRPr="00D4112E">
        <w:rPr>
          <w:sz w:val="22"/>
          <w:szCs w:val="22"/>
        </w:rPr>
        <w:t>2025., както и прес брифинг за представяне напредъка и плановете на България за следващи плащания по ПВУ;</w:t>
      </w:r>
    </w:p>
    <w:p w14:paraId="20380FCF" w14:textId="77777777" w:rsidR="00C16750" w:rsidRPr="00D4112E" w:rsidRDefault="00C16750" w:rsidP="00C54E81">
      <w:pPr>
        <w:numPr>
          <w:ilvl w:val="0"/>
          <w:numId w:val="42"/>
        </w:numPr>
        <w:shd w:val="clear" w:color="auto" w:fill="FFFFFF" w:themeFill="background1"/>
        <w:tabs>
          <w:tab w:val="left" w:pos="709"/>
        </w:tabs>
        <w:ind w:left="426" w:firstLine="0"/>
        <w:jc w:val="both"/>
        <w:rPr>
          <w:sz w:val="22"/>
          <w:szCs w:val="22"/>
        </w:rPr>
      </w:pPr>
      <w:r w:rsidRPr="00D4112E">
        <w:rPr>
          <w:sz w:val="22"/>
          <w:szCs w:val="22"/>
        </w:rPr>
        <w:t>Представител на ЦКЗ взе участие в заключителни събития на 3 програми по ФМ на ЕИП и НФМ 2014 – 2021 г.;</w:t>
      </w:r>
    </w:p>
    <w:p w14:paraId="21C3436E" w14:textId="77777777" w:rsidR="00C16750" w:rsidRPr="00D4112E" w:rsidRDefault="00C16750" w:rsidP="00C54E81">
      <w:pPr>
        <w:numPr>
          <w:ilvl w:val="0"/>
          <w:numId w:val="42"/>
        </w:numPr>
        <w:shd w:val="clear" w:color="auto" w:fill="FFFFFF" w:themeFill="background1"/>
        <w:tabs>
          <w:tab w:val="left" w:pos="709"/>
        </w:tabs>
        <w:ind w:left="426" w:firstLine="0"/>
        <w:jc w:val="both"/>
        <w:rPr>
          <w:sz w:val="22"/>
          <w:szCs w:val="22"/>
        </w:rPr>
      </w:pPr>
      <w:r w:rsidRPr="00D4112E">
        <w:rPr>
          <w:sz w:val="22"/>
          <w:szCs w:val="22"/>
        </w:rPr>
        <w:t>ЦКЗ проведе обществена поръчка и беше избран изпълнител, който проведе социологическо проучване за познаваемостта и отношението към ФМ на ЕИП и НФМ в България. Дейността е част от комуникационната стратегия, а резултатите ще послужат за основа на следващи комуникационни дейности;</w:t>
      </w:r>
    </w:p>
    <w:p w14:paraId="5AFE9486" w14:textId="5FA8EE82" w:rsidR="00C16750" w:rsidRPr="00D4112E" w:rsidRDefault="00C16750" w:rsidP="00C54E81">
      <w:pPr>
        <w:numPr>
          <w:ilvl w:val="0"/>
          <w:numId w:val="42"/>
        </w:numPr>
        <w:shd w:val="clear" w:color="auto" w:fill="FFFFFF" w:themeFill="background1"/>
        <w:tabs>
          <w:tab w:val="left" w:pos="709"/>
        </w:tabs>
        <w:ind w:left="426" w:firstLine="0"/>
        <w:jc w:val="both"/>
        <w:rPr>
          <w:sz w:val="22"/>
          <w:szCs w:val="22"/>
        </w:rPr>
      </w:pPr>
      <w:r w:rsidRPr="00D4112E">
        <w:rPr>
          <w:sz w:val="22"/>
          <w:szCs w:val="22"/>
        </w:rPr>
        <w:t>ЦКЗ организира заключително публично събитие по ФМ на ЕИП и НФМ, което се проведе на 19</w:t>
      </w:r>
      <w:r w:rsidR="007F2675">
        <w:rPr>
          <w:sz w:val="22"/>
          <w:szCs w:val="22"/>
        </w:rPr>
        <w:t xml:space="preserve"> юни </w:t>
      </w:r>
      <w:r w:rsidRPr="00D4112E">
        <w:rPr>
          <w:sz w:val="22"/>
          <w:szCs w:val="22"/>
        </w:rPr>
        <w:t xml:space="preserve">на лятната сцена в Борисовата градина; </w:t>
      </w:r>
    </w:p>
    <w:p w14:paraId="7394B00B" w14:textId="77777777" w:rsidR="00C16750" w:rsidRPr="00D4112E" w:rsidRDefault="00C16750" w:rsidP="00C54E81">
      <w:pPr>
        <w:numPr>
          <w:ilvl w:val="0"/>
          <w:numId w:val="42"/>
        </w:numPr>
        <w:shd w:val="clear" w:color="auto" w:fill="FFFFFF" w:themeFill="background1"/>
        <w:tabs>
          <w:tab w:val="left" w:pos="709"/>
        </w:tabs>
        <w:ind w:left="426" w:firstLine="0"/>
        <w:jc w:val="both"/>
        <w:rPr>
          <w:sz w:val="22"/>
          <w:szCs w:val="22"/>
        </w:rPr>
      </w:pPr>
      <w:r w:rsidRPr="00D4112E">
        <w:rPr>
          <w:sz w:val="22"/>
          <w:szCs w:val="22"/>
        </w:rPr>
        <w:t>Представител на ЦКЗ взе участие в семинар за комуникация на всички държави бенефициенти по ФМ на ЕИП и НФМ с основна тема новия програмен период и изискванията на донорите за публичност.</w:t>
      </w:r>
    </w:p>
    <w:p w14:paraId="2A328E42" w14:textId="77777777" w:rsidR="00C16750" w:rsidRPr="00AF2A63" w:rsidRDefault="00C16750" w:rsidP="00C54E81">
      <w:pPr>
        <w:numPr>
          <w:ilvl w:val="0"/>
          <w:numId w:val="28"/>
        </w:numPr>
        <w:shd w:val="clear" w:color="auto" w:fill="FFFFFF" w:themeFill="background1"/>
        <w:tabs>
          <w:tab w:val="num" w:pos="1712"/>
        </w:tabs>
        <w:spacing w:after="120"/>
        <w:ind w:left="0" w:firstLine="426"/>
        <w:contextualSpacing/>
        <w:jc w:val="both"/>
        <w:rPr>
          <w:b/>
          <w:bCs/>
          <w:sz w:val="22"/>
          <w:szCs w:val="22"/>
        </w:rPr>
      </w:pPr>
      <w:r w:rsidRPr="00AF2A63">
        <w:rPr>
          <w:b/>
          <w:bCs/>
          <w:sz w:val="22"/>
          <w:szCs w:val="22"/>
        </w:rPr>
        <w:t>Наличие на навременна, надеждна и точна информация относно разходването на средствата от ЕФСУ, ЕСИФ, ШБПС, ФМ на ЕИП и НФМ в България:</w:t>
      </w:r>
    </w:p>
    <w:p w14:paraId="708841FB" w14:textId="77777777" w:rsidR="00C16750" w:rsidRPr="00D4112E" w:rsidRDefault="00C16750" w:rsidP="00C54E81">
      <w:pPr>
        <w:numPr>
          <w:ilvl w:val="0"/>
          <w:numId w:val="42"/>
        </w:numPr>
        <w:shd w:val="clear" w:color="auto" w:fill="FFFFFF" w:themeFill="background1"/>
        <w:tabs>
          <w:tab w:val="left" w:pos="709"/>
        </w:tabs>
        <w:ind w:left="426" w:firstLine="0"/>
        <w:jc w:val="both"/>
        <w:rPr>
          <w:sz w:val="22"/>
          <w:szCs w:val="22"/>
        </w:rPr>
      </w:pPr>
      <w:r w:rsidRPr="00D4112E">
        <w:rPr>
          <w:sz w:val="22"/>
          <w:szCs w:val="22"/>
        </w:rPr>
        <w:t xml:space="preserve">В периода 1 януари – 30 юни 2025 г. продължи ежедневната актуализация на информацията, публикувана на www.eufunds.bg и Фейсбук страницата за европейските фондове. Текущо са подпомагани служители на УО на програмите при публикуване на информация на Портала. Ежедневно са съгласувани публикациите на 27 Областните информационни центрове на </w:t>
      </w:r>
      <w:hyperlink r:id="rId33" w:history="1">
        <w:r w:rsidRPr="00D4112E">
          <w:rPr>
            <w:sz w:val="22"/>
            <w:szCs w:val="22"/>
          </w:rPr>
          <w:t>www.eufunds.bg</w:t>
        </w:r>
      </w:hyperlink>
      <w:r w:rsidRPr="00D4112E">
        <w:rPr>
          <w:sz w:val="22"/>
          <w:szCs w:val="22"/>
        </w:rPr>
        <w:t>;</w:t>
      </w:r>
    </w:p>
    <w:p w14:paraId="36582961" w14:textId="77777777" w:rsidR="00C16750" w:rsidRPr="00D4112E" w:rsidRDefault="00C16750" w:rsidP="00C54E81">
      <w:pPr>
        <w:numPr>
          <w:ilvl w:val="0"/>
          <w:numId w:val="42"/>
        </w:numPr>
        <w:shd w:val="clear" w:color="auto" w:fill="FFFFFF" w:themeFill="background1"/>
        <w:tabs>
          <w:tab w:val="left" w:pos="709"/>
        </w:tabs>
        <w:ind w:left="426" w:firstLine="0"/>
        <w:jc w:val="both"/>
        <w:rPr>
          <w:sz w:val="22"/>
          <w:szCs w:val="22"/>
        </w:rPr>
      </w:pPr>
      <w:r w:rsidRPr="00D4112E">
        <w:rPr>
          <w:sz w:val="22"/>
          <w:szCs w:val="22"/>
        </w:rPr>
        <w:t xml:space="preserve">Техническата спецификация за надграждане на Единния информационен портал </w:t>
      </w:r>
      <w:hyperlink r:id="rId34" w:history="1">
        <w:r w:rsidRPr="00085C25">
          <w:rPr>
            <w:rStyle w:val="Hyperlink"/>
            <w:color w:val="215E99" w:themeColor="text2" w:themeTint="BF"/>
            <w:sz w:val="22"/>
            <w:szCs w:val="22"/>
            <w:u w:val="none"/>
            <w:lang w:val="en-US"/>
          </w:rPr>
          <w:t>www.eufunds.bg</w:t>
        </w:r>
      </w:hyperlink>
      <w:r w:rsidRPr="00D4112E">
        <w:rPr>
          <w:sz w:val="22"/>
          <w:szCs w:val="22"/>
        </w:rPr>
        <w:t xml:space="preserve"> е съгласувана с Националния системен интегратор „Информационно обслужване“; съгласуван е проект на тристранен договор, който ще бъде изпратен за съгласуване и към МЕУ;</w:t>
      </w:r>
    </w:p>
    <w:p w14:paraId="6F3836FE" w14:textId="77777777" w:rsidR="00C16750" w:rsidRPr="001705FB" w:rsidRDefault="00C16750" w:rsidP="00C54E81">
      <w:pPr>
        <w:numPr>
          <w:ilvl w:val="0"/>
          <w:numId w:val="42"/>
        </w:numPr>
        <w:shd w:val="clear" w:color="auto" w:fill="FFFFFF" w:themeFill="background1"/>
        <w:tabs>
          <w:tab w:val="left" w:pos="851"/>
        </w:tabs>
        <w:ind w:left="426" w:firstLine="0"/>
        <w:jc w:val="both"/>
        <w:rPr>
          <w:sz w:val="22"/>
          <w:szCs w:val="22"/>
        </w:rPr>
      </w:pPr>
      <w:r w:rsidRPr="00D4112E">
        <w:rPr>
          <w:sz w:val="22"/>
          <w:szCs w:val="22"/>
        </w:rPr>
        <w:t xml:space="preserve">ЦКЗ и програмните оператори актуализират съдържанието на единния сайт </w:t>
      </w:r>
      <w:hyperlink r:id="rId35" w:history="1">
        <w:r w:rsidRPr="001705FB">
          <w:rPr>
            <w:rStyle w:val="Hyperlink"/>
            <w:color w:val="215E99" w:themeColor="text2" w:themeTint="BF"/>
            <w:sz w:val="22"/>
            <w:szCs w:val="22"/>
            <w:u w:val="none"/>
            <w:lang w:val="en-US"/>
          </w:rPr>
          <w:t>www.eeagrants.bg</w:t>
        </w:r>
      </w:hyperlink>
      <w:r w:rsidRPr="00D4112E">
        <w:rPr>
          <w:sz w:val="22"/>
          <w:szCs w:val="22"/>
        </w:rPr>
        <w:t xml:space="preserve">, като е планирана миграцията му на сървър на МС, с оглед плановете на донорите да създадат нов портал за всички държави, който да събира информация за следващия програмен период; </w:t>
      </w:r>
    </w:p>
    <w:p w14:paraId="5AA2966C" w14:textId="77777777" w:rsidR="00C16750" w:rsidRPr="001705FB" w:rsidRDefault="00C16750" w:rsidP="00C54E81">
      <w:pPr>
        <w:numPr>
          <w:ilvl w:val="0"/>
          <w:numId w:val="42"/>
        </w:numPr>
        <w:shd w:val="clear" w:color="auto" w:fill="FFFFFF" w:themeFill="background1"/>
        <w:tabs>
          <w:tab w:val="left" w:pos="709"/>
        </w:tabs>
        <w:ind w:left="426" w:firstLine="0"/>
        <w:jc w:val="both"/>
        <w:rPr>
          <w:sz w:val="22"/>
          <w:szCs w:val="22"/>
        </w:rPr>
      </w:pPr>
      <w:r w:rsidRPr="001705FB">
        <w:rPr>
          <w:sz w:val="22"/>
          <w:szCs w:val="22"/>
        </w:rPr>
        <w:t>Организирано и проведено публично откриващо събитие на ШБПС на 11 февруари 2025 г. в Хотел София Балкан Палас“;</w:t>
      </w:r>
    </w:p>
    <w:p w14:paraId="2A7199A8" w14:textId="67AB3AAF" w:rsidR="00C16750" w:rsidRPr="00374D17" w:rsidRDefault="00C16750" w:rsidP="00C54E81">
      <w:pPr>
        <w:numPr>
          <w:ilvl w:val="0"/>
          <w:numId w:val="42"/>
        </w:numPr>
        <w:shd w:val="clear" w:color="auto" w:fill="FFFFFF" w:themeFill="background1"/>
        <w:tabs>
          <w:tab w:val="left" w:pos="709"/>
        </w:tabs>
        <w:ind w:left="426" w:firstLine="0"/>
        <w:jc w:val="both"/>
        <w:rPr>
          <w:sz w:val="22"/>
          <w:szCs w:val="22"/>
        </w:rPr>
      </w:pPr>
      <w:r w:rsidRPr="00374D17">
        <w:rPr>
          <w:sz w:val="22"/>
          <w:szCs w:val="22"/>
        </w:rPr>
        <w:t xml:space="preserve">През февруари ЦКЗ организира обществена поръчка чрез събиране на оферти за осъществяване на ежедневен медиен мониторинг по ШБПС. След  като е избран изпълнител, е изготвен договор, който е съгласуван от съответните дирекции в МС. След молба на Изпълнителя за коригиране на сроковете на плащане, договорът преминава нова съгласувателна процедура. До края на отчетния период, договорът не е подписан, тъй като </w:t>
      </w:r>
      <w:proofErr w:type="spellStart"/>
      <w:r w:rsidR="00374D17" w:rsidRPr="00374D17">
        <w:rPr>
          <w:sz w:val="22"/>
          <w:szCs w:val="22"/>
        </w:rPr>
        <w:t>съгласувателна</w:t>
      </w:r>
      <w:r w:rsidR="00374D17">
        <w:rPr>
          <w:sz w:val="22"/>
          <w:szCs w:val="22"/>
        </w:rPr>
        <w:t>та</w:t>
      </w:r>
      <w:proofErr w:type="spellEnd"/>
      <w:r w:rsidRPr="00374D17">
        <w:rPr>
          <w:sz w:val="22"/>
          <w:szCs w:val="22"/>
        </w:rPr>
        <w:t xml:space="preserve"> процедура не е приключила;</w:t>
      </w:r>
    </w:p>
    <w:p w14:paraId="63209580" w14:textId="77777777" w:rsidR="00C16750" w:rsidRPr="00374D17" w:rsidRDefault="00C16750" w:rsidP="00C54E81">
      <w:pPr>
        <w:numPr>
          <w:ilvl w:val="0"/>
          <w:numId w:val="42"/>
        </w:numPr>
        <w:shd w:val="clear" w:color="auto" w:fill="FFFFFF" w:themeFill="background1"/>
        <w:tabs>
          <w:tab w:val="left" w:pos="709"/>
        </w:tabs>
        <w:ind w:left="426" w:firstLine="0"/>
        <w:jc w:val="both"/>
        <w:rPr>
          <w:sz w:val="22"/>
          <w:szCs w:val="22"/>
        </w:rPr>
      </w:pPr>
      <w:r w:rsidRPr="00374D17">
        <w:rPr>
          <w:sz w:val="22"/>
          <w:szCs w:val="22"/>
        </w:rPr>
        <w:lastRenderedPageBreak/>
        <w:t>ЦКЗ изготви техническа спецификация за изработването на рекламни материали за нуждите на ШБПС. В края на юни стартира обществена поръчка за избор на изпълнител;</w:t>
      </w:r>
    </w:p>
    <w:p w14:paraId="741436AC" w14:textId="77777777" w:rsidR="00C16750" w:rsidRPr="00374D17" w:rsidRDefault="00C16750" w:rsidP="00C54E81">
      <w:pPr>
        <w:numPr>
          <w:ilvl w:val="0"/>
          <w:numId w:val="42"/>
        </w:numPr>
        <w:shd w:val="clear" w:color="auto" w:fill="FFFFFF" w:themeFill="background1"/>
        <w:tabs>
          <w:tab w:val="left" w:pos="709"/>
        </w:tabs>
        <w:ind w:left="426" w:firstLine="0"/>
        <w:jc w:val="both"/>
        <w:rPr>
          <w:sz w:val="22"/>
          <w:szCs w:val="22"/>
        </w:rPr>
      </w:pPr>
      <w:r w:rsidRPr="00374D17">
        <w:rPr>
          <w:sz w:val="22"/>
          <w:szCs w:val="22"/>
        </w:rPr>
        <w:t>През май е проведена среща на комуникаторите по ШБПС, в която вземат участие представители на ЦКЗ и на всички Програмни оператори по ШБПС;</w:t>
      </w:r>
    </w:p>
    <w:p w14:paraId="46826942" w14:textId="77777777" w:rsidR="00C16750" w:rsidRPr="00374D17" w:rsidRDefault="00C16750" w:rsidP="00C54E81">
      <w:pPr>
        <w:numPr>
          <w:ilvl w:val="0"/>
          <w:numId w:val="42"/>
        </w:numPr>
        <w:shd w:val="clear" w:color="auto" w:fill="FFFFFF" w:themeFill="background1"/>
        <w:tabs>
          <w:tab w:val="left" w:pos="709"/>
        </w:tabs>
        <w:ind w:left="426" w:firstLine="0"/>
        <w:jc w:val="both"/>
        <w:rPr>
          <w:sz w:val="22"/>
          <w:szCs w:val="22"/>
        </w:rPr>
      </w:pPr>
      <w:r w:rsidRPr="00374D17">
        <w:rPr>
          <w:sz w:val="22"/>
          <w:szCs w:val="22"/>
        </w:rPr>
        <w:t xml:space="preserve">В периода януари-юни 2025 г. тече </w:t>
      </w:r>
      <w:proofErr w:type="spellStart"/>
      <w:r w:rsidRPr="00374D17">
        <w:rPr>
          <w:sz w:val="22"/>
          <w:szCs w:val="22"/>
        </w:rPr>
        <w:t>съгласувателната</w:t>
      </w:r>
      <w:proofErr w:type="spellEnd"/>
      <w:r w:rsidRPr="00374D17">
        <w:rPr>
          <w:sz w:val="22"/>
          <w:szCs w:val="22"/>
        </w:rPr>
        <w:t xml:space="preserve"> процедура между МС, „Информационно обслужване“ АД и МЕУ относно техническата спецификация за уебсайт на ШБПС и за провеждането на обществена поръчка за избор на изпълнител, който да разработи сайта;</w:t>
      </w:r>
    </w:p>
    <w:p w14:paraId="140CDDB9" w14:textId="27B223AA" w:rsidR="00C16750" w:rsidRDefault="00C16750" w:rsidP="00C54E81">
      <w:pPr>
        <w:numPr>
          <w:ilvl w:val="0"/>
          <w:numId w:val="42"/>
        </w:numPr>
        <w:shd w:val="clear" w:color="auto" w:fill="FFFFFF" w:themeFill="background1"/>
        <w:tabs>
          <w:tab w:val="left" w:pos="709"/>
        </w:tabs>
        <w:ind w:left="426" w:firstLine="0"/>
        <w:jc w:val="both"/>
        <w:rPr>
          <w:sz w:val="22"/>
          <w:szCs w:val="22"/>
        </w:rPr>
      </w:pPr>
      <w:r w:rsidRPr="00374D17">
        <w:rPr>
          <w:sz w:val="22"/>
          <w:szCs w:val="22"/>
        </w:rPr>
        <w:t>С оглед на липсата на уебсайт като основно средство за комуникация на ШБПС, ЦКЗ активно използва социалните мрежи за разпространяване на информация относно дейности и процедури по ШБПС. В периода януари-юни 2025 г. ЦКЗ качва актуална информация относно програмата в Фейсбук страницата на програмата и в създадената в края на декември 2024 г</w:t>
      </w:r>
      <w:r w:rsidRPr="00AF2A63">
        <w:rPr>
          <w:sz w:val="22"/>
          <w:szCs w:val="22"/>
        </w:rPr>
        <w:t xml:space="preserve">. </w:t>
      </w:r>
      <w:proofErr w:type="spellStart"/>
      <w:r w:rsidRPr="00AF2A63">
        <w:rPr>
          <w:sz w:val="22"/>
          <w:szCs w:val="22"/>
        </w:rPr>
        <w:t>LinkedIn</w:t>
      </w:r>
      <w:proofErr w:type="spellEnd"/>
      <w:r w:rsidRPr="00374D17">
        <w:rPr>
          <w:sz w:val="22"/>
          <w:szCs w:val="22"/>
        </w:rPr>
        <w:t xml:space="preserve"> страница на ШБПС. </w:t>
      </w:r>
    </w:p>
    <w:p w14:paraId="19CCAB6E" w14:textId="24809D30" w:rsidR="00F1634F" w:rsidRPr="0047432F" w:rsidRDefault="00F1634F" w:rsidP="0047432F">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47432F">
        <w:rPr>
          <w:b/>
          <w:bCs/>
          <w:i/>
          <w:iCs/>
          <w:color w:val="215E99" w:themeColor="text2" w:themeTint="BF"/>
          <w:sz w:val="22"/>
          <w:szCs w:val="22"/>
        </w:rPr>
        <w:t xml:space="preserve">Изпълняване функциите на управляващ орган </w:t>
      </w:r>
      <w:r w:rsidR="00232979" w:rsidRPr="0047432F">
        <w:rPr>
          <w:b/>
          <w:bCs/>
          <w:i/>
          <w:iCs/>
          <w:color w:val="215E99" w:themeColor="text2" w:themeTint="BF"/>
          <w:sz w:val="22"/>
          <w:szCs w:val="22"/>
        </w:rPr>
        <w:t xml:space="preserve">(УО) </w:t>
      </w:r>
      <w:r w:rsidRPr="0047432F">
        <w:rPr>
          <w:b/>
          <w:bCs/>
          <w:i/>
          <w:iCs/>
          <w:color w:val="215E99" w:themeColor="text2" w:themeTint="BF"/>
          <w:sz w:val="22"/>
          <w:szCs w:val="22"/>
        </w:rPr>
        <w:t xml:space="preserve">на </w:t>
      </w:r>
      <w:r w:rsidR="00232979" w:rsidRPr="0047432F">
        <w:rPr>
          <w:b/>
          <w:bCs/>
          <w:i/>
          <w:iCs/>
          <w:color w:val="215E99" w:themeColor="text2" w:themeTint="BF"/>
          <w:sz w:val="22"/>
          <w:szCs w:val="22"/>
        </w:rPr>
        <w:t>Оперативна програма „Добро управление“ 2014 – 2020 (</w:t>
      </w:r>
      <w:r w:rsidRPr="0047432F">
        <w:rPr>
          <w:b/>
          <w:bCs/>
          <w:i/>
          <w:iCs/>
          <w:color w:val="215E99" w:themeColor="text2" w:themeTint="BF"/>
          <w:sz w:val="22"/>
          <w:szCs w:val="22"/>
        </w:rPr>
        <w:t>ОПДУ</w:t>
      </w:r>
      <w:r w:rsidR="00232979" w:rsidRPr="0047432F">
        <w:rPr>
          <w:b/>
          <w:bCs/>
          <w:i/>
          <w:iCs/>
          <w:color w:val="215E99" w:themeColor="text2" w:themeTint="BF"/>
          <w:sz w:val="22"/>
          <w:szCs w:val="22"/>
        </w:rPr>
        <w:t>)</w:t>
      </w:r>
      <w:r w:rsidRPr="0047432F">
        <w:rPr>
          <w:b/>
          <w:bCs/>
          <w:i/>
          <w:iCs/>
          <w:color w:val="215E99" w:themeColor="text2" w:themeTint="BF"/>
          <w:sz w:val="22"/>
          <w:szCs w:val="22"/>
        </w:rPr>
        <w:t xml:space="preserve"> и на </w:t>
      </w:r>
      <w:r w:rsidR="00232979" w:rsidRPr="0047432F">
        <w:rPr>
          <w:b/>
          <w:bCs/>
          <w:i/>
          <w:iCs/>
          <w:color w:val="215E99" w:themeColor="text2" w:themeTint="BF"/>
          <w:sz w:val="22"/>
          <w:szCs w:val="22"/>
        </w:rPr>
        <w:t>Програма „Техническа помощ“ 2021 – 2027 г. (</w:t>
      </w:r>
      <w:r w:rsidRPr="0047432F">
        <w:rPr>
          <w:b/>
          <w:bCs/>
          <w:i/>
          <w:iCs/>
          <w:color w:val="215E99" w:themeColor="text2" w:themeTint="BF"/>
          <w:sz w:val="22"/>
          <w:szCs w:val="22"/>
        </w:rPr>
        <w:t>ПТП</w:t>
      </w:r>
      <w:r w:rsidR="00232979" w:rsidRPr="0047432F">
        <w:rPr>
          <w:b/>
          <w:bCs/>
          <w:i/>
          <w:iCs/>
          <w:color w:val="215E99" w:themeColor="text2" w:themeTint="BF"/>
          <w:sz w:val="22"/>
          <w:szCs w:val="22"/>
        </w:rPr>
        <w:t>)</w:t>
      </w:r>
    </w:p>
    <w:p w14:paraId="5BD94EA9" w14:textId="77777777" w:rsidR="00F1634F" w:rsidRPr="0052239C" w:rsidRDefault="00F1634F" w:rsidP="005A4ECE">
      <w:pPr>
        <w:widowControl w:val="0"/>
        <w:shd w:val="clear" w:color="auto" w:fill="FFFFFF" w:themeFill="background1"/>
        <w:ind w:firstLine="425"/>
        <w:jc w:val="both"/>
        <w:outlineLvl w:val="3"/>
        <w:rPr>
          <w:b/>
          <w:i/>
          <w:color w:val="800000"/>
          <w:sz w:val="22"/>
          <w:szCs w:val="22"/>
        </w:rPr>
      </w:pPr>
      <w:r w:rsidRPr="0052239C">
        <w:rPr>
          <w:b/>
          <w:i/>
          <w:color w:val="800000"/>
          <w:sz w:val="22"/>
          <w:szCs w:val="22"/>
        </w:rPr>
        <w:t>Постигнати резултати и изпълнени дейности за предоставяне на продукта/услугата</w:t>
      </w:r>
    </w:p>
    <w:p w14:paraId="3AAB8FF9" w14:textId="77777777" w:rsidR="00F1634F" w:rsidRPr="00AE1E0C" w:rsidRDefault="00F1634F" w:rsidP="0047432F">
      <w:pPr>
        <w:shd w:val="clear" w:color="auto" w:fill="FFFFFF" w:themeFill="background1"/>
        <w:ind w:firstLine="425"/>
        <w:jc w:val="both"/>
        <w:rPr>
          <w:b/>
          <w:i/>
          <w:color w:val="000000" w:themeColor="text1"/>
          <w:sz w:val="22"/>
          <w:szCs w:val="22"/>
        </w:rPr>
      </w:pPr>
      <w:r w:rsidRPr="00AE1E0C">
        <w:rPr>
          <w:b/>
          <w:i/>
          <w:color w:val="000000" w:themeColor="text1"/>
          <w:sz w:val="22"/>
          <w:szCs w:val="22"/>
        </w:rPr>
        <w:t>ОПДУ:</w:t>
      </w:r>
    </w:p>
    <w:p w14:paraId="62BF107B" w14:textId="77777777" w:rsidR="00F1634F" w:rsidRPr="00F7150C" w:rsidRDefault="00F1634F" w:rsidP="0047432F">
      <w:pPr>
        <w:numPr>
          <w:ilvl w:val="0"/>
          <w:numId w:val="42"/>
        </w:numPr>
        <w:shd w:val="clear" w:color="auto" w:fill="FFFFFF" w:themeFill="background1"/>
        <w:tabs>
          <w:tab w:val="left" w:pos="709"/>
        </w:tabs>
        <w:ind w:left="426" w:firstLine="0"/>
        <w:jc w:val="both"/>
        <w:rPr>
          <w:sz w:val="22"/>
          <w:szCs w:val="22"/>
        </w:rPr>
      </w:pPr>
      <w:r w:rsidRPr="00F7150C">
        <w:rPr>
          <w:b/>
          <w:bCs/>
          <w:sz w:val="22"/>
          <w:szCs w:val="22"/>
        </w:rPr>
        <w:t>Приключени</w:t>
      </w:r>
      <w:r w:rsidRPr="00F7150C">
        <w:rPr>
          <w:sz w:val="22"/>
          <w:szCs w:val="22"/>
        </w:rPr>
        <w:t xml:space="preserve"> 3 броя договори или 0.5% от изпълнените договори по програмата (общо сключени 706 бр., от които 40 бр. прекратени); </w:t>
      </w:r>
    </w:p>
    <w:p w14:paraId="56E83465" w14:textId="50116BD3" w:rsidR="00F1634F" w:rsidRPr="00F7150C" w:rsidRDefault="00F1634F" w:rsidP="0047432F">
      <w:pPr>
        <w:numPr>
          <w:ilvl w:val="0"/>
          <w:numId w:val="42"/>
        </w:numPr>
        <w:shd w:val="clear" w:color="auto" w:fill="FFFFFF" w:themeFill="background1"/>
        <w:tabs>
          <w:tab w:val="left" w:pos="709"/>
        </w:tabs>
        <w:ind w:left="426" w:firstLine="0"/>
        <w:jc w:val="both"/>
        <w:rPr>
          <w:sz w:val="22"/>
          <w:szCs w:val="22"/>
        </w:rPr>
      </w:pPr>
      <w:r w:rsidRPr="00F7150C">
        <w:rPr>
          <w:b/>
          <w:bCs/>
          <w:sz w:val="22"/>
          <w:szCs w:val="22"/>
        </w:rPr>
        <w:t>Договорените средства</w:t>
      </w:r>
      <w:r w:rsidRPr="00F7150C">
        <w:rPr>
          <w:sz w:val="22"/>
          <w:szCs w:val="22"/>
        </w:rPr>
        <w:t xml:space="preserve"> през 2025 г. по ОПДУ са намалени с 15</w:t>
      </w:r>
      <w:r w:rsidR="00F7150C">
        <w:rPr>
          <w:sz w:val="22"/>
          <w:szCs w:val="22"/>
        </w:rPr>
        <w:t xml:space="preserve"> </w:t>
      </w:r>
      <w:r w:rsidRPr="00F7150C">
        <w:rPr>
          <w:sz w:val="22"/>
          <w:szCs w:val="22"/>
        </w:rPr>
        <w:t>778</w:t>
      </w:r>
      <w:r w:rsidR="00F7150C">
        <w:rPr>
          <w:sz w:val="22"/>
          <w:szCs w:val="22"/>
        </w:rPr>
        <w:t xml:space="preserve"> </w:t>
      </w:r>
      <w:r w:rsidRPr="00F7150C">
        <w:rPr>
          <w:sz w:val="22"/>
          <w:szCs w:val="22"/>
        </w:rPr>
        <w:t>582.35 лв., което представлява неусвоени средства по проектите с клауза за договаряне над бюджета на програмата. Общо договорените по програмата средства възлизат на 548</w:t>
      </w:r>
      <w:r w:rsidR="00F7150C">
        <w:rPr>
          <w:sz w:val="22"/>
          <w:szCs w:val="22"/>
        </w:rPr>
        <w:t> </w:t>
      </w:r>
      <w:r w:rsidRPr="00F7150C">
        <w:rPr>
          <w:sz w:val="22"/>
          <w:szCs w:val="22"/>
        </w:rPr>
        <w:t>534</w:t>
      </w:r>
      <w:r w:rsidR="00F7150C">
        <w:rPr>
          <w:sz w:val="22"/>
          <w:szCs w:val="22"/>
        </w:rPr>
        <w:t xml:space="preserve"> </w:t>
      </w:r>
      <w:r w:rsidRPr="00F7150C">
        <w:rPr>
          <w:sz w:val="22"/>
          <w:szCs w:val="22"/>
        </w:rPr>
        <w:t>230.11 лв. (100.2% от бюджета на програмата);</w:t>
      </w:r>
    </w:p>
    <w:p w14:paraId="252EEE3F" w14:textId="7148C302" w:rsidR="00F1634F" w:rsidRPr="00F7150C" w:rsidRDefault="00F1634F" w:rsidP="0047432F">
      <w:pPr>
        <w:numPr>
          <w:ilvl w:val="0"/>
          <w:numId w:val="42"/>
        </w:numPr>
        <w:shd w:val="clear" w:color="auto" w:fill="FFFFFF" w:themeFill="background1"/>
        <w:tabs>
          <w:tab w:val="left" w:pos="709"/>
        </w:tabs>
        <w:ind w:left="426" w:firstLine="0"/>
        <w:jc w:val="both"/>
        <w:rPr>
          <w:sz w:val="22"/>
          <w:szCs w:val="22"/>
        </w:rPr>
      </w:pPr>
      <w:r w:rsidRPr="006A7CAF">
        <w:rPr>
          <w:b/>
          <w:bCs/>
          <w:sz w:val="22"/>
          <w:szCs w:val="22"/>
        </w:rPr>
        <w:t>Изплатени средства</w:t>
      </w:r>
      <w:r w:rsidRPr="00F7150C">
        <w:rPr>
          <w:sz w:val="22"/>
          <w:szCs w:val="22"/>
        </w:rPr>
        <w:t xml:space="preserve"> в размер на 1</w:t>
      </w:r>
      <w:r w:rsidR="00F7150C">
        <w:rPr>
          <w:sz w:val="22"/>
          <w:szCs w:val="22"/>
        </w:rPr>
        <w:t xml:space="preserve"> </w:t>
      </w:r>
      <w:r w:rsidRPr="00F7150C">
        <w:rPr>
          <w:sz w:val="22"/>
          <w:szCs w:val="22"/>
        </w:rPr>
        <w:t>674</w:t>
      </w:r>
      <w:r w:rsidR="00F7150C">
        <w:rPr>
          <w:sz w:val="22"/>
          <w:szCs w:val="22"/>
        </w:rPr>
        <w:t xml:space="preserve"> </w:t>
      </w:r>
      <w:r w:rsidRPr="00F7150C">
        <w:rPr>
          <w:sz w:val="22"/>
          <w:szCs w:val="22"/>
        </w:rPr>
        <w:t>899</w:t>
      </w:r>
      <w:r w:rsidR="00F7150C">
        <w:rPr>
          <w:sz w:val="22"/>
          <w:szCs w:val="22"/>
        </w:rPr>
        <w:t>.</w:t>
      </w:r>
      <w:r w:rsidRPr="00F7150C">
        <w:rPr>
          <w:sz w:val="22"/>
          <w:szCs w:val="22"/>
        </w:rPr>
        <w:t>88 лв. през 2025 г. от общо 548</w:t>
      </w:r>
      <w:r w:rsidR="00F7150C">
        <w:rPr>
          <w:sz w:val="22"/>
          <w:szCs w:val="22"/>
        </w:rPr>
        <w:t xml:space="preserve"> </w:t>
      </w:r>
      <w:r w:rsidRPr="00F7150C">
        <w:rPr>
          <w:sz w:val="22"/>
          <w:szCs w:val="22"/>
        </w:rPr>
        <w:t>534</w:t>
      </w:r>
      <w:r w:rsidR="00F7150C">
        <w:rPr>
          <w:sz w:val="22"/>
          <w:szCs w:val="22"/>
        </w:rPr>
        <w:t xml:space="preserve"> </w:t>
      </w:r>
      <w:r w:rsidRPr="00F7150C">
        <w:rPr>
          <w:sz w:val="22"/>
          <w:szCs w:val="22"/>
        </w:rPr>
        <w:t>230.11 лв. (100.2% от бюджета на програмата);</w:t>
      </w:r>
    </w:p>
    <w:p w14:paraId="14769B6A" w14:textId="17971A70" w:rsidR="00F1634F" w:rsidRPr="00F7150C" w:rsidRDefault="00F1634F" w:rsidP="0047432F">
      <w:pPr>
        <w:numPr>
          <w:ilvl w:val="0"/>
          <w:numId w:val="42"/>
        </w:numPr>
        <w:shd w:val="clear" w:color="auto" w:fill="FFFFFF" w:themeFill="background1"/>
        <w:tabs>
          <w:tab w:val="left" w:pos="709"/>
        </w:tabs>
        <w:ind w:left="426" w:firstLine="0"/>
        <w:jc w:val="both"/>
        <w:rPr>
          <w:sz w:val="22"/>
          <w:szCs w:val="22"/>
        </w:rPr>
      </w:pPr>
      <w:r w:rsidRPr="006A7CAF">
        <w:rPr>
          <w:b/>
          <w:bCs/>
          <w:sz w:val="22"/>
          <w:szCs w:val="22"/>
        </w:rPr>
        <w:t>Верифицирани средства</w:t>
      </w:r>
      <w:r w:rsidRPr="00F7150C">
        <w:rPr>
          <w:sz w:val="22"/>
          <w:szCs w:val="22"/>
        </w:rPr>
        <w:t xml:space="preserve"> в размер на 2</w:t>
      </w:r>
      <w:r w:rsidR="006A7CAF">
        <w:rPr>
          <w:sz w:val="22"/>
          <w:szCs w:val="22"/>
        </w:rPr>
        <w:t xml:space="preserve"> </w:t>
      </w:r>
      <w:r w:rsidRPr="00F7150C">
        <w:rPr>
          <w:sz w:val="22"/>
          <w:szCs w:val="22"/>
        </w:rPr>
        <w:t>334</w:t>
      </w:r>
      <w:r w:rsidR="006A7CAF">
        <w:rPr>
          <w:sz w:val="22"/>
          <w:szCs w:val="22"/>
        </w:rPr>
        <w:t xml:space="preserve"> </w:t>
      </w:r>
      <w:r w:rsidRPr="00F7150C">
        <w:rPr>
          <w:sz w:val="22"/>
          <w:szCs w:val="22"/>
        </w:rPr>
        <w:t>187</w:t>
      </w:r>
      <w:r w:rsidR="006A7CAF">
        <w:rPr>
          <w:sz w:val="22"/>
          <w:szCs w:val="22"/>
        </w:rPr>
        <w:t xml:space="preserve"> </w:t>
      </w:r>
      <w:r w:rsidRPr="00F7150C">
        <w:rPr>
          <w:sz w:val="22"/>
          <w:szCs w:val="22"/>
        </w:rPr>
        <w:t xml:space="preserve">76 лв. през 2025 г. от общо </w:t>
      </w:r>
      <w:r w:rsidR="00073AA5">
        <w:rPr>
          <w:sz w:val="22"/>
          <w:szCs w:val="22"/>
        </w:rPr>
        <w:br/>
      </w:r>
      <w:r w:rsidRPr="00F7150C">
        <w:rPr>
          <w:sz w:val="22"/>
          <w:szCs w:val="22"/>
        </w:rPr>
        <w:t>547</w:t>
      </w:r>
      <w:r w:rsidR="006A7CAF">
        <w:rPr>
          <w:sz w:val="22"/>
          <w:szCs w:val="22"/>
        </w:rPr>
        <w:t xml:space="preserve"> </w:t>
      </w:r>
      <w:r w:rsidRPr="00F7150C">
        <w:rPr>
          <w:sz w:val="22"/>
          <w:szCs w:val="22"/>
        </w:rPr>
        <w:t>924</w:t>
      </w:r>
      <w:r w:rsidR="006A7CAF">
        <w:rPr>
          <w:sz w:val="22"/>
          <w:szCs w:val="22"/>
        </w:rPr>
        <w:t xml:space="preserve"> </w:t>
      </w:r>
      <w:r w:rsidRPr="00F7150C">
        <w:rPr>
          <w:sz w:val="22"/>
          <w:szCs w:val="22"/>
        </w:rPr>
        <w:t>077.49 лв. (100.1% от бюджета на програмата);</w:t>
      </w:r>
    </w:p>
    <w:p w14:paraId="2534F1A6" w14:textId="1B70ED1E" w:rsidR="00F1634F" w:rsidRPr="006A7CAF" w:rsidRDefault="00F1634F" w:rsidP="0047432F">
      <w:pPr>
        <w:numPr>
          <w:ilvl w:val="0"/>
          <w:numId w:val="42"/>
        </w:numPr>
        <w:shd w:val="clear" w:color="auto" w:fill="FFFFFF" w:themeFill="background1"/>
        <w:tabs>
          <w:tab w:val="left" w:pos="709"/>
        </w:tabs>
        <w:ind w:left="426" w:firstLine="0"/>
        <w:jc w:val="both"/>
        <w:rPr>
          <w:sz w:val="22"/>
          <w:szCs w:val="22"/>
        </w:rPr>
      </w:pPr>
      <w:r w:rsidRPr="0069762C">
        <w:rPr>
          <w:b/>
          <w:bCs/>
          <w:sz w:val="22"/>
          <w:szCs w:val="22"/>
        </w:rPr>
        <w:t>Сертифицирани средства</w:t>
      </w:r>
      <w:r w:rsidRPr="006A7CAF">
        <w:rPr>
          <w:sz w:val="22"/>
          <w:szCs w:val="22"/>
        </w:rPr>
        <w:t xml:space="preserve"> в размер на 2 356</w:t>
      </w:r>
      <w:r w:rsidR="0087206C">
        <w:rPr>
          <w:sz w:val="22"/>
          <w:szCs w:val="22"/>
        </w:rPr>
        <w:t> </w:t>
      </w:r>
      <w:r w:rsidRPr="006A7CAF">
        <w:rPr>
          <w:sz w:val="22"/>
          <w:szCs w:val="22"/>
        </w:rPr>
        <w:t>929</w:t>
      </w:r>
      <w:r w:rsidR="0087206C">
        <w:rPr>
          <w:sz w:val="22"/>
          <w:szCs w:val="22"/>
        </w:rPr>
        <w:t>.</w:t>
      </w:r>
      <w:r w:rsidRPr="006A7CAF">
        <w:rPr>
          <w:sz w:val="22"/>
          <w:szCs w:val="22"/>
        </w:rPr>
        <w:t xml:space="preserve">75 лв. през 2025 г. от общо </w:t>
      </w:r>
      <w:r w:rsidR="0087206C">
        <w:rPr>
          <w:sz w:val="22"/>
          <w:szCs w:val="22"/>
        </w:rPr>
        <w:br/>
      </w:r>
      <w:r w:rsidRPr="006A7CAF">
        <w:rPr>
          <w:sz w:val="22"/>
          <w:szCs w:val="22"/>
        </w:rPr>
        <w:t>547</w:t>
      </w:r>
      <w:r w:rsidR="0087206C">
        <w:rPr>
          <w:sz w:val="22"/>
          <w:szCs w:val="22"/>
        </w:rPr>
        <w:t xml:space="preserve"> </w:t>
      </w:r>
      <w:r w:rsidRPr="006A7CAF">
        <w:rPr>
          <w:sz w:val="22"/>
          <w:szCs w:val="22"/>
        </w:rPr>
        <w:t>924</w:t>
      </w:r>
      <w:r w:rsidR="0087206C">
        <w:rPr>
          <w:sz w:val="22"/>
          <w:szCs w:val="22"/>
        </w:rPr>
        <w:t xml:space="preserve"> </w:t>
      </w:r>
      <w:r w:rsidRPr="006A7CAF">
        <w:rPr>
          <w:sz w:val="22"/>
          <w:szCs w:val="22"/>
        </w:rPr>
        <w:t>077.49 лв. (100.1% от бюджета на програмата).</w:t>
      </w:r>
    </w:p>
    <w:p w14:paraId="7B27335C" w14:textId="77777777" w:rsidR="00F1634F" w:rsidRPr="00277A76" w:rsidRDefault="00F1634F" w:rsidP="0047432F">
      <w:pPr>
        <w:shd w:val="clear" w:color="auto" w:fill="FFFFFF" w:themeFill="background1"/>
        <w:spacing w:before="120"/>
        <w:ind w:firstLine="425"/>
        <w:jc w:val="both"/>
        <w:rPr>
          <w:b/>
          <w:i/>
          <w:color w:val="000000" w:themeColor="text1"/>
          <w:sz w:val="22"/>
          <w:szCs w:val="22"/>
        </w:rPr>
      </w:pPr>
      <w:r w:rsidRPr="00277A76">
        <w:rPr>
          <w:b/>
          <w:i/>
          <w:color w:val="000000" w:themeColor="text1"/>
          <w:sz w:val="22"/>
          <w:szCs w:val="22"/>
        </w:rPr>
        <w:t>ПТП:</w:t>
      </w:r>
    </w:p>
    <w:p w14:paraId="29EA4A42" w14:textId="68E54AD9" w:rsidR="00F1634F" w:rsidRPr="00AE1E0C" w:rsidRDefault="00F1634F" w:rsidP="0047432F">
      <w:pPr>
        <w:numPr>
          <w:ilvl w:val="0"/>
          <w:numId w:val="42"/>
        </w:numPr>
        <w:shd w:val="clear" w:color="auto" w:fill="FFFFFF" w:themeFill="background1"/>
        <w:tabs>
          <w:tab w:val="left" w:pos="709"/>
        </w:tabs>
        <w:ind w:left="426" w:firstLine="0"/>
        <w:jc w:val="both"/>
        <w:rPr>
          <w:sz w:val="22"/>
          <w:szCs w:val="22"/>
        </w:rPr>
      </w:pPr>
      <w:r w:rsidRPr="00AE1E0C">
        <w:rPr>
          <w:sz w:val="22"/>
          <w:szCs w:val="22"/>
        </w:rPr>
        <w:t>С</w:t>
      </w:r>
      <w:r w:rsidRPr="002103E9">
        <w:rPr>
          <w:sz w:val="22"/>
          <w:szCs w:val="22"/>
        </w:rPr>
        <w:t xml:space="preserve"> Решение за изпълнение на Комисията С(2025) 3637 от </w:t>
      </w:r>
      <w:r w:rsidR="002103E9">
        <w:rPr>
          <w:sz w:val="22"/>
          <w:szCs w:val="22"/>
        </w:rPr>
        <w:t>0</w:t>
      </w:r>
      <w:r w:rsidRPr="002103E9">
        <w:rPr>
          <w:sz w:val="22"/>
          <w:szCs w:val="22"/>
        </w:rPr>
        <w:t>4</w:t>
      </w:r>
      <w:r w:rsidR="002103E9">
        <w:rPr>
          <w:sz w:val="22"/>
          <w:szCs w:val="22"/>
        </w:rPr>
        <w:t>.06.</w:t>
      </w:r>
      <w:r w:rsidRPr="002103E9">
        <w:rPr>
          <w:sz w:val="22"/>
          <w:szCs w:val="22"/>
        </w:rPr>
        <w:t>2025 г. е одобрено</w:t>
      </w:r>
      <w:r w:rsidR="00CF7186">
        <w:rPr>
          <w:sz w:val="22"/>
          <w:szCs w:val="22"/>
        </w:rPr>
        <w:t xml:space="preserve"> </w:t>
      </w:r>
      <w:hyperlink r:id="rId36" w:history="1">
        <w:r w:rsidRPr="002103E9">
          <w:rPr>
            <w:sz w:val="22"/>
            <w:szCs w:val="22"/>
          </w:rPr>
          <w:t>първото изменение на Програма „Техническа помощ“</w:t>
        </w:r>
      </w:hyperlink>
      <w:r w:rsidRPr="002103E9">
        <w:rPr>
          <w:sz w:val="22"/>
          <w:szCs w:val="22"/>
        </w:rPr>
        <w:t xml:space="preserve"> (ПТП). То е резултат от ключов етап в развитието на програмата – междинния преглед на изпълнението, направен в началото</w:t>
      </w:r>
      <w:r w:rsidRPr="00AE1E0C">
        <w:rPr>
          <w:sz w:val="22"/>
          <w:szCs w:val="22"/>
        </w:rPr>
        <w:t xml:space="preserve"> на 2025 г. в съответствие с чл. 18 от Регламент (ЕС) 2021/1060. Извършеният експертен анализ от Управляващия орган на ПТП (УО на ПТП) показа напредъка по програмата, отчете настъпилите промени в контекста на изпълнението и обоснова конкретни промени, които ще дадат възможност за ефективното изпълнение до края на периода;</w:t>
      </w:r>
    </w:p>
    <w:p w14:paraId="1C2F86F1" w14:textId="77777777" w:rsidR="00F1634F" w:rsidRPr="00AE1E0C" w:rsidRDefault="00F1634F" w:rsidP="0047432F">
      <w:pPr>
        <w:numPr>
          <w:ilvl w:val="0"/>
          <w:numId w:val="42"/>
        </w:numPr>
        <w:shd w:val="clear" w:color="auto" w:fill="FFFFFF" w:themeFill="background1"/>
        <w:tabs>
          <w:tab w:val="left" w:pos="709"/>
        </w:tabs>
        <w:ind w:left="426" w:firstLine="0"/>
        <w:jc w:val="both"/>
        <w:rPr>
          <w:sz w:val="22"/>
          <w:szCs w:val="22"/>
        </w:rPr>
      </w:pPr>
      <w:r w:rsidRPr="00AE1E0C">
        <w:rPr>
          <w:sz w:val="22"/>
          <w:szCs w:val="22"/>
        </w:rPr>
        <w:t>През отчетния период е представен разработен, съгласуван с ЦКЗ и утвърден от Ръководителя на УО на ПТП План за действие по препоръките от извършената Оценка на ефективността, ефикасността и въздействието на мрежата от 27 областни информационни центъра в България, който съдържа конкретни действия и срок за прилагането им. Утвърденият план е изпратен на всички заинтересовани страни.</w:t>
      </w:r>
    </w:p>
    <w:p w14:paraId="66589188" w14:textId="26A8BB69" w:rsidR="00F1634F" w:rsidRPr="00AE1E0C" w:rsidRDefault="00F1634F" w:rsidP="0047432F">
      <w:pPr>
        <w:numPr>
          <w:ilvl w:val="0"/>
          <w:numId w:val="42"/>
        </w:numPr>
        <w:shd w:val="clear" w:color="auto" w:fill="FFFFFF" w:themeFill="background1"/>
        <w:tabs>
          <w:tab w:val="left" w:pos="709"/>
        </w:tabs>
        <w:ind w:left="426" w:firstLine="0"/>
        <w:jc w:val="both"/>
        <w:rPr>
          <w:sz w:val="22"/>
          <w:szCs w:val="22"/>
        </w:rPr>
      </w:pPr>
      <w:r w:rsidRPr="0067591F">
        <w:rPr>
          <w:b/>
          <w:bCs/>
          <w:sz w:val="22"/>
          <w:szCs w:val="22"/>
        </w:rPr>
        <w:t>ИГРП</w:t>
      </w:r>
      <w:r w:rsidRPr="00AE1E0C">
        <w:rPr>
          <w:sz w:val="22"/>
          <w:szCs w:val="22"/>
        </w:rPr>
        <w:t xml:space="preserve"> – </w:t>
      </w:r>
      <w:r w:rsidRPr="00D1648D">
        <w:rPr>
          <w:sz w:val="22"/>
          <w:szCs w:val="22"/>
        </w:rPr>
        <w:t>Изготвен</w:t>
      </w:r>
      <w:r w:rsidRPr="00AE1E0C">
        <w:rPr>
          <w:sz w:val="22"/>
          <w:szCs w:val="22"/>
        </w:rPr>
        <w:t xml:space="preserve"> проект на Индикативната годишна работна програма за 2025</w:t>
      </w:r>
      <w:r w:rsidR="00D1648D">
        <w:rPr>
          <w:sz w:val="22"/>
          <w:szCs w:val="22"/>
        </w:rPr>
        <w:t xml:space="preserve"> </w:t>
      </w:r>
      <w:r w:rsidRPr="00AE1E0C">
        <w:rPr>
          <w:sz w:val="22"/>
          <w:szCs w:val="22"/>
        </w:rPr>
        <w:t>г., съгласуван със Съвета за координация при управление на средствата от ЕС;</w:t>
      </w:r>
    </w:p>
    <w:p w14:paraId="6ED40145" w14:textId="77777777" w:rsidR="00F1634F" w:rsidRPr="00AE1E0C" w:rsidRDefault="00F1634F" w:rsidP="0047432F">
      <w:pPr>
        <w:numPr>
          <w:ilvl w:val="0"/>
          <w:numId w:val="42"/>
        </w:numPr>
        <w:shd w:val="clear" w:color="auto" w:fill="FFFFFF" w:themeFill="background1"/>
        <w:tabs>
          <w:tab w:val="left" w:pos="709"/>
        </w:tabs>
        <w:ind w:left="426" w:firstLine="0"/>
        <w:jc w:val="both"/>
        <w:rPr>
          <w:sz w:val="22"/>
          <w:szCs w:val="22"/>
        </w:rPr>
      </w:pPr>
      <w:r w:rsidRPr="0067591F">
        <w:rPr>
          <w:b/>
          <w:bCs/>
          <w:sz w:val="22"/>
          <w:szCs w:val="22"/>
        </w:rPr>
        <w:t>Разработен проект на методология и критерии</w:t>
      </w:r>
      <w:r w:rsidRPr="00AE1E0C">
        <w:rPr>
          <w:sz w:val="22"/>
          <w:szCs w:val="22"/>
        </w:rPr>
        <w:t>, използвани за подбор на операции по процедура BG16RFTA001-1.010 „Активни и компетентни организации на гражданското общество за повишаване на добавената стойност на политиката на сближаване в България“, съгласуван със службите на ЕК;</w:t>
      </w:r>
    </w:p>
    <w:p w14:paraId="56419F5D" w14:textId="77777777" w:rsidR="00F1634F" w:rsidRPr="00AE1E0C" w:rsidRDefault="00F1634F" w:rsidP="0047432F">
      <w:pPr>
        <w:numPr>
          <w:ilvl w:val="0"/>
          <w:numId w:val="42"/>
        </w:numPr>
        <w:shd w:val="clear" w:color="auto" w:fill="FFFFFF" w:themeFill="background1"/>
        <w:tabs>
          <w:tab w:val="left" w:pos="709"/>
        </w:tabs>
        <w:ind w:left="426" w:firstLine="0"/>
        <w:jc w:val="both"/>
        <w:rPr>
          <w:sz w:val="22"/>
          <w:szCs w:val="22"/>
        </w:rPr>
      </w:pPr>
      <w:r w:rsidRPr="0067591F">
        <w:rPr>
          <w:b/>
          <w:bCs/>
          <w:sz w:val="22"/>
          <w:szCs w:val="22"/>
        </w:rPr>
        <w:t>Разработен проект на Насоки за кандидатстване</w:t>
      </w:r>
      <w:r w:rsidRPr="00AE1E0C">
        <w:rPr>
          <w:sz w:val="22"/>
          <w:szCs w:val="22"/>
        </w:rPr>
        <w:t xml:space="preserve"> по процедура BG16RFTA001-1.</w:t>
      </w:r>
      <w:r w:rsidRPr="00D1648D">
        <w:rPr>
          <w:sz w:val="22"/>
          <w:szCs w:val="22"/>
        </w:rPr>
        <w:t>010</w:t>
      </w:r>
      <w:r w:rsidRPr="00AE1E0C">
        <w:rPr>
          <w:sz w:val="22"/>
          <w:szCs w:val="22"/>
        </w:rPr>
        <w:t>;</w:t>
      </w:r>
    </w:p>
    <w:p w14:paraId="2E8B90D2" w14:textId="77777777" w:rsidR="00F1634F" w:rsidRPr="00AE1E0C" w:rsidRDefault="00F1634F" w:rsidP="0047432F">
      <w:pPr>
        <w:numPr>
          <w:ilvl w:val="0"/>
          <w:numId w:val="42"/>
        </w:numPr>
        <w:shd w:val="clear" w:color="auto" w:fill="FFFFFF" w:themeFill="background1"/>
        <w:tabs>
          <w:tab w:val="left" w:pos="709"/>
        </w:tabs>
        <w:ind w:left="426" w:firstLine="0"/>
        <w:jc w:val="both"/>
        <w:rPr>
          <w:sz w:val="22"/>
          <w:szCs w:val="22"/>
        </w:rPr>
      </w:pPr>
      <w:r w:rsidRPr="0067591F">
        <w:rPr>
          <w:b/>
          <w:bCs/>
          <w:sz w:val="22"/>
          <w:szCs w:val="22"/>
        </w:rPr>
        <w:t>Прекратена процедура</w:t>
      </w:r>
      <w:r w:rsidRPr="00D1648D">
        <w:rPr>
          <w:sz w:val="22"/>
          <w:szCs w:val="22"/>
        </w:rPr>
        <w:t xml:space="preserve"> – </w:t>
      </w:r>
      <w:hyperlink r:id="rId37" w:history="1">
        <w:r w:rsidRPr="005D719E">
          <w:rPr>
            <w:rStyle w:val="Hyperlink"/>
            <w:color w:val="215E99" w:themeColor="text2" w:themeTint="BF"/>
            <w:sz w:val="22"/>
            <w:szCs w:val="22"/>
            <w:u w:val="none"/>
            <w:lang w:val="en-US"/>
          </w:rPr>
          <w:t>BG16RFTA001-1.008</w:t>
        </w:r>
      </w:hyperlink>
      <w:r w:rsidRPr="00AE1E0C">
        <w:rPr>
          <w:sz w:val="22"/>
          <w:szCs w:val="22"/>
        </w:rPr>
        <w:t>;</w:t>
      </w:r>
    </w:p>
    <w:p w14:paraId="3B3FA08E" w14:textId="77777777" w:rsidR="00F1634F" w:rsidRPr="007E79C7" w:rsidRDefault="00F1634F" w:rsidP="0047432F">
      <w:pPr>
        <w:numPr>
          <w:ilvl w:val="0"/>
          <w:numId w:val="42"/>
        </w:numPr>
        <w:shd w:val="clear" w:color="auto" w:fill="FFFFFF" w:themeFill="background1"/>
        <w:tabs>
          <w:tab w:val="left" w:pos="709"/>
        </w:tabs>
        <w:ind w:left="426" w:firstLine="0"/>
        <w:jc w:val="both"/>
        <w:rPr>
          <w:sz w:val="22"/>
          <w:szCs w:val="22"/>
        </w:rPr>
      </w:pPr>
      <w:r w:rsidRPr="0067591F">
        <w:rPr>
          <w:b/>
          <w:bCs/>
          <w:sz w:val="22"/>
          <w:szCs w:val="22"/>
        </w:rPr>
        <w:t>Получен финансов план за бюджетна линия</w:t>
      </w:r>
      <w:r w:rsidRPr="007E79C7">
        <w:rPr>
          <w:sz w:val="22"/>
          <w:szCs w:val="22"/>
        </w:rPr>
        <w:t xml:space="preserve"> – </w:t>
      </w:r>
      <w:r w:rsidRPr="00AE1E0C">
        <w:rPr>
          <w:sz w:val="22"/>
          <w:szCs w:val="22"/>
        </w:rPr>
        <w:t>1 бр.;</w:t>
      </w:r>
    </w:p>
    <w:p w14:paraId="12FF4061" w14:textId="77777777" w:rsidR="00F1634F" w:rsidRPr="00AE1E0C" w:rsidRDefault="00F1634F" w:rsidP="0047432F">
      <w:pPr>
        <w:numPr>
          <w:ilvl w:val="0"/>
          <w:numId w:val="42"/>
        </w:numPr>
        <w:shd w:val="clear" w:color="auto" w:fill="FFFFFF" w:themeFill="background1"/>
        <w:tabs>
          <w:tab w:val="left" w:pos="709"/>
        </w:tabs>
        <w:ind w:left="426" w:firstLine="0"/>
        <w:jc w:val="both"/>
        <w:rPr>
          <w:sz w:val="22"/>
          <w:szCs w:val="22"/>
        </w:rPr>
      </w:pPr>
      <w:r w:rsidRPr="0067591F">
        <w:rPr>
          <w:b/>
          <w:bCs/>
          <w:sz w:val="22"/>
          <w:szCs w:val="22"/>
        </w:rPr>
        <w:t>Одобрен за финансиране</w:t>
      </w:r>
      <w:r w:rsidRPr="00AE1E0C">
        <w:rPr>
          <w:sz w:val="22"/>
          <w:szCs w:val="22"/>
        </w:rPr>
        <w:t xml:space="preserve"> през 2025 г.</w:t>
      </w:r>
      <w:r w:rsidRPr="007E79C7">
        <w:rPr>
          <w:sz w:val="22"/>
          <w:szCs w:val="22"/>
        </w:rPr>
        <w:t xml:space="preserve"> –</w:t>
      </w:r>
      <w:r w:rsidRPr="00AE1E0C">
        <w:rPr>
          <w:sz w:val="22"/>
          <w:szCs w:val="22"/>
        </w:rPr>
        <w:t xml:space="preserve"> 1 финансов план за бюджетна линия;</w:t>
      </w:r>
    </w:p>
    <w:p w14:paraId="65558614" w14:textId="4381ACEC" w:rsidR="00F1634F" w:rsidRPr="007E79C7" w:rsidRDefault="00F1634F" w:rsidP="0047432F">
      <w:pPr>
        <w:numPr>
          <w:ilvl w:val="0"/>
          <w:numId w:val="42"/>
        </w:numPr>
        <w:shd w:val="clear" w:color="auto" w:fill="FFFFFF" w:themeFill="background1"/>
        <w:tabs>
          <w:tab w:val="left" w:pos="709"/>
        </w:tabs>
        <w:ind w:left="426" w:firstLine="0"/>
        <w:jc w:val="both"/>
        <w:rPr>
          <w:sz w:val="22"/>
          <w:szCs w:val="22"/>
        </w:rPr>
      </w:pPr>
      <w:r w:rsidRPr="0067591F">
        <w:rPr>
          <w:b/>
          <w:bCs/>
          <w:sz w:val="22"/>
          <w:szCs w:val="22"/>
        </w:rPr>
        <w:lastRenderedPageBreak/>
        <w:t>Сключени договори</w:t>
      </w:r>
      <w:r w:rsidRPr="00AE1E0C">
        <w:rPr>
          <w:sz w:val="22"/>
          <w:szCs w:val="22"/>
        </w:rPr>
        <w:t xml:space="preserve"> за предоставяне на БФП </w:t>
      </w:r>
      <w:r w:rsidRPr="007E79C7">
        <w:rPr>
          <w:sz w:val="22"/>
          <w:szCs w:val="22"/>
        </w:rPr>
        <w:t>през отчетния период – 2 бр. от общо 38 бр.;</w:t>
      </w:r>
    </w:p>
    <w:p w14:paraId="1D0599FD" w14:textId="60D3A75C" w:rsidR="00F1634F" w:rsidRPr="00AE1E0C" w:rsidRDefault="00F1634F" w:rsidP="0047432F">
      <w:pPr>
        <w:numPr>
          <w:ilvl w:val="0"/>
          <w:numId w:val="42"/>
        </w:numPr>
        <w:shd w:val="clear" w:color="auto" w:fill="FFFFFF" w:themeFill="background1"/>
        <w:tabs>
          <w:tab w:val="left" w:pos="709"/>
        </w:tabs>
        <w:ind w:left="426" w:firstLine="0"/>
        <w:jc w:val="both"/>
        <w:rPr>
          <w:sz w:val="22"/>
          <w:szCs w:val="22"/>
        </w:rPr>
      </w:pPr>
      <w:r w:rsidRPr="0067591F">
        <w:rPr>
          <w:b/>
          <w:bCs/>
          <w:sz w:val="22"/>
          <w:szCs w:val="22"/>
        </w:rPr>
        <w:t xml:space="preserve">Договорени средства в </w:t>
      </w:r>
      <w:r w:rsidRPr="0067591F">
        <w:rPr>
          <w:sz w:val="22"/>
          <w:szCs w:val="22"/>
        </w:rPr>
        <w:t>размер</w:t>
      </w:r>
      <w:r w:rsidRPr="00AE1E0C">
        <w:rPr>
          <w:sz w:val="22"/>
          <w:szCs w:val="22"/>
        </w:rPr>
        <w:t xml:space="preserve"> на 3</w:t>
      </w:r>
      <w:r w:rsidR="008E0EA3">
        <w:rPr>
          <w:sz w:val="22"/>
          <w:szCs w:val="22"/>
        </w:rPr>
        <w:t xml:space="preserve"> </w:t>
      </w:r>
      <w:r w:rsidRPr="00AE1E0C">
        <w:rPr>
          <w:sz w:val="22"/>
          <w:szCs w:val="22"/>
        </w:rPr>
        <w:t>745</w:t>
      </w:r>
      <w:r w:rsidR="008E0EA3">
        <w:rPr>
          <w:sz w:val="22"/>
          <w:szCs w:val="22"/>
        </w:rPr>
        <w:t xml:space="preserve"> </w:t>
      </w:r>
      <w:r w:rsidRPr="007E79C7">
        <w:rPr>
          <w:sz w:val="22"/>
          <w:szCs w:val="22"/>
        </w:rPr>
        <w:t>452</w:t>
      </w:r>
      <w:r w:rsidR="008E0EA3">
        <w:rPr>
          <w:sz w:val="22"/>
          <w:szCs w:val="22"/>
        </w:rPr>
        <w:t>.</w:t>
      </w:r>
      <w:r w:rsidRPr="00AE1E0C">
        <w:rPr>
          <w:sz w:val="22"/>
          <w:szCs w:val="22"/>
        </w:rPr>
        <w:t>27 лв. през 2025 г. от общо 166</w:t>
      </w:r>
      <w:r w:rsidR="008E0EA3">
        <w:rPr>
          <w:sz w:val="22"/>
          <w:szCs w:val="22"/>
        </w:rPr>
        <w:t xml:space="preserve"> </w:t>
      </w:r>
      <w:r w:rsidRPr="00AE1E0C">
        <w:rPr>
          <w:sz w:val="22"/>
          <w:szCs w:val="22"/>
        </w:rPr>
        <w:t>403</w:t>
      </w:r>
      <w:r w:rsidR="008E0EA3">
        <w:rPr>
          <w:sz w:val="22"/>
          <w:szCs w:val="22"/>
        </w:rPr>
        <w:t xml:space="preserve"> </w:t>
      </w:r>
      <w:r w:rsidRPr="00AE1E0C">
        <w:rPr>
          <w:sz w:val="22"/>
          <w:szCs w:val="22"/>
        </w:rPr>
        <w:t>281</w:t>
      </w:r>
      <w:r w:rsidR="008E0EA3">
        <w:rPr>
          <w:sz w:val="22"/>
          <w:szCs w:val="22"/>
        </w:rPr>
        <w:t>.</w:t>
      </w:r>
      <w:r w:rsidRPr="00AE1E0C">
        <w:rPr>
          <w:sz w:val="22"/>
          <w:szCs w:val="22"/>
        </w:rPr>
        <w:t>99 лв. (70% от бюджета на програмата);</w:t>
      </w:r>
    </w:p>
    <w:p w14:paraId="7AF147E3" w14:textId="32C85528" w:rsidR="00F1634F" w:rsidRPr="00AE1E0C" w:rsidRDefault="00F1634F" w:rsidP="0047432F">
      <w:pPr>
        <w:numPr>
          <w:ilvl w:val="0"/>
          <w:numId w:val="42"/>
        </w:numPr>
        <w:shd w:val="clear" w:color="auto" w:fill="FFFFFF" w:themeFill="background1"/>
        <w:tabs>
          <w:tab w:val="left" w:pos="709"/>
        </w:tabs>
        <w:ind w:left="426" w:firstLine="0"/>
        <w:jc w:val="both"/>
        <w:rPr>
          <w:sz w:val="22"/>
          <w:szCs w:val="22"/>
        </w:rPr>
      </w:pPr>
      <w:r w:rsidRPr="0067591F">
        <w:rPr>
          <w:b/>
          <w:bCs/>
          <w:sz w:val="22"/>
          <w:szCs w:val="22"/>
        </w:rPr>
        <w:t>Верифицирани средства</w:t>
      </w:r>
      <w:r w:rsidRPr="00AE1E0C">
        <w:rPr>
          <w:sz w:val="22"/>
          <w:szCs w:val="22"/>
        </w:rPr>
        <w:t xml:space="preserve"> в размер на 9</w:t>
      </w:r>
      <w:r w:rsidR="006945C3">
        <w:rPr>
          <w:sz w:val="22"/>
          <w:szCs w:val="22"/>
        </w:rPr>
        <w:t xml:space="preserve"> </w:t>
      </w:r>
      <w:r w:rsidRPr="007E79C7">
        <w:rPr>
          <w:sz w:val="22"/>
          <w:szCs w:val="22"/>
        </w:rPr>
        <w:t>605</w:t>
      </w:r>
      <w:r w:rsidR="006945C3">
        <w:rPr>
          <w:sz w:val="22"/>
          <w:szCs w:val="22"/>
        </w:rPr>
        <w:t xml:space="preserve"> </w:t>
      </w:r>
      <w:r w:rsidRPr="00AE1E0C">
        <w:rPr>
          <w:sz w:val="22"/>
          <w:szCs w:val="22"/>
        </w:rPr>
        <w:t>670</w:t>
      </w:r>
      <w:r w:rsidR="00D80534">
        <w:rPr>
          <w:sz w:val="22"/>
          <w:szCs w:val="22"/>
        </w:rPr>
        <w:t>.</w:t>
      </w:r>
      <w:r w:rsidRPr="00AE1E0C">
        <w:rPr>
          <w:sz w:val="22"/>
          <w:szCs w:val="22"/>
        </w:rPr>
        <w:t>74 лв. през 2025 г. от общо 24 320</w:t>
      </w:r>
      <w:r w:rsidR="0067591F">
        <w:rPr>
          <w:sz w:val="22"/>
          <w:szCs w:val="22"/>
        </w:rPr>
        <w:t> </w:t>
      </w:r>
      <w:r w:rsidRPr="00AE1E0C">
        <w:rPr>
          <w:sz w:val="22"/>
          <w:szCs w:val="22"/>
        </w:rPr>
        <w:t>672</w:t>
      </w:r>
      <w:r w:rsidR="0067591F">
        <w:rPr>
          <w:sz w:val="22"/>
          <w:szCs w:val="22"/>
        </w:rPr>
        <w:t>.</w:t>
      </w:r>
      <w:r w:rsidRPr="00AE1E0C">
        <w:rPr>
          <w:sz w:val="22"/>
          <w:szCs w:val="22"/>
        </w:rPr>
        <w:t xml:space="preserve">15 лв. (10.2% от бюджета на програмата); </w:t>
      </w:r>
    </w:p>
    <w:p w14:paraId="155FCC86" w14:textId="4A77A61D" w:rsidR="00F1634F" w:rsidRPr="00130700" w:rsidRDefault="00F1634F" w:rsidP="0047432F">
      <w:pPr>
        <w:numPr>
          <w:ilvl w:val="0"/>
          <w:numId w:val="42"/>
        </w:numPr>
        <w:shd w:val="clear" w:color="auto" w:fill="FFFFFF" w:themeFill="background1"/>
        <w:tabs>
          <w:tab w:val="left" w:pos="709"/>
        </w:tabs>
        <w:ind w:left="426" w:firstLine="0"/>
        <w:jc w:val="both"/>
        <w:rPr>
          <w:sz w:val="22"/>
          <w:szCs w:val="22"/>
        </w:rPr>
      </w:pPr>
      <w:r w:rsidRPr="00130700">
        <w:rPr>
          <w:b/>
          <w:bCs/>
          <w:sz w:val="22"/>
          <w:szCs w:val="22"/>
        </w:rPr>
        <w:t>Изплатени средства</w:t>
      </w:r>
      <w:r w:rsidRPr="00130700">
        <w:rPr>
          <w:sz w:val="22"/>
          <w:szCs w:val="22"/>
        </w:rPr>
        <w:t xml:space="preserve"> в размер на 9</w:t>
      </w:r>
      <w:r w:rsidR="006945C3">
        <w:rPr>
          <w:sz w:val="22"/>
          <w:szCs w:val="22"/>
        </w:rPr>
        <w:t xml:space="preserve"> </w:t>
      </w:r>
      <w:r w:rsidRPr="00130700">
        <w:rPr>
          <w:sz w:val="22"/>
          <w:szCs w:val="22"/>
        </w:rPr>
        <w:t>480</w:t>
      </w:r>
      <w:r w:rsidR="006945C3">
        <w:rPr>
          <w:sz w:val="22"/>
          <w:szCs w:val="22"/>
        </w:rPr>
        <w:t xml:space="preserve"> </w:t>
      </w:r>
      <w:r w:rsidRPr="00130700">
        <w:rPr>
          <w:sz w:val="22"/>
          <w:szCs w:val="22"/>
        </w:rPr>
        <w:t>019</w:t>
      </w:r>
      <w:r w:rsidR="00D80534">
        <w:rPr>
          <w:sz w:val="22"/>
          <w:szCs w:val="22"/>
        </w:rPr>
        <w:t>.</w:t>
      </w:r>
      <w:r w:rsidRPr="00130700">
        <w:rPr>
          <w:sz w:val="22"/>
          <w:szCs w:val="22"/>
        </w:rPr>
        <w:t>19 лв. през 2025 г. от общо 33 394</w:t>
      </w:r>
      <w:r w:rsidR="00130700">
        <w:rPr>
          <w:sz w:val="22"/>
          <w:szCs w:val="22"/>
        </w:rPr>
        <w:t> </w:t>
      </w:r>
      <w:r w:rsidRPr="00130700">
        <w:rPr>
          <w:sz w:val="22"/>
          <w:szCs w:val="22"/>
        </w:rPr>
        <w:t>069</w:t>
      </w:r>
      <w:r w:rsidR="00130700">
        <w:rPr>
          <w:sz w:val="22"/>
          <w:szCs w:val="22"/>
        </w:rPr>
        <w:t>.</w:t>
      </w:r>
      <w:r w:rsidRPr="00130700">
        <w:rPr>
          <w:sz w:val="22"/>
          <w:szCs w:val="22"/>
        </w:rPr>
        <w:t>06 лв. (14.1% от бюджета на програмата);</w:t>
      </w:r>
    </w:p>
    <w:p w14:paraId="1735EA4D" w14:textId="6B2C846B" w:rsidR="00F1634F" w:rsidRPr="00130700" w:rsidRDefault="00F1634F" w:rsidP="0047432F">
      <w:pPr>
        <w:numPr>
          <w:ilvl w:val="0"/>
          <w:numId w:val="42"/>
        </w:numPr>
        <w:shd w:val="clear" w:color="auto" w:fill="FFFFFF" w:themeFill="background1"/>
        <w:tabs>
          <w:tab w:val="left" w:pos="709"/>
        </w:tabs>
        <w:ind w:left="426" w:firstLine="0"/>
        <w:jc w:val="both"/>
        <w:rPr>
          <w:sz w:val="22"/>
          <w:szCs w:val="22"/>
        </w:rPr>
      </w:pPr>
      <w:r w:rsidRPr="00EE7024">
        <w:rPr>
          <w:b/>
          <w:bCs/>
          <w:sz w:val="22"/>
          <w:szCs w:val="22"/>
        </w:rPr>
        <w:t>Заявени и одобрени от ЕК</w:t>
      </w:r>
      <w:r w:rsidRPr="00130700">
        <w:rPr>
          <w:sz w:val="22"/>
          <w:szCs w:val="22"/>
        </w:rPr>
        <w:t xml:space="preserve"> средства в размер на 17</w:t>
      </w:r>
      <w:r w:rsidR="00130700">
        <w:rPr>
          <w:sz w:val="22"/>
          <w:szCs w:val="22"/>
        </w:rPr>
        <w:t xml:space="preserve"> </w:t>
      </w:r>
      <w:r w:rsidRPr="00130700">
        <w:rPr>
          <w:sz w:val="22"/>
          <w:szCs w:val="22"/>
        </w:rPr>
        <w:t>352</w:t>
      </w:r>
      <w:r w:rsidR="00130700">
        <w:rPr>
          <w:sz w:val="22"/>
          <w:szCs w:val="22"/>
        </w:rPr>
        <w:t xml:space="preserve"> </w:t>
      </w:r>
      <w:r w:rsidRPr="00130700">
        <w:rPr>
          <w:sz w:val="22"/>
          <w:szCs w:val="22"/>
        </w:rPr>
        <w:t>608</w:t>
      </w:r>
      <w:r w:rsidR="00130700">
        <w:rPr>
          <w:sz w:val="22"/>
          <w:szCs w:val="22"/>
        </w:rPr>
        <w:t>.</w:t>
      </w:r>
      <w:r w:rsidRPr="00130700">
        <w:rPr>
          <w:sz w:val="22"/>
          <w:szCs w:val="22"/>
        </w:rPr>
        <w:t>38 лв. през 2025 г. от общо 24</w:t>
      </w:r>
      <w:r w:rsidR="00130700">
        <w:rPr>
          <w:sz w:val="22"/>
          <w:szCs w:val="22"/>
        </w:rPr>
        <w:t xml:space="preserve"> </w:t>
      </w:r>
      <w:r w:rsidRPr="00130700">
        <w:rPr>
          <w:sz w:val="22"/>
          <w:szCs w:val="22"/>
        </w:rPr>
        <w:t>129</w:t>
      </w:r>
      <w:r w:rsidR="00130700">
        <w:rPr>
          <w:sz w:val="22"/>
          <w:szCs w:val="22"/>
        </w:rPr>
        <w:t xml:space="preserve"> </w:t>
      </w:r>
      <w:r w:rsidRPr="00130700">
        <w:rPr>
          <w:sz w:val="22"/>
          <w:szCs w:val="22"/>
        </w:rPr>
        <w:t>020</w:t>
      </w:r>
      <w:r w:rsidR="00130700">
        <w:rPr>
          <w:sz w:val="22"/>
          <w:szCs w:val="22"/>
        </w:rPr>
        <w:t>.</w:t>
      </w:r>
      <w:r w:rsidRPr="00130700">
        <w:rPr>
          <w:sz w:val="22"/>
          <w:szCs w:val="22"/>
        </w:rPr>
        <w:t>60 лв. (10.2% от бюджета на програмата)</w:t>
      </w:r>
      <w:r w:rsidR="00101B20">
        <w:rPr>
          <w:sz w:val="22"/>
          <w:szCs w:val="22"/>
        </w:rPr>
        <w:t>;</w:t>
      </w:r>
    </w:p>
    <w:p w14:paraId="0A6A599A" w14:textId="22497807" w:rsidR="00F1634F" w:rsidRPr="00130700" w:rsidRDefault="00F1634F" w:rsidP="0047432F">
      <w:pPr>
        <w:numPr>
          <w:ilvl w:val="0"/>
          <w:numId w:val="42"/>
        </w:numPr>
        <w:shd w:val="clear" w:color="auto" w:fill="FFFFFF" w:themeFill="background1"/>
        <w:tabs>
          <w:tab w:val="left" w:pos="709"/>
        </w:tabs>
        <w:ind w:left="426" w:firstLine="0"/>
        <w:jc w:val="both"/>
        <w:rPr>
          <w:sz w:val="22"/>
          <w:szCs w:val="22"/>
        </w:rPr>
      </w:pPr>
      <w:r w:rsidRPr="00EE7024">
        <w:rPr>
          <w:b/>
          <w:bCs/>
          <w:sz w:val="22"/>
          <w:szCs w:val="22"/>
        </w:rPr>
        <w:t>Одобрен Отчет на изпълнението на Годишен план за действие за 2024 г.</w:t>
      </w:r>
      <w:r w:rsidRPr="00130700">
        <w:rPr>
          <w:sz w:val="22"/>
          <w:szCs w:val="22"/>
        </w:rPr>
        <w:t xml:space="preserve"> в изпълнение на Националната комуникационна стратегия 2021</w:t>
      </w:r>
      <w:r w:rsidR="00447C08">
        <w:rPr>
          <w:sz w:val="22"/>
          <w:szCs w:val="22"/>
        </w:rPr>
        <w:t xml:space="preserve"> – </w:t>
      </w:r>
      <w:r w:rsidRPr="00130700">
        <w:rPr>
          <w:sz w:val="22"/>
          <w:szCs w:val="22"/>
        </w:rPr>
        <w:t>2027 г.;</w:t>
      </w:r>
    </w:p>
    <w:p w14:paraId="2CFC2351" w14:textId="5823BBB3" w:rsidR="00F1634F" w:rsidRPr="00130700" w:rsidRDefault="00F1634F" w:rsidP="0047432F">
      <w:pPr>
        <w:numPr>
          <w:ilvl w:val="0"/>
          <w:numId w:val="42"/>
        </w:numPr>
        <w:shd w:val="clear" w:color="auto" w:fill="FFFFFF" w:themeFill="background1"/>
        <w:tabs>
          <w:tab w:val="left" w:pos="709"/>
        </w:tabs>
        <w:ind w:left="426" w:firstLine="0"/>
        <w:jc w:val="both"/>
        <w:rPr>
          <w:sz w:val="22"/>
          <w:szCs w:val="22"/>
        </w:rPr>
      </w:pPr>
      <w:r w:rsidRPr="00EE7024">
        <w:rPr>
          <w:b/>
          <w:bCs/>
          <w:sz w:val="22"/>
          <w:szCs w:val="22"/>
        </w:rPr>
        <w:t>Одобрен Годишен план за действие за 2025 г.</w:t>
      </w:r>
      <w:r w:rsidRPr="00130700">
        <w:rPr>
          <w:sz w:val="22"/>
          <w:szCs w:val="22"/>
        </w:rPr>
        <w:t xml:space="preserve"> в изпълнение на Националната комуникационна стратегия 2021</w:t>
      </w:r>
      <w:r w:rsidR="00447C08">
        <w:rPr>
          <w:sz w:val="22"/>
          <w:szCs w:val="22"/>
        </w:rPr>
        <w:t xml:space="preserve"> – </w:t>
      </w:r>
      <w:r w:rsidRPr="00130700">
        <w:rPr>
          <w:sz w:val="22"/>
          <w:szCs w:val="22"/>
        </w:rPr>
        <w:t>2027 г.</w:t>
      </w:r>
    </w:p>
    <w:p w14:paraId="5FE3A102" w14:textId="77777777" w:rsidR="00F1634F" w:rsidRPr="00AE1E0C" w:rsidRDefault="00F1634F" w:rsidP="0047432F">
      <w:pPr>
        <w:shd w:val="clear" w:color="auto" w:fill="FFFFFF" w:themeFill="background1"/>
        <w:spacing w:before="120"/>
        <w:ind w:firstLine="426"/>
        <w:jc w:val="both"/>
        <w:rPr>
          <w:b/>
          <w:i/>
          <w:sz w:val="22"/>
          <w:szCs w:val="22"/>
        </w:rPr>
      </w:pPr>
      <w:r w:rsidRPr="00AE1E0C">
        <w:rPr>
          <w:b/>
          <w:i/>
          <w:sz w:val="22"/>
          <w:szCs w:val="22"/>
        </w:rPr>
        <w:t>През отчетния период са предприети следните действия по ОПДУ и ПТП:</w:t>
      </w:r>
    </w:p>
    <w:p w14:paraId="3AA4A79D" w14:textId="77777777" w:rsidR="00F1634F" w:rsidRPr="006B15C2" w:rsidRDefault="00F1634F" w:rsidP="0047432F">
      <w:pPr>
        <w:numPr>
          <w:ilvl w:val="0"/>
          <w:numId w:val="42"/>
        </w:numPr>
        <w:shd w:val="clear" w:color="auto" w:fill="FFFFFF" w:themeFill="background1"/>
        <w:tabs>
          <w:tab w:val="left" w:pos="426"/>
        </w:tabs>
        <w:ind w:left="426" w:firstLine="0"/>
        <w:jc w:val="both"/>
        <w:rPr>
          <w:sz w:val="22"/>
          <w:szCs w:val="22"/>
        </w:rPr>
      </w:pPr>
      <w:r w:rsidRPr="006B15C2">
        <w:rPr>
          <w:sz w:val="22"/>
          <w:szCs w:val="22"/>
        </w:rPr>
        <w:t>Извършена една извънредна проверка на място;</w:t>
      </w:r>
    </w:p>
    <w:p w14:paraId="59BEFC5D" w14:textId="77777777" w:rsidR="00F1634F" w:rsidRPr="00AE1E0C" w:rsidRDefault="00F1634F" w:rsidP="0047432F">
      <w:pPr>
        <w:numPr>
          <w:ilvl w:val="0"/>
          <w:numId w:val="42"/>
        </w:numPr>
        <w:shd w:val="clear" w:color="auto" w:fill="FFFFFF" w:themeFill="background1"/>
        <w:tabs>
          <w:tab w:val="left" w:pos="426"/>
        </w:tabs>
        <w:ind w:left="426" w:firstLine="0"/>
        <w:jc w:val="both"/>
        <w:rPr>
          <w:sz w:val="22"/>
          <w:szCs w:val="22"/>
        </w:rPr>
      </w:pPr>
      <w:r w:rsidRPr="00AE1E0C">
        <w:rPr>
          <w:sz w:val="22"/>
          <w:szCs w:val="22"/>
        </w:rPr>
        <w:t>Верифицирани и включени в доклади по сертификация по ОПДУ и доклади за извършена верификация по ПТП за отчетния период са съответно:</w:t>
      </w:r>
      <w:r w:rsidRPr="006B15C2">
        <w:rPr>
          <w:sz w:val="22"/>
          <w:szCs w:val="22"/>
        </w:rPr>
        <w:t xml:space="preserve"> </w:t>
      </w:r>
      <w:r w:rsidRPr="00AE1E0C">
        <w:rPr>
          <w:sz w:val="22"/>
          <w:szCs w:val="22"/>
        </w:rPr>
        <w:t>1</w:t>
      </w:r>
      <w:r w:rsidRPr="006B15C2">
        <w:rPr>
          <w:sz w:val="22"/>
          <w:szCs w:val="22"/>
        </w:rPr>
        <w:t xml:space="preserve"> </w:t>
      </w:r>
      <w:r w:rsidRPr="00AE1E0C">
        <w:rPr>
          <w:sz w:val="22"/>
          <w:szCs w:val="22"/>
        </w:rPr>
        <w:t>бр. искане за окончателно плащане и 48 бр. искания за междинно плащане;</w:t>
      </w:r>
    </w:p>
    <w:p w14:paraId="0EE45CD2" w14:textId="2982AD20" w:rsidR="00F1634F" w:rsidRPr="006B15C2" w:rsidRDefault="00F1634F" w:rsidP="0047432F">
      <w:pPr>
        <w:numPr>
          <w:ilvl w:val="0"/>
          <w:numId w:val="42"/>
        </w:numPr>
        <w:shd w:val="clear" w:color="auto" w:fill="FFFFFF" w:themeFill="background1"/>
        <w:tabs>
          <w:tab w:val="left" w:pos="426"/>
        </w:tabs>
        <w:ind w:left="426" w:firstLine="0"/>
        <w:jc w:val="both"/>
        <w:rPr>
          <w:sz w:val="22"/>
          <w:szCs w:val="22"/>
        </w:rPr>
      </w:pPr>
      <w:r w:rsidRPr="006B15C2">
        <w:rPr>
          <w:sz w:val="22"/>
          <w:szCs w:val="22"/>
        </w:rPr>
        <w:t>Осъществено</w:t>
      </w:r>
      <w:r w:rsidRPr="00AE1E0C">
        <w:rPr>
          <w:sz w:val="22"/>
          <w:szCs w:val="22"/>
        </w:rPr>
        <w:t xml:space="preserve"> процесуално представителство по 16 дела, свързани с изпълнението на ОПДУ пред всички съдебни инстанции, като обжалванията са свързани с издадени от ръководителя на програмата индивидуални и общи административни актове. Образуваните административни дела през отчетния период са 4 бр</w:t>
      </w:r>
      <w:r w:rsidR="006B15C2">
        <w:rPr>
          <w:sz w:val="22"/>
          <w:szCs w:val="22"/>
        </w:rPr>
        <w:t>.</w:t>
      </w:r>
      <w:r w:rsidRPr="00AE1E0C">
        <w:rPr>
          <w:sz w:val="22"/>
          <w:szCs w:val="22"/>
        </w:rPr>
        <w:t xml:space="preserve">, а приключилите </w:t>
      </w:r>
      <w:r w:rsidR="006B15C2">
        <w:rPr>
          <w:sz w:val="22"/>
          <w:szCs w:val="22"/>
        </w:rPr>
        <w:t xml:space="preserve">– </w:t>
      </w:r>
      <w:r w:rsidRPr="00AE1E0C">
        <w:rPr>
          <w:sz w:val="22"/>
          <w:szCs w:val="22"/>
        </w:rPr>
        <w:t>8 броя;</w:t>
      </w:r>
    </w:p>
    <w:p w14:paraId="69C9A061" w14:textId="29B45AED" w:rsidR="00F1634F" w:rsidRPr="006B15C2" w:rsidRDefault="00000000" w:rsidP="0047432F">
      <w:pPr>
        <w:numPr>
          <w:ilvl w:val="0"/>
          <w:numId w:val="42"/>
        </w:numPr>
        <w:shd w:val="clear" w:color="auto" w:fill="FFFFFF" w:themeFill="background1"/>
        <w:tabs>
          <w:tab w:val="left" w:pos="426"/>
        </w:tabs>
        <w:ind w:left="425" w:firstLine="0"/>
        <w:jc w:val="both"/>
        <w:rPr>
          <w:sz w:val="22"/>
          <w:szCs w:val="22"/>
        </w:rPr>
      </w:pPr>
      <w:hyperlink r:id="rId38" w:history="1">
        <w:r w:rsidR="00F1634F" w:rsidRPr="0051325E">
          <w:rPr>
            <w:rStyle w:val="Hyperlink"/>
            <w:color w:val="215E99" w:themeColor="text2" w:themeTint="BF"/>
            <w:sz w:val="22"/>
            <w:szCs w:val="22"/>
            <w:u w:val="none"/>
          </w:rPr>
          <w:t>Комитет за наблюдение</w:t>
        </w:r>
      </w:hyperlink>
      <w:r w:rsidR="00F1634F" w:rsidRPr="0051325E">
        <w:rPr>
          <w:rStyle w:val="Hyperlink"/>
          <w:color w:val="215E99" w:themeColor="text2" w:themeTint="BF"/>
          <w:sz w:val="22"/>
          <w:szCs w:val="22"/>
          <w:u w:val="none"/>
        </w:rPr>
        <w:t xml:space="preserve"> </w:t>
      </w:r>
      <w:r w:rsidR="00F1634F" w:rsidRPr="006B15C2">
        <w:rPr>
          <w:sz w:val="22"/>
          <w:szCs w:val="22"/>
        </w:rPr>
        <w:t>– проведено е едно заседание (</w:t>
      </w:r>
      <w:hyperlink r:id="rId39" w:history="1">
        <w:r w:rsidR="00F1634F" w:rsidRPr="0051325E">
          <w:rPr>
            <w:rStyle w:val="Hyperlink"/>
            <w:color w:val="215E99" w:themeColor="text2" w:themeTint="BF"/>
            <w:sz w:val="22"/>
            <w:szCs w:val="22"/>
            <w:u w:val="none"/>
          </w:rPr>
          <w:t xml:space="preserve">Шесто редовно заседание на КН на ПТП </w:t>
        </w:r>
        <w:r w:rsidR="00307B3F" w:rsidRPr="0051325E">
          <w:rPr>
            <w:rStyle w:val="Hyperlink"/>
            <w:color w:val="215E99" w:themeColor="text2" w:themeTint="BF"/>
            <w:sz w:val="22"/>
            <w:szCs w:val="22"/>
            <w:u w:val="none"/>
          </w:rPr>
          <w:t>–</w:t>
        </w:r>
        <w:r w:rsidR="00F1634F" w:rsidRPr="0051325E">
          <w:rPr>
            <w:rStyle w:val="Hyperlink"/>
            <w:color w:val="215E99" w:themeColor="text2" w:themeTint="BF"/>
            <w:sz w:val="22"/>
            <w:szCs w:val="22"/>
            <w:u w:val="none"/>
          </w:rPr>
          <w:t xml:space="preserve"> 05.03.2025 г.</w:t>
        </w:r>
      </w:hyperlink>
      <w:r w:rsidR="00F1634F" w:rsidRPr="006B15C2">
        <w:rPr>
          <w:sz w:val="22"/>
          <w:szCs w:val="22"/>
        </w:rPr>
        <w:t>).</w:t>
      </w:r>
    </w:p>
    <w:p w14:paraId="5305FB31" w14:textId="77777777" w:rsidR="00F1634F" w:rsidRPr="001629F2" w:rsidRDefault="00F1634F" w:rsidP="0047432F">
      <w:pPr>
        <w:shd w:val="clear" w:color="auto" w:fill="FFFFFF" w:themeFill="background1"/>
        <w:spacing w:before="120"/>
        <w:ind w:firstLine="426"/>
        <w:jc w:val="both"/>
        <w:rPr>
          <w:bCs/>
          <w:i/>
          <w:sz w:val="22"/>
          <w:szCs w:val="22"/>
        </w:rPr>
      </w:pPr>
      <w:r w:rsidRPr="00AE1E0C">
        <w:rPr>
          <w:b/>
          <w:i/>
          <w:sz w:val="22"/>
          <w:szCs w:val="22"/>
        </w:rPr>
        <w:t>По отношение осигуряване на спазването на изискванията за информация и комуникация</w:t>
      </w:r>
      <w:r w:rsidRPr="001629F2">
        <w:rPr>
          <w:b/>
          <w:i/>
          <w:sz w:val="22"/>
          <w:szCs w:val="22"/>
        </w:rPr>
        <w:t xml:space="preserve"> </w:t>
      </w:r>
      <w:r w:rsidRPr="001629F2">
        <w:rPr>
          <w:bCs/>
          <w:i/>
          <w:sz w:val="22"/>
          <w:szCs w:val="22"/>
        </w:rPr>
        <w:t>(информационни форуми; технически срещи с ЕК; обучения за бенефициенти; работа с медиите; договори във връзка с изпълнение на Годишния план за действие; социални медии):</w:t>
      </w:r>
    </w:p>
    <w:p w14:paraId="278259C0" w14:textId="77777777" w:rsidR="00F1634F" w:rsidRPr="00884EF8" w:rsidRDefault="00F1634F" w:rsidP="0047432F">
      <w:pPr>
        <w:shd w:val="clear" w:color="auto" w:fill="FFFFFF" w:themeFill="background1"/>
        <w:spacing w:before="120"/>
        <w:ind w:firstLine="425"/>
        <w:jc w:val="both"/>
        <w:rPr>
          <w:b/>
          <w:i/>
          <w:color w:val="000000" w:themeColor="text1"/>
          <w:sz w:val="22"/>
          <w:szCs w:val="22"/>
        </w:rPr>
      </w:pPr>
      <w:r w:rsidRPr="00884EF8">
        <w:rPr>
          <w:b/>
          <w:i/>
          <w:color w:val="000000" w:themeColor="text1"/>
          <w:sz w:val="22"/>
          <w:szCs w:val="22"/>
        </w:rPr>
        <w:t>ОПДУ:</w:t>
      </w:r>
    </w:p>
    <w:p w14:paraId="4EB9D126" w14:textId="589C524A" w:rsidR="00F1634F" w:rsidRPr="00884EF8" w:rsidRDefault="00000000" w:rsidP="0047432F">
      <w:pPr>
        <w:numPr>
          <w:ilvl w:val="0"/>
          <w:numId w:val="42"/>
        </w:numPr>
        <w:shd w:val="clear" w:color="auto" w:fill="FFFFFF" w:themeFill="background1"/>
        <w:tabs>
          <w:tab w:val="left" w:pos="709"/>
        </w:tabs>
        <w:ind w:left="426" w:firstLine="0"/>
        <w:jc w:val="both"/>
        <w:rPr>
          <w:sz w:val="22"/>
          <w:szCs w:val="22"/>
        </w:rPr>
      </w:pPr>
      <w:hyperlink r:id="rId40" w:history="1">
        <w:r w:rsidR="004559FB" w:rsidRPr="005D719E">
          <w:rPr>
            <w:rStyle w:val="Hyperlink"/>
            <w:color w:val="215E99" w:themeColor="text2" w:themeTint="BF"/>
            <w:sz w:val="22"/>
            <w:szCs w:val="22"/>
            <w:u w:val="none"/>
            <w:lang w:val="en-US"/>
          </w:rPr>
          <w:t>www.eufunds.bg</w:t>
        </w:r>
      </w:hyperlink>
      <w:r w:rsidR="00F1634F" w:rsidRPr="00884EF8">
        <w:rPr>
          <w:sz w:val="22"/>
          <w:szCs w:val="22"/>
        </w:rPr>
        <w:t xml:space="preserve"> </w:t>
      </w:r>
      <w:r w:rsidR="00F1634F" w:rsidRPr="00AE1E0C">
        <w:rPr>
          <w:sz w:val="22"/>
          <w:szCs w:val="22"/>
        </w:rPr>
        <w:t>–</w:t>
      </w:r>
      <w:r w:rsidR="00F1634F" w:rsidRPr="00884EF8">
        <w:rPr>
          <w:sz w:val="22"/>
          <w:szCs w:val="22"/>
        </w:rPr>
        <w:t xml:space="preserve"> актуализиране на </w:t>
      </w:r>
      <w:proofErr w:type="spellStart"/>
      <w:r w:rsidR="00F1634F" w:rsidRPr="00884EF8">
        <w:rPr>
          <w:sz w:val="22"/>
          <w:szCs w:val="22"/>
        </w:rPr>
        <w:t>подстраницата</w:t>
      </w:r>
      <w:proofErr w:type="spellEnd"/>
      <w:r w:rsidR="00F1634F" w:rsidRPr="00884EF8">
        <w:rPr>
          <w:sz w:val="22"/>
          <w:szCs w:val="22"/>
        </w:rPr>
        <w:t xml:space="preserve"> на ОПДУ</w:t>
      </w:r>
    </w:p>
    <w:p w14:paraId="499973B3" w14:textId="77777777" w:rsidR="00F1634F" w:rsidRPr="00AE1E0C" w:rsidRDefault="00F1634F" w:rsidP="0047432F">
      <w:pPr>
        <w:shd w:val="clear" w:color="auto" w:fill="FFFFFF" w:themeFill="background1"/>
        <w:spacing w:before="120"/>
        <w:ind w:firstLine="425"/>
        <w:jc w:val="both"/>
        <w:rPr>
          <w:b/>
          <w:i/>
          <w:color w:val="000000" w:themeColor="text1"/>
          <w:sz w:val="22"/>
          <w:szCs w:val="22"/>
        </w:rPr>
      </w:pPr>
      <w:r w:rsidRPr="00AD356B">
        <w:rPr>
          <w:b/>
          <w:i/>
          <w:color w:val="000000" w:themeColor="text1"/>
          <w:sz w:val="22"/>
          <w:szCs w:val="22"/>
        </w:rPr>
        <w:t>ПТП</w:t>
      </w:r>
      <w:r w:rsidRPr="00AE1E0C">
        <w:rPr>
          <w:b/>
          <w:i/>
          <w:color w:val="000000" w:themeColor="text1"/>
          <w:sz w:val="22"/>
          <w:szCs w:val="22"/>
        </w:rPr>
        <w:t>:</w:t>
      </w:r>
    </w:p>
    <w:p w14:paraId="1EF86C27" w14:textId="0FB5B0A4" w:rsidR="00F1634F" w:rsidRPr="00AE1E0C" w:rsidRDefault="00F1634F" w:rsidP="0047432F">
      <w:pPr>
        <w:numPr>
          <w:ilvl w:val="0"/>
          <w:numId w:val="42"/>
        </w:numPr>
        <w:shd w:val="clear" w:color="auto" w:fill="FFFFFF" w:themeFill="background1"/>
        <w:ind w:left="426" w:firstLine="0"/>
        <w:jc w:val="both"/>
        <w:rPr>
          <w:sz w:val="22"/>
          <w:szCs w:val="22"/>
        </w:rPr>
      </w:pPr>
      <w:r w:rsidRPr="00AD356B">
        <w:rPr>
          <w:sz w:val="22"/>
          <w:szCs w:val="22"/>
        </w:rPr>
        <w:t xml:space="preserve">Популяризиране на Кампанията </w:t>
      </w:r>
      <w:hyperlink r:id="rId41" w:history="1">
        <w:r w:rsidRPr="00AD356B">
          <w:rPr>
            <w:rStyle w:val="Hyperlink"/>
            <w:color w:val="215E99" w:themeColor="text2" w:themeTint="BF"/>
            <w:sz w:val="22"/>
            <w:szCs w:val="22"/>
            <w:u w:val="none"/>
            <w:lang w:val="en-US"/>
          </w:rPr>
          <w:t>#ДетективиНаЕвропейскиПроекти2025</w:t>
        </w:r>
      </w:hyperlink>
      <w:r w:rsidRPr="00AE1E0C">
        <w:rPr>
          <w:sz w:val="22"/>
          <w:szCs w:val="22"/>
        </w:rPr>
        <w:t xml:space="preserve"> </w:t>
      </w:r>
      <w:r w:rsidR="00782BD6">
        <w:rPr>
          <w:sz w:val="22"/>
          <w:szCs w:val="22"/>
        </w:rPr>
        <w:t>–</w:t>
      </w:r>
      <w:r w:rsidRPr="00AE1E0C">
        <w:rPr>
          <w:sz w:val="22"/>
          <w:szCs w:val="22"/>
        </w:rPr>
        <w:t xml:space="preserve"> Във връзка с приключването на комуникационната кампания на Областните информационни центрове </w:t>
      </w:r>
      <w:r w:rsidR="00782BD6">
        <w:rPr>
          <w:sz w:val="22"/>
          <w:szCs w:val="22"/>
        </w:rPr>
        <w:t>–</w:t>
      </w:r>
      <w:r w:rsidRPr="00AE1E0C">
        <w:rPr>
          <w:sz w:val="22"/>
          <w:szCs w:val="22"/>
        </w:rPr>
        <w:t xml:space="preserve"> „Детективи на европейски проекти“ популяризирахме резултатите с прессъобщение до медиите, статия в </w:t>
      </w:r>
      <w:r w:rsidRPr="00AD356B">
        <w:rPr>
          <w:sz w:val="22"/>
          <w:szCs w:val="22"/>
        </w:rPr>
        <w:t>eufunds.bg</w:t>
      </w:r>
      <w:r w:rsidRPr="00AE1E0C">
        <w:rPr>
          <w:sz w:val="22"/>
          <w:szCs w:val="22"/>
        </w:rPr>
        <w:t xml:space="preserve"> и серия от постове във </w:t>
      </w:r>
      <w:r w:rsidRPr="00782BD6">
        <w:rPr>
          <w:sz w:val="22"/>
          <w:szCs w:val="22"/>
          <w:lang w:val="en-US"/>
        </w:rPr>
        <w:t>Facebook</w:t>
      </w:r>
      <w:r w:rsidRPr="00AE1E0C">
        <w:rPr>
          <w:sz w:val="22"/>
          <w:szCs w:val="22"/>
        </w:rPr>
        <w:t xml:space="preserve"> страницата на Програма „Техническа помощ“ – „Времето ти е от значение“, в която представяме някои от най-интересните проекти, идентифицирани в рамките на кампанията;</w:t>
      </w:r>
    </w:p>
    <w:p w14:paraId="3B59CAA4" w14:textId="77777777" w:rsidR="00F1634F" w:rsidRPr="00AE1E0C" w:rsidRDefault="00F1634F" w:rsidP="0047432F">
      <w:pPr>
        <w:numPr>
          <w:ilvl w:val="0"/>
          <w:numId w:val="42"/>
        </w:numPr>
        <w:shd w:val="clear" w:color="auto" w:fill="FFFFFF" w:themeFill="background1"/>
        <w:tabs>
          <w:tab w:val="left" w:pos="709"/>
        </w:tabs>
        <w:ind w:left="993" w:hanging="567"/>
        <w:jc w:val="both"/>
        <w:rPr>
          <w:sz w:val="22"/>
          <w:szCs w:val="22"/>
        </w:rPr>
      </w:pPr>
      <w:r w:rsidRPr="00AD356B">
        <w:rPr>
          <w:sz w:val="22"/>
          <w:szCs w:val="22"/>
        </w:rPr>
        <w:t>Обучения за бенефициенти</w:t>
      </w:r>
      <w:r w:rsidRPr="00AE1E0C">
        <w:rPr>
          <w:sz w:val="22"/>
          <w:szCs w:val="22"/>
        </w:rPr>
        <w:t xml:space="preserve"> – 1 бр. с 5 обучени на 16.01.2025 г.;</w:t>
      </w:r>
    </w:p>
    <w:p w14:paraId="7EBFD170" w14:textId="197AA7E5" w:rsidR="00F1634F" w:rsidRPr="00AD356B" w:rsidRDefault="00F1634F" w:rsidP="0047432F">
      <w:pPr>
        <w:numPr>
          <w:ilvl w:val="0"/>
          <w:numId w:val="42"/>
        </w:numPr>
        <w:shd w:val="clear" w:color="auto" w:fill="FFFFFF" w:themeFill="background1"/>
        <w:tabs>
          <w:tab w:val="left" w:pos="709"/>
        </w:tabs>
        <w:ind w:left="993" w:hanging="567"/>
        <w:jc w:val="both"/>
        <w:rPr>
          <w:sz w:val="22"/>
          <w:szCs w:val="22"/>
        </w:rPr>
      </w:pPr>
      <w:r w:rsidRPr="00AD356B">
        <w:rPr>
          <w:sz w:val="22"/>
          <w:szCs w:val="22"/>
        </w:rPr>
        <w:t xml:space="preserve">Работни срещи – 1 бр. с представители на ОИЦ </w:t>
      </w:r>
      <w:r w:rsidRPr="00AE1E0C">
        <w:rPr>
          <w:sz w:val="22"/>
          <w:szCs w:val="22"/>
        </w:rPr>
        <w:t>–</w:t>
      </w:r>
      <w:r w:rsidRPr="00AD356B">
        <w:rPr>
          <w:sz w:val="22"/>
          <w:szCs w:val="22"/>
        </w:rPr>
        <w:t xml:space="preserve"> общо 70 участника;</w:t>
      </w:r>
    </w:p>
    <w:p w14:paraId="1FD2AA0E" w14:textId="77777777" w:rsidR="00F1634F" w:rsidRPr="00AD356B" w:rsidRDefault="00F1634F" w:rsidP="0047432F">
      <w:pPr>
        <w:numPr>
          <w:ilvl w:val="0"/>
          <w:numId w:val="42"/>
        </w:numPr>
        <w:shd w:val="clear" w:color="auto" w:fill="FFFFFF" w:themeFill="background1"/>
        <w:tabs>
          <w:tab w:val="left" w:pos="709"/>
        </w:tabs>
        <w:ind w:left="993" w:hanging="567"/>
        <w:jc w:val="both"/>
        <w:rPr>
          <w:sz w:val="22"/>
          <w:szCs w:val="22"/>
        </w:rPr>
      </w:pPr>
      <w:r w:rsidRPr="00AD356B">
        <w:rPr>
          <w:sz w:val="22"/>
          <w:szCs w:val="22"/>
        </w:rPr>
        <w:t xml:space="preserve">Мрежа „Техническа помощ“ </w:t>
      </w:r>
      <w:r w:rsidRPr="00AE1E0C">
        <w:rPr>
          <w:sz w:val="22"/>
          <w:szCs w:val="22"/>
        </w:rPr>
        <w:t>– една среща на 07.02.2025 г.;</w:t>
      </w:r>
      <w:r w:rsidRPr="00AD356B">
        <w:rPr>
          <w:sz w:val="22"/>
          <w:szCs w:val="22"/>
        </w:rPr>
        <w:t xml:space="preserve"> </w:t>
      </w:r>
    </w:p>
    <w:p w14:paraId="6FD29201" w14:textId="77777777" w:rsidR="00F1634F" w:rsidRPr="00AD356B" w:rsidRDefault="00F1634F" w:rsidP="0047432F">
      <w:pPr>
        <w:numPr>
          <w:ilvl w:val="0"/>
          <w:numId w:val="42"/>
        </w:numPr>
        <w:shd w:val="clear" w:color="auto" w:fill="FFFFFF" w:themeFill="background1"/>
        <w:tabs>
          <w:tab w:val="left" w:pos="709"/>
        </w:tabs>
        <w:ind w:left="993" w:hanging="567"/>
        <w:jc w:val="both"/>
        <w:rPr>
          <w:sz w:val="22"/>
          <w:szCs w:val="22"/>
        </w:rPr>
      </w:pPr>
      <w:r w:rsidRPr="00AD356B">
        <w:rPr>
          <w:sz w:val="22"/>
          <w:szCs w:val="22"/>
        </w:rPr>
        <w:t xml:space="preserve">Информационни бюлетини за членовете на КН на ПТП </w:t>
      </w:r>
      <w:r w:rsidRPr="00AE1E0C">
        <w:rPr>
          <w:sz w:val="22"/>
          <w:szCs w:val="22"/>
        </w:rPr>
        <w:t>–</w:t>
      </w:r>
      <w:r w:rsidRPr="00AD356B">
        <w:rPr>
          <w:sz w:val="22"/>
          <w:szCs w:val="22"/>
        </w:rPr>
        <w:t xml:space="preserve"> 2 бр.;</w:t>
      </w:r>
    </w:p>
    <w:p w14:paraId="7C383608" w14:textId="77777777" w:rsidR="00F1634F" w:rsidRPr="00782BD6" w:rsidRDefault="00000000" w:rsidP="0047432F">
      <w:pPr>
        <w:numPr>
          <w:ilvl w:val="0"/>
          <w:numId w:val="42"/>
        </w:numPr>
        <w:shd w:val="clear" w:color="auto" w:fill="FFFFFF" w:themeFill="background1"/>
        <w:tabs>
          <w:tab w:val="left" w:pos="709"/>
        </w:tabs>
        <w:ind w:left="993" w:hanging="567"/>
        <w:jc w:val="both"/>
        <w:rPr>
          <w:sz w:val="22"/>
          <w:szCs w:val="22"/>
        </w:rPr>
      </w:pPr>
      <w:hyperlink r:id="rId42" w:history="1">
        <w:r w:rsidR="00F1634F" w:rsidRPr="00782BD6">
          <w:rPr>
            <w:rStyle w:val="Hyperlink"/>
            <w:color w:val="215E99" w:themeColor="text2" w:themeTint="BF"/>
            <w:sz w:val="22"/>
            <w:szCs w:val="22"/>
            <w:u w:val="none"/>
            <w:lang w:val="en-US"/>
          </w:rPr>
          <w:t>www.eufunds.bg</w:t>
        </w:r>
      </w:hyperlink>
      <w:r w:rsidR="00F1634F" w:rsidRPr="00782BD6">
        <w:rPr>
          <w:rStyle w:val="Hyperlink"/>
          <w:color w:val="215E99" w:themeColor="text2" w:themeTint="BF"/>
          <w:sz w:val="22"/>
          <w:szCs w:val="22"/>
          <w:u w:val="none"/>
          <w:lang w:val="en-US"/>
        </w:rPr>
        <w:t xml:space="preserve"> </w:t>
      </w:r>
      <w:r w:rsidR="00F1634F" w:rsidRPr="00AE1E0C">
        <w:rPr>
          <w:sz w:val="22"/>
          <w:szCs w:val="22"/>
        </w:rPr>
        <w:t>–</w:t>
      </w:r>
      <w:r w:rsidR="00F1634F" w:rsidRPr="00782BD6">
        <w:rPr>
          <w:sz w:val="22"/>
          <w:szCs w:val="22"/>
        </w:rPr>
        <w:t xml:space="preserve"> публикувани 7 документа/пакети документа по ПТП;</w:t>
      </w:r>
      <w:r w:rsidR="00F1634F" w:rsidRPr="00782BD6" w:rsidDel="00A24E7B">
        <w:rPr>
          <w:sz w:val="22"/>
          <w:szCs w:val="22"/>
        </w:rPr>
        <w:t xml:space="preserve"> </w:t>
      </w:r>
    </w:p>
    <w:p w14:paraId="137DD2E9" w14:textId="77777777" w:rsidR="00F1634F" w:rsidRPr="00782BD6" w:rsidRDefault="00F1634F" w:rsidP="0047432F">
      <w:pPr>
        <w:numPr>
          <w:ilvl w:val="0"/>
          <w:numId w:val="42"/>
        </w:numPr>
        <w:shd w:val="clear" w:color="auto" w:fill="FFFFFF" w:themeFill="background1"/>
        <w:tabs>
          <w:tab w:val="left" w:pos="709"/>
        </w:tabs>
        <w:ind w:left="993" w:hanging="567"/>
        <w:jc w:val="both"/>
        <w:rPr>
          <w:sz w:val="22"/>
          <w:szCs w:val="22"/>
        </w:rPr>
      </w:pPr>
      <w:r w:rsidRPr="00782BD6">
        <w:rPr>
          <w:sz w:val="22"/>
          <w:szCs w:val="22"/>
        </w:rPr>
        <w:t>Прессъобщения за ПТП – 12 бр.;</w:t>
      </w:r>
    </w:p>
    <w:p w14:paraId="5D10EDD0" w14:textId="77B541BA" w:rsidR="00F1634F" w:rsidRPr="00782BD6" w:rsidRDefault="00F1634F" w:rsidP="0047432F">
      <w:pPr>
        <w:numPr>
          <w:ilvl w:val="0"/>
          <w:numId w:val="42"/>
        </w:numPr>
        <w:shd w:val="clear" w:color="auto" w:fill="FFFFFF" w:themeFill="background1"/>
        <w:tabs>
          <w:tab w:val="left" w:pos="709"/>
        </w:tabs>
        <w:ind w:left="993" w:hanging="567"/>
        <w:jc w:val="both"/>
        <w:rPr>
          <w:sz w:val="22"/>
          <w:szCs w:val="22"/>
        </w:rPr>
      </w:pPr>
      <w:r w:rsidRPr="00782BD6">
        <w:rPr>
          <w:sz w:val="22"/>
          <w:szCs w:val="22"/>
        </w:rPr>
        <w:t>Сключени договори във връзка с изпълнение на комуникационния план – 2 бр. за:</w:t>
      </w:r>
    </w:p>
    <w:p w14:paraId="6D80351A" w14:textId="77777777" w:rsidR="00F1634F" w:rsidRPr="00AE1E0C" w:rsidRDefault="00F1634F" w:rsidP="0047432F">
      <w:pPr>
        <w:pStyle w:val="ListParagraph"/>
        <w:numPr>
          <w:ilvl w:val="0"/>
          <w:numId w:val="43"/>
        </w:numPr>
        <w:shd w:val="clear" w:color="auto" w:fill="FFFFFF" w:themeFill="background1"/>
        <w:tabs>
          <w:tab w:val="left" w:pos="993"/>
        </w:tabs>
        <w:ind w:left="1276" w:hanging="567"/>
        <w:jc w:val="both"/>
        <w:rPr>
          <w:color w:val="000000" w:themeColor="text1"/>
          <w:sz w:val="22"/>
          <w:szCs w:val="22"/>
        </w:rPr>
      </w:pPr>
      <w:r w:rsidRPr="00AE1E0C">
        <w:rPr>
          <w:color w:val="000000" w:themeColor="text1"/>
          <w:sz w:val="22"/>
          <w:szCs w:val="22"/>
        </w:rPr>
        <w:t>„Осигуряване на онлайн материали за популяризиране на ПТП“;</w:t>
      </w:r>
    </w:p>
    <w:p w14:paraId="6A821FE7" w14:textId="77777777" w:rsidR="00F1634F" w:rsidRPr="00AE1E0C" w:rsidRDefault="00F1634F" w:rsidP="0047432F">
      <w:pPr>
        <w:pStyle w:val="ListParagraph"/>
        <w:numPr>
          <w:ilvl w:val="0"/>
          <w:numId w:val="43"/>
        </w:numPr>
        <w:shd w:val="clear" w:color="auto" w:fill="FFFFFF" w:themeFill="background1"/>
        <w:tabs>
          <w:tab w:val="left" w:pos="993"/>
        </w:tabs>
        <w:spacing w:after="120"/>
        <w:ind w:left="993" w:hanging="284"/>
        <w:jc w:val="both"/>
        <w:rPr>
          <w:color w:val="000000" w:themeColor="text1"/>
          <w:sz w:val="22"/>
          <w:szCs w:val="22"/>
        </w:rPr>
      </w:pPr>
      <w:r w:rsidRPr="00AE1E0C">
        <w:rPr>
          <w:color w:val="000000" w:themeColor="text1"/>
          <w:sz w:val="22"/>
          <w:szCs w:val="22"/>
        </w:rPr>
        <w:t>„Създаване и реализиране на информационни кампании в интернет за популяризиране на ПТП“.</w:t>
      </w:r>
    </w:p>
    <w:p w14:paraId="420C0DD4" w14:textId="77777777" w:rsidR="006F531D" w:rsidRDefault="006F531D">
      <w:pPr>
        <w:rPr>
          <w:b/>
          <w:bCs/>
          <w:iCs/>
          <w:color w:val="215E99" w:themeColor="text2" w:themeTint="BF"/>
          <w:sz w:val="22"/>
          <w:szCs w:val="22"/>
          <w:lang w:eastAsia="en-US"/>
        </w:rPr>
      </w:pPr>
      <w:r>
        <w:rPr>
          <w:b/>
          <w:bCs/>
          <w:iCs/>
          <w:color w:val="215E99" w:themeColor="text2" w:themeTint="BF"/>
          <w:sz w:val="22"/>
          <w:szCs w:val="22"/>
          <w:lang w:eastAsia="en-US"/>
        </w:rPr>
        <w:br w:type="page"/>
      </w:r>
    </w:p>
    <w:p w14:paraId="3B2DE4D2" w14:textId="3483DEEE" w:rsidR="00BF566F" w:rsidRDefault="00BF566F" w:rsidP="003B14AB">
      <w:pPr>
        <w:widowControl w:val="0"/>
        <w:shd w:val="clear" w:color="auto" w:fill="FFFFFF" w:themeFill="background1"/>
        <w:tabs>
          <w:tab w:val="left" w:pos="426"/>
        </w:tabs>
        <w:spacing w:after="120"/>
        <w:ind w:firstLine="426"/>
        <w:jc w:val="both"/>
        <w:outlineLvl w:val="3"/>
        <w:rPr>
          <w:b/>
          <w:bCs/>
          <w:iCs/>
          <w:color w:val="215E99" w:themeColor="text2" w:themeTint="BF"/>
          <w:sz w:val="22"/>
          <w:szCs w:val="22"/>
          <w:lang w:eastAsia="en-US"/>
        </w:rPr>
      </w:pPr>
      <w:r w:rsidRPr="003C00B7">
        <w:rPr>
          <w:b/>
          <w:bCs/>
          <w:iCs/>
          <w:color w:val="215E99" w:themeColor="text2" w:themeTint="BF"/>
          <w:sz w:val="22"/>
          <w:szCs w:val="22"/>
          <w:lang w:eastAsia="en-US"/>
        </w:rPr>
        <w:lastRenderedPageBreak/>
        <w:t xml:space="preserve">Отчет на показателите за </w:t>
      </w:r>
      <w:r w:rsidRPr="00BF566F">
        <w:rPr>
          <w:b/>
          <w:bCs/>
          <w:iCs/>
          <w:color w:val="215E99" w:themeColor="text2" w:themeTint="BF"/>
          <w:sz w:val="22"/>
          <w:szCs w:val="22"/>
          <w:lang w:eastAsia="en-US"/>
        </w:rPr>
        <w:t>изпълнение на програмата (количествени, качествени, времеви)</w:t>
      </w:r>
    </w:p>
    <w:tbl>
      <w:tblPr>
        <w:tblW w:w="5000" w:type="pct"/>
        <w:jc w:val="center"/>
        <w:tblCellMar>
          <w:left w:w="70" w:type="dxa"/>
          <w:right w:w="70" w:type="dxa"/>
        </w:tblCellMar>
        <w:tblLook w:val="0000" w:firstRow="0" w:lastRow="0" w:firstColumn="0" w:lastColumn="0" w:noHBand="0" w:noVBand="0"/>
      </w:tblPr>
      <w:tblGrid>
        <w:gridCol w:w="4677"/>
        <w:gridCol w:w="2981"/>
        <w:gridCol w:w="839"/>
        <w:gridCol w:w="849"/>
      </w:tblGrid>
      <w:tr w:rsidR="008B6859" w:rsidRPr="008F7C86" w14:paraId="539EDAE8" w14:textId="77777777" w:rsidTr="008B0649">
        <w:trPr>
          <w:trHeight w:val="450"/>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CC99"/>
            <w:vAlign w:val="center"/>
          </w:tcPr>
          <w:p w14:paraId="5BB94981" w14:textId="77777777" w:rsidR="008B6859" w:rsidRPr="00BF566F" w:rsidRDefault="008B6859" w:rsidP="003C6E60">
            <w:pPr>
              <w:spacing w:before="120"/>
              <w:jc w:val="center"/>
              <w:rPr>
                <w:b/>
                <w:i/>
                <w:color w:val="000000" w:themeColor="text1"/>
                <w:sz w:val="18"/>
                <w:szCs w:val="18"/>
              </w:rPr>
            </w:pPr>
            <w:r w:rsidRPr="00BF566F">
              <w:rPr>
                <w:b/>
                <w:i/>
                <w:color w:val="000000" w:themeColor="text1"/>
                <w:sz w:val="18"/>
                <w:szCs w:val="18"/>
              </w:rPr>
              <w:t xml:space="preserve">Отчет на показателите за </w:t>
            </w:r>
            <w:bookmarkStart w:id="48" w:name="_Hlk205460932"/>
            <w:r w:rsidRPr="00BF566F">
              <w:rPr>
                <w:b/>
                <w:i/>
                <w:color w:val="000000" w:themeColor="text1"/>
                <w:sz w:val="18"/>
                <w:szCs w:val="18"/>
              </w:rPr>
              <w:t>изпълнение на програмата (количествени, качествени, времеви)</w:t>
            </w:r>
            <w:bookmarkEnd w:id="48"/>
          </w:p>
          <w:p w14:paraId="6E45BE57" w14:textId="77777777" w:rsidR="008B6859" w:rsidRPr="008F7C86" w:rsidRDefault="008B6859" w:rsidP="003C6E60">
            <w:pPr>
              <w:spacing w:before="120"/>
              <w:jc w:val="center"/>
              <w:rPr>
                <w:b/>
                <w:color w:val="000000"/>
                <w:sz w:val="16"/>
                <w:szCs w:val="16"/>
              </w:rPr>
            </w:pPr>
            <w:r w:rsidRPr="008F7C86">
              <w:rPr>
                <w:b/>
                <w:color w:val="000000"/>
                <w:sz w:val="16"/>
                <w:szCs w:val="16"/>
              </w:rPr>
              <w:t>ПОКАЗАТЕЛИ ЗА ИЗПЪЛНЕНИЕ</w:t>
            </w:r>
          </w:p>
          <w:p w14:paraId="04A3FFB4" w14:textId="209CDDDA" w:rsidR="008B6859" w:rsidRPr="008F7C86" w:rsidRDefault="008B6859" w:rsidP="003C6E60">
            <w:pPr>
              <w:spacing w:before="120"/>
              <w:jc w:val="center"/>
              <w:rPr>
                <w:b/>
                <w:bCs/>
                <w:sz w:val="16"/>
                <w:szCs w:val="16"/>
              </w:rPr>
            </w:pPr>
            <w:r w:rsidRPr="008F7C86">
              <w:rPr>
                <w:b/>
                <w:bCs/>
                <w:sz w:val="16"/>
                <w:szCs w:val="16"/>
              </w:rPr>
              <w:t>0300.02.01</w:t>
            </w:r>
            <w:r w:rsidRPr="008F7C86">
              <w:rPr>
                <w:sz w:val="16"/>
                <w:szCs w:val="16"/>
              </w:rPr>
              <w:t xml:space="preserve"> </w:t>
            </w:r>
            <w:r w:rsidRPr="008F7C86">
              <w:rPr>
                <w:b/>
                <w:bCs/>
                <w:sz w:val="16"/>
                <w:szCs w:val="16"/>
              </w:rPr>
              <w:t>Бюджетна програма „КООРДИНАЦИЯ ПРИ УПРАВЛЕНИЕТО НА СРЕДСТВАТА ОТ ЕВРОПЕЙСКИЯ СЪЮЗ”</w:t>
            </w:r>
          </w:p>
          <w:p w14:paraId="229545AE" w14:textId="59EAF614" w:rsidR="008B6859" w:rsidRPr="008F7C86" w:rsidRDefault="008B6859" w:rsidP="003C6E60">
            <w:pPr>
              <w:spacing w:before="120"/>
              <w:jc w:val="center"/>
              <w:rPr>
                <w:b/>
                <w:bCs/>
                <w:i/>
                <w:iCs/>
                <w:sz w:val="16"/>
                <w:szCs w:val="16"/>
              </w:rPr>
            </w:pPr>
            <w:r w:rsidRPr="008F7C86">
              <w:rPr>
                <w:bCs/>
                <w:i/>
                <w:sz w:val="16"/>
                <w:szCs w:val="16"/>
              </w:rPr>
              <w:t>(класификационен код и наименование на бюджетната програма</w:t>
            </w:r>
            <w:r w:rsidR="00BF566F">
              <w:rPr>
                <w:bCs/>
                <w:i/>
                <w:sz w:val="16"/>
                <w:szCs w:val="16"/>
              </w:rPr>
              <w:t>)</w:t>
            </w:r>
          </w:p>
        </w:tc>
      </w:tr>
      <w:tr w:rsidR="00BF566F" w:rsidRPr="008F7C86" w14:paraId="609C1FEB" w14:textId="77777777" w:rsidTr="008B0649">
        <w:trPr>
          <w:trHeight w:val="450"/>
          <w:tblHeader/>
          <w:jc w:val="center"/>
        </w:trPr>
        <w:tc>
          <w:tcPr>
            <w:tcW w:w="2502" w:type="pct"/>
            <w:tcBorders>
              <w:top w:val="single" w:sz="4" w:space="0" w:color="auto"/>
              <w:left w:val="single" w:sz="4" w:space="0" w:color="auto"/>
              <w:bottom w:val="single" w:sz="4" w:space="0" w:color="auto"/>
              <w:right w:val="single" w:sz="4" w:space="0" w:color="auto"/>
            </w:tcBorders>
            <w:shd w:val="clear" w:color="auto" w:fill="FFCC99"/>
            <w:vAlign w:val="center"/>
          </w:tcPr>
          <w:p w14:paraId="1040E70D" w14:textId="77777777" w:rsidR="008B6859" w:rsidRPr="008F7C86" w:rsidRDefault="008B6859" w:rsidP="003C6E60">
            <w:pPr>
              <w:spacing w:before="120"/>
              <w:jc w:val="center"/>
              <w:rPr>
                <w:b/>
                <w:bCs/>
                <w:sz w:val="16"/>
                <w:szCs w:val="16"/>
              </w:rPr>
            </w:pPr>
            <w:r w:rsidRPr="008F7C86">
              <w:rPr>
                <w:b/>
                <w:bCs/>
                <w:sz w:val="16"/>
                <w:szCs w:val="16"/>
              </w:rPr>
              <w:t>Показатели за изпълнение</w:t>
            </w:r>
          </w:p>
        </w:tc>
        <w:tc>
          <w:tcPr>
            <w:tcW w:w="1595" w:type="pct"/>
            <w:tcBorders>
              <w:top w:val="single" w:sz="4" w:space="0" w:color="auto"/>
              <w:left w:val="nil"/>
              <w:bottom w:val="single" w:sz="4" w:space="0" w:color="auto"/>
              <w:right w:val="single" w:sz="4" w:space="0" w:color="auto"/>
            </w:tcBorders>
            <w:shd w:val="clear" w:color="auto" w:fill="FFCC99"/>
            <w:vAlign w:val="center"/>
          </w:tcPr>
          <w:p w14:paraId="24EC9F5D" w14:textId="77777777" w:rsidR="008B6859" w:rsidRPr="008F7C86" w:rsidRDefault="008B6859" w:rsidP="003C6E60">
            <w:pPr>
              <w:spacing w:before="120"/>
              <w:jc w:val="center"/>
              <w:rPr>
                <w:b/>
                <w:bCs/>
                <w:sz w:val="16"/>
                <w:szCs w:val="16"/>
              </w:rPr>
            </w:pPr>
            <w:r w:rsidRPr="008F7C86">
              <w:rPr>
                <w:b/>
                <w:bCs/>
                <w:sz w:val="16"/>
                <w:szCs w:val="16"/>
              </w:rPr>
              <w:t>Мерна единица</w:t>
            </w:r>
          </w:p>
        </w:tc>
        <w:tc>
          <w:tcPr>
            <w:tcW w:w="449" w:type="pct"/>
            <w:tcBorders>
              <w:top w:val="single" w:sz="4" w:space="0" w:color="auto"/>
              <w:left w:val="nil"/>
              <w:bottom w:val="single" w:sz="4" w:space="0" w:color="auto"/>
              <w:right w:val="single" w:sz="4" w:space="0" w:color="auto"/>
            </w:tcBorders>
            <w:shd w:val="clear" w:color="auto" w:fill="FFCC99"/>
            <w:vAlign w:val="center"/>
          </w:tcPr>
          <w:p w14:paraId="24AA6AC2" w14:textId="77777777" w:rsidR="008B6859" w:rsidRPr="008F7C86" w:rsidRDefault="008B6859" w:rsidP="003C6E60">
            <w:pPr>
              <w:spacing w:before="120"/>
              <w:ind w:left="-74"/>
              <w:jc w:val="center"/>
              <w:rPr>
                <w:b/>
                <w:bCs/>
                <w:i/>
                <w:iCs/>
                <w:sz w:val="16"/>
                <w:szCs w:val="16"/>
              </w:rPr>
            </w:pPr>
            <w:r w:rsidRPr="008F7C86">
              <w:rPr>
                <w:b/>
                <w:bCs/>
                <w:i/>
                <w:iCs/>
                <w:sz w:val="16"/>
                <w:szCs w:val="16"/>
              </w:rPr>
              <w:t>Целева стойност</w:t>
            </w:r>
          </w:p>
        </w:tc>
        <w:tc>
          <w:tcPr>
            <w:tcW w:w="454" w:type="pct"/>
            <w:tcBorders>
              <w:top w:val="single" w:sz="4" w:space="0" w:color="auto"/>
              <w:left w:val="nil"/>
              <w:bottom w:val="single" w:sz="4" w:space="0" w:color="auto"/>
              <w:right w:val="single" w:sz="4" w:space="0" w:color="auto"/>
            </w:tcBorders>
            <w:shd w:val="clear" w:color="auto" w:fill="FFCC99"/>
            <w:vAlign w:val="center"/>
          </w:tcPr>
          <w:p w14:paraId="38CE6241" w14:textId="77777777" w:rsidR="008B6859" w:rsidRPr="008F7C86" w:rsidRDefault="008B6859" w:rsidP="003C6E60">
            <w:pPr>
              <w:spacing w:before="120"/>
              <w:jc w:val="center"/>
              <w:rPr>
                <w:b/>
                <w:bCs/>
                <w:i/>
                <w:iCs/>
                <w:sz w:val="16"/>
                <w:szCs w:val="16"/>
              </w:rPr>
            </w:pPr>
            <w:r w:rsidRPr="008F7C86">
              <w:rPr>
                <w:b/>
                <w:bCs/>
                <w:i/>
                <w:iCs/>
                <w:sz w:val="16"/>
                <w:szCs w:val="16"/>
              </w:rPr>
              <w:t>Отчет</w:t>
            </w:r>
          </w:p>
        </w:tc>
      </w:tr>
      <w:tr w:rsidR="008B6859" w:rsidRPr="008F7C86" w14:paraId="65A5C55C" w14:textId="77777777" w:rsidTr="003B14AB">
        <w:trPr>
          <w:trHeight w:val="255"/>
          <w:jc w:val="center"/>
        </w:trPr>
        <w:tc>
          <w:tcPr>
            <w:tcW w:w="2502" w:type="pct"/>
            <w:vMerge w:val="restart"/>
            <w:tcBorders>
              <w:top w:val="single" w:sz="4" w:space="0" w:color="auto"/>
              <w:left w:val="single" w:sz="4" w:space="0" w:color="auto"/>
              <w:right w:val="single" w:sz="4" w:space="0" w:color="auto"/>
            </w:tcBorders>
            <w:vAlign w:val="center"/>
          </w:tcPr>
          <w:p w14:paraId="60815F13" w14:textId="77777777" w:rsidR="008B6859" w:rsidRPr="008F7C86" w:rsidRDefault="008B6859" w:rsidP="003C6E60">
            <w:pPr>
              <w:rPr>
                <w:bCs/>
                <w:sz w:val="16"/>
                <w:szCs w:val="16"/>
              </w:rPr>
            </w:pPr>
            <w:bookmarkStart w:id="49" w:name="_Hlk204939237"/>
            <w:r w:rsidRPr="008F7C86">
              <w:rPr>
                <w:sz w:val="16"/>
                <w:szCs w:val="16"/>
              </w:rPr>
              <w:t xml:space="preserve">Осигуряване на унифицирано прилагане на нормативната уредба за управление на средствата от ЕФСУ и на хоризонталните политики на ЕС </w:t>
            </w:r>
          </w:p>
        </w:tc>
        <w:tc>
          <w:tcPr>
            <w:tcW w:w="1595" w:type="pct"/>
            <w:tcBorders>
              <w:top w:val="single" w:sz="4" w:space="0" w:color="auto"/>
              <w:left w:val="nil"/>
              <w:bottom w:val="single" w:sz="4" w:space="0" w:color="auto"/>
              <w:right w:val="single" w:sz="4" w:space="0" w:color="auto"/>
            </w:tcBorders>
            <w:vAlign w:val="center"/>
          </w:tcPr>
          <w:p w14:paraId="5E293A89" w14:textId="77777777" w:rsidR="008B6859" w:rsidRPr="008F7C86" w:rsidRDefault="008B6859" w:rsidP="003C6E60">
            <w:pPr>
              <w:jc w:val="both"/>
              <w:rPr>
                <w:sz w:val="16"/>
                <w:szCs w:val="16"/>
              </w:rPr>
            </w:pPr>
            <w:r w:rsidRPr="008F7C86">
              <w:rPr>
                <w:i/>
                <w:sz w:val="16"/>
                <w:szCs w:val="16"/>
              </w:rPr>
              <w:t>Качествен показател:</w:t>
            </w:r>
            <w:r w:rsidRPr="008F7C86">
              <w:rPr>
                <w:sz w:val="16"/>
                <w:szCs w:val="16"/>
              </w:rPr>
              <w:t xml:space="preserve"> Оказана  методическа подкрепа за прилагане на нормативната уредба за управление на средствата от ЕФСУ</w:t>
            </w:r>
          </w:p>
        </w:tc>
        <w:tc>
          <w:tcPr>
            <w:tcW w:w="449" w:type="pct"/>
            <w:tcBorders>
              <w:top w:val="nil"/>
              <w:left w:val="nil"/>
              <w:bottom w:val="single" w:sz="4" w:space="0" w:color="auto"/>
              <w:right w:val="single" w:sz="4" w:space="0" w:color="auto"/>
            </w:tcBorders>
            <w:vAlign w:val="center"/>
          </w:tcPr>
          <w:p w14:paraId="6EB7836A" w14:textId="77777777" w:rsidR="008B6859" w:rsidRPr="008F7C86" w:rsidRDefault="008B6859" w:rsidP="003C6E60">
            <w:pPr>
              <w:jc w:val="right"/>
              <w:rPr>
                <w:sz w:val="16"/>
                <w:szCs w:val="16"/>
              </w:rPr>
            </w:pPr>
            <w:proofErr w:type="spellStart"/>
            <w:r w:rsidRPr="008F7C86">
              <w:rPr>
                <w:sz w:val="16"/>
                <w:szCs w:val="16"/>
              </w:rPr>
              <w:t>н.п</w:t>
            </w:r>
            <w:proofErr w:type="spellEnd"/>
            <w:r w:rsidRPr="008F7C86">
              <w:rPr>
                <w:sz w:val="16"/>
                <w:szCs w:val="16"/>
              </w:rPr>
              <w:t>.</w:t>
            </w:r>
          </w:p>
        </w:tc>
        <w:tc>
          <w:tcPr>
            <w:tcW w:w="454" w:type="pct"/>
            <w:tcBorders>
              <w:top w:val="nil"/>
              <w:left w:val="nil"/>
              <w:bottom w:val="single" w:sz="4" w:space="0" w:color="auto"/>
              <w:right w:val="single" w:sz="4" w:space="0" w:color="auto"/>
            </w:tcBorders>
            <w:shd w:val="clear" w:color="auto" w:fill="FFFFFF" w:themeFill="background1"/>
            <w:vAlign w:val="center"/>
          </w:tcPr>
          <w:p w14:paraId="11397E0F" w14:textId="77777777" w:rsidR="008B6859" w:rsidRPr="008F7C86" w:rsidRDefault="008B6859" w:rsidP="003C6E60">
            <w:pPr>
              <w:jc w:val="right"/>
              <w:rPr>
                <w:iCs/>
                <w:sz w:val="16"/>
                <w:szCs w:val="16"/>
              </w:rPr>
            </w:pPr>
            <w:proofErr w:type="spellStart"/>
            <w:r w:rsidRPr="008F7C86">
              <w:rPr>
                <w:iCs/>
                <w:sz w:val="16"/>
                <w:szCs w:val="16"/>
              </w:rPr>
              <w:t>н.п</w:t>
            </w:r>
            <w:proofErr w:type="spellEnd"/>
            <w:r w:rsidRPr="008F7C86">
              <w:rPr>
                <w:iCs/>
                <w:sz w:val="16"/>
                <w:szCs w:val="16"/>
              </w:rPr>
              <w:t>.</w:t>
            </w:r>
          </w:p>
        </w:tc>
      </w:tr>
      <w:tr w:rsidR="008B6859" w:rsidRPr="008F7C86" w14:paraId="7BFB96F5" w14:textId="77777777" w:rsidTr="003B14AB">
        <w:trPr>
          <w:trHeight w:val="255"/>
          <w:jc w:val="center"/>
        </w:trPr>
        <w:tc>
          <w:tcPr>
            <w:tcW w:w="2502" w:type="pct"/>
            <w:vMerge/>
            <w:tcBorders>
              <w:left w:val="single" w:sz="4" w:space="0" w:color="auto"/>
              <w:bottom w:val="single" w:sz="4" w:space="0" w:color="auto"/>
              <w:right w:val="single" w:sz="4" w:space="0" w:color="auto"/>
            </w:tcBorders>
            <w:vAlign w:val="center"/>
          </w:tcPr>
          <w:p w14:paraId="2391584E" w14:textId="77777777" w:rsidR="008B6859" w:rsidRPr="008F7C86" w:rsidRDefault="008B6859" w:rsidP="003C6E60">
            <w:pPr>
              <w:rPr>
                <w:bCs/>
                <w:sz w:val="16"/>
                <w:szCs w:val="16"/>
              </w:rPr>
            </w:pPr>
          </w:p>
        </w:tc>
        <w:tc>
          <w:tcPr>
            <w:tcW w:w="1595" w:type="pct"/>
            <w:tcBorders>
              <w:top w:val="single" w:sz="4" w:space="0" w:color="auto"/>
              <w:left w:val="nil"/>
              <w:bottom w:val="single" w:sz="4" w:space="0" w:color="auto"/>
              <w:right w:val="single" w:sz="4" w:space="0" w:color="auto"/>
            </w:tcBorders>
            <w:vAlign w:val="center"/>
          </w:tcPr>
          <w:p w14:paraId="19F561CF" w14:textId="77777777" w:rsidR="008B6859" w:rsidRPr="008F7C86" w:rsidRDefault="008B6859" w:rsidP="003C6E60">
            <w:pPr>
              <w:jc w:val="both"/>
              <w:rPr>
                <w:sz w:val="16"/>
                <w:szCs w:val="16"/>
              </w:rPr>
            </w:pPr>
            <w:r w:rsidRPr="008F7C86">
              <w:rPr>
                <w:sz w:val="16"/>
                <w:szCs w:val="16"/>
              </w:rPr>
              <w:t>Брой изготвени методически указания и становища по прилагането на нормативни актове и/или на хоризонталните политики на ЕС по отношение на програмите, финансирани от ЕФСУ и/или с хоризонтален характер</w:t>
            </w:r>
            <w:r w:rsidRPr="008F7C86">
              <w:rPr>
                <w:sz w:val="16"/>
                <w:szCs w:val="16"/>
                <w:vertAlign w:val="superscript"/>
              </w:rPr>
              <w:footnoteReference w:id="24"/>
            </w:r>
          </w:p>
        </w:tc>
        <w:tc>
          <w:tcPr>
            <w:tcW w:w="449" w:type="pct"/>
            <w:tcBorders>
              <w:top w:val="nil"/>
              <w:left w:val="nil"/>
              <w:bottom w:val="single" w:sz="4" w:space="0" w:color="auto"/>
              <w:right w:val="single" w:sz="4" w:space="0" w:color="auto"/>
            </w:tcBorders>
            <w:vAlign w:val="center"/>
          </w:tcPr>
          <w:p w14:paraId="75B601E3" w14:textId="77777777" w:rsidR="008B6859" w:rsidRPr="008F7C86" w:rsidRDefault="008B6859" w:rsidP="003C6E60">
            <w:pPr>
              <w:jc w:val="right"/>
              <w:rPr>
                <w:sz w:val="16"/>
                <w:szCs w:val="16"/>
              </w:rPr>
            </w:pPr>
            <w:r w:rsidRPr="008F7C86">
              <w:rPr>
                <w:sz w:val="16"/>
                <w:szCs w:val="16"/>
              </w:rPr>
              <w:t>3</w:t>
            </w:r>
          </w:p>
        </w:tc>
        <w:tc>
          <w:tcPr>
            <w:tcW w:w="454" w:type="pct"/>
            <w:tcBorders>
              <w:top w:val="nil"/>
              <w:left w:val="nil"/>
              <w:bottom w:val="single" w:sz="4" w:space="0" w:color="auto"/>
              <w:right w:val="single" w:sz="4" w:space="0" w:color="auto"/>
            </w:tcBorders>
            <w:shd w:val="clear" w:color="auto" w:fill="FFFFFF" w:themeFill="background1"/>
            <w:vAlign w:val="center"/>
          </w:tcPr>
          <w:p w14:paraId="62734A70" w14:textId="77777777" w:rsidR="008B6859" w:rsidRPr="008F7C86" w:rsidRDefault="008B6859" w:rsidP="003C6E60">
            <w:pPr>
              <w:jc w:val="right"/>
              <w:rPr>
                <w:sz w:val="16"/>
                <w:szCs w:val="16"/>
              </w:rPr>
            </w:pPr>
            <w:r w:rsidRPr="008F7C86">
              <w:rPr>
                <w:sz w:val="16"/>
                <w:szCs w:val="16"/>
              </w:rPr>
              <w:t>1</w:t>
            </w:r>
            <w:r w:rsidRPr="008F7C86">
              <w:rPr>
                <w:rStyle w:val="FootnoteReference"/>
                <w:sz w:val="16"/>
                <w:szCs w:val="16"/>
              </w:rPr>
              <w:footnoteReference w:id="25"/>
            </w:r>
          </w:p>
        </w:tc>
      </w:tr>
      <w:tr w:rsidR="008B6859" w:rsidRPr="008F7C86" w14:paraId="35D57F03"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vAlign w:val="center"/>
          </w:tcPr>
          <w:p w14:paraId="7DDB20E6" w14:textId="77777777" w:rsidR="008B6859" w:rsidRPr="008F7C86" w:rsidRDefault="008B6859" w:rsidP="003C6E60">
            <w:pPr>
              <w:rPr>
                <w:bCs/>
                <w:sz w:val="16"/>
                <w:szCs w:val="16"/>
              </w:rPr>
            </w:pPr>
            <w:r w:rsidRPr="008F7C86">
              <w:rPr>
                <w:sz w:val="16"/>
                <w:szCs w:val="16"/>
              </w:rPr>
              <w:t>Организация на работата на Съвета за координация при управлението на средствата от ЕС: проведени заседания и/или писмени процедури</w:t>
            </w:r>
          </w:p>
        </w:tc>
        <w:tc>
          <w:tcPr>
            <w:tcW w:w="1595" w:type="pct"/>
            <w:tcBorders>
              <w:top w:val="single" w:sz="4" w:space="0" w:color="auto"/>
              <w:left w:val="nil"/>
              <w:bottom w:val="single" w:sz="4" w:space="0" w:color="auto"/>
              <w:right w:val="single" w:sz="4" w:space="0" w:color="auto"/>
            </w:tcBorders>
            <w:vAlign w:val="center"/>
          </w:tcPr>
          <w:p w14:paraId="5A8A06F9" w14:textId="77777777" w:rsidR="008B6859" w:rsidRPr="008F7C86" w:rsidRDefault="008B6859" w:rsidP="003C6E60">
            <w:pPr>
              <w:jc w:val="both"/>
              <w:rPr>
                <w:sz w:val="16"/>
                <w:szCs w:val="16"/>
              </w:rPr>
            </w:pPr>
            <w:r w:rsidRPr="008F7C86">
              <w:rPr>
                <w:sz w:val="16"/>
                <w:szCs w:val="16"/>
              </w:rPr>
              <w:t>Брой</w:t>
            </w:r>
          </w:p>
        </w:tc>
        <w:tc>
          <w:tcPr>
            <w:tcW w:w="449" w:type="pct"/>
            <w:tcBorders>
              <w:top w:val="nil"/>
              <w:left w:val="nil"/>
              <w:bottom w:val="single" w:sz="4" w:space="0" w:color="auto"/>
              <w:right w:val="single" w:sz="4" w:space="0" w:color="auto"/>
            </w:tcBorders>
            <w:vAlign w:val="center"/>
          </w:tcPr>
          <w:p w14:paraId="7C3A5C30" w14:textId="77777777" w:rsidR="008B6859" w:rsidRPr="008F7C86" w:rsidRDefault="008B6859" w:rsidP="003C6E60">
            <w:pPr>
              <w:jc w:val="right"/>
              <w:rPr>
                <w:sz w:val="16"/>
                <w:szCs w:val="16"/>
              </w:rPr>
            </w:pPr>
            <w:r w:rsidRPr="008F7C86">
              <w:rPr>
                <w:color w:val="000000"/>
                <w:sz w:val="16"/>
                <w:szCs w:val="16"/>
              </w:rPr>
              <w:t>24</w:t>
            </w:r>
          </w:p>
        </w:tc>
        <w:tc>
          <w:tcPr>
            <w:tcW w:w="454" w:type="pct"/>
            <w:tcBorders>
              <w:top w:val="nil"/>
              <w:left w:val="nil"/>
              <w:bottom w:val="single" w:sz="4" w:space="0" w:color="auto"/>
              <w:right w:val="single" w:sz="4" w:space="0" w:color="auto"/>
            </w:tcBorders>
            <w:shd w:val="clear" w:color="auto" w:fill="FFFFFF" w:themeFill="background1"/>
            <w:vAlign w:val="center"/>
          </w:tcPr>
          <w:p w14:paraId="65EFA68E" w14:textId="77777777" w:rsidR="008B6859" w:rsidRPr="008F7C86" w:rsidRDefault="008B6859" w:rsidP="003C6E60">
            <w:pPr>
              <w:jc w:val="right"/>
              <w:rPr>
                <w:iCs/>
                <w:sz w:val="16"/>
                <w:szCs w:val="16"/>
              </w:rPr>
            </w:pPr>
            <w:r w:rsidRPr="008F7C86">
              <w:rPr>
                <w:iCs/>
                <w:sz w:val="16"/>
                <w:szCs w:val="16"/>
              </w:rPr>
              <w:t>13</w:t>
            </w:r>
          </w:p>
        </w:tc>
      </w:tr>
      <w:tr w:rsidR="008B6859" w:rsidRPr="008F7C86" w14:paraId="2DF48575"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vAlign w:val="center"/>
          </w:tcPr>
          <w:p w14:paraId="5A765F5E" w14:textId="77777777" w:rsidR="008B6859" w:rsidRPr="008F7C86" w:rsidRDefault="008B6859" w:rsidP="003C6E60">
            <w:pPr>
              <w:rPr>
                <w:bCs/>
                <w:sz w:val="16"/>
                <w:szCs w:val="16"/>
              </w:rPr>
            </w:pPr>
            <w:r w:rsidRPr="008F7C86">
              <w:rPr>
                <w:sz w:val="16"/>
                <w:szCs w:val="16"/>
              </w:rPr>
              <w:t>Организирани и проведени тристранни срещи по линия на Инструмента JASPERS</w:t>
            </w:r>
          </w:p>
        </w:tc>
        <w:tc>
          <w:tcPr>
            <w:tcW w:w="1595" w:type="pct"/>
            <w:tcBorders>
              <w:top w:val="single" w:sz="4" w:space="0" w:color="auto"/>
              <w:left w:val="nil"/>
              <w:bottom w:val="single" w:sz="4" w:space="0" w:color="auto"/>
              <w:right w:val="single" w:sz="4" w:space="0" w:color="auto"/>
            </w:tcBorders>
            <w:vAlign w:val="center"/>
          </w:tcPr>
          <w:p w14:paraId="0A358BB8" w14:textId="77777777" w:rsidR="008B6859" w:rsidRPr="008F7C86" w:rsidRDefault="008B6859" w:rsidP="003C6E60">
            <w:pPr>
              <w:jc w:val="both"/>
              <w:rPr>
                <w:sz w:val="16"/>
                <w:szCs w:val="16"/>
              </w:rPr>
            </w:pPr>
            <w:r w:rsidRPr="008F7C86">
              <w:rPr>
                <w:sz w:val="16"/>
                <w:szCs w:val="16"/>
              </w:rPr>
              <w:t>Брой</w:t>
            </w:r>
          </w:p>
        </w:tc>
        <w:tc>
          <w:tcPr>
            <w:tcW w:w="449" w:type="pct"/>
            <w:tcBorders>
              <w:top w:val="nil"/>
              <w:left w:val="nil"/>
              <w:bottom w:val="single" w:sz="4" w:space="0" w:color="auto"/>
              <w:right w:val="single" w:sz="4" w:space="0" w:color="auto"/>
            </w:tcBorders>
            <w:vAlign w:val="center"/>
          </w:tcPr>
          <w:p w14:paraId="433DBAE8" w14:textId="77777777" w:rsidR="008B6859" w:rsidRPr="008F7C86" w:rsidRDefault="008B6859" w:rsidP="003C6E60">
            <w:pPr>
              <w:jc w:val="right"/>
              <w:rPr>
                <w:sz w:val="16"/>
                <w:szCs w:val="16"/>
              </w:rPr>
            </w:pPr>
            <w:r w:rsidRPr="008F7C86">
              <w:rPr>
                <w:color w:val="000000"/>
                <w:sz w:val="16"/>
                <w:szCs w:val="16"/>
              </w:rPr>
              <w:t>2</w:t>
            </w:r>
          </w:p>
        </w:tc>
        <w:tc>
          <w:tcPr>
            <w:tcW w:w="454" w:type="pct"/>
            <w:tcBorders>
              <w:top w:val="nil"/>
              <w:left w:val="nil"/>
              <w:bottom w:val="single" w:sz="4" w:space="0" w:color="auto"/>
              <w:right w:val="single" w:sz="4" w:space="0" w:color="auto"/>
            </w:tcBorders>
            <w:shd w:val="clear" w:color="auto" w:fill="FFFFFF" w:themeFill="background1"/>
            <w:vAlign w:val="center"/>
          </w:tcPr>
          <w:p w14:paraId="32381E70" w14:textId="77777777" w:rsidR="008B6859" w:rsidRPr="008F7C86" w:rsidRDefault="008B6859" w:rsidP="003C6E60">
            <w:pPr>
              <w:jc w:val="right"/>
              <w:rPr>
                <w:iCs/>
                <w:sz w:val="16"/>
                <w:szCs w:val="16"/>
              </w:rPr>
            </w:pPr>
            <w:r w:rsidRPr="008F7C86">
              <w:rPr>
                <w:iCs/>
                <w:sz w:val="16"/>
                <w:szCs w:val="16"/>
              </w:rPr>
              <w:t>1</w:t>
            </w:r>
          </w:p>
        </w:tc>
      </w:tr>
      <w:tr w:rsidR="008B6859" w:rsidRPr="008F7C86" w14:paraId="7762C6D1" w14:textId="77777777" w:rsidTr="003B14AB">
        <w:trPr>
          <w:trHeight w:val="255"/>
          <w:jc w:val="center"/>
        </w:trPr>
        <w:tc>
          <w:tcPr>
            <w:tcW w:w="2502" w:type="pct"/>
            <w:vMerge w:val="restart"/>
            <w:tcBorders>
              <w:top w:val="single" w:sz="4" w:space="0" w:color="auto"/>
              <w:left w:val="single" w:sz="4" w:space="0" w:color="auto"/>
              <w:right w:val="single" w:sz="4" w:space="0" w:color="auto"/>
            </w:tcBorders>
            <w:vAlign w:val="center"/>
          </w:tcPr>
          <w:p w14:paraId="18B09A05" w14:textId="77777777" w:rsidR="008B6859" w:rsidRPr="008F7C86" w:rsidRDefault="008B6859" w:rsidP="003C6E60">
            <w:pPr>
              <w:rPr>
                <w:sz w:val="16"/>
                <w:szCs w:val="16"/>
              </w:rPr>
            </w:pPr>
            <w:r w:rsidRPr="008F7C86">
              <w:rPr>
                <w:sz w:val="16"/>
                <w:szCs w:val="16"/>
              </w:rPr>
              <w:t xml:space="preserve">Организирани </w:t>
            </w:r>
            <w:proofErr w:type="spellStart"/>
            <w:r w:rsidRPr="008F7C86">
              <w:rPr>
                <w:sz w:val="16"/>
                <w:szCs w:val="16"/>
              </w:rPr>
              <w:t>съгласувателни</w:t>
            </w:r>
            <w:proofErr w:type="spellEnd"/>
            <w:r w:rsidRPr="008F7C86">
              <w:rPr>
                <w:sz w:val="16"/>
                <w:szCs w:val="16"/>
              </w:rPr>
              <w:t xml:space="preserve"> процедури в рамките на РГ 19</w:t>
            </w:r>
          </w:p>
        </w:tc>
        <w:tc>
          <w:tcPr>
            <w:tcW w:w="1595" w:type="pct"/>
            <w:tcBorders>
              <w:top w:val="single" w:sz="4" w:space="0" w:color="auto"/>
              <w:left w:val="nil"/>
              <w:bottom w:val="single" w:sz="4" w:space="0" w:color="auto"/>
              <w:right w:val="single" w:sz="4" w:space="0" w:color="auto"/>
            </w:tcBorders>
            <w:vAlign w:val="center"/>
          </w:tcPr>
          <w:p w14:paraId="4A11745A" w14:textId="77777777" w:rsidR="008B6859" w:rsidRPr="008F7C86" w:rsidRDefault="008B6859" w:rsidP="003C6E60">
            <w:pPr>
              <w:jc w:val="both"/>
              <w:rPr>
                <w:sz w:val="16"/>
                <w:szCs w:val="16"/>
              </w:rPr>
            </w:pPr>
            <w:r w:rsidRPr="008F7C86">
              <w:rPr>
                <w:sz w:val="16"/>
                <w:szCs w:val="16"/>
              </w:rPr>
              <w:t xml:space="preserve">Брой </w:t>
            </w:r>
          </w:p>
        </w:tc>
        <w:tc>
          <w:tcPr>
            <w:tcW w:w="449" w:type="pct"/>
            <w:tcBorders>
              <w:top w:val="nil"/>
              <w:left w:val="nil"/>
              <w:bottom w:val="single" w:sz="4" w:space="0" w:color="auto"/>
              <w:right w:val="single" w:sz="4" w:space="0" w:color="auto"/>
            </w:tcBorders>
            <w:vAlign w:val="center"/>
          </w:tcPr>
          <w:p w14:paraId="1AA985ED" w14:textId="77777777" w:rsidR="008B6859" w:rsidRPr="008F7C86" w:rsidRDefault="008B6859" w:rsidP="003C6E60">
            <w:pPr>
              <w:jc w:val="right"/>
              <w:rPr>
                <w:sz w:val="16"/>
                <w:szCs w:val="16"/>
              </w:rPr>
            </w:pPr>
            <w:r w:rsidRPr="008F7C86">
              <w:rPr>
                <w:sz w:val="16"/>
                <w:szCs w:val="16"/>
              </w:rPr>
              <w:t>49</w:t>
            </w:r>
          </w:p>
        </w:tc>
        <w:tc>
          <w:tcPr>
            <w:tcW w:w="454" w:type="pct"/>
            <w:tcBorders>
              <w:top w:val="nil"/>
              <w:left w:val="nil"/>
              <w:bottom w:val="single" w:sz="4" w:space="0" w:color="auto"/>
              <w:right w:val="single" w:sz="4" w:space="0" w:color="auto"/>
            </w:tcBorders>
            <w:shd w:val="clear" w:color="auto" w:fill="FFFFFF" w:themeFill="background1"/>
          </w:tcPr>
          <w:p w14:paraId="748397C8" w14:textId="77777777" w:rsidR="008B6859" w:rsidRPr="008F7C86" w:rsidRDefault="008B6859" w:rsidP="003C6E60">
            <w:pPr>
              <w:jc w:val="right"/>
              <w:rPr>
                <w:sz w:val="16"/>
                <w:szCs w:val="16"/>
              </w:rPr>
            </w:pPr>
            <w:r w:rsidRPr="008F7C86">
              <w:rPr>
                <w:sz w:val="16"/>
                <w:szCs w:val="16"/>
              </w:rPr>
              <w:t>24</w:t>
            </w:r>
          </w:p>
        </w:tc>
      </w:tr>
      <w:tr w:rsidR="008B6859" w:rsidRPr="008F7C86" w14:paraId="7B8656C8" w14:textId="77777777" w:rsidTr="003B14AB">
        <w:trPr>
          <w:trHeight w:val="255"/>
          <w:jc w:val="center"/>
        </w:trPr>
        <w:tc>
          <w:tcPr>
            <w:tcW w:w="2502" w:type="pct"/>
            <w:vMerge/>
            <w:tcBorders>
              <w:left w:val="single" w:sz="4" w:space="0" w:color="auto"/>
              <w:bottom w:val="single" w:sz="4" w:space="0" w:color="auto"/>
              <w:right w:val="single" w:sz="4" w:space="0" w:color="auto"/>
            </w:tcBorders>
            <w:vAlign w:val="center"/>
          </w:tcPr>
          <w:p w14:paraId="2372472C" w14:textId="77777777" w:rsidR="008B6859" w:rsidRPr="008F7C86" w:rsidRDefault="008B6859" w:rsidP="003C6E60">
            <w:pPr>
              <w:rPr>
                <w:sz w:val="16"/>
                <w:szCs w:val="16"/>
              </w:rPr>
            </w:pPr>
          </w:p>
        </w:tc>
        <w:tc>
          <w:tcPr>
            <w:tcW w:w="1595" w:type="pct"/>
            <w:tcBorders>
              <w:top w:val="single" w:sz="4" w:space="0" w:color="auto"/>
              <w:left w:val="nil"/>
              <w:bottom w:val="single" w:sz="4" w:space="0" w:color="auto"/>
              <w:right w:val="single" w:sz="4" w:space="0" w:color="auto"/>
            </w:tcBorders>
            <w:vAlign w:val="center"/>
          </w:tcPr>
          <w:p w14:paraId="72213793" w14:textId="77777777" w:rsidR="008B6859" w:rsidRPr="008F7C86" w:rsidRDefault="008B6859" w:rsidP="003C6E60">
            <w:pPr>
              <w:jc w:val="both"/>
              <w:rPr>
                <w:sz w:val="16"/>
                <w:szCs w:val="16"/>
              </w:rPr>
            </w:pPr>
            <w:r w:rsidRPr="008F7C86">
              <w:rPr>
                <w:i/>
                <w:sz w:val="16"/>
                <w:szCs w:val="16"/>
              </w:rPr>
              <w:t>Качествен показател</w:t>
            </w:r>
            <w:r w:rsidRPr="008F7C86">
              <w:rPr>
                <w:sz w:val="16"/>
                <w:szCs w:val="16"/>
              </w:rPr>
              <w:t>: Осигуряване на актуална информация за управлението на средствата от ЕС сред всички звена от системата на национално ниво</w:t>
            </w:r>
          </w:p>
        </w:tc>
        <w:tc>
          <w:tcPr>
            <w:tcW w:w="449" w:type="pct"/>
            <w:tcBorders>
              <w:top w:val="nil"/>
              <w:left w:val="nil"/>
              <w:bottom w:val="single" w:sz="4" w:space="0" w:color="auto"/>
              <w:right w:val="single" w:sz="4" w:space="0" w:color="auto"/>
            </w:tcBorders>
            <w:vAlign w:val="center"/>
          </w:tcPr>
          <w:p w14:paraId="7F5E0560" w14:textId="77777777" w:rsidR="008B6859" w:rsidRPr="008F7C86" w:rsidRDefault="008B6859" w:rsidP="003C6E60">
            <w:pPr>
              <w:jc w:val="right"/>
              <w:rPr>
                <w:sz w:val="16"/>
                <w:szCs w:val="16"/>
              </w:rPr>
            </w:pPr>
            <w:proofErr w:type="spellStart"/>
            <w:r w:rsidRPr="008F7C86">
              <w:rPr>
                <w:color w:val="000000"/>
                <w:sz w:val="16"/>
                <w:szCs w:val="16"/>
              </w:rPr>
              <w:t>н.п</w:t>
            </w:r>
            <w:proofErr w:type="spellEnd"/>
            <w:r w:rsidRPr="008F7C86">
              <w:rPr>
                <w:color w:val="000000"/>
                <w:sz w:val="16"/>
                <w:szCs w:val="16"/>
              </w:rPr>
              <w:t>.</w:t>
            </w:r>
          </w:p>
        </w:tc>
        <w:tc>
          <w:tcPr>
            <w:tcW w:w="454" w:type="pct"/>
            <w:tcBorders>
              <w:top w:val="nil"/>
              <w:left w:val="nil"/>
              <w:bottom w:val="single" w:sz="4" w:space="0" w:color="auto"/>
              <w:right w:val="single" w:sz="4" w:space="0" w:color="auto"/>
            </w:tcBorders>
            <w:shd w:val="clear" w:color="auto" w:fill="FFFFFF" w:themeFill="background1"/>
            <w:vAlign w:val="center"/>
          </w:tcPr>
          <w:p w14:paraId="28D7D801" w14:textId="77777777" w:rsidR="008B6859" w:rsidRPr="008F7C86" w:rsidRDefault="008B6859" w:rsidP="00BF566F">
            <w:pPr>
              <w:jc w:val="right"/>
              <w:rPr>
                <w:sz w:val="16"/>
                <w:szCs w:val="16"/>
              </w:rPr>
            </w:pPr>
            <w:proofErr w:type="spellStart"/>
            <w:r w:rsidRPr="008F7C86">
              <w:rPr>
                <w:color w:val="000000"/>
                <w:sz w:val="16"/>
                <w:szCs w:val="16"/>
              </w:rPr>
              <w:t>н.п</w:t>
            </w:r>
            <w:proofErr w:type="spellEnd"/>
            <w:r w:rsidRPr="008F7C86">
              <w:rPr>
                <w:color w:val="000000"/>
                <w:sz w:val="16"/>
                <w:szCs w:val="16"/>
              </w:rPr>
              <w:t>.</w:t>
            </w:r>
          </w:p>
        </w:tc>
      </w:tr>
      <w:tr w:rsidR="008B6859" w:rsidRPr="008F7C86" w14:paraId="2C9546C4" w14:textId="77777777" w:rsidTr="003B14AB">
        <w:trPr>
          <w:trHeight w:val="255"/>
          <w:jc w:val="center"/>
        </w:trPr>
        <w:tc>
          <w:tcPr>
            <w:tcW w:w="2502" w:type="pct"/>
            <w:vMerge w:val="restart"/>
            <w:tcBorders>
              <w:top w:val="single" w:sz="4" w:space="0" w:color="auto"/>
              <w:left w:val="single" w:sz="4" w:space="0" w:color="auto"/>
              <w:right w:val="single" w:sz="4" w:space="0" w:color="auto"/>
            </w:tcBorders>
            <w:vAlign w:val="center"/>
          </w:tcPr>
          <w:p w14:paraId="6BBC2E3D" w14:textId="77777777" w:rsidR="008B6859" w:rsidRPr="008F7C86" w:rsidRDefault="008B6859" w:rsidP="003C6E60">
            <w:pPr>
              <w:rPr>
                <w:bCs/>
                <w:sz w:val="16"/>
                <w:szCs w:val="16"/>
              </w:rPr>
            </w:pPr>
            <w:r w:rsidRPr="008F7C86">
              <w:rPr>
                <w:sz w:val="16"/>
                <w:szCs w:val="16"/>
              </w:rPr>
              <w:t xml:space="preserve">Осигуряване дейността на мрежата за оценка и на постоянната междуведомствена РГ за оценка </w:t>
            </w:r>
          </w:p>
        </w:tc>
        <w:tc>
          <w:tcPr>
            <w:tcW w:w="1595" w:type="pct"/>
            <w:tcBorders>
              <w:top w:val="single" w:sz="4" w:space="0" w:color="auto"/>
              <w:left w:val="nil"/>
              <w:bottom w:val="single" w:sz="4" w:space="0" w:color="auto"/>
              <w:right w:val="single" w:sz="4" w:space="0" w:color="auto"/>
            </w:tcBorders>
            <w:vAlign w:val="center"/>
          </w:tcPr>
          <w:p w14:paraId="2D46D678" w14:textId="77777777" w:rsidR="008B6859" w:rsidRPr="008F7C86" w:rsidRDefault="008B6859" w:rsidP="003C6E60">
            <w:pPr>
              <w:jc w:val="both"/>
              <w:rPr>
                <w:sz w:val="16"/>
                <w:szCs w:val="16"/>
              </w:rPr>
            </w:pPr>
            <w:r w:rsidRPr="008F7C86">
              <w:rPr>
                <w:sz w:val="16"/>
                <w:szCs w:val="16"/>
              </w:rPr>
              <w:t xml:space="preserve">Брой проведени заседания </w:t>
            </w:r>
          </w:p>
        </w:tc>
        <w:tc>
          <w:tcPr>
            <w:tcW w:w="449" w:type="pct"/>
            <w:tcBorders>
              <w:top w:val="nil"/>
              <w:left w:val="nil"/>
              <w:bottom w:val="single" w:sz="4" w:space="0" w:color="auto"/>
              <w:right w:val="single" w:sz="4" w:space="0" w:color="auto"/>
            </w:tcBorders>
            <w:vAlign w:val="center"/>
          </w:tcPr>
          <w:p w14:paraId="119E7A43" w14:textId="77777777" w:rsidR="008B6859" w:rsidRPr="008F7C86" w:rsidRDefault="008B6859" w:rsidP="003C6E60">
            <w:pPr>
              <w:jc w:val="right"/>
              <w:rPr>
                <w:sz w:val="16"/>
                <w:szCs w:val="16"/>
              </w:rPr>
            </w:pPr>
            <w:r w:rsidRPr="008F7C86">
              <w:rPr>
                <w:color w:val="000000"/>
                <w:sz w:val="16"/>
                <w:szCs w:val="16"/>
              </w:rPr>
              <w:t>2</w:t>
            </w:r>
          </w:p>
        </w:tc>
        <w:tc>
          <w:tcPr>
            <w:tcW w:w="454" w:type="pct"/>
            <w:tcBorders>
              <w:top w:val="nil"/>
              <w:left w:val="nil"/>
              <w:bottom w:val="single" w:sz="4" w:space="0" w:color="auto"/>
              <w:right w:val="single" w:sz="4" w:space="0" w:color="auto"/>
            </w:tcBorders>
            <w:shd w:val="clear" w:color="auto" w:fill="FFFFFF" w:themeFill="background1"/>
          </w:tcPr>
          <w:p w14:paraId="07C50674" w14:textId="77777777" w:rsidR="008B6859" w:rsidRPr="008F7C86" w:rsidRDefault="008B6859" w:rsidP="003C6E60">
            <w:pPr>
              <w:jc w:val="right"/>
              <w:rPr>
                <w:iCs/>
                <w:sz w:val="16"/>
                <w:szCs w:val="16"/>
              </w:rPr>
            </w:pPr>
            <w:r w:rsidRPr="008F7C86">
              <w:rPr>
                <w:iCs/>
                <w:sz w:val="16"/>
                <w:szCs w:val="16"/>
              </w:rPr>
              <w:t>0</w:t>
            </w:r>
            <w:r w:rsidRPr="008F7C86">
              <w:rPr>
                <w:rStyle w:val="FootnoteReference"/>
                <w:iCs/>
                <w:sz w:val="16"/>
                <w:szCs w:val="16"/>
              </w:rPr>
              <w:footnoteReference w:id="26"/>
            </w:r>
          </w:p>
        </w:tc>
      </w:tr>
      <w:tr w:rsidR="008B6859" w:rsidRPr="008F7C86" w14:paraId="23A4FA64" w14:textId="77777777" w:rsidTr="003B14AB">
        <w:trPr>
          <w:trHeight w:val="255"/>
          <w:jc w:val="center"/>
        </w:trPr>
        <w:tc>
          <w:tcPr>
            <w:tcW w:w="2502" w:type="pct"/>
            <w:vMerge/>
            <w:tcBorders>
              <w:left w:val="single" w:sz="4" w:space="0" w:color="auto"/>
              <w:bottom w:val="single" w:sz="4" w:space="0" w:color="auto"/>
              <w:right w:val="single" w:sz="4" w:space="0" w:color="auto"/>
            </w:tcBorders>
            <w:vAlign w:val="center"/>
          </w:tcPr>
          <w:p w14:paraId="75C890A3" w14:textId="77777777" w:rsidR="008B6859" w:rsidRPr="008F7C86" w:rsidRDefault="008B6859" w:rsidP="003C6E60">
            <w:pPr>
              <w:rPr>
                <w:bCs/>
                <w:sz w:val="16"/>
                <w:szCs w:val="16"/>
              </w:rPr>
            </w:pPr>
          </w:p>
        </w:tc>
        <w:tc>
          <w:tcPr>
            <w:tcW w:w="1595" w:type="pct"/>
            <w:tcBorders>
              <w:top w:val="single" w:sz="4" w:space="0" w:color="auto"/>
              <w:left w:val="nil"/>
              <w:bottom w:val="single" w:sz="4" w:space="0" w:color="auto"/>
              <w:right w:val="single" w:sz="4" w:space="0" w:color="auto"/>
            </w:tcBorders>
            <w:vAlign w:val="center"/>
          </w:tcPr>
          <w:p w14:paraId="2A61A957" w14:textId="77777777" w:rsidR="008B6859" w:rsidRPr="008F7C86" w:rsidRDefault="008B6859" w:rsidP="003C6E60">
            <w:pPr>
              <w:jc w:val="both"/>
              <w:rPr>
                <w:sz w:val="16"/>
                <w:szCs w:val="16"/>
              </w:rPr>
            </w:pPr>
            <w:r w:rsidRPr="008F7C86">
              <w:rPr>
                <w:sz w:val="16"/>
                <w:szCs w:val="16"/>
              </w:rPr>
              <w:t>Участие в заседания на Мрежата за оценка към ГД „Регионална и селищна политика“ на ЕК</w:t>
            </w:r>
          </w:p>
        </w:tc>
        <w:tc>
          <w:tcPr>
            <w:tcW w:w="449" w:type="pct"/>
            <w:tcBorders>
              <w:top w:val="nil"/>
              <w:left w:val="nil"/>
              <w:bottom w:val="single" w:sz="4" w:space="0" w:color="auto"/>
              <w:right w:val="single" w:sz="4" w:space="0" w:color="auto"/>
            </w:tcBorders>
            <w:vAlign w:val="center"/>
          </w:tcPr>
          <w:p w14:paraId="7FAA2646" w14:textId="77777777" w:rsidR="008B6859" w:rsidRPr="008F7C86" w:rsidRDefault="008B6859" w:rsidP="003C6E60">
            <w:pPr>
              <w:jc w:val="right"/>
              <w:rPr>
                <w:sz w:val="16"/>
                <w:szCs w:val="16"/>
              </w:rPr>
            </w:pPr>
            <w:r w:rsidRPr="008F7C86">
              <w:rPr>
                <w:color w:val="000000"/>
                <w:sz w:val="16"/>
                <w:szCs w:val="16"/>
              </w:rPr>
              <w:t>2</w:t>
            </w:r>
          </w:p>
        </w:tc>
        <w:tc>
          <w:tcPr>
            <w:tcW w:w="454" w:type="pct"/>
            <w:tcBorders>
              <w:top w:val="nil"/>
              <w:left w:val="nil"/>
              <w:bottom w:val="single" w:sz="4" w:space="0" w:color="auto"/>
              <w:right w:val="single" w:sz="4" w:space="0" w:color="auto"/>
            </w:tcBorders>
            <w:shd w:val="clear" w:color="auto" w:fill="FFFFFF" w:themeFill="background1"/>
            <w:vAlign w:val="center"/>
          </w:tcPr>
          <w:p w14:paraId="3D8B4A0F" w14:textId="77777777" w:rsidR="008B6859" w:rsidRPr="008F7C86" w:rsidRDefault="008B6859" w:rsidP="003C6E60">
            <w:pPr>
              <w:jc w:val="right"/>
              <w:rPr>
                <w:iCs/>
                <w:sz w:val="16"/>
                <w:szCs w:val="16"/>
              </w:rPr>
            </w:pPr>
            <w:r w:rsidRPr="008F7C86">
              <w:rPr>
                <w:iCs/>
                <w:sz w:val="16"/>
                <w:szCs w:val="16"/>
              </w:rPr>
              <w:t>1</w:t>
            </w:r>
          </w:p>
        </w:tc>
      </w:tr>
      <w:tr w:rsidR="008B6859" w:rsidRPr="008F7C86" w14:paraId="3723CDA3"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vAlign w:val="center"/>
          </w:tcPr>
          <w:p w14:paraId="0B26991C" w14:textId="77777777" w:rsidR="008B6859" w:rsidRPr="008F7C86" w:rsidRDefault="008B6859" w:rsidP="003C6E60">
            <w:pPr>
              <w:rPr>
                <w:bCs/>
                <w:sz w:val="16"/>
                <w:szCs w:val="16"/>
              </w:rPr>
            </w:pPr>
            <w:r w:rsidRPr="008F7C86">
              <w:rPr>
                <w:sz w:val="16"/>
                <w:szCs w:val="16"/>
              </w:rPr>
              <w:t>Проведени годишни срещи за преглед на напредъка по програмите, съфинансирани от ЕФСУ</w:t>
            </w:r>
            <w:r w:rsidRPr="008F7C86">
              <w:rPr>
                <w:sz w:val="16"/>
                <w:szCs w:val="16"/>
                <w:vertAlign w:val="superscript"/>
              </w:rPr>
              <w:footnoteReference w:id="27"/>
            </w:r>
          </w:p>
        </w:tc>
        <w:tc>
          <w:tcPr>
            <w:tcW w:w="1595" w:type="pct"/>
            <w:tcBorders>
              <w:top w:val="single" w:sz="4" w:space="0" w:color="auto"/>
              <w:left w:val="nil"/>
              <w:bottom w:val="single" w:sz="4" w:space="0" w:color="auto"/>
              <w:right w:val="single" w:sz="4" w:space="0" w:color="auto"/>
            </w:tcBorders>
            <w:vAlign w:val="center"/>
          </w:tcPr>
          <w:p w14:paraId="62CC8549" w14:textId="77777777" w:rsidR="008B6859" w:rsidRPr="008F7C86" w:rsidRDefault="008B6859" w:rsidP="003C6E60">
            <w:pPr>
              <w:jc w:val="both"/>
              <w:rPr>
                <w:sz w:val="16"/>
                <w:szCs w:val="16"/>
              </w:rPr>
            </w:pPr>
            <w:r w:rsidRPr="008F7C86">
              <w:rPr>
                <w:sz w:val="16"/>
                <w:szCs w:val="16"/>
              </w:rPr>
              <w:t>Брой</w:t>
            </w:r>
          </w:p>
        </w:tc>
        <w:tc>
          <w:tcPr>
            <w:tcW w:w="449" w:type="pct"/>
            <w:tcBorders>
              <w:top w:val="nil"/>
              <w:left w:val="nil"/>
              <w:bottom w:val="single" w:sz="4" w:space="0" w:color="auto"/>
              <w:right w:val="single" w:sz="4" w:space="0" w:color="auto"/>
            </w:tcBorders>
            <w:vAlign w:val="center"/>
          </w:tcPr>
          <w:p w14:paraId="5B22319C" w14:textId="77777777" w:rsidR="008B6859" w:rsidRPr="008F7C86" w:rsidRDefault="008B6859" w:rsidP="003C6E60">
            <w:pPr>
              <w:jc w:val="right"/>
              <w:rPr>
                <w:sz w:val="16"/>
                <w:szCs w:val="16"/>
              </w:rPr>
            </w:pPr>
            <w:r w:rsidRPr="008F7C86">
              <w:rPr>
                <w:color w:val="000000"/>
                <w:sz w:val="16"/>
                <w:szCs w:val="16"/>
              </w:rPr>
              <w:t>3</w:t>
            </w:r>
          </w:p>
        </w:tc>
        <w:tc>
          <w:tcPr>
            <w:tcW w:w="454" w:type="pct"/>
            <w:tcBorders>
              <w:top w:val="nil"/>
              <w:left w:val="nil"/>
              <w:bottom w:val="single" w:sz="4" w:space="0" w:color="auto"/>
              <w:right w:val="single" w:sz="4" w:space="0" w:color="auto"/>
            </w:tcBorders>
            <w:shd w:val="clear" w:color="auto" w:fill="FFFFFF" w:themeFill="background1"/>
            <w:vAlign w:val="center"/>
          </w:tcPr>
          <w:p w14:paraId="49D623AF" w14:textId="77777777" w:rsidR="008B6859" w:rsidRPr="008F7C86" w:rsidRDefault="008B6859" w:rsidP="003C6E60">
            <w:pPr>
              <w:jc w:val="right"/>
              <w:rPr>
                <w:iCs/>
                <w:sz w:val="16"/>
                <w:szCs w:val="16"/>
              </w:rPr>
            </w:pPr>
            <w:r w:rsidRPr="008F7C86">
              <w:rPr>
                <w:iCs/>
                <w:sz w:val="16"/>
                <w:szCs w:val="16"/>
              </w:rPr>
              <w:t>1</w:t>
            </w:r>
            <w:r w:rsidRPr="008F7C86">
              <w:rPr>
                <w:rStyle w:val="FootnoteReference"/>
                <w:iCs/>
                <w:sz w:val="16"/>
                <w:szCs w:val="16"/>
              </w:rPr>
              <w:footnoteReference w:id="28"/>
            </w:r>
          </w:p>
        </w:tc>
      </w:tr>
      <w:tr w:rsidR="008B6859" w:rsidRPr="008F7C86" w14:paraId="595D6E1D"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vAlign w:val="center"/>
          </w:tcPr>
          <w:p w14:paraId="7394B09E" w14:textId="77777777" w:rsidR="008B6859" w:rsidRPr="008F7C86" w:rsidRDefault="008B6859" w:rsidP="003C6E60">
            <w:pPr>
              <w:rPr>
                <w:bCs/>
                <w:sz w:val="16"/>
                <w:szCs w:val="16"/>
              </w:rPr>
            </w:pPr>
            <w:r w:rsidRPr="008F7C86">
              <w:rPr>
                <w:sz w:val="16"/>
                <w:szCs w:val="16"/>
              </w:rPr>
              <w:t>Участие в проведени заседания на КН</w:t>
            </w:r>
          </w:p>
        </w:tc>
        <w:tc>
          <w:tcPr>
            <w:tcW w:w="1595" w:type="pct"/>
            <w:tcBorders>
              <w:top w:val="single" w:sz="4" w:space="0" w:color="auto"/>
              <w:left w:val="nil"/>
              <w:bottom w:val="single" w:sz="4" w:space="0" w:color="auto"/>
              <w:right w:val="single" w:sz="4" w:space="0" w:color="auto"/>
            </w:tcBorders>
            <w:vAlign w:val="center"/>
          </w:tcPr>
          <w:p w14:paraId="2A488567" w14:textId="77777777" w:rsidR="008B6859" w:rsidRPr="008F7C86" w:rsidRDefault="008B6859" w:rsidP="003C6E60">
            <w:pPr>
              <w:jc w:val="both"/>
              <w:rPr>
                <w:sz w:val="16"/>
                <w:szCs w:val="16"/>
              </w:rPr>
            </w:pPr>
            <w:r w:rsidRPr="008F7C86">
              <w:rPr>
                <w:sz w:val="16"/>
                <w:szCs w:val="16"/>
              </w:rPr>
              <w:t>Брой</w:t>
            </w:r>
          </w:p>
        </w:tc>
        <w:tc>
          <w:tcPr>
            <w:tcW w:w="449" w:type="pct"/>
            <w:tcBorders>
              <w:top w:val="nil"/>
              <w:left w:val="nil"/>
              <w:bottom w:val="single" w:sz="4" w:space="0" w:color="auto"/>
              <w:right w:val="single" w:sz="4" w:space="0" w:color="auto"/>
            </w:tcBorders>
            <w:vAlign w:val="center"/>
          </w:tcPr>
          <w:p w14:paraId="3B327864" w14:textId="77777777" w:rsidR="008B6859" w:rsidRPr="008F7C86" w:rsidRDefault="008B6859" w:rsidP="003C6E60">
            <w:pPr>
              <w:jc w:val="right"/>
              <w:rPr>
                <w:sz w:val="16"/>
                <w:szCs w:val="16"/>
              </w:rPr>
            </w:pPr>
            <w:r w:rsidRPr="008F7C86">
              <w:rPr>
                <w:color w:val="000000"/>
                <w:sz w:val="16"/>
                <w:szCs w:val="16"/>
              </w:rPr>
              <w:t>23</w:t>
            </w:r>
          </w:p>
        </w:tc>
        <w:tc>
          <w:tcPr>
            <w:tcW w:w="454" w:type="pct"/>
            <w:tcBorders>
              <w:top w:val="nil"/>
              <w:left w:val="nil"/>
              <w:bottom w:val="single" w:sz="4" w:space="0" w:color="auto"/>
              <w:right w:val="single" w:sz="4" w:space="0" w:color="auto"/>
            </w:tcBorders>
            <w:shd w:val="clear" w:color="auto" w:fill="FFFFFF" w:themeFill="background1"/>
            <w:vAlign w:val="center"/>
          </w:tcPr>
          <w:p w14:paraId="1A41621B" w14:textId="77777777" w:rsidR="008B6859" w:rsidRPr="008F7C86" w:rsidRDefault="008B6859" w:rsidP="003C6E60">
            <w:pPr>
              <w:jc w:val="right"/>
              <w:rPr>
                <w:iCs/>
                <w:sz w:val="16"/>
                <w:szCs w:val="16"/>
              </w:rPr>
            </w:pPr>
            <w:r w:rsidRPr="008F7C86">
              <w:rPr>
                <w:iCs/>
                <w:sz w:val="16"/>
                <w:szCs w:val="16"/>
              </w:rPr>
              <w:t>20</w:t>
            </w:r>
            <w:r w:rsidRPr="008F7C86">
              <w:rPr>
                <w:rStyle w:val="FootnoteReference"/>
                <w:iCs/>
                <w:sz w:val="16"/>
                <w:szCs w:val="16"/>
              </w:rPr>
              <w:footnoteReference w:id="29"/>
            </w:r>
          </w:p>
        </w:tc>
      </w:tr>
      <w:tr w:rsidR="008B6859" w:rsidRPr="008F7C86" w14:paraId="6C4A4B77"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vAlign w:val="center"/>
          </w:tcPr>
          <w:p w14:paraId="7056333C" w14:textId="77777777" w:rsidR="008B6859" w:rsidRPr="008F7C86" w:rsidRDefault="008B6859" w:rsidP="003C6E60">
            <w:pPr>
              <w:rPr>
                <w:bCs/>
                <w:sz w:val="16"/>
                <w:szCs w:val="16"/>
              </w:rPr>
            </w:pPr>
            <w:r w:rsidRPr="008F7C86">
              <w:rPr>
                <w:sz w:val="16"/>
                <w:szCs w:val="16"/>
              </w:rPr>
              <w:t>Изготвени Годишни доклади  за изпълнението на ШБПС</w:t>
            </w:r>
          </w:p>
        </w:tc>
        <w:tc>
          <w:tcPr>
            <w:tcW w:w="1595" w:type="pct"/>
            <w:tcBorders>
              <w:top w:val="single" w:sz="4" w:space="0" w:color="auto"/>
              <w:left w:val="nil"/>
              <w:bottom w:val="single" w:sz="4" w:space="0" w:color="auto"/>
              <w:right w:val="single" w:sz="4" w:space="0" w:color="auto"/>
            </w:tcBorders>
            <w:vAlign w:val="center"/>
          </w:tcPr>
          <w:p w14:paraId="35F889CC" w14:textId="77777777" w:rsidR="008B6859" w:rsidRPr="008F7C86" w:rsidRDefault="008B6859" w:rsidP="003C6E60">
            <w:pPr>
              <w:jc w:val="both"/>
              <w:rPr>
                <w:sz w:val="16"/>
                <w:szCs w:val="16"/>
              </w:rPr>
            </w:pPr>
            <w:r w:rsidRPr="008F7C86">
              <w:rPr>
                <w:sz w:val="16"/>
                <w:szCs w:val="16"/>
              </w:rPr>
              <w:t>Брой</w:t>
            </w:r>
          </w:p>
        </w:tc>
        <w:tc>
          <w:tcPr>
            <w:tcW w:w="449" w:type="pct"/>
            <w:tcBorders>
              <w:top w:val="nil"/>
              <w:left w:val="nil"/>
              <w:bottom w:val="single" w:sz="4" w:space="0" w:color="auto"/>
              <w:right w:val="single" w:sz="4" w:space="0" w:color="auto"/>
            </w:tcBorders>
            <w:vAlign w:val="center"/>
          </w:tcPr>
          <w:p w14:paraId="1ACB1A79" w14:textId="77777777" w:rsidR="008B6859" w:rsidRPr="008F7C86" w:rsidRDefault="008B6859" w:rsidP="003C6E60">
            <w:pPr>
              <w:jc w:val="right"/>
              <w:rPr>
                <w:sz w:val="16"/>
                <w:szCs w:val="16"/>
              </w:rPr>
            </w:pPr>
            <w:r w:rsidRPr="008F7C86">
              <w:rPr>
                <w:color w:val="000000"/>
                <w:sz w:val="16"/>
                <w:szCs w:val="16"/>
              </w:rPr>
              <w:t>1</w:t>
            </w:r>
          </w:p>
        </w:tc>
        <w:tc>
          <w:tcPr>
            <w:tcW w:w="454" w:type="pct"/>
            <w:tcBorders>
              <w:top w:val="nil"/>
              <w:left w:val="nil"/>
              <w:bottom w:val="single" w:sz="4" w:space="0" w:color="auto"/>
              <w:right w:val="single" w:sz="4" w:space="0" w:color="auto"/>
            </w:tcBorders>
            <w:shd w:val="clear" w:color="auto" w:fill="FFFFFF" w:themeFill="background1"/>
            <w:vAlign w:val="center"/>
          </w:tcPr>
          <w:p w14:paraId="7CC352BE" w14:textId="77777777" w:rsidR="008B6859" w:rsidRPr="008F7C86" w:rsidRDefault="008B6859" w:rsidP="003C6E60">
            <w:pPr>
              <w:jc w:val="right"/>
              <w:rPr>
                <w:iCs/>
                <w:sz w:val="16"/>
                <w:szCs w:val="16"/>
              </w:rPr>
            </w:pPr>
            <w:r w:rsidRPr="008F7C86">
              <w:rPr>
                <w:iCs/>
                <w:sz w:val="16"/>
                <w:szCs w:val="16"/>
              </w:rPr>
              <w:t>1</w:t>
            </w:r>
          </w:p>
        </w:tc>
      </w:tr>
      <w:tr w:rsidR="008B6859" w:rsidRPr="008F7C86" w14:paraId="270B1ADF"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vAlign w:val="center"/>
          </w:tcPr>
          <w:p w14:paraId="793E0B97" w14:textId="77777777" w:rsidR="008B6859" w:rsidRPr="008F7C86" w:rsidRDefault="008B6859" w:rsidP="003C6E60">
            <w:pPr>
              <w:rPr>
                <w:bCs/>
                <w:sz w:val="16"/>
                <w:szCs w:val="16"/>
              </w:rPr>
            </w:pPr>
            <w:r w:rsidRPr="008F7C86">
              <w:rPr>
                <w:sz w:val="16"/>
                <w:szCs w:val="16"/>
              </w:rPr>
              <w:t>Проведени Годишни  срещи за наблюдение  на изпълнението на ШБПС</w:t>
            </w:r>
          </w:p>
        </w:tc>
        <w:tc>
          <w:tcPr>
            <w:tcW w:w="1595" w:type="pct"/>
            <w:tcBorders>
              <w:top w:val="single" w:sz="4" w:space="0" w:color="auto"/>
              <w:left w:val="nil"/>
              <w:bottom w:val="single" w:sz="4" w:space="0" w:color="auto"/>
              <w:right w:val="single" w:sz="4" w:space="0" w:color="auto"/>
            </w:tcBorders>
            <w:vAlign w:val="center"/>
          </w:tcPr>
          <w:p w14:paraId="5C4F8754" w14:textId="77777777" w:rsidR="008B6859" w:rsidRPr="008F7C86" w:rsidRDefault="008B6859" w:rsidP="003C6E60">
            <w:pPr>
              <w:jc w:val="both"/>
              <w:rPr>
                <w:sz w:val="16"/>
                <w:szCs w:val="16"/>
              </w:rPr>
            </w:pPr>
            <w:r w:rsidRPr="008F7C86">
              <w:rPr>
                <w:sz w:val="16"/>
                <w:szCs w:val="16"/>
              </w:rPr>
              <w:t>Брой</w:t>
            </w:r>
          </w:p>
        </w:tc>
        <w:tc>
          <w:tcPr>
            <w:tcW w:w="449" w:type="pct"/>
            <w:tcBorders>
              <w:top w:val="nil"/>
              <w:left w:val="nil"/>
              <w:bottom w:val="single" w:sz="4" w:space="0" w:color="auto"/>
              <w:right w:val="single" w:sz="4" w:space="0" w:color="auto"/>
            </w:tcBorders>
            <w:vAlign w:val="center"/>
          </w:tcPr>
          <w:p w14:paraId="72079BDF" w14:textId="77777777" w:rsidR="008B6859" w:rsidRPr="008F7C86" w:rsidRDefault="008B6859" w:rsidP="003C6E60">
            <w:pPr>
              <w:jc w:val="right"/>
              <w:rPr>
                <w:sz w:val="16"/>
                <w:szCs w:val="16"/>
              </w:rPr>
            </w:pPr>
            <w:r w:rsidRPr="008F7C86">
              <w:rPr>
                <w:color w:val="000000"/>
                <w:sz w:val="16"/>
                <w:szCs w:val="16"/>
              </w:rPr>
              <w:t>1</w:t>
            </w:r>
          </w:p>
        </w:tc>
        <w:tc>
          <w:tcPr>
            <w:tcW w:w="454" w:type="pct"/>
            <w:tcBorders>
              <w:top w:val="nil"/>
              <w:left w:val="nil"/>
              <w:bottom w:val="single" w:sz="4" w:space="0" w:color="auto"/>
              <w:right w:val="single" w:sz="4" w:space="0" w:color="auto"/>
            </w:tcBorders>
            <w:shd w:val="clear" w:color="auto" w:fill="FFFFFF" w:themeFill="background1"/>
            <w:vAlign w:val="center"/>
          </w:tcPr>
          <w:p w14:paraId="28F3AB9B" w14:textId="77777777" w:rsidR="008B6859" w:rsidRPr="008F7C86" w:rsidRDefault="008B6859" w:rsidP="003C6E60">
            <w:pPr>
              <w:jc w:val="right"/>
              <w:rPr>
                <w:iCs/>
                <w:sz w:val="16"/>
                <w:szCs w:val="16"/>
              </w:rPr>
            </w:pPr>
            <w:r w:rsidRPr="008F7C86">
              <w:rPr>
                <w:iCs/>
                <w:sz w:val="16"/>
                <w:szCs w:val="16"/>
              </w:rPr>
              <w:t>1</w:t>
            </w:r>
            <w:r w:rsidRPr="008F7C86">
              <w:rPr>
                <w:rStyle w:val="FootnoteReference"/>
                <w:iCs/>
                <w:sz w:val="16"/>
                <w:szCs w:val="16"/>
              </w:rPr>
              <w:footnoteReference w:id="30"/>
            </w:r>
          </w:p>
        </w:tc>
      </w:tr>
      <w:tr w:rsidR="008B6859" w:rsidRPr="008F7C86" w14:paraId="72F7F363"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vAlign w:val="center"/>
          </w:tcPr>
          <w:p w14:paraId="7012B460" w14:textId="77777777" w:rsidR="008B6859" w:rsidRPr="008F7C86" w:rsidRDefault="008B6859" w:rsidP="003C6E60">
            <w:pPr>
              <w:rPr>
                <w:bCs/>
                <w:sz w:val="16"/>
                <w:szCs w:val="16"/>
              </w:rPr>
            </w:pPr>
            <w:r w:rsidRPr="008F7C86">
              <w:rPr>
                <w:bCs/>
                <w:sz w:val="16"/>
                <w:szCs w:val="16"/>
              </w:rPr>
              <w:t>Оперативна координация по изпълнението на ШБПС</w:t>
            </w:r>
          </w:p>
        </w:tc>
        <w:tc>
          <w:tcPr>
            <w:tcW w:w="1595" w:type="pct"/>
            <w:tcBorders>
              <w:top w:val="single" w:sz="4" w:space="0" w:color="auto"/>
              <w:left w:val="nil"/>
              <w:bottom w:val="single" w:sz="4" w:space="0" w:color="auto"/>
              <w:right w:val="single" w:sz="4" w:space="0" w:color="auto"/>
            </w:tcBorders>
            <w:vAlign w:val="center"/>
          </w:tcPr>
          <w:p w14:paraId="189EBF23" w14:textId="77777777" w:rsidR="008B6859" w:rsidRPr="008F7C86" w:rsidRDefault="008B6859" w:rsidP="003C6E60">
            <w:pPr>
              <w:jc w:val="both"/>
              <w:rPr>
                <w:sz w:val="16"/>
                <w:szCs w:val="16"/>
              </w:rPr>
            </w:pPr>
            <w:r w:rsidRPr="008F7C86">
              <w:rPr>
                <w:i/>
                <w:sz w:val="16"/>
                <w:szCs w:val="16"/>
              </w:rPr>
              <w:t>Качествен показател</w:t>
            </w:r>
          </w:p>
        </w:tc>
        <w:tc>
          <w:tcPr>
            <w:tcW w:w="449" w:type="pct"/>
            <w:tcBorders>
              <w:top w:val="nil"/>
              <w:left w:val="nil"/>
              <w:bottom w:val="single" w:sz="4" w:space="0" w:color="auto"/>
              <w:right w:val="single" w:sz="4" w:space="0" w:color="auto"/>
            </w:tcBorders>
            <w:vAlign w:val="center"/>
          </w:tcPr>
          <w:p w14:paraId="1D1769B9" w14:textId="77777777" w:rsidR="008B6859" w:rsidRPr="008F7C86" w:rsidRDefault="008B6859" w:rsidP="003C6E60">
            <w:pPr>
              <w:jc w:val="right"/>
              <w:rPr>
                <w:sz w:val="16"/>
                <w:szCs w:val="16"/>
              </w:rPr>
            </w:pPr>
            <w:proofErr w:type="spellStart"/>
            <w:r w:rsidRPr="008F7C86">
              <w:rPr>
                <w:sz w:val="16"/>
                <w:szCs w:val="16"/>
              </w:rPr>
              <w:t>н.п</w:t>
            </w:r>
            <w:proofErr w:type="spellEnd"/>
            <w:r w:rsidRPr="008F7C86">
              <w:rPr>
                <w:sz w:val="16"/>
                <w:szCs w:val="16"/>
              </w:rPr>
              <w:t>.</w:t>
            </w:r>
          </w:p>
        </w:tc>
        <w:tc>
          <w:tcPr>
            <w:tcW w:w="454" w:type="pct"/>
            <w:tcBorders>
              <w:top w:val="nil"/>
              <w:left w:val="nil"/>
              <w:bottom w:val="single" w:sz="4" w:space="0" w:color="auto"/>
              <w:right w:val="single" w:sz="4" w:space="0" w:color="auto"/>
            </w:tcBorders>
            <w:shd w:val="clear" w:color="auto" w:fill="FFFFFF" w:themeFill="background1"/>
            <w:vAlign w:val="center"/>
          </w:tcPr>
          <w:p w14:paraId="263FA70A" w14:textId="77777777" w:rsidR="008B6859" w:rsidRPr="008F7C86" w:rsidRDefault="008B6859" w:rsidP="003C6E60">
            <w:pPr>
              <w:jc w:val="right"/>
              <w:rPr>
                <w:iCs/>
                <w:sz w:val="16"/>
                <w:szCs w:val="16"/>
              </w:rPr>
            </w:pPr>
            <w:proofErr w:type="spellStart"/>
            <w:r w:rsidRPr="008F7C86">
              <w:rPr>
                <w:iCs/>
                <w:sz w:val="16"/>
                <w:szCs w:val="16"/>
              </w:rPr>
              <w:t>н.п</w:t>
            </w:r>
            <w:proofErr w:type="spellEnd"/>
            <w:r w:rsidRPr="008F7C86">
              <w:rPr>
                <w:iCs/>
                <w:sz w:val="16"/>
                <w:szCs w:val="16"/>
              </w:rPr>
              <w:t>.</w:t>
            </w:r>
          </w:p>
        </w:tc>
      </w:tr>
      <w:tr w:rsidR="008B6859" w:rsidRPr="008F7C86" w14:paraId="3F03FEC3"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vAlign w:val="center"/>
          </w:tcPr>
          <w:p w14:paraId="2D41051E" w14:textId="01108735" w:rsidR="008B6859" w:rsidRPr="008F7C86" w:rsidRDefault="008B6859" w:rsidP="003C6E60">
            <w:pPr>
              <w:rPr>
                <w:bCs/>
                <w:sz w:val="16"/>
                <w:szCs w:val="16"/>
              </w:rPr>
            </w:pPr>
            <w:r w:rsidRPr="008F7C86">
              <w:rPr>
                <w:sz w:val="16"/>
                <w:szCs w:val="16"/>
              </w:rPr>
              <w:t>Изготвени стратегически доклади  за изпълнението на ФМ на ЕИП и НФМ по ФМ на ЕИП и НФМ 2014</w:t>
            </w:r>
            <w:r w:rsidR="001A072B">
              <w:rPr>
                <w:sz w:val="16"/>
                <w:szCs w:val="16"/>
              </w:rPr>
              <w:t xml:space="preserve"> – </w:t>
            </w:r>
            <w:r w:rsidRPr="008F7C86">
              <w:rPr>
                <w:sz w:val="16"/>
                <w:szCs w:val="16"/>
              </w:rPr>
              <w:t xml:space="preserve">2021 г. </w:t>
            </w:r>
          </w:p>
        </w:tc>
        <w:tc>
          <w:tcPr>
            <w:tcW w:w="1595" w:type="pct"/>
            <w:tcBorders>
              <w:top w:val="single" w:sz="4" w:space="0" w:color="auto"/>
              <w:left w:val="nil"/>
              <w:bottom w:val="single" w:sz="4" w:space="0" w:color="auto"/>
              <w:right w:val="single" w:sz="4" w:space="0" w:color="auto"/>
            </w:tcBorders>
            <w:vAlign w:val="center"/>
          </w:tcPr>
          <w:p w14:paraId="326E15F5" w14:textId="77777777" w:rsidR="008B6859" w:rsidRPr="008F7C86" w:rsidRDefault="008B6859" w:rsidP="003C6E60">
            <w:pPr>
              <w:jc w:val="both"/>
              <w:rPr>
                <w:sz w:val="16"/>
                <w:szCs w:val="16"/>
              </w:rPr>
            </w:pPr>
            <w:r w:rsidRPr="008F7C86">
              <w:rPr>
                <w:sz w:val="16"/>
                <w:szCs w:val="16"/>
              </w:rPr>
              <w:t xml:space="preserve">Брой </w:t>
            </w:r>
          </w:p>
        </w:tc>
        <w:tc>
          <w:tcPr>
            <w:tcW w:w="449" w:type="pct"/>
            <w:tcBorders>
              <w:top w:val="nil"/>
              <w:left w:val="nil"/>
              <w:bottom w:val="single" w:sz="4" w:space="0" w:color="auto"/>
              <w:right w:val="single" w:sz="4" w:space="0" w:color="auto"/>
            </w:tcBorders>
            <w:vAlign w:val="center"/>
          </w:tcPr>
          <w:p w14:paraId="444D2B79" w14:textId="77777777" w:rsidR="008B6859" w:rsidRPr="008F7C86" w:rsidRDefault="008B6859" w:rsidP="003C6E60">
            <w:pPr>
              <w:jc w:val="right"/>
              <w:rPr>
                <w:sz w:val="16"/>
                <w:szCs w:val="16"/>
              </w:rPr>
            </w:pPr>
            <w:r w:rsidRPr="008F7C86">
              <w:rPr>
                <w:sz w:val="16"/>
                <w:szCs w:val="16"/>
              </w:rPr>
              <w:t>1</w:t>
            </w:r>
          </w:p>
        </w:tc>
        <w:tc>
          <w:tcPr>
            <w:tcW w:w="454" w:type="pct"/>
            <w:tcBorders>
              <w:top w:val="nil"/>
              <w:left w:val="nil"/>
              <w:bottom w:val="single" w:sz="4" w:space="0" w:color="auto"/>
              <w:right w:val="single" w:sz="4" w:space="0" w:color="auto"/>
            </w:tcBorders>
            <w:shd w:val="clear" w:color="auto" w:fill="FFFFFF" w:themeFill="background1"/>
            <w:vAlign w:val="center"/>
          </w:tcPr>
          <w:p w14:paraId="5F89A822" w14:textId="77777777" w:rsidR="008B6859" w:rsidRPr="008F7C86" w:rsidRDefault="008B6859" w:rsidP="003C6E60">
            <w:pPr>
              <w:jc w:val="right"/>
              <w:rPr>
                <w:iCs/>
                <w:sz w:val="16"/>
                <w:szCs w:val="16"/>
              </w:rPr>
            </w:pPr>
            <w:r w:rsidRPr="008F7C86">
              <w:rPr>
                <w:iCs/>
                <w:sz w:val="16"/>
                <w:szCs w:val="16"/>
              </w:rPr>
              <w:t>0</w:t>
            </w:r>
            <w:r w:rsidRPr="008F7C86">
              <w:rPr>
                <w:rStyle w:val="FootnoteReference"/>
                <w:iCs/>
                <w:sz w:val="16"/>
                <w:szCs w:val="16"/>
              </w:rPr>
              <w:footnoteReference w:id="31"/>
            </w:r>
          </w:p>
        </w:tc>
      </w:tr>
      <w:tr w:rsidR="008B6859" w:rsidRPr="008F7C86" w14:paraId="5E7281A9"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vAlign w:val="center"/>
          </w:tcPr>
          <w:p w14:paraId="17515396" w14:textId="77777777" w:rsidR="008B6859" w:rsidRPr="008F7C86" w:rsidRDefault="008B6859" w:rsidP="003C6E60">
            <w:pPr>
              <w:rPr>
                <w:bCs/>
                <w:sz w:val="16"/>
                <w:szCs w:val="16"/>
              </w:rPr>
            </w:pPr>
            <w:r w:rsidRPr="008F7C86">
              <w:rPr>
                <w:sz w:val="16"/>
                <w:szCs w:val="16"/>
              </w:rPr>
              <w:t xml:space="preserve">Проведени годишни срещи за преглед на напредъка в изпълнението на програмите по ФМ на ЕИП и НФМ </w:t>
            </w:r>
          </w:p>
        </w:tc>
        <w:tc>
          <w:tcPr>
            <w:tcW w:w="1595" w:type="pct"/>
            <w:tcBorders>
              <w:top w:val="single" w:sz="4" w:space="0" w:color="auto"/>
              <w:left w:val="nil"/>
              <w:bottom w:val="single" w:sz="4" w:space="0" w:color="auto"/>
              <w:right w:val="single" w:sz="4" w:space="0" w:color="auto"/>
            </w:tcBorders>
            <w:vAlign w:val="center"/>
          </w:tcPr>
          <w:p w14:paraId="260065AE" w14:textId="77777777" w:rsidR="008B6859" w:rsidRPr="008F7C86" w:rsidRDefault="008B6859" w:rsidP="003C6E60">
            <w:pPr>
              <w:jc w:val="both"/>
              <w:rPr>
                <w:sz w:val="16"/>
                <w:szCs w:val="16"/>
              </w:rPr>
            </w:pPr>
            <w:r w:rsidRPr="008F7C86">
              <w:rPr>
                <w:sz w:val="16"/>
                <w:szCs w:val="16"/>
              </w:rPr>
              <w:t xml:space="preserve">Брой </w:t>
            </w:r>
          </w:p>
        </w:tc>
        <w:tc>
          <w:tcPr>
            <w:tcW w:w="449" w:type="pct"/>
            <w:tcBorders>
              <w:top w:val="nil"/>
              <w:left w:val="nil"/>
              <w:bottom w:val="single" w:sz="4" w:space="0" w:color="auto"/>
              <w:right w:val="single" w:sz="4" w:space="0" w:color="auto"/>
            </w:tcBorders>
            <w:vAlign w:val="center"/>
          </w:tcPr>
          <w:p w14:paraId="784982EC" w14:textId="77777777" w:rsidR="008B6859" w:rsidRPr="008F7C86" w:rsidRDefault="008B6859" w:rsidP="003C6E60">
            <w:pPr>
              <w:jc w:val="right"/>
              <w:rPr>
                <w:sz w:val="16"/>
                <w:szCs w:val="16"/>
              </w:rPr>
            </w:pPr>
            <w:r w:rsidRPr="008F7C86">
              <w:rPr>
                <w:sz w:val="16"/>
                <w:szCs w:val="16"/>
              </w:rPr>
              <w:t>1</w:t>
            </w:r>
          </w:p>
        </w:tc>
        <w:tc>
          <w:tcPr>
            <w:tcW w:w="454" w:type="pct"/>
            <w:tcBorders>
              <w:top w:val="nil"/>
              <w:left w:val="nil"/>
              <w:bottom w:val="single" w:sz="4" w:space="0" w:color="auto"/>
              <w:right w:val="single" w:sz="4" w:space="0" w:color="auto"/>
            </w:tcBorders>
            <w:shd w:val="clear" w:color="auto" w:fill="FFFFFF" w:themeFill="background1"/>
            <w:vAlign w:val="center"/>
          </w:tcPr>
          <w:p w14:paraId="37309936" w14:textId="77777777" w:rsidR="008B6859" w:rsidRPr="008F7C86" w:rsidRDefault="008B6859" w:rsidP="003C6E60">
            <w:pPr>
              <w:jc w:val="right"/>
              <w:rPr>
                <w:iCs/>
                <w:sz w:val="16"/>
                <w:szCs w:val="16"/>
              </w:rPr>
            </w:pPr>
            <w:r w:rsidRPr="008F7C86">
              <w:rPr>
                <w:iCs/>
                <w:sz w:val="16"/>
                <w:szCs w:val="16"/>
              </w:rPr>
              <w:t>1</w:t>
            </w:r>
          </w:p>
        </w:tc>
      </w:tr>
      <w:tr w:rsidR="008B6859" w:rsidRPr="008F7C86" w14:paraId="6715A14F"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vAlign w:val="center"/>
          </w:tcPr>
          <w:p w14:paraId="69E51073" w14:textId="77777777" w:rsidR="008B6859" w:rsidRPr="008F7C86" w:rsidRDefault="008B6859" w:rsidP="003C6E60">
            <w:pPr>
              <w:rPr>
                <w:bCs/>
                <w:sz w:val="16"/>
                <w:szCs w:val="16"/>
              </w:rPr>
            </w:pPr>
            <w:r w:rsidRPr="008F7C86">
              <w:rPr>
                <w:sz w:val="16"/>
                <w:szCs w:val="16"/>
              </w:rPr>
              <w:t>Функционираща Информационна система за управление и наблюдение ИСУН2020</w:t>
            </w:r>
          </w:p>
        </w:tc>
        <w:tc>
          <w:tcPr>
            <w:tcW w:w="1595" w:type="pct"/>
            <w:tcBorders>
              <w:top w:val="single" w:sz="4" w:space="0" w:color="auto"/>
              <w:left w:val="nil"/>
              <w:bottom w:val="single" w:sz="4" w:space="0" w:color="auto"/>
              <w:right w:val="single" w:sz="4" w:space="0" w:color="auto"/>
            </w:tcBorders>
            <w:vAlign w:val="center"/>
          </w:tcPr>
          <w:p w14:paraId="13B506BD" w14:textId="77777777" w:rsidR="008B6859" w:rsidRPr="008F7C86" w:rsidRDefault="008B6859" w:rsidP="003C6E60">
            <w:pPr>
              <w:jc w:val="both"/>
              <w:rPr>
                <w:sz w:val="16"/>
                <w:szCs w:val="16"/>
              </w:rPr>
            </w:pPr>
            <w:r w:rsidRPr="008F7C86">
              <w:rPr>
                <w:sz w:val="16"/>
                <w:szCs w:val="16"/>
              </w:rPr>
              <w:t>Брой</w:t>
            </w:r>
          </w:p>
        </w:tc>
        <w:tc>
          <w:tcPr>
            <w:tcW w:w="449" w:type="pct"/>
            <w:tcBorders>
              <w:top w:val="nil"/>
              <w:left w:val="nil"/>
              <w:bottom w:val="single" w:sz="4" w:space="0" w:color="auto"/>
              <w:right w:val="single" w:sz="4" w:space="0" w:color="auto"/>
            </w:tcBorders>
            <w:vAlign w:val="center"/>
          </w:tcPr>
          <w:p w14:paraId="22D036E9" w14:textId="77777777" w:rsidR="008B6859" w:rsidRPr="008F7C86" w:rsidRDefault="008B6859" w:rsidP="003C6E60">
            <w:pPr>
              <w:jc w:val="right"/>
              <w:rPr>
                <w:sz w:val="16"/>
                <w:szCs w:val="16"/>
              </w:rPr>
            </w:pPr>
            <w:r w:rsidRPr="008F7C86">
              <w:rPr>
                <w:sz w:val="16"/>
                <w:szCs w:val="16"/>
              </w:rPr>
              <w:t>1</w:t>
            </w:r>
          </w:p>
        </w:tc>
        <w:tc>
          <w:tcPr>
            <w:tcW w:w="454" w:type="pct"/>
            <w:tcBorders>
              <w:top w:val="nil"/>
              <w:left w:val="nil"/>
              <w:bottom w:val="single" w:sz="4" w:space="0" w:color="auto"/>
              <w:right w:val="single" w:sz="4" w:space="0" w:color="auto"/>
            </w:tcBorders>
            <w:shd w:val="clear" w:color="auto" w:fill="FFFFFF" w:themeFill="background1"/>
            <w:vAlign w:val="center"/>
          </w:tcPr>
          <w:p w14:paraId="28D74F9A" w14:textId="77777777" w:rsidR="008B6859" w:rsidRPr="008F7C86" w:rsidRDefault="008B6859" w:rsidP="003C6E60">
            <w:pPr>
              <w:jc w:val="right"/>
              <w:rPr>
                <w:iCs/>
                <w:sz w:val="16"/>
                <w:szCs w:val="16"/>
              </w:rPr>
            </w:pPr>
            <w:r w:rsidRPr="008F7C86">
              <w:rPr>
                <w:iCs/>
                <w:sz w:val="16"/>
                <w:szCs w:val="16"/>
              </w:rPr>
              <w:t>1</w:t>
            </w:r>
          </w:p>
        </w:tc>
      </w:tr>
      <w:tr w:rsidR="008B6859" w:rsidRPr="008F7C86" w14:paraId="7ADF3F6E"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vAlign w:val="center"/>
          </w:tcPr>
          <w:p w14:paraId="43DA2FC9" w14:textId="77777777" w:rsidR="008B6859" w:rsidRPr="008F7C86" w:rsidRDefault="008B6859" w:rsidP="003C6E60">
            <w:pPr>
              <w:rPr>
                <w:bCs/>
                <w:sz w:val="16"/>
                <w:szCs w:val="16"/>
              </w:rPr>
            </w:pPr>
            <w:r w:rsidRPr="008F7C86">
              <w:rPr>
                <w:sz w:val="16"/>
                <w:szCs w:val="16"/>
              </w:rPr>
              <w:t>Нови функционалности в ИСУН</w:t>
            </w:r>
          </w:p>
        </w:tc>
        <w:tc>
          <w:tcPr>
            <w:tcW w:w="1595" w:type="pct"/>
            <w:tcBorders>
              <w:top w:val="single" w:sz="4" w:space="0" w:color="auto"/>
              <w:left w:val="nil"/>
              <w:bottom w:val="single" w:sz="4" w:space="0" w:color="auto"/>
              <w:right w:val="single" w:sz="4" w:space="0" w:color="auto"/>
            </w:tcBorders>
            <w:vAlign w:val="center"/>
          </w:tcPr>
          <w:p w14:paraId="246814ED" w14:textId="77777777" w:rsidR="008B6859" w:rsidRPr="008F7C86" w:rsidRDefault="008B6859" w:rsidP="003C6E60">
            <w:pPr>
              <w:jc w:val="both"/>
              <w:rPr>
                <w:sz w:val="16"/>
                <w:szCs w:val="16"/>
              </w:rPr>
            </w:pPr>
            <w:r w:rsidRPr="008F7C86">
              <w:rPr>
                <w:sz w:val="16"/>
                <w:szCs w:val="16"/>
              </w:rPr>
              <w:t>Брой</w:t>
            </w:r>
          </w:p>
        </w:tc>
        <w:tc>
          <w:tcPr>
            <w:tcW w:w="449" w:type="pct"/>
            <w:tcBorders>
              <w:top w:val="nil"/>
              <w:left w:val="nil"/>
              <w:bottom w:val="single" w:sz="4" w:space="0" w:color="auto"/>
              <w:right w:val="single" w:sz="4" w:space="0" w:color="auto"/>
            </w:tcBorders>
            <w:vAlign w:val="center"/>
          </w:tcPr>
          <w:p w14:paraId="47F798F2" w14:textId="77777777" w:rsidR="008B6859" w:rsidRPr="008F7C86" w:rsidRDefault="008B6859" w:rsidP="003C6E60">
            <w:pPr>
              <w:jc w:val="right"/>
              <w:rPr>
                <w:sz w:val="16"/>
                <w:szCs w:val="16"/>
              </w:rPr>
            </w:pPr>
            <w:r w:rsidRPr="008F7C86">
              <w:rPr>
                <w:sz w:val="16"/>
                <w:szCs w:val="16"/>
              </w:rPr>
              <w:t>20</w:t>
            </w:r>
          </w:p>
        </w:tc>
        <w:tc>
          <w:tcPr>
            <w:tcW w:w="454" w:type="pct"/>
            <w:tcBorders>
              <w:top w:val="nil"/>
              <w:left w:val="nil"/>
              <w:bottom w:val="single" w:sz="4" w:space="0" w:color="auto"/>
              <w:right w:val="single" w:sz="4" w:space="0" w:color="auto"/>
            </w:tcBorders>
            <w:shd w:val="clear" w:color="auto" w:fill="FFFFFF" w:themeFill="background1"/>
            <w:vAlign w:val="center"/>
          </w:tcPr>
          <w:p w14:paraId="00B35562" w14:textId="77777777" w:rsidR="008B6859" w:rsidRPr="008F7C86" w:rsidRDefault="008B6859" w:rsidP="003C6E60">
            <w:pPr>
              <w:jc w:val="right"/>
              <w:rPr>
                <w:iCs/>
                <w:sz w:val="16"/>
                <w:szCs w:val="16"/>
              </w:rPr>
            </w:pPr>
            <w:r w:rsidRPr="008F7C86">
              <w:rPr>
                <w:iCs/>
                <w:sz w:val="16"/>
                <w:szCs w:val="16"/>
              </w:rPr>
              <w:t>1</w:t>
            </w:r>
            <w:r w:rsidRPr="008F7C86">
              <w:rPr>
                <w:iCs/>
                <w:sz w:val="16"/>
                <w:szCs w:val="16"/>
                <w:vertAlign w:val="superscript"/>
              </w:rPr>
              <w:footnoteReference w:id="32"/>
            </w:r>
          </w:p>
        </w:tc>
      </w:tr>
      <w:tr w:rsidR="008B6859" w:rsidRPr="008F7C86" w14:paraId="60C8B69F"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vAlign w:val="center"/>
          </w:tcPr>
          <w:p w14:paraId="61914CF5" w14:textId="77777777" w:rsidR="008B6859" w:rsidRPr="008F7C86" w:rsidRDefault="008B6859" w:rsidP="003C6E60">
            <w:pPr>
              <w:rPr>
                <w:bCs/>
                <w:sz w:val="16"/>
                <w:szCs w:val="16"/>
              </w:rPr>
            </w:pPr>
            <w:r w:rsidRPr="008F7C86">
              <w:rPr>
                <w:sz w:val="16"/>
                <w:szCs w:val="16"/>
              </w:rPr>
              <w:t>Проведени заседания на Работната група за развитие на ИСУН</w:t>
            </w:r>
          </w:p>
        </w:tc>
        <w:tc>
          <w:tcPr>
            <w:tcW w:w="1595" w:type="pct"/>
            <w:tcBorders>
              <w:top w:val="single" w:sz="4" w:space="0" w:color="auto"/>
              <w:left w:val="nil"/>
              <w:bottom w:val="single" w:sz="4" w:space="0" w:color="auto"/>
              <w:right w:val="single" w:sz="4" w:space="0" w:color="auto"/>
            </w:tcBorders>
            <w:vAlign w:val="center"/>
          </w:tcPr>
          <w:p w14:paraId="1E422AE6" w14:textId="77777777" w:rsidR="008B6859" w:rsidRPr="008F7C86" w:rsidRDefault="008B6859" w:rsidP="003C6E60">
            <w:pPr>
              <w:jc w:val="both"/>
              <w:rPr>
                <w:sz w:val="16"/>
                <w:szCs w:val="16"/>
              </w:rPr>
            </w:pPr>
            <w:r w:rsidRPr="008F7C86">
              <w:rPr>
                <w:sz w:val="16"/>
                <w:szCs w:val="16"/>
              </w:rPr>
              <w:t>Брой</w:t>
            </w:r>
          </w:p>
        </w:tc>
        <w:tc>
          <w:tcPr>
            <w:tcW w:w="449" w:type="pct"/>
            <w:tcBorders>
              <w:top w:val="nil"/>
              <w:left w:val="nil"/>
              <w:bottom w:val="single" w:sz="4" w:space="0" w:color="auto"/>
              <w:right w:val="single" w:sz="4" w:space="0" w:color="auto"/>
            </w:tcBorders>
            <w:vAlign w:val="center"/>
          </w:tcPr>
          <w:p w14:paraId="6B746F80" w14:textId="77777777" w:rsidR="008B6859" w:rsidRPr="008F7C86" w:rsidRDefault="008B6859" w:rsidP="003C6E60">
            <w:pPr>
              <w:jc w:val="right"/>
              <w:rPr>
                <w:sz w:val="16"/>
                <w:szCs w:val="16"/>
              </w:rPr>
            </w:pPr>
            <w:r w:rsidRPr="008F7C86">
              <w:rPr>
                <w:sz w:val="16"/>
                <w:szCs w:val="16"/>
              </w:rPr>
              <w:t>3</w:t>
            </w:r>
          </w:p>
        </w:tc>
        <w:tc>
          <w:tcPr>
            <w:tcW w:w="454" w:type="pct"/>
            <w:tcBorders>
              <w:top w:val="nil"/>
              <w:left w:val="nil"/>
              <w:bottom w:val="single" w:sz="4" w:space="0" w:color="auto"/>
              <w:right w:val="single" w:sz="4" w:space="0" w:color="auto"/>
            </w:tcBorders>
            <w:shd w:val="clear" w:color="auto" w:fill="FFFFFF" w:themeFill="background1"/>
            <w:vAlign w:val="center"/>
          </w:tcPr>
          <w:p w14:paraId="6CE6794F" w14:textId="77777777" w:rsidR="008B6859" w:rsidRPr="008F7C86" w:rsidRDefault="008B6859" w:rsidP="003C6E60">
            <w:pPr>
              <w:jc w:val="right"/>
              <w:rPr>
                <w:iCs/>
                <w:sz w:val="16"/>
                <w:szCs w:val="16"/>
              </w:rPr>
            </w:pPr>
            <w:r w:rsidRPr="008F7C86">
              <w:rPr>
                <w:iCs/>
                <w:sz w:val="16"/>
                <w:szCs w:val="16"/>
              </w:rPr>
              <w:t>2</w:t>
            </w:r>
          </w:p>
        </w:tc>
      </w:tr>
      <w:tr w:rsidR="008B6859" w:rsidRPr="008F7C86" w14:paraId="602EFBCC"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vAlign w:val="center"/>
          </w:tcPr>
          <w:p w14:paraId="0F12D366" w14:textId="77777777" w:rsidR="008B6859" w:rsidRPr="008F7C86" w:rsidRDefault="008B6859" w:rsidP="003C6E60">
            <w:pPr>
              <w:rPr>
                <w:bCs/>
                <w:sz w:val="16"/>
                <w:szCs w:val="16"/>
              </w:rPr>
            </w:pPr>
            <w:r w:rsidRPr="008F7C86">
              <w:rPr>
                <w:sz w:val="16"/>
                <w:szCs w:val="16"/>
              </w:rPr>
              <w:lastRenderedPageBreak/>
              <w:t>Ефективност на електронните услуги за кандидатите и бенефициентите: удовлетвореност на кандидати и бенефициенти от електронните услуги на ИСУН 2020</w:t>
            </w:r>
          </w:p>
        </w:tc>
        <w:tc>
          <w:tcPr>
            <w:tcW w:w="1595" w:type="pct"/>
            <w:tcBorders>
              <w:top w:val="single" w:sz="4" w:space="0" w:color="auto"/>
              <w:left w:val="nil"/>
              <w:bottom w:val="single" w:sz="4" w:space="0" w:color="auto"/>
              <w:right w:val="single" w:sz="4" w:space="0" w:color="auto"/>
            </w:tcBorders>
            <w:vAlign w:val="center"/>
          </w:tcPr>
          <w:p w14:paraId="6044972A" w14:textId="77777777" w:rsidR="008B6859" w:rsidRPr="008F7C86" w:rsidRDefault="008B6859" w:rsidP="003C6E60">
            <w:pPr>
              <w:jc w:val="both"/>
              <w:rPr>
                <w:sz w:val="16"/>
                <w:szCs w:val="16"/>
              </w:rPr>
            </w:pPr>
            <w:r w:rsidRPr="008F7C86">
              <w:rPr>
                <w:sz w:val="16"/>
                <w:szCs w:val="16"/>
              </w:rPr>
              <w:t>%</w:t>
            </w:r>
          </w:p>
        </w:tc>
        <w:tc>
          <w:tcPr>
            <w:tcW w:w="449" w:type="pct"/>
            <w:tcBorders>
              <w:top w:val="nil"/>
              <w:left w:val="nil"/>
              <w:bottom w:val="single" w:sz="4" w:space="0" w:color="auto"/>
              <w:right w:val="single" w:sz="4" w:space="0" w:color="auto"/>
            </w:tcBorders>
            <w:vAlign w:val="center"/>
          </w:tcPr>
          <w:p w14:paraId="42681F6B" w14:textId="77777777" w:rsidR="008B6859" w:rsidRPr="008F7C86" w:rsidRDefault="008B6859" w:rsidP="003C6E60">
            <w:pPr>
              <w:jc w:val="right"/>
              <w:rPr>
                <w:sz w:val="16"/>
                <w:szCs w:val="16"/>
              </w:rPr>
            </w:pPr>
            <w:r w:rsidRPr="008F7C86">
              <w:rPr>
                <w:sz w:val="16"/>
                <w:szCs w:val="16"/>
              </w:rPr>
              <w:t>85</w:t>
            </w:r>
          </w:p>
        </w:tc>
        <w:tc>
          <w:tcPr>
            <w:tcW w:w="454" w:type="pct"/>
            <w:tcBorders>
              <w:top w:val="nil"/>
              <w:left w:val="nil"/>
              <w:bottom w:val="single" w:sz="4" w:space="0" w:color="auto"/>
              <w:right w:val="single" w:sz="4" w:space="0" w:color="auto"/>
            </w:tcBorders>
            <w:shd w:val="clear" w:color="auto" w:fill="FFFFFF" w:themeFill="background1"/>
            <w:vAlign w:val="center"/>
          </w:tcPr>
          <w:p w14:paraId="2F8A1AB2" w14:textId="77777777" w:rsidR="008B6859" w:rsidRPr="008F7C86" w:rsidRDefault="008B6859" w:rsidP="003C6E60">
            <w:pPr>
              <w:jc w:val="right"/>
              <w:rPr>
                <w:iCs/>
                <w:sz w:val="16"/>
                <w:szCs w:val="16"/>
              </w:rPr>
            </w:pPr>
            <w:r w:rsidRPr="008F7C86">
              <w:rPr>
                <w:iCs/>
                <w:sz w:val="16"/>
                <w:szCs w:val="16"/>
              </w:rPr>
              <w:t>96.77</w:t>
            </w:r>
          </w:p>
        </w:tc>
      </w:tr>
      <w:tr w:rsidR="008B6859" w:rsidRPr="008F7C86" w14:paraId="01984051"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vAlign w:val="center"/>
          </w:tcPr>
          <w:p w14:paraId="057EB8D9" w14:textId="77777777" w:rsidR="008B6859" w:rsidRPr="008F7C86" w:rsidRDefault="008B6859" w:rsidP="003C6E60">
            <w:pPr>
              <w:rPr>
                <w:bCs/>
                <w:sz w:val="16"/>
                <w:szCs w:val="16"/>
              </w:rPr>
            </w:pPr>
            <w:r w:rsidRPr="008F7C86">
              <w:rPr>
                <w:sz w:val="16"/>
                <w:szCs w:val="16"/>
              </w:rPr>
              <w:t>Осигуряване на пълноценно обслужване на потребителите на ИСУН2020 от “</w:t>
            </w:r>
            <w:r w:rsidRPr="001A072B">
              <w:rPr>
                <w:sz w:val="16"/>
                <w:szCs w:val="16"/>
                <w:lang w:val="en-US"/>
              </w:rPr>
              <w:t>help-desk”</w:t>
            </w:r>
            <w:r w:rsidRPr="008F7C86">
              <w:rPr>
                <w:sz w:val="16"/>
                <w:szCs w:val="16"/>
              </w:rPr>
              <w:t xml:space="preserve"> на системата: успешно приключени заявки</w:t>
            </w:r>
          </w:p>
        </w:tc>
        <w:tc>
          <w:tcPr>
            <w:tcW w:w="1595" w:type="pct"/>
            <w:tcBorders>
              <w:top w:val="single" w:sz="4" w:space="0" w:color="auto"/>
              <w:left w:val="nil"/>
              <w:bottom w:val="single" w:sz="4" w:space="0" w:color="auto"/>
              <w:right w:val="single" w:sz="4" w:space="0" w:color="auto"/>
            </w:tcBorders>
            <w:vAlign w:val="center"/>
          </w:tcPr>
          <w:p w14:paraId="69861A59" w14:textId="77777777" w:rsidR="008B6859" w:rsidRPr="008F7C86" w:rsidRDefault="008B6859" w:rsidP="003C6E60">
            <w:pPr>
              <w:jc w:val="both"/>
              <w:rPr>
                <w:sz w:val="16"/>
                <w:szCs w:val="16"/>
              </w:rPr>
            </w:pPr>
            <w:r w:rsidRPr="008F7C86">
              <w:rPr>
                <w:sz w:val="16"/>
                <w:szCs w:val="16"/>
              </w:rPr>
              <w:t>%</w:t>
            </w:r>
          </w:p>
        </w:tc>
        <w:tc>
          <w:tcPr>
            <w:tcW w:w="449" w:type="pct"/>
            <w:tcBorders>
              <w:top w:val="nil"/>
              <w:left w:val="nil"/>
              <w:bottom w:val="single" w:sz="4" w:space="0" w:color="auto"/>
              <w:right w:val="single" w:sz="4" w:space="0" w:color="auto"/>
            </w:tcBorders>
            <w:vAlign w:val="center"/>
          </w:tcPr>
          <w:p w14:paraId="58ADA70A" w14:textId="77777777" w:rsidR="008B6859" w:rsidRPr="008F7C86" w:rsidRDefault="008B6859" w:rsidP="003C6E60">
            <w:pPr>
              <w:jc w:val="right"/>
              <w:rPr>
                <w:sz w:val="16"/>
                <w:szCs w:val="16"/>
              </w:rPr>
            </w:pPr>
            <w:r w:rsidRPr="008F7C86">
              <w:rPr>
                <w:sz w:val="16"/>
                <w:szCs w:val="16"/>
              </w:rPr>
              <w:t>96</w:t>
            </w:r>
          </w:p>
        </w:tc>
        <w:tc>
          <w:tcPr>
            <w:tcW w:w="454" w:type="pct"/>
            <w:tcBorders>
              <w:top w:val="nil"/>
              <w:left w:val="nil"/>
              <w:bottom w:val="single" w:sz="4" w:space="0" w:color="auto"/>
              <w:right w:val="single" w:sz="4" w:space="0" w:color="auto"/>
            </w:tcBorders>
            <w:shd w:val="clear" w:color="auto" w:fill="FFFFFF" w:themeFill="background1"/>
            <w:vAlign w:val="center"/>
          </w:tcPr>
          <w:p w14:paraId="18EE1B41" w14:textId="77777777" w:rsidR="008B6859" w:rsidRPr="008F7C86" w:rsidRDefault="008B6859" w:rsidP="003C6E60">
            <w:pPr>
              <w:jc w:val="right"/>
              <w:rPr>
                <w:iCs/>
                <w:sz w:val="16"/>
                <w:szCs w:val="16"/>
              </w:rPr>
            </w:pPr>
            <w:r w:rsidRPr="008F7C86">
              <w:rPr>
                <w:iCs/>
                <w:sz w:val="16"/>
                <w:szCs w:val="16"/>
              </w:rPr>
              <w:t>95.14</w:t>
            </w:r>
          </w:p>
        </w:tc>
      </w:tr>
      <w:tr w:rsidR="008B6859" w:rsidRPr="008F7C86" w14:paraId="4E4A404A"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vAlign w:val="center"/>
          </w:tcPr>
          <w:p w14:paraId="48E823A4" w14:textId="77777777" w:rsidR="008B6859" w:rsidRPr="008F7C86" w:rsidRDefault="008B6859" w:rsidP="003C6E60">
            <w:pPr>
              <w:rPr>
                <w:bCs/>
                <w:sz w:val="16"/>
                <w:szCs w:val="16"/>
              </w:rPr>
            </w:pPr>
            <w:r w:rsidRPr="008F7C86">
              <w:rPr>
                <w:sz w:val="16"/>
                <w:szCs w:val="16"/>
              </w:rPr>
              <w:t>Удовлетвореност на потребителите на ИСУН2020 от работата на “Help</w:t>
            </w:r>
            <w:r w:rsidRPr="001A072B">
              <w:rPr>
                <w:sz w:val="16"/>
                <w:szCs w:val="16"/>
                <w:lang w:val="en-US"/>
              </w:rPr>
              <w:t xml:space="preserve"> desk</w:t>
            </w:r>
            <w:r w:rsidRPr="008F7C86">
              <w:rPr>
                <w:sz w:val="16"/>
                <w:szCs w:val="16"/>
              </w:rPr>
              <w:t>” звеното</w:t>
            </w:r>
          </w:p>
        </w:tc>
        <w:tc>
          <w:tcPr>
            <w:tcW w:w="1595" w:type="pct"/>
            <w:tcBorders>
              <w:top w:val="single" w:sz="4" w:space="0" w:color="auto"/>
              <w:left w:val="nil"/>
              <w:bottom w:val="single" w:sz="4" w:space="0" w:color="auto"/>
              <w:right w:val="single" w:sz="4" w:space="0" w:color="auto"/>
            </w:tcBorders>
            <w:vAlign w:val="center"/>
          </w:tcPr>
          <w:p w14:paraId="0CAC179C" w14:textId="77777777" w:rsidR="008B6859" w:rsidRPr="008F7C86" w:rsidRDefault="008B6859" w:rsidP="003C6E60">
            <w:pPr>
              <w:jc w:val="both"/>
              <w:rPr>
                <w:sz w:val="16"/>
                <w:szCs w:val="16"/>
              </w:rPr>
            </w:pPr>
            <w:r w:rsidRPr="008F7C86">
              <w:rPr>
                <w:sz w:val="16"/>
                <w:szCs w:val="16"/>
              </w:rPr>
              <w:t>%</w:t>
            </w:r>
          </w:p>
        </w:tc>
        <w:tc>
          <w:tcPr>
            <w:tcW w:w="449" w:type="pct"/>
            <w:tcBorders>
              <w:top w:val="nil"/>
              <w:left w:val="nil"/>
              <w:bottom w:val="single" w:sz="4" w:space="0" w:color="auto"/>
              <w:right w:val="single" w:sz="4" w:space="0" w:color="auto"/>
            </w:tcBorders>
            <w:vAlign w:val="center"/>
          </w:tcPr>
          <w:p w14:paraId="4112701F" w14:textId="77777777" w:rsidR="008B6859" w:rsidRPr="008F7C86" w:rsidRDefault="008B6859" w:rsidP="003C6E60">
            <w:pPr>
              <w:jc w:val="right"/>
              <w:rPr>
                <w:sz w:val="16"/>
                <w:szCs w:val="16"/>
              </w:rPr>
            </w:pPr>
            <w:r w:rsidRPr="008F7C86">
              <w:rPr>
                <w:sz w:val="16"/>
                <w:szCs w:val="16"/>
              </w:rPr>
              <w:t>83</w:t>
            </w:r>
          </w:p>
        </w:tc>
        <w:tc>
          <w:tcPr>
            <w:tcW w:w="454" w:type="pct"/>
            <w:tcBorders>
              <w:top w:val="nil"/>
              <w:left w:val="nil"/>
              <w:bottom w:val="single" w:sz="4" w:space="0" w:color="auto"/>
              <w:right w:val="single" w:sz="4" w:space="0" w:color="auto"/>
            </w:tcBorders>
            <w:shd w:val="clear" w:color="auto" w:fill="FFFFFF" w:themeFill="background1"/>
            <w:vAlign w:val="center"/>
          </w:tcPr>
          <w:p w14:paraId="7B6434CB" w14:textId="77777777" w:rsidR="008B6859" w:rsidRPr="008F7C86" w:rsidRDefault="008B6859" w:rsidP="003C6E60">
            <w:pPr>
              <w:jc w:val="right"/>
              <w:rPr>
                <w:iCs/>
                <w:sz w:val="16"/>
                <w:szCs w:val="16"/>
              </w:rPr>
            </w:pPr>
            <w:r w:rsidRPr="008F7C86">
              <w:rPr>
                <w:iCs/>
                <w:sz w:val="16"/>
                <w:szCs w:val="16"/>
              </w:rPr>
              <w:t>99.17</w:t>
            </w:r>
          </w:p>
        </w:tc>
      </w:tr>
      <w:tr w:rsidR="008B6859" w:rsidRPr="008F7C86" w14:paraId="66CD7C42"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vAlign w:val="center"/>
          </w:tcPr>
          <w:p w14:paraId="11912A22" w14:textId="77777777" w:rsidR="008B6859" w:rsidRPr="008F7C86" w:rsidRDefault="008B6859" w:rsidP="003C6E60">
            <w:pPr>
              <w:rPr>
                <w:bCs/>
                <w:sz w:val="16"/>
                <w:szCs w:val="16"/>
              </w:rPr>
            </w:pPr>
            <w:r w:rsidRPr="008F7C86">
              <w:rPr>
                <w:sz w:val="16"/>
                <w:szCs w:val="16"/>
              </w:rPr>
              <w:t>Заредени файлове с данни в ARACHNE</w:t>
            </w:r>
          </w:p>
        </w:tc>
        <w:tc>
          <w:tcPr>
            <w:tcW w:w="1595" w:type="pct"/>
            <w:tcBorders>
              <w:top w:val="single" w:sz="4" w:space="0" w:color="auto"/>
              <w:left w:val="nil"/>
              <w:bottom w:val="single" w:sz="4" w:space="0" w:color="auto"/>
              <w:right w:val="single" w:sz="4" w:space="0" w:color="auto"/>
            </w:tcBorders>
            <w:vAlign w:val="center"/>
          </w:tcPr>
          <w:p w14:paraId="090A0643" w14:textId="77777777" w:rsidR="008B6859" w:rsidRPr="008F7C86" w:rsidRDefault="008B6859" w:rsidP="003C6E60">
            <w:pPr>
              <w:jc w:val="both"/>
              <w:rPr>
                <w:sz w:val="16"/>
                <w:szCs w:val="16"/>
              </w:rPr>
            </w:pPr>
            <w:r w:rsidRPr="008F7C86">
              <w:rPr>
                <w:sz w:val="16"/>
                <w:szCs w:val="16"/>
              </w:rPr>
              <w:t>Брой</w:t>
            </w:r>
          </w:p>
        </w:tc>
        <w:tc>
          <w:tcPr>
            <w:tcW w:w="449" w:type="pct"/>
            <w:tcBorders>
              <w:top w:val="nil"/>
              <w:left w:val="nil"/>
              <w:bottom w:val="single" w:sz="4" w:space="0" w:color="auto"/>
              <w:right w:val="single" w:sz="4" w:space="0" w:color="auto"/>
            </w:tcBorders>
            <w:vAlign w:val="center"/>
          </w:tcPr>
          <w:p w14:paraId="609EFCBF" w14:textId="77777777" w:rsidR="008B6859" w:rsidRPr="008F7C86" w:rsidRDefault="008B6859" w:rsidP="003C6E60">
            <w:pPr>
              <w:jc w:val="right"/>
              <w:rPr>
                <w:sz w:val="16"/>
                <w:szCs w:val="16"/>
              </w:rPr>
            </w:pPr>
            <w:r w:rsidRPr="008F7C86">
              <w:rPr>
                <w:sz w:val="16"/>
                <w:szCs w:val="16"/>
              </w:rPr>
              <w:t>450</w:t>
            </w:r>
          </w:p>
        </w:tc>
        <w:tc>
          <w:tcPr>
            <w:tcW w:w="454" w:type="pct"/>
            <w:tcBorders>
              <w:top w:val="nil"/>
              <w:left w:val="nil"/>
              <w:bottom w:val="single" w:sz="4" w:space="0" w:color="auto"/>
              <w:right w:val="single" w:sz="4" w:space="0" w:color="auto"/>
            </w:tcBorders>
            <w:shd w:val="clear" w:color="auto" w:fill="FFFFFF" w:themeFill="background1"/>
            <w:vAlign w:val="center"/>
          </w:tcPr>
          <w:p w14:paraId="4E53255F" w14:textId="77777777" w:rsidR="008B6859" w:rsidRPr="008F7C86" w:rsidRDefault="008B6859" w:rsidP="003C6E60">
            <w:pPr>
              <w:jc w:val="right"/>
              <w:rPr>
                <w:iCs/>
                <w:sz w:val="16"/>
                <w:szCs w:val="16"/>
              </w:rPr>
            </w:pPr>
            <w:r w:rsidRPr="008F7C86">
              <w:rPr>
                <w:iCs/>
                <w:sz w:val="16"/>
                <w:szCs w:val="16"/>
              </w:rPr>
              <w:t>285</w:t>
            </w:r>
          </w:p>
        </w:tc>
      </w:tr>
      <w:tr w:rsidR="008B6859" w:rsidRPr="008F7C86" w14:paraId="655C170F"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vAlign w:val="center"/>
          </w:tcPr>
          <w:p w14:paraId="7424EC81" w14:textId="77777777" w:rsidR="008B6859" w:rsidRPr="008F7C86" w:rsidRDefault="008B6859" w:rsidP="003C6E60">
            <w:pPr>
              <w:rPr>
                <w:sz w:val="16"/>
                <w:szCs w:val="16"/>
              </w:rPr>
            </w:pPr>
            <w:r w:rsidRPr="008F7C86">
              <w:rPr>
                <w:sz w:val="16"/>
                <w:szCs w:val="16"/>
              </w:rPr>
              <w:t>Осигурен достъп до ARACHNE</w:t>
            </w:r>
          </w:p>
        </w:tc>
        <w:tc>
          <w:tcPr>
            <w:tcW w:w="1595" w:type="pct"/>
            <w:tcBorders>
              <w:top w:val="single" w:sz="4" w:space="0" w:color="auto"/>
              <w:left w:val="nil"/>
              <w:bottom w:val="single" w:sz="4" w:space="0" w:color="auto"/>
              <w:right w:val="single" w:sz="4" w:space="0" w:color="auto"/>
            </w:tcBorders>
            <w:vAlign w:val="center"/>
          </w:tcPr>
          <w:p w14:paraId="47920CB8" w14:textId="77777777" w:rsidR="008B6859" w:rsidRPr="008F7C86" w:rsidRDefault="008B6859" w:rsidP="003C6E60">
            <w:pPr>
              <w:jc w:val="both"/>
              <w:rPr>
                <w:color w:val="000000"/>
                <w:sz w:val="16"/>
                <w:szCs w:val="16"/>
              </w:rPr>
            </w:pPr>
            <w:r w:rsidRPr="008F7C86">
              <w:rPr>
                <w:sz w:val="16"/>
                <w:szCs w:val="16"/>
              </w:rPr>
              <w:t>Брой</w:t>
            </w:r>
          </w:p>
        </w:tc>
        <w:tc>
          <w:tcPr>
            <w:tcW w:w="449" w:type="pct"/>
            <w:tcBorders>
              <w:top w:val="nil"/>
              <w:left w:val="nil"/>
              <w:bottom w:val="single" w:sz="4" w:space="0" w:color="auto"/>
              <w:right w:val="single" w:sz="4" w:space="0" w:color="auto"/>
            </w:tcBorders>
            <w:vAlign w:val="center"/>
          </w:tcPr>
          <w:p w14:paraId="48FED26C" w14:textId="77777777" w:rsidR="008B6859" w:rsidRPr="008F7C86" w:rsidRDefault="008B6859" w:rsidP="003C6E60">
            <w:pPr>
              <w:jc w:val="right"/>
              <w:rPr>
                <w:sz w:val="16"/>
                <w:szCs w:val="16"/>
              </w:rPr>
            </w:pPr>
            <w:r w:rsidRPr="008F7C86">
              <w:rPr>
                <w:sz w:val="16"/>
                <w:szCs w:val="16"/>
              </w:rPr>
              <w:t>50</w:t>
            </w:r>
          </w:p>
        </w:tc>
        <w:tc>
          <w:tcPr>
            <w:tcW w:w="454" w:type="pct"/>
            <w:tcBorders>
              <w:top w:val="nil"/>
              <w:left w:val="nil"/>
              <w:bottom w:val="single" w:sz="4" w:space="0" w:color="auto"/>
              <w:right w:val="single" w:sz="4" w:space="0" w:color="auto"/>
            </w:tcBorders>
            <w:shd w:val="clear" w:color="auto" w:fill="FFFFFF" w:themeFill="background1"/>
            <w:vAlign w:val="center"/>
          </w:tcPr>
          <w:p w14:paraId="72DB626E" w14:textId="77777777" w:rsidR="008B6859" w:rsidRPr="008F7C86" w:rsidRDefault="008B6859" w:rsidP="003C6E60">
            <w:pPr>
              <w:jc w:val="right"/>
              <w:rPr>
                <w:sz w:val="16"/>
                <w:szCs w:val="16"/>
              </w:rPr>
            </w:pPr>
            <w:r w:rsidRPr="008F7C86">
              <w:rPr>
                <w:sz w:val="16"/>
                <w:szCs w:val="16"/>
              </w:rPr>
              <w:t>166</w:t>
            </w:r>
          </w:p>
        </w:tc>
      </w:tr>
      <w:tr w:rsidR="008B6859" w:rsidRPr="008F7C86" w14:paraId="79DE2C00"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vAlign w:val="center"/>
          </w:tcPr>
          <w:p w14:paraId="18ED9975" w14:textId="068EA4F3" w:rsidR="008B6859" w:rsidRPr="008F7C86" w:rsidRDefault="008B6859" w:rsidP="003C6E60">
            <w:pPr>
              <w:rPr>
                <w:sz w:val="16"/>
                <w:szCs w:val="16"/>
              </w:rPr>
            </w:pPr>
            <w:r w:rsidRPr="008F7C86">
              <w:rPr>
                <w:sz w:val="16"/>
                <w:szCs w:val="16"/>
              </w:rPr>
              <w:t>Осигурен достъп до SFC 2007</w:t>
            </w:r>
            <w:r w:rsidR="001A072B">
              <w:rPr>
                <w:sz w:val="16"/>
                <w:szCs w:val="16"/>
              </w:rPr>
              <w:t xml:space="preserve"> – </w:t>
            </w:r>
            <w:r w:rsidRPr="008F7C86">
              <w:rPr>
                <w:sz w:val="16"/>
                <w:szCs w:val="16"/>
              </w:rPr>
              <w:t>2013, SFC 2014 и SFC 2021 на Европейската комисия</w:t>
            </w:r>
          </w:p>
        </w:tc>
        <w:tc>
          <w:tcPr>
            <w:tcW w:w="1595" w:type="pct"/>
            <w:tcBorders>
              <w:top w:val="single" w:sz="4" w:space="0" w:color="auto"/>
              <w:left w:val="nil"/>
              <w:bottom w:val="single" w:sz="4" w:space="0" w:color="auto"/>
              <w:right w:val="single" w:sz="4" w:space="0" w:color="auto"/>
            </w:tcBorders>
            <w:vAlign w:val="center"/>
          </w:tcPr>
          <w:p w14:paraId="6E24CC68" w14:textId="77777777" w:rsidR="008B6859" w:rsidRPr="008F7C86" w:rsidRDefault="008B6859" w:rsidP="003C6E60">
            <w:pPr>
              <w:jc w:val="both"/>
              <w:rPr>
                <w:color w:val="000000"/>
                <w:sz w:val="16"/>
                <w:szCs w:val="16"/>
              </w:rPr>
            </w:pPr>
            <w:r w:rsidRPr="008F7C86">
              <w:rPr>
                <w:sz w:val="16"/>
                <w:szCs w:val="16"/>
              </w:rPr>
              <w:t>Брой</w:t>
            </w:r>
          </w:p>
        </w:tc>
        <w:tc>
          <w:tcPr>
            <w:tcW w:w="449" w:type="pct"/>
            <w:tcBorders>
              <w:top w:val="nil"/>
              <w:left w:val="nil"/>
              <w:bottom w:val="single" w:sz="4" w:space="0" w:color="auto"/>
              <w:right w:val="single" w:sz="4" w:space="0" w:color="auto"/>
            </w:tcBorders>
            <w:vAlign w:val="center"/>
          </w:tcPr>
          <w:p w14:paraId="14C2A6BF" w14:textId="77777777" w:rsidR="008B6859" w:rsidRPr="008F7C86" w:rsidRDefault="008B6859" w:rsidP="003C6E60">
            <w:pPr>
              <w:jc w:val="right"/>
              <w:rPr>
                <w:sz w:val="16"/>
                <w:szCs w:val="16"/>
              </w:rPr>
            </w:pPr>
            <w:r w:rsidRPr="008F7C86">
              <w:rPr>
                <w:sz w:val="16"/>
                <w:szCs w:val="16"/>
              </w:rPr>
              <w:t>80</w:t>
            </w:r>
          </w:p>
        </w:tc>
        <w:tc>
          <w:tcPr>
            <w:tcW w:w="454" w:type="pct"/>
            <w:tcBorders>
              <w:top w:val="nil"/>
              <w:left w:val="nil"/>
              <w:bottom w:val="single" w:sz="4" w:space="0" w:color="auto"/>
              <w:right w:val="single" w:sz="4" w:space="0" w:color="auto"/>
            </w:tcBorders>
            <w:shd w:val="clear" w:color="auto" w:fill="FFFFFF" w:themeFill="background1"/>
            <w:vAlign w:val="center"/>
          </w:tcPr>
          <w:p w14:paraId="0A83B5B2" w14:textId="77777777" w:rsidR="008B6859" w:rsidRPr="008F7C86" w:rsidRDefault="008B6859" w:rsidP="003C6E60">
            <w:pPr>
              <w:jc w:val="right"/>
              <w:rPr>
                <w:sz w:val="16"/>
                <w:szCs w:val="16"/>
              </w:rPr>
            </w:pPr>
            <w:r w:rsidRPr="008F7C86">
              <w:rPr>
                <w:sz w:val="16"/>
                <w:szCs w:val="16"/>
              </w:rPr>
              <w:t>36</w:t>
            </w:r>
          </w:p>
        </w:tc>
      </w:tr>
      <w:tr w:rsidR="008B6859" w:rsidRPr="008F7C86" w14:paraId="32873287"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vAlign w:val="center"/>
          </w:tcPr>
          <w:p w14:paraId="5B4B00FF" w14:textId="77777777" w:rsidR="008B6859" w:rsidRPr="008F7C86" w:rsidRDefault="008B6859" w:rsidP="003C6E60">
            <w:pPr>
              <w:rPr>
                <w:sz w:val="16"/>
                <w:szCs w:val="16"/>
              </w:rPr>
            </w:pPr>
            <w:r w:rsidRPr="008F7C86">
              <w:rPr>
                <w:iCs/>
                <w:sz w:val="16"/>
                <w:szCs w:val="16"/>
              </w:rPr>
              <w:t>Осигуряване на ефективна координация на Мрежата от служители по комуникация на управляващите органи на програмите по ЕФСУ</w:t>
            </w:r>
          </w:p>
        </w:tc>
        <w:tc>
          <w:tcPr>
            <w:tcW w:w="1595" w:type="pct"/>
            <w:tcBorders>
              <w:top w:val="single" w:sz="4" w:space="0" w:color="auto"/>
              <w:left w:val="nil"/>
              <w:bottom w:val="single" w:sz="4" w:space="0" w:color="auto"/>
              <w:right w:val="single" w:sz="4" w:space="0" w:color="auto"/>
            </w:tcBorders>
            <w:vAlign w:val="center"/>
          </w:tcPr>
          <w:p w14:paraId="6772205C" w14:textId="77777777" w:rsidR="008B6859" w:rsidRPr="008F7C86" w:rsidRDefault="008B6859" w:rsidP="003C6E60">
            <w:pPr>
              <w:jc w:val="both"/>
              <w:rPr>
                <w:color w:val="000000"/>
                <w:sz w:val="16"/>
                <w:szCs w:val="16"/>
              </w:rPr>
            </w:pPr>
            <w:r w:rsidRPr="008F7C86">
              <w:rPr>
                <w:sz w:val="16"/>
                <w:szCs w:val="16"/>
              </w:rPr>
              <w:t>Качествен показател</w:t>
            </w:r>
          </w:p>
        </w:tc>
        <w:tc>
          <w:tcPr>
            <w:tcW w:w="449" w:type="pct"/>
            <w:tcBorders>
              <w:top w:val="nil"/>
              <w:left w:val="nil"/>
              <w:bottom w:val="single" w:sz="4" w:space="0" w:color="auto"/>
              <w:right w:val="single" w:sz="4" w:space="0" w:color="auto"/>
            </w:tcBorders>
            <w:vAlign w:val="center"/>
          </w:tcPr>
          <w:p w14:paraId="20504E94" w14:textId="77777777" w:rsidR="008B6859" w:rsidRPr="008F7C86" w:rsidRDefault="008B6859" w:rsidP="003C6E60">
            <w:pPr>
              <w:jc w:val="right"/>
              <w:rPr>
                <w:sz w:val="16"/>
                <w:szCs w:val="16"/>
              </w:rPr>
            </w:pPr>
            <w:proofErr w:type="spellStart"/>
            <w:r w:rsidRPr="008F7C86">
              <w:rPr>
                <w:sz w:val="16"/>
                <w:szCs w:val="16"/>
              </w:rPr>
              <w:t>н.п</w:t>
            </w:r>
            <w:proofErr w:type="spellEnd"/>
            <w:r w:rsidRPr="008F7C86">
              <w:rPr>
                <w:sz w:val="16"/>
                <w:szCs w:val="16"/>
              </w:rPr>
              <w:t>.</w:t>
            </w:r>
          </w:p>
        </w:tc>
        <w:tc>
          <w:tcPr>
            <w:tcW w:w="454" w:type="pct"/>
            <w:tcBorders>
              <w:top w:val="nil"/>
              <w:left w:val="nil"/>
              <w:bottom w:val="single" w:sz="4" w:space="0" w:color="auto"/>
              <w:right w:val="single" w:sz="4" w:space="0" w:color="auto"/>
            </w:tcBorders>
            <w:shd w:val="clear" w:color="auto" w:fill="FFFFFF" w:themeFill="background1"/>
            <w:vAlign w:val="center"/>
          </w:tcPr>
          <w:p w14:paraId="000748F9" w14:textId="77777777" w:rsidR="008B6859" w:rsidRPr="008F7C86" w:rsidRDefault="008B6859" w:rsidP="001A072B">
            <w:pPr>
              <w:jc w:val="right"/>
              <w:rPr>
                <w:sz w:val="16"/>
                <w:szCs w:val="16"/>
              </w:rPr>
            </w:pPr>
            <w:proofErr w:type="spellStart"/>
            <w:r w:rsidRPr="008F7C86">
              <w:rPr>
                <w:sz w:val="16"/>
                <w:szCs w:val="16"/>
              </w:rPr>
              <w:t>н.п</w:t>
            </w:r>
            <w:proofErr w:type="spellEnd"/>
            <w:r w:rsidRPr="008F7C86">
              <w:rPr>
                <w:sz w:val="16"/>
                <w:szCs w:val="16"/>
              </w:rPr>
              <w:t>.</w:t>
            </w:r>
          </w:p>
        </w:tc>
      </w:tr>
      <w:tr w:rsidR="008B6859" w:rsidRPr="008F7C86" w14:paraId="2F9D2A03"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vAlign w:val="center"/>
          </w:tcPr>
          <w:p w14:paraId="07AA361F" w14:textId="77777777" w:rsidR="008B6859" w:rsidRPr="008F7C86" w:rsidRDefault="008B6859" w:rsidP="003C6E60">
            <w:pPr>
              <w:rPr>
                <w:sz w:val="16"/>
                <w:szCs w:val="16"/>
              </w:rPr>
            </w:pPr>
            <w:r w:rsidRPr="008F7C86">
              <w:rPr>
                <w:iCs/>
                <w:sz w:val="16"/>
                <w:szCs w:val="16"/>
              </w:rPr>
              <w:t>Провеждане на срещи на Мрежата от служители по комуникация на управляващите органи на програмите по ЕФСУ</w:t>
            </w:r>
          </w:p>
        </w:tc>
        <w:tc>
          <w:tcPr>
            <w:tcW w:w="1595" w:type="pct"/>
            <w:tcBorders>
              <w:top w:val="single" w:sz="4" w:space="0" w:color="auto"/>
              <w:left w:val="nil"/>
              <w:bottom w:val="single" w:sz="4" w:space="0" w:color="auto"/>
              <w:right w:val="single" w:sz="4" w:space="0" w:color="auto"/>
            </w:tcBorders>
            <w:vAlign w:val="center"/>
          </w:tcPr>
          <w:p w14:paraId="27EAF28B" w14:textId="77777777" w:rsidR="008B6859" w:rsidRPr="008F7C86" w:rsidRDefault="008B6859" w:rsidP="003C6E60">
            <w:pPr>
              <w:jc w:val="both"/>
              <w:rPr>
                <w:color w:val="000000"/>
                <w:sz w:val="16"/>
                <w:szCs w:val="16"/>
              </w:rPr>
            </w:pPr>
            <w:r w:rsidRPr="008F7C86">
              <w:rPr>
                <w:sz w:val="16"/>
                <w:szCs w:val="16"/>
              </w:rPr>
              <w:t>Брой</w:t>
            </w:r>
          </w:p>
        </w:tc>
        <w:tc>
          <w:tcPr>
            <w:tcW w:w="449" w:type="pct"/>
            <w:tcBorders>
              <w:top w:val="nil"/>
              <w:left w:val="nil"/>
              <w:bottom w:val="single" w:sz="4" w:space="0" w:color="auto"/>
              <w:right w:val="single" w:sz="4" w:space="0" w:color="auto"/>
            </w:tcBorders>
            <w:vAlign w:val="center"/>
          </w:tcPr>
          <w:p w14:paraId="7B678992" w14:textId="77777777" w:rsidR="008B6859" w:rsidRPr="008F7C86" w:rsidRDefault="008B6859" w:rsidP="003C6E60">
            <w:pPr>
              <w:jc w:val="right"/>
              <w:rPr>
                <w:sz w:val="16"/>
                <w:szCs w:val="16"/>
              </w:rPr>
            </w:pPr>
            <w:r w:rsidRPr="008F7C86">
              <w:rPr>
                <w:sz w:val="16"/>
                <w:szCs w:val="16"/>
              </w:rPr>
              <w:t>2</w:t>
            </w:r>
          </w:p>
        </w:tc>
        <w:tc>
          <w:tcPr>
            <w:tcW w:w="454" w:type="pct"/>
            <w:tcBorders>
              <w:top w:val="nil"/>
              <w:left w:val="nil"/>
              <w:bottom w:val="single" w:sz="4" w:space="0" w:color="auto"/>
              <w:right w:val="single" w:sz="4" w:space="0" w:color="auto"/>
            </w:tcBorders>
            <w:shd w:val="clear" w:color="auto" w:fill="FFFFFF" w:themeFill="background1"/>
            <w:vAlign w:val="center"/>
          </w:tcPr>
          <w:p w14:paraId="4E15A664" w14:textId="77777777" w:rsidR="008B6859" w:rsidRPr="008F7C86" w:rsidRDefault="008B6859" w:rsidP="00DF1A3A">
            <w:pPr>
              <w:jc w:val="right"/>
              <w:rPr>
                <w:sz w:val="16"/>
                <w:szCs w:val="16"/>
              </w:rPr>
            </w:pPr>
            <w:r w:rsidRPr="008F7C86">
              <w:rPr>
                <w:sz w:val="16"/>
                <w:szCs w:val="16"/>
              </w:rPr>
              <w:t>1</w:t>
            </w:r>
          </w:p>
        </w:tc>
      </w:tr>
      <w:tr w:rsidR="008B6859" w:rsidRPr="008F7C86" w14:paraId="67C86783"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vAlign w:val="center"/>
          </w:tcPr>
          <w:p w14:paraId="3B618D35" w14:textId="77777777" w:rsidR="008B6859" w:rsidRPr="008F7C86" w:rsidRDefault="008B6859" w:rsidP="003C6E60">
            <w:pPr>
              <w:rPr>
                <w:sz w:val="16"/>
                <w:szCs w:val="16"/>
              </w:rPr>
            </w:pPr>
            <w:r w:rsidRPr="008F7C86">
              <w:rPr>
                <w:iCs/>
                <w:sz w:val="16"/>
                <w:szCs w:val="16"/>
              </w:rPr>
              <w:t xml:space="preserve">Провеждане на годишна информационна кампания на Мрежата от 27 Областни информационни центрове </w:t>
            </w:r>
          </w:p>
        </w:tc>
        <w:tc>
          <w:tcPr>
            <w:tcW w:w="1595" w:type="pct"/>
            <w:tcBorders>
              <w:top w:val="single" w:sz="4" w:space="0" w:color="auto"/>
              <w:left w:val="nil"/>
              <w:bottom w:val="single" w:sz="4" w:space="0" w:color="auto"/>
              <w:right w:val="single" w:sz="4" w:space="0" w:color="auto"/>
            </w:tcBorders>
            <w:vAlign w:val="center"/>
          </w:tcPr>
          <w:p w14:paraId="2872F51C" w14:textId="77777777" w:rsidR="008B6859" w:rsidRPr="008F7C86" w:rsidRDefault="008B6859" w:rsidP="003C6E60">
            <w:pPr>
              <w:jc w:val="both"/>
              <w:rPr>
                <w:color w:val="000000"/>
                <w:sz w:val="16"/>
                <w:szCs w:val="16"/>
              </w:rPr>
            </w:pPr>
            <w:r w:rsidRPr="008F7C86">
              <w:rPr>
                <w:sz w:val="16"/>
                <w:szCs w:val="16"/>
              </w:rPr>
              <w:t>Брой</w:t>
            </w:r>
          </w:p>
        </w:tc>
        <w:tc>
          <w:tcPr>
            <w:tcW w:w="449" w:type="pct"/>
            <w:tcBorders>
              <w:top w:val="nil"/>
              <w:left w:val="nil"/>
              <w:bottom w:val="single" w:sz="4" w:space="0" w:color="auto"/>
              <w:right w:val="single" w:sz="4" w:space="0" w:color="auto"/>
            </w:tcBorders>
            <w:vAlign w:val="center"/>
          </w:tcPr>
          <w:p w14:paraId="5D31F841" w14:textId="77777777" w:rsidR="008B6859" w:rsidRPr="008F7C86" w:rsidRDefault="008B6859" w:rsidP="003C6E60">
            <w:pPr>
              <w:jc w:val="right"/>
              <w:rPr>
                <w:sz w:val="16"/>
                <w:szCs w:val="16"/>
              </w:rPr>
            </w:pPr>
            <w:r w:rsidRPr="008F7C86">
              <w:rPr>
                <w:sz w:val="16"/>
                <w:szCs w:val="16"/>
              </w:rPr>
              <w:t>1</w:t>
            </w:r>
          </w:p>
        </w:tc>
        <w:tc>
          <w:tcPr>
            <w:tcW w:w="454" w:type="pct"/>
            <w:tcBorders>
              <w:top w:val="nil"/>
              <w:left w:val="nil"/>
              <w:bottom w:val="single" w:sz="4" w:space="0" w:color="auto"/>
              <w:right w:val="single" w:sz="4" w:space="0" w:color="auto"/>
            </w:tcBorders>
            <w:shd w:val="clear" w:color="auto" w:fill="FFFFFF" w:themeFill="background1"/>
            <w:vAlign w:val="center"/>
          </w:tcPr>
          <w:p w14:paraId="610DC195" w14:textId="77777777" w:rsidR="008B6859" w:rsidRPr="008F7C86" w:rsidRDefault="008B6859" w:rsidP="00DF1A3A">
            <w:pPr>
              <w:jc w:val="right"/>
              <w:rPr>
                <w:sz w:val="16"/>
                <w:szCs w:val="16"/>
              </w:rPr>
            </w:pPr>
            <w:r w:rsidRPr="008F7C86">
              <w:rPr>
                <w:sz w:val="16"/>
                <w:szCs w:val="16"/>
              </w:rPr>
              <w:t>1</w:t>
            </w:r>
          </w:p>
        </w:tc>
      </w:tr>
      <w:tr w:rsidR="008B6859" w:rsidRPr="008F7C86" w14:paraId="35990FF4"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vAlign w:val="center"/>
          </w:tcPr>
          <w:p w14:paraId="0E380C7F" w14:textId="77777777" w:rsidR="008B6859" w:rsidRPr="008F7C86" w:rsidRDefault="008B6859" w:rsidP="003C6E60">
            <w:pPr>
              <w:rPr>
                <w:sz w:val="16"/>
                <w:szCs w:val="16"/>
              </w:rPr>
            </w:pPr>
            <w:r w:rsidRPr="008F7C86">
              <w:rPr>
                <w:iCs/>
                <w:sz w:val="16"/>
                <w:szCs w:val="16"/>
              </w:rPr>
              <w:t>Провеждане на координационни срещи на Мрежата от областни информационни центрове</w:t>
            </w:r>
          </w:p>
        </w:tc>
        <w:tc>
          <w:tcPr>
            <w:tcW w:w="1595" w:type="pct"/>
            <w:tcBorders>
              <w:top w:val="single" w:sz="4" w:space="0" w:color="auto"/>
              <w:left w:val="nil"/>
              <w:bottom w:val="single" w:sz="4" w:space="0" w:color="auto"/>
              <w:right w:val="single" w:sz="4" w:space="0" w:color="auto"/>
            </w:tcBorders>
            <w:vAlign w:val="center"/>
          </w:tcPr>
          <w:p w14:paraId="174419F0" w14:textId="77777777" w:rsidR="008B6859" w:rsidRPr="008F7C86" w:rsidRDefault="008B6859" w:rsidP="003C6E60">
            <w:pPr>
              <w:jc w:val="both"/>
              <w:rPr>
                <w:color w:val="000000"/>
                <w:sz w:val="16"/>
                <w:szCs w:val="16"/>
              </w:rPr>
            </w:pPr>
            <w:r w:rsidRPr="008F7C86">
              <w:rPr>
                <w:sz w:val="16"/>
                <w:szCs w:val="16"/>
              </w:rPr>
              <w:t>Брой</w:t>
            </w:r>
          </w:p>
        </w:tc>
        <w:tc>
          <w:tcPr>
            <w:tcW w:w="449" w:type="pct"/>
            <w:tcBorders>
              <w:top w:val="nil"/>
              <w:left w:val="nil"/>
              <w:bottom w:val="single" w:sz="4" w:space="0" w:color="auto"/>
              <w:right w:val="single" w:sz="4" w:space="0" w:color="auto"/>
            </w:tcBorders>
            <w:vAlign w:val="center"/>
          </w:tcPr>
          <w:p w14:paraId="2AA3CFB3" w14:textId="77777777" w:rsidR="008B6859" w:rsidRPr="008F7C86" w:rsidRDefault="008B6859" w:rsidP="003C6E60">
            <w:pPr>
              <w:jc w:val="right"/>
              <w:rPr>
                <w:sz w:val="16"/>
                <w:szCs w:val="16"/>
              </w:rPr>
            </w:pPr>
            <w:r w:rsidRPr="008F7C86">
              <w:rPr>
                <w:sz w:val="16"/>
                <w:szCs w:val="16"/>
              </w:rPr>
              <w:t>2</w:t>
            </w:r>
          </w:p>
        </w:tc>
        <w:tc>
          <w:tcPr>
            <w:tcW w:w="454" w:type="pct"/>
            <w:tcBorders>
              <w:top w:val="nil"/>
              <w:left w:val="nil"/>
              <w:bottom w:val="single" w:sz="4" w:space="0" w:color="auto"/>
              <w:right w:val="single" w:sz="4" w:space="0" w:color="auto"/>
            </w:tcBorders>
            <w:shd w:val="clear" w:color="auto" w:fill="FFFFFF" w:themeFill="background1"/>
            <w:vAlign w:val="center"/>
          </w:tcPr>
          <w:p w14:paraId="6963D2C0" w14:textId="77777777" w:rsidR="008B6859" w:rsidRPr="008F7C86" w:rsidRDefault="008B6859" w:rsidP="00DF1A3A">
            <w:pPr>
              <w:jc w:val="right"/>
              <w:rPr>
                <w:sz w:val="16"/>
                <w:szCs w:val="16"/>
              </w:rPr>
            </w:pPr>
            <w:r w:rsidRPr="008F7C86">
              <w:rPr>
                <w:sz w:val="16"/>
                <w:szCs w:val="16"/>
              </w:rPr>
              <w:t>1</w:t>
            </w:r>
          </w:p>
        </w:tc>
      </w:tr>
      <w:bookmarkEnd w:id="49"/>
      <w:tr w:rsidR="008B6859" w:rsidRPr="008F7C86" w14:paraId="2F9EE9E6" w14:textId="77777777" w:rsidTr="0017418E">
        <w:trPr>
          <w:trHeight w:val="378"/>
          <w:jc w:val="center"/>
        </w:trPr>
        <w:tc>
          <w:tcPr>
            <w:tcW w:w="2502" w:type="pct"/>
            <w:tcBorders>
              <w:top w:val="single" w:sz="4" w:space="0" w:color="auto"/>
              <w:left w:val="single" w:sz="4" w:space="0" w:color="auto"/>
              <w:bottom w:val="single" w:sz="4" w:space="0" w:color="auto"/>
              <w:right w:val="single" w:sz="4" w:space="0" w:color="auto"/>
            </w:tcBorders>
            <w:shd w:val="clear" w:color="auto" w:fill="auto"/>
          </w:tcPr>
          <w:p w14:paraId="4C05D550" w14:textId="19AFFEDA" w:rsidR="008B6859" w:rsidRPr="0017418E" w:rsidRDefault="008B6859" w:rsidP="0017418E">
            <w:pPr>
              <w:rPr>
                <w:iCs/>
                <w:sz w:val="16"/>
                <w:szCs w:val="16"/>
              </w:rPr>
            </w:pPr>
            <w:r w:rsidRPr="0017418E">
              <w:rPr>
                <w:iCs/>
                <w:sz w:val="16"/>
                <w:szCs w:val="16"/>
              </w:rPr>
              <w:t xml:space="preserve">Изпълняване на функциите на секретариат на Комитета за наблюдение на ПТП </w:t>
            </w:r>
          </w:p>
        </w:tc>
        <w:tc>
          <w:tcPr>
            <w:tcW w:w="1595" w:type="pct"/>
            <w:tcBorders>
              <w:top w:val="single" w:sz="4" w:space="0" w:color="auto"/>
              <w:left w:val="nil"/>
              <w:bottom w:val="single" w:sz="4" w:space="0" w:color="auto"/>
              <w:right w:val="single" w:sz="4" w:space="0" w:color="auto"/>
            </w:tcBorders>
            <w:shd w:val="clear" w:color="auto" w:fill="auto"/>
            <w:vAlign w:val="center"/>
          </w:tcPr>
          <w:p w14:paraId="16D53774" w14:textId="77777777" w:rsidR="008B6859" w:rsidRPr="008F7C86" w:rsidRDefault="008B6859" w:rsidP="003C6E60">
            <w:pPr>
              <w:spacing w:before="120"/>
              <w:jc w:val="both"/>
              <w:rPr>
                <w:color w:val="000000"/>
                <w:sz w:val="16"/>
                <w:szCs w:val="16"/>
              </w:rPr>
            </w:pPr>
            <w:r w:rsidRPr="008F7C86">
              <w:rPr>
                <w:sz w:val="16"/>
                <w:szCs w:val="16"/>
              </w:rPr>
              <w:t>Брой</w:t>
            </w:r>
            <w:r w:rsidRPr="008F7C86">
              <w:rPr>
                <w:sz w:val="16"/>
                <w:szCs w:val="16"/>
                <w:vertAlign w:val="superscript"/>
              </w:rPr>
              <w:footnoteReference w:id="33"/>
            </w:r>
            <w:r w:rsidRPr="008F7C86">
              <w:rPr>
                <w:sz w:val="16"/>
                <w:szCs w:val="16"/>
              </w:rPr>
              <w:t xml:space="preserve"> </w:t>
            </w:r>
          </w:p>
        </w:tc>
        <w:tc>
          <w:tcPr>
            <w:tcW w:w="449" w:type="pct"/>
            <w:tcBorders>
              <w:top w:val="nil"/>
              <w:left w:val="nil"/>
              <w:bottom w:val="single" w:sz="4" w:space="0" w:color="auto"/>
              <w:right w:val="single" w:sz="4" w:space="0" w:color="auto"/>
            </w:tcBorders>
            <w:shd w:val="clear" w:color="auto" w:fill="auto"/>
            <w:vAlign w:val="center"/>
          </w:tcPr>
          <w:p w14:paraId="0CBD2B5F" w14:textId="77777777" w:rsidR="008B6859" w:rsidRPr="008F7C86" w:rsidRDefault="008B6859" w:rsidP="003C6E60">
            <w:pPr>
              <w:spacing w:before="120"/>
              <w:jc w:val="right"/>
              <w:rPr>
                <w:sz w:val="16"/>
                <w:szCs w:val="16"/>
              </w:rPr>
            </w:pPr>
            <w:r w:rsidRPr="008F7C86">
              <w:rPr>
                <w:sz w:val="16"/>
                <w:szCs w:val="16"/>
              </w:rPr>
              <w:t>2</w:t>
            </w:r>
          </w:p>
        </w:tc>
        <w:tc>
          <w:tcPr>
            <w:tcW w:w="454" w:type="pct"/>
            <w:tcBorders>
              <w:top w:val="nil"/>
              <w:left w:val="nil"/>
              <w:bottom w:val="single" w:sz="4" w:space="0" w:color="auto"/>
              <w:right w:val="single" w:sz="4" w:space="0" w:color="auto"/>
            </w:tcBorders>
            <w:shd w:val="clear" w:color="auto" w:fill="FFFFFF" w:themeFill="background1"/>
            <w:vAlign w:val="center"/>
          </w:tcPr>
          <w:p w14:paraId="503580E6" w14:textId="77777777" w:rsidR="008B6859" w:rsidRPr="008F7C86" w:rsidRDefault="008B6859" w:rsidP="003C6E60">
            <w:pPr>
              <w:spacing w:before="120"/>
              <w:jc w:val="right"/>
              <w:rPr>
                <w:sz w:val="16"/>
                <w:szCs w:val="16"/>
              </w:rPr>
            </w:pPr>
            <w:r w:rsidRPr="008F7C86">
              <w:rPr>
                <w:sz w:val="16"/>
                <w:szCs w:val="16"/>
              </w:rPr>
              <w:t>1</w:t>
            </w:r>
            <w:r w:rsidRPr="008F7C86">
              <w:rPr>
                <w:rStyle w:val="FootnoteReference"/>
                <w:sz w:val="16"/>
                <w:szCs w:val="16"/>
              </w:rPr>
              <w:footnoteReference w:id="34"/>
            </w:r>
          </w:p>
        </w:tc>
      </w:tr>
      <w:tr w:rsidR="008B6859" w:rsidRPr="008F7C86" w14:paraId="076F71EB"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shd w:val="clear" w:color="auto" w:fill="auto"/>
          </w:tcPr>
          <w:p w14:paraId="7E7FD712" w14:textId="77777777" w:rsidR="008B6859" w:rsidRPr="0017418E" w:rsidRDefault="008B6859" w:rsidP="0017418E">
            <w:pPr>
              <w:rPr>
                <w:iCs/>
                <w:sz w:val="16"/>
                <w:szCs w:val="16"/>
              </w:rPr>
            </w:pPr>
            <w:r w:rsidRPr="0017418E">
              <w:rPr>
                <w:iCs/>
                <w:sz w:val="16"/>
                <w:szCs w:val="16"/>
              </w:rPr>
              <w:t>Процедури за предоставяне на безвъзмездна финансова помощ по ПТП, открити за кандидатстване</w:t>
            </w:r>
          </w:p>
        </w:tc>
        <w:tc>
          <w:tcPr>
            <w:tcW w:w="1595" w:type="pct"/>
            <w:tcBorders>
              <w:top w:val="single" w:sz="4" w:space="0" w:color="auto"/>
              <w:left w:val="nil"/>
              <w:bottom w:val="single" w:sz="4" w:space="0" w:color="auto"/>
              <w:right w:val="single" w:sz="4" w:space="0" w:color="auto"/>
            </w:tcBorders>
            <w:shd w:val="clear" w:color="auto" w:fill="auto"/>
            <w:vAlign w:val="center"/>
          </w:tcPr>
          <w:p w14:paraId="096AC86D" w14:textId="77777777" w:rsidR="008B6859" w:rsidRPr="008F7C86" w:rsidRDefault="008B6859" w:rsidP="003C6E60">
            <w:pPr>
              <w:spacing w:before="120"/>
              <w:jc w:val="both"/>
              <w:rPr>
                <w:color w:val="000000"/>
                <w:sz w:val="16"/>
                <w:szCs w:val="16"/>
              </w:rPr>
            </w:pPr>
            <w:r w:rsidRPr="008F7C86">
              <w:rPr>
                <w:sz w:val="16"/>
                <w:szCs w:val="16"/>
              </w:rPr>
              <w:t>Брой</w:t>
            </w:r>
          </w:p>
        </w:tc>
        <w:tc>
          <w:tcPr>
            <w:tcW w:w="449" w:type="pct"/>
            <w:tcBorders>
              <w:top w:val="nil"/>
              <w:left w:val="nil"/>
              <w:bottom w:val="single" w:sz="4" w:space="0" w:color="auto"/>
              <w:right w:val="single" w:sz="4" w:space="0" w:color="auto"/>
            </w:tcBorders>
            <w:shd w:val="clear" w:color="auto" w:fill="auto"/>
            <w:vAlign w:val="center"/>
          </w:tcPr>
          <w:p w14:paraId="6097ACE0" w14:textId="77777777" w:rsidR="008B6859" w:rsidRPr="008F7C86" w:rsidRDefault="008B6859" w:rsidP="003C6E60">
            <w:pPr>
              <w:spacing w:before="120"/>
              <w:jc w:val="right"/>
              <w:rPr>
                <w:sz w:val="16"/>
                <w:szCs w:val="16"/>
              </w:rPr>
            </w:pPr>
            <w:r w:rsidRPr="008F7C86">
              <w:rPr>
                <w:sz w:val="16"/>
                <w:szCs w:val="16"/>
              </w:rPr>
              <w:t>-</w:t>
            </w:r>
          </w:p>
        </w:tc>
        <w:tc>
          <w:tcPr>
            <w:tcW w:w="454" w:type="pct"/>
            <w:tcBorders>
              <w:top w:val="nil"/>
              <w:left w:val="nil"/>
              <w:bottom w:val="single" w:sz="4" w:space="0" w:color="auto"/>
              <w:right w:val="single" w:sz="4" w:space="0" w:color="auto"/>
            </w:tcBorders>
            <w:shd w:val="clear" w:color="auto" w:fill="FFFFFF" w:themeFill="background1"/>
            <w:vAlign w:val="center"/>
          </w:tcPr>
          <w:p w14:paraId="35CFFED1" w14:textId="77777777" w:rsidR="008B6859" w:rsidRPr="008F7C86" w:rsidRDefault="008B6859" w:rsidP="003C6E60">
            <w:pPr>
              <w:spacing w:before="120"/>
              <w:jc w:val="right"/>
              <w:rPr>
                <w:sz w:val="16"/>
                <w:szCs w:val="16"/>
              </w:rPr>
            </w:pPr>
            <w:r w:rsidRPr="008F7C86">
              <w:rPr>
                <w:sz w:val="16"/>
                <w:szCs w:val="16"/>
              </w:rPr>
              <w:t>-</w:t>
            </w:r>
          </w:p>
        </w:tc>
      </w:tr>
      <w:tr w:rsidR="008B6859" w:rsidRPr="008F7C86" w14:paraId="3F18BD45"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shd w:val="clear" w:color="auto" w:fill="auto"/>
          </w:tcPr>
          <w:p w14:paraId="5971FD9D" w14:textId="77777777" w:rsidR="008B6859" w:rsidRPr="0017418E" w:rsidRDefault="008B6859" w:rsidP="0017418E">
            <w:pPr>
              <w:rPr>
                <w:iCs/>
                <w:sz w:val="16"/>
                <w:szCs w:val="16"/>
              </w:rPr>
            </w:pPr>
            <w:r w:rsidRPr="0017418E">
              <w:rPr>
                <w:iCs/>
                <w:sz w:val="16"/>
                <w:szCs w:val="16"/>
              </w:rPr>
              <w:t>Сключени договори/ издадени заповеди за предоставяне на безвъзмездна финансова помощ по ПТП</w:t>
            </w:r>
          </w:p>
        </w:tc>
        <w:tc>
          <w:tcPr>
            <w:tcW w:w="1595" w:type="pct"/>
            <w:tcBorders>
              <w:top w:val="single" w:sz="4" w:space="0" w:color="auto"/>
              <w:left w:val="nil"/>
              <w:bottom w:val="single" w:sz="4" w:space="0" w:color="auto"/>
              <w:right w:val="single" w:sz="4" w:space="0" w:color="auto"/>
            </w:tcBorders>
            <w:shd w:val="clear" w:color="auto" w:fill="auto"/>
            <w:vAlign w:val="center"/>
          </w:tcPr>
          <w:p w14:paraId="051B678D" w14:textId="77777777" w:rsidR="008B6859" w:rsidRPr="008F7C86" w:rsidRDefault="008B6859" w:rsidP="003C6E60">
            <w:pPr>
              <w:spacing w:before="120"/>
              <w:jc w:val="both"/>
              <w:rPr>
                <w:color w:val="000000"/>
                <w:sz w:val="16"/>
                <w:szCs w:val="16"/>
              </w:rPr>
            </w:pPr>
            <w:r w:rsidRPr="008F7C86">
              <w:rPr>
                <w:sz w:val="16"/>
                <w:szCs w:val="16"/>
              </w:rPr>
              <w:t>Брой</w:t>
            </w:r>
          </w:p>
        </w:tc>
        <w:tc>
          <w:tcPr>
            <w:tcW w:w="449" w:type="pct"/>
            <w:tcBorders>
              <w:top w:val="nil"/>
              <w:left w:val="nil"/>
              <w:bottom w:val="single" w:sz="4" w:space="0" w:color="auto"/>
              <w:right w:val="single" w:sz="4" w:space="0" w:color="auto"/>
            </w:tcBorders>
            <w:shd w:val="clear" w:color="auto" w:fill="auto"/>
            <w:vAlign w:val="center"/>
          </w:tcPr>
          <w:p w14:paraId="076034D6" w14:textId="77777777" w:rsidR="008B6859" w:rsidRPr="008F7C86" w:rsidRDefault="008B6859" w:rsidP="003C6E60">
            <w:pPr>
              <w:spacing w:before="120"/>
              <w:jc w:val="right"/>
              <w:rPr>
                <w:sz w:val="16"/>
                <w:szCs w:val="16"/>
              </w:rPr>
            </w:pPr>
            <w:r w:rsidRPr="008F7C86">
              <w:rPr>
                <w:sz w:val="16"/>
                <w:szCs w:val="16"/>
              </w:rPr>
              <w:t>160</w:t>
            </w:r>
          </w:p>
        </w:tc>
        <w:tc>
          <w:tcPr>
            <w:tcW w:w="454" w:type="pct"/>
            <w:tcBorders>
              <w:top w:val="nil"/>
              <w:left w:val="nil"/>
              <w:bottom w:val="single" w:sz="4" w:space="0" w:color="auto"/>
              <w:right w:val="single" w:sz="4" w:space="0" w:color="auto"/>
            </w:tcBorders>
            <w:shd w:val="clear" w:color="auto" w:fill="FFFFFF" w:themeFill="background1"/>
            <w:vAlign w:val="center"/>
          </w:tcPr>
          <w:p w14:paraId="10D7BA74" w14:textId="77777777" w:rsidR="008B6859" w:rsidRPr="008F7C86" w:rsidRDefault="008B6859" w:rsidP="003C6E60">
            <w:pPr>
              <w:spacing w:before="120"/>
              <w:jc w:val="right"/>
              <w:rPr>
                <w:sz w:val="16"/>
                <w:szCs w:val="16"/>
                <w:lang w:val="en-US"/>
              </w:rPr>
            </w:pPr>
            <w:r w:rsidRPr="008F7C86">
              <w:rPr>
                <w:sz w:val="16"/>
                <w:szCs w:val="16"/>
                <w:lang w:val="en-US"/>
              </w:rPr>
              <w:t>2</w:t>
            </w:r>
            <w:r w:rsidRPr="008F7C86">
              <w:rPr>
                <w:rStyle w:val="FootnoteReference"/>
                <w:sz w:val="16"/>
                <w:szCs w:val="16"/>
                <w:lang w:val="en-US"/>
              </w:rPr>
              <w:footnoteReference w:id="35"/>
            </w:r>
          </w:p>
        </w:tc>
      </w:tr>
      <w:tr w:rsidR="008B6859" w:rsidRPr="008F7C86" w14:paraId="291CB23E"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shd w:val="clear" w:color="auto" w:fill="auto"/>
          </w:tcPr>
          <w:p w14:paraId="3321E4B2" w14:textId="77777777" w:rsidR="008B6859" w:rsidRPr="0017418E" w:rsidRDefault="008B6859" w:rsidP="0017418E">
            <w:pPr>
              <w:rPr>
                <w:iCs/>
                <w:sz w:val="16"/>
                <w:szCs w:val="16"/>
              </w:rPr>
            </w:pPr>
            <w:r w:rsidRPr="0017418E">
              <w:rPr>
                <w:iCs/>
                <w:sz w:val="16"/>
                <w:szCs w:val="16"/>
              </w:rPr>
              <w:t>Проведени обучения на бенефициенти и/или членове на Комитета за наблюдение на ПТП</w:t>
            </w:r>
          </w:p>
        </w:tc>
        <w:tc>
          <w:tcPr>
            <w:tcW w:w="1595" w:type="pct"/>
            <w:tcBorders>
              <w:top w:val="single" w:sz="4" w:space="0" w:color="auto"/>
              <w:left w:val="nil"/>
              <w:bottom w:val="single" w:sz="4" w:space="0" w:color="auto"/>
              <w:right w:val="single" w:sz="4" w:space="0" w:color="auto"/>
            </w:tcBorders>
            <w:shd w:val="clear" w:color="auto" w:fill="auto"/>
            <w:vAlign w:val="center"/>
          </w:tcPr>
          <w:p w14:paraId="364F5855" w14:textId="77777777" w:rsidR="008B6859" w:rsidRPr="008F7C86" w:rsidRDefault="008B6859" w:rsidP="003C6E60">
            <w:pPr>
              <w:spacing w:before="120"/>
              <w:jc w:val="both"/>
              <w:rPr>
                <w:color w:val="000000"/>
                <w:sz w:val="16"/>
                <w:szCs w:val="16"/>
              </w:rPr>
            </w:pPr>
            <w:r w:rsidRPr="008F7C86">
              <w:rPr>
                <w:sz w:val="16"/>
                <w:szCs w:val="16"/>
              </w:rPr>
              <w:t>Брой</w:t>
            </w:r>
          </w:p>
        </w:tc>
        <w:tc>
          <w:tcPr>
            <w:tcW w:w="449" w:type="pct"/>
            <w:tcBorders>
              <w:top w:val="nil"/>
              <w:left w:val="nil"/>
              <w:bottom w:val="single" w:sz="4" w:space="0" w:color="auto"/>
              <w:right w:val="single" w:sz="4" w:space="0" w:color="auto"/>
            </w:tcBorders>
            <w:shd w:val="clear" w:color="auto" w:fill="auto"/>
            <w:vAlign w:val="center"/>
          </w:tcPr>
          <w:p w14:paraId="1CFC7C4A" w14:textId="77777777" w:rsidR="008B6859" w:rsidRPr="008F7C86" w:rsidRDefault="008B6859" w:rsidP="003C6E60">
            <w:pPr>
              <w:spacing w:before="120"/>
              <w:jc w:val="right"/>
              <w:rPr>
                <w:sz w:val="16"/>
                <w:szCs w:val="16"/>
              </w:rPr>
            </w:pPr>
            <w:r w:rsidRPr="008F7C86">
              <w:rPr>
                <w:sz w:val="16"/>
                <w:szCs w:val="16"/>
              </w:rPr>
              <w:t>1</w:t>
            </w:r>
          </w:p>
        </w:tc>
        <w:tc>
          <w:tcPr>
            <w:tcW w:w="454" w:type="pct"/>
            <w:tcBorders>
              <w:top w:val="nil"/>
              <w:left w:val="nil"/>
              <w:bottom w:val="single" w:sz="4" w:space="0" w:color="auto"/>
              <w:right w:val="single" w:sz="4" w:space="0" w:color="auto"/>
            </w:tcBorders>
            <w:shd w:val="clear" w:color="auto" w:fill="FFFFFF" w:themeFill="background1"/>
            <w:vAlign w:val="center"/>
          </w:tcPr>
          <w:p w14:paraId="1D38DA55" w14:textId="77777777" w:rsidR="008B6859" w:rsidRPr="008F7C86" w:rsidRDefault="008B6859" w:rsidP="003E644A">
            <w:pPr>
              <w:jc w:val="right"/>
              <w:rPr>
                <w:sz w:val="16"/>
                <w:szCs w:val="16"/>
              </w:rPr>
            </w:pPr>
            <w:r w:rsidRPr="008F7C86">
              <w:rPr>
                <w:sz w:val="16"/>
                <w:szCs w:val="16"/>
              </w:rPr>
              <w:t>1</w:t>
            </w:r>
          </w:p>
        </w:tc>
      </w:tr>
      <w:tr w:rsidR="008B6859" w:rsidRPr="008F7C86" w14:paraId="5DA27F6A" w14:textId="77777777" w:rsidTr="003B14AB">
        <w:trPr>
          <w:trHeight w:val="255"/>
          <w:jc w:val="center"/>
        </w:trPr>
        <w:tc>
          <w:tcPr>
            <w:tcW w:w="2502" w:type="pct"/>
            <w:tcBorders>
              <w:top w:val="single" w:sz="4" w:space="0" w:color="auto"/>
              <w:left w:val="single" w:sz="4" w:space="0" w:color="auto"/>
              <w:bottom w:val="single" w:sz="4" w:space="0" w:color="auto"/>
              <w:right w:val="single" w:sz="4" w:space="0" w:color="auto"/>
            </w:tcBorders>
            <w:shd w:val="clear" w:color="auto" w:fill="auto"/>
          </w:tcPr>
          <w:p w14:paraId="4CEEB350" w14:textId="77777777" w:rsidR="008B6859" w:rsidRPr="0017418E" w:rsidRDefault="008B6859" w:rsidP="0017418E">
            <w:pPr>
              <w:rPr>
                <w:iCs/>
                <w:sz w:val="16"/>
                <w:szCs w:val="16"/>
              </w:rPr>
            </w:pPr>
            <w:r w:rsidRPr="0017418E">
              <w:rPr>
                <w:iCs/>
                <w:sz w:val="16"/>
                <w:szCs w:val="16"/>
              </w:rPr>
              <w:t>Окончателен доклад за изпълнението по ОПДУ</w:t>
            </w:r>
          </w:p>
        </w:tc>
        <w:tc>
          <w:tcPr>
            <w:tcW w:w="1595" w:type="pct"/>
            <w:tcBorders>
              <w:top w:val="single" w:sz="4" w:space="0" w:color="auto"/>
              <w:left w:val="nil"/>
              <w:bottom w:val="single" w:sz="4" w:space="0" w:color="auto"/>
              <w:right w:val="single" w:sz="4" w:space="0" w:color="auto"/>
            </w:tcBorders>
            <w:shd w:val="clear" w:color="auto" w:fill="auto"/>
            <w:vAlign w:val="center"/>
          </w:tcPr>
          <w:p w14:paraId="7C61E624" w14:textId="77777777" w:rsidR="008B6859" w:rsidRPr="008F7C86" w:rsidRDefault="008B6859" w:rsidP="003C6E60">
            <w:pPr>
              <w:spacing w:before="120"/>
              <w:jc w:val="both"/>
              <w:rPr>
                <w:sz w:val="16"/>
                <w:szCs w:val="16"/>
              </w:rPr>
            </w:pPr>
            <w:r w:rsidRPr="008F7C86">
              <w:rPr>
                <w:sz w:val="16"/>
                <w:szCs w:val="16"/>
              </w:rPr>
              <w:t>Брой</w:t>
            </w:r>
          </w:p>
        </w:tc>
        <w:tc>
          <w:tcPr>
            <w:tcW w:w="449" w:type="pct"/>
            <w:tcBorders>
              <w:top w:val="nil"/>
              <w:left w:val="nil"/>
              <w:bottom w:val="single" w:sz="4" w:space="0" w:color="auto"/>
              <w:right w:val="single" w:sz="4" w:space="0" w:color="auto"/>
            </w:tcBorders>
            <w:shd w:val="clear" w:color="auto" w:fill="auto"/>
            <w:vAlign w:val="center"/>
          </w:tcPr>
          <w:p w14:paraId="52C6EA5D" w14:textId="77777777" w:rsidR="008B6859" w:rsidRPr="008F7C86" w:rsidRDefault="008B6859" w:rsidP="003C6E60">
            <w:pPr>
              <w:spacing w:before="120"/>
              <w:jc w:val="right"/>
              <w:rPr>
                <w:i/>
                <w:iCs/>
                <w:sz w:val="16"/>
                <w:szCs w:val="16"/>
              </w:rPr>
            </w:pPr>
            <w:r w:rsidRPr="008F7C86">
              <w:rPr>
                <w:sz w:val="16"/>
                <w:szCs w:val="16"/>
              </w:rPr>
              <w:t>-</w:t>
            </w:r>
          </w:p>
        </w:tc>
        <w:tc>
          <w:tcPr>
            <w:tcW w:w="454" w:type="pct"/>
            <w:tcBorders>
              <w:top w:val="nil"/>
              <w:left w:val="nil"/>
              <w:bottom w:val="single" w:sz="4" w:space="0" w:color="auto"/>
              <w:right w:val="single" w:sz="4" w:space="0" w:color="auto"/>
            </w:tcBorders>
            <w:shd w:val="clear" w:color="auto" w:fill="FFFFFF" w:themeFill="background1"/>
            <w:vAlign w:val="center"/>
          </w:tcPr>
          <w:p w14:paraId="3419D238" w14:textId="77777777" w:rsidR="008B6859" w:rsidRPr="008F7C86" w:rsidRDefault="008B6859" w:rsidP="003C6E60">
            <w:pPr>
              <w:spacing w:before="120"/>
              <w:jc w:val="right"/>
              <w:rPr>
                <w:iCs/>
                <w:sz w:val="16"/>
                <w:szCs w:val="16"/>
              </w:rPr>
            </w:pPr>
            <w:r w:rsidRPr="008F7C86">
              <w:rPr>
                <w:iCs/>
                <w:sz w:val="16"/>
                <w:szCs w:val="16"/>
              </w:rPr>
              <w:t>-</w:t>
            </w:r>
          </w:p>
        </w:tc>
      </w:tr>
      <w:tr w:rsidR="00B2702C" w:rsidRPr="008F7C86" w14:paraId="510ED855" w14:textId="77777777" w:rsidTr="003B14AB">
        <w:trPr>
          <w:trHeight w:val="330"/>
          <w:jc w:val="center"/>
        </w:trPr>
        <w:tc>
          <w:tcPr>
            <w:tcW w:w="2502" w:type="pct"/>
            <w:tcBorders>
              <w:top w:val="single" w:sz="4" w:space="0" w:color="auto"/>
              <w:left w:val="single" w:sz="4" w:space="0" w:color="auto"/>
              <w:bottom w:val="single" w:sz="4" w:space="0" w:color="auto"/>
              <w:right w:val="single" w:sz="4" w:space="0" w:color="auto"/>
            </w:tcBorders>
            <w:shd w:val="clear" w:color="auto" w:fill="auto"/>
          </w:tcPr>
          <w:p w14:paraId="3DFEF3E1" w14:textId="77777777" w:rsidR="008B6859" w:rsidRPr="0017418E" w:rsidRDefault="008B6859" w:rsidP="0017418E">
            <w:pPr>
              <w:rPr>
                <w:iCs/>
                <w:sz w:val="16"/>
                <w:szCs w:val="16"/>
              </w:rPr>
            </w:pPr>
            <w:r w:rsidRPr="0017418E">
              <w:rPr>
                <w:iCs/>
                <w:sz w:val="16"/>
                <w:szCs w:val="16"/>
              </w:rPr>
              <w:t xml:space="preserve">Изготвени доклади по сертификация по ОПДУ и доклади за извършена верификация по ПТП </w:t>
            </w:r>
          </w:p>
        </w:tc>
        <w:tc>
          <w:tcPr>
            <w:tcW w:w="1595" w:type="pct"/>
            <w:tcBorders>
              <w:top w:val="single" w:sz="4" w:space="0" w:color="auto"/>
              <w:left w:val="nil"/>
              <w:bottom w:val="single" w:sz="4" w:space="0" w:color="auto"/>
              <w:right w:val="single" w:sz="4" w:space="0" w:color="auto"/>
            </w:tcBorders>
            <w:shd w:val="clear" w:color="auto" w:fill="auto"/>
            <w:vAlign w:val="center"/>
          </w:tcPr>
          <w:p w14:paraId="78DEC791" w14:textId="77777777" w:rsidR="008B6859" w:rsidRPr="008F7C86" w:rsidRDefault="008B6859" w:rsidP="00590EE6">
            <w:pPr>
              <w:spacing w:before="240"/>
              <w:jc w:val="both"/>
              <w:rPr>
                <w:sz w:val="16"/>
                <w:szCs w:val="16"/>
              </w:rPr>
            </w:pPr>
            <w:r w:rsidRPr="008F7C86">
              <w:rPr>
                <w:sz w:val="16"/>
                <w:szCs w:val="16"/>
              </w:rPr>
              <w:t>Брой</w:t>
            </w:r>
          </w:p>
        </w:tc>
        <w:tc>
          <w:tcPr>
            <w:tcW w:w="449" w:type="pct"/>
            <w:tcBorders>
              <w:top w:val="nil"/>
              <w:left w:val="nil"/>
              <w:bottom w:val="single" w:sz="4" w:space="0" w:color="auto"/>
              <w:right w:val="single" w:sz="4" w:space="0" w:color="auto"/>
            </w:tcBorders>
            <w:shd w:val="clear" w:color="auto" w:fill="auto"/>
            <w:vAlign w:val="center"/>
          </w:tcPr>
          <w:p w14:paraId="159AF4CC" w14:textId="77777777" w:rsidR="008B6859" w:rsidRPr="008F7C86" w:rsidRDefault="008B6859" w:rsidP="00590EE6">
            <w:pPr>
              <w:spacing w:before="240"/>
              <w:jc w:val="right"/>
              <w:rPr>
                <w:sz w:val="16"/>
                <w:szCs w:val="16"/>
              </w:rPr>
            </w:pPr>
            <w:r w:rsidRPr="008F7C86">
              <w:rPr>
                <w:sz w:val="16"/>
                <w:szCs w:val="16"/>
              </w:rPr>
              <w:t>5</w:t>
            </w:r>
          </w:p>
        </w:tc>
        <w:tc>
          <w:tcPr>
            <w:tcW w:w="454" w:type="pct"/>
            <w:tcBorders>
              <w:top w:val="nil"/>
              <w:left w:val="nil"/>
              <w:bottom w:val="single" w:sz="4" w:space="0" w:color="auto"/>
              <w:right w:val="single" w:sz="4" w:space="0" w:color="auto"/>
            </w:tcBorders>
            <w:shd w:val="clear" w:color="auto" w:fill="FFFFFF" w:themeFill="background1"/>
            <w:vAlign w:val="center"/>
          </w:tcPr>
          <w:p w14:paraId="74ADF7F8" w14:textId="77777777" w:rsidR="008B6859" w:rsidRPr="008F7C86" w:rsidRDefault="008B6859" w:rsidP="00590EE6">
            <w:pPr>
              <w:spacing w:before="240"/>
              <w:jc w:val="right"/>
              <w:rPr>
                <w:sz w:val="16"/>
                <w:szCs w:val="16"/>
              </w:rPr>
            </w:pPr>
            <w:r w:rsidRPr="008F7C86">
              <w:rPr>
                <w:sz w:val="16"/>
                <w:szCs w:val="16"/>
              </w:rPr>
              <w:t>4</w:t>
            </w:r>
            <w:r w:rsidRPr="008F7C86">
              <w:rPr>
                <w:rStyle w:val="FootnoteReference"/>
                <w:sz w:val="16"/>
                <w:szCs w:val="16"/>
              </w:rPr>
              <w:footnoteReference w:id="36"/>
            </w:r>
          </w:p>
        </w:tc>
      </w:tr>
    </w:tbl>
    <w:p w14:paraId="5E5A81C8" w14:textId="77777777" w:rsidR="00B2702C" w:rsidRPr="003B14AB" w:rsidRDefault="00B2702C" w:rsidP="003B14AB">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3B14AB">
        <w:rPr>
          <w:b/>
          <w:bCs/>
          <w:i/>
          <w:iCs/>
          <w:color w:val="215E99" w:themeColor="text2" w:themeTint="BF"/>
          <w:sz w:val="22"/>
          <w:szCs w:val="22"/>
        </w:rPr>
        <w:t>Допълнителни дейности, изпълнявани от дирекция „Добро управление“:</w:t>
      </w:r>
    </w:p>
    <w:p w14:paraId="5131B6D6" w14:textId="369465C4" w:rsidR="00B2702C" w:rsidRPr="00762F39" w:rsidRDefault="00B2702C" w:rsidP="005A4ECE">
      <w:pPr>
        <w:shd w:val="clear" w:color="auto" w:fill="FFFFFF" w:themeFill="background1"/>
        <w:ind w:firstLine="425"/>
        <w:jc w:val="both"/>
        <w:rPr>
          <w:rFonts w:eastAsiaTheme="minorHAnsi"/>
          <w:sz w:val="22"/>
          <w:szCs w:val="22"/>
          <w:lang w:eastAsia="en-US"/>
        </w:rPr>
      </w:pPr>
      <w:r w:rsidRPr="00762F39">
        <w:rPr>
          <w:rFonts w:eastAsiaTheme="minorHAnsi"/>
          <w:sz w:val="22"/>
          <w:szCs w:val="22"/>
          <w:lang w:eastAsia="en-US"/>
        </w:rPr>
        <w:t>Съгласно чл. 77а, ал. 7</w:t>
      </w:r>
      <w:r w:rsidRPr="000D757C">
        <w:rPr>
          <w:rStyle w:val="FootnoteReference"/>
          <w:rFonts w:eastAsiaTheme="minorHAnsi"/>
          <w:sz w:val="16"/>
          <w:szCs w:val="16"/>
          <w:lang w:eastAsia="en-US"/>
        </w:rPr>
        <w:footnoteReference w:id="37"/>
      </w:r>
      <w:r w:rsidRPr="00762F39">
        <w:rPr>
          <w:rFonts w:eastAsiaTheme="minorHAnsi"/>
          <w:sz w:val="22"/>
          <w:szCs w:val="22"/>
          <w:lang w:eastAsia="en-US"/>
        </w:rPr>
        <w:t xml:space="preserve"> от Устройствения правилник на Министерския съвет и неговата администрация, след възлагане с РМС №</w:t>
      </w:r>
      <w:r w:rsidR="00D270CD">
        <w:rPr>
          <w:rFonts w:eastAsiaTheme="minorHAnsi"/>
          <w:sz w:val="22"/>
          <w:szCs w:val="22"/>
          <w:lang w:eastAsia="en-US"/>
        </w:rPr>
        <w:t xml:space="preserve"> </w:t>
      </w:r>
      <w:r w:rsidRPr="00762F39">
        <w:rPr>
          <w:rFonts w:eastAsiaTheme="minorHAnsi"/>
          <w:sz w:val="22"/>
          <w:szCs w:val="22"/>
          <w:lang w:eastAsia="en-US"/>
        </w:rPr>
        <w:t xml:space="preserve">677/19.09.2022 г., допълнено с </w:t>
      </w:r>
      <w:r w:rsidRPr="00762F39">
        <w:rPr>
          <w:sz w:val="22"/>
          <w:szCs w:val="22"/>
        </w:rPr>
        <w:t>РМС</w:t>
      </w:r>
      <w:r w:rsidRPr="00762F39">
        <w:rPr>
          <w:rFonts w:eastAsiaTheme="minorHAnsi"/>
          <w:sz w:val="22"/>
          <w:szCs w:val="22"/>
          <w:lang w:eastAsia="en-US"/>
        </w:rPr>
        <w:t xml:space="preserve"> № 214/27.03.2024 г., дирекция „Добро управление“ </w:t>
      </w:r>
      <w:r w:rsidRPr="00762F39">
        <w:rPr>
          <w:rFonts w:eastAsiaTheme="minorHAnsi"/>
          <w:bCs/>
          <w:sz w:val="22"/>
          <w:szCs w:val="22"/>
          <w:lang w:eastAsia="en-US"/>
        </w:rPr>
        <w:t>извършва верификация на разходи на УО на 8 други програми, изпълнявани през наст</w:t>
      </w:r>
      <w:r w:rsidRPr="00762F39">
        <w:rPr>
          <w:rFonts w:eastAsiaTheme="minorHAnsi"/>
          <w:sz w:val="22"/>
          <w:szCs w:val="22"/>
          <w:lang w:eastAsia="en-US"/>
        </w:rPr>
        <w:t xml:space="preserve">оящия и предходния програмни периоди. </w:t>
      </w:r>
    </w:p>
    <w:p w14:paraId="7B402022" w14:textId="77777777" w:rsidR="00B2702C" w:rsidRDefault="00B2702C" w:rsidP="000D757C">
      <w:pPr>
        <w:shd w:val="clear" w:color="auto" w:fill="FFFFFF" w:themeFill="background1"/>
        <w:spacing w:before="120" w:after="240"/>
        <w:ind w:firstLine="425"/>
        <w:jc w:val="both"/>
        <w:rPr>
          <w:rFonts w:eastAsiaTheme="minorHAnsi"/>
          <w:sz w:val="22"/>
          <w:szCs w:val="22"/>
          <w:lang w:eastAsia="en-US"/>
        </w:rPr>
      </w:pPr>
      <w:r w:rsidRPr="00762F39">
        <w:rPr>
          <w:rFonts w:eastAsiaTheme="minorHAnsi"/>
          <w:sz w:val="22"/>
          <w:szCs w:val="22"/>
          <w:lang w:eastAsia="en-US"/>
        </w:rPr>
        <w:lastRenderedPageBreak/>
        <w:t xml:space="preserve">През </w:t>
      </w:r>
      <w:r w:rsidRPr="00762F39">
        <w:rPr>
          <w:sz w:val="22"/>
          <w:szCs w:val="22"/>
        </w:rPr>
        <w:t>отчетния</w:t>
      </w:r>
      <w:r w:rsidRPr="00762F39">
        <w:rPr>
          <w:rFonts w:eastAsiaTheme="minorHAnsi"/>
          <w:sz w:val="22"/>
          <w:szCs w:val="22"/>
          <w:lang w:eastAsia="en-US"/>
        </w:rPr>
        <w:t xml:space="preserve"> период са верифицирани 22 броя искания за плащане.</w:t>
      </w:r>
    </w:p>
    <w:p w14:paraId="20E9D164" w14:textId="08CA0C49" w:rsidR="00143FE3" w:rsidRPr="003F11D5" w:rsidRDefault="003F11D5" w:rsidP="0017418E">
      <w:pPr>
        <w:widowControl w:val="0"/>
        <w:shd w:val="clear" w:color="auto" w:fill="FFFFFF" w:themeFill="background1"/>
        <w:tabs>
          <w:tab w:val="left" w:pos="426"/>
        </w:tabs>
        <w:ind w:firstLine="425"/>
        <w:jc w:val="both"/>
        <w:outlineLvl w:val="3"/>
        <w:rPr>
          <w:b/>
          <w:bCs/>
          <w:iCs/>
          <w:color w:val="215E99" w:themeColor="text2" w:themeTint="BF"/>
          <w:sz w:val="22"/>
          <w:szCs w:val="22"/>
          <w:lang w:eastAsia="en-US"/>
        </w:rPr>
      </w:pPr>
      <w:r w:rsidRPr="003F11D5">
        <w:rPr>
          <w:b/>
          <w:bCs/>
          <w:iCs/>
          <w:color w:val="215E99" w:themeColor="text2" w:themeTint="BF"/>
          <w:sz w:val="22"/>
          <w:szCs w:val="22"/>
          <w:lang w:eastAsia="en-US"/>
        </w:rPr>
        <w:t>О</w:t>
      </w:r>
      <w:r w:rsidR="00143FE3" w:rsidRPr="003F11D5">
        <w:rPr>
          <w:b/>
          <w:bCs/>
          <w:iCs/>
          <w:color w:val="215E99" w:themeColor="text2" w:themeTint="BF"/>
          <w:sz w:val="22"/>
          <w:szCs w:val="22"/>
          <w:lang w:eastAsia="en-US"/>
        </w:rPr>
        <w:t>тчет на разходите по бюджетната програма с разпределение по ведомствени и администрирани разходи</w:t>
      </w:r>
    </w:p>
    <w:p w14:paraId="725B8510" w14:textId="77777777" w:rsidR="003F11D5" w:rsidRPr="00B8648C" w:rsidRDefault="007828F8" w:rsidP="0017418E">
      <w:pPr>
        <w:shd w:val="clear" w:color="auto" w:fill="FFFFFF" w:themeFill="background1"/>
        <w:jc w:val="right"/>
        <w:rPr>
          <w:i/>
          <w:iCs/>
          <w:sz w:val="20"/>
          <w:szCs w:val="20"/>
        </w:rPr>
      </w:pPr>
      <w:r w:rsidRPr="00B8648C">
        <w:rPr>
          <w:b/>
          <w:bCs/>
          <w:i/>
          <w:iCs/>
          <w:sz w:val="20"/>
          <w:szCs w:val="20"/>
        </w:rPr>
        <w:t>Приложение № 7</w:t>
      </w:r>
      <w:r w:rsidRPr="00B8648C">
        <w:rPr>
          <w:i/>
          <w:iCs/>
          <w:sz w:val="20"/>
          <w:szCs w:val="20"/>
        </w:rPr>
        <w:t xml:space="preserve"> </w:t>
      </w:r>
    </w:p>
    <w:p w14:paraId="77C2A93C" w14:textId="64B79853" w:rsidR="007828F8" w:rsidRDefault="007828F8" w:rsidP="0017418E">
      <w:pPr>
        <w:shd w:val="clear" w:color="auto" w:fill="FFFFFF" w:themeFill="background1"/>
        <w:jc w:val="both"/>
        <w:rPr>
          <w:i/>
          <w:iCs/>
          <w:sz w:val="20"/>
          <w:szCs w:val="20"/>
        </w:rPr>
      </w:pPr>
      <w:r w:rsidRPr="00B8648C">
        <w:rPr>
          <w:i/>
          <w:iCs/>
          <w:sz w:val="20"/>
          <w:szCs w:val="20"/>
        </w:rPr>
        <w:t>Отчет на разходите по бюджетните програми с разпределение по ведомствени и администрирани разходи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378"/>
        <w:gridCol w:w="749"/>
        <w:gridCol w:w="838"/>
        <w:gridCol w:w="925"/>
      </w:tblGrid>
      <w:tr w:rsidR="00F65A81" w:rsidRPr="00F65A81" w14:paraId="0CE40C57" w14:textId="77777777" w:rsidTr="001D6D73">
        <w:trPr>
          <w:trHeight w:val="315"/>
        </w:trPr>
        <w:tc>
          <w:tcPr>
            <w:tcW w:w="310" w:type="pct"/>
            <w:vMerge w:val="restart"/>
            <w:shd w:val="clear" w:color="000000" w:fill="E6E6E6"/>
            <w:noWrap/>
            <w:vAlign w:val="center"/>
            <w:hideMark/>
          </w:tcPr>
          <w:p w14:paraId="1D239CC9" w14:textId="77777777" w:rsidR="00BB54C3" w:rsidRPr="00F65A81" w:rsidRDefault="00BB54C3">
            <w:pPr>
              <w:jc w:val="center"/>
              <w:rPr>
                <w:b/>
                <w:bCs/>
                <w:sz w:val="16"/>
                <w:szCs w:val="16"/>
              </w:rPr>
            </w:pPr>
            <w:r w:rsidRPr="00F65A81">
              <w:rPr>
                <w:b/>
                <w:bCs/>
                <w:sz w:val="16"/>
                <w:szCs w:val="16"/>
              </w:rPr>
              <w:t>№</w:t>
            </w:r>
          </w:p>
        </w:tc>
        <w:tc>
          <w:tcPr>
            <w:tcW w:w="3019" w:type="pct"/>
            <w:tcBorders>
              <w:bottom w:val="nil"/>
            </w:tcBorders>
            <w:shd w:val="clear" w:color="000000" w:fill="E6E6E6"/>
            <w:noWrap/>
            <w:vAlign w:val="center"/>
            <w:hideMark/>
          </w:tcPr>
          <w:p w14:paraId="7A429B1D" w14:textId="77777777" w:rsidR="00BB54C3" w:rsidRPr="00F65A81" w:rsidRDefault="00BB54C3">
            <w:pPr>
              <w:jc w:val="center"/>
              <w:rPr>
                <w:b/>
                <w:bCs/>
                <w:sz w:val="16"/>
                <w:szCs w:val="16"/>
              </w:rPr>
            </w:pPr>
            <w:r w:rsidRPr="00F65A81">
              <w:rPr>
                <w:b/>
                <w:bCs/>
                <w:sz w:val="16"/>
                <w:szCs w:val="16"/>
              </w:rPr>
              <w:t>0300.02.01 'Бюджетна програма „Координация при управление на средствата от ЕС”</w:t>
            </w:r>
          </w:p>
        </w:tc>
        <w:tc>
          <w:tcPr>
            <w:tcW w:w="531" w:type="pct"/>
            <w:vMerge w:val="restart"/>
            <w:shd w:val="clear" w:color="000000" w:fill="E6E6E6"/>
            <w:vAlign w:val="center"/>
            <w:hideMark/>
          </w:tcPr>
          <w:p w14:paraId="6845AE67" w14:textId="77777777" w:rsidR="00BB54C3" w:rsidRPr="00F65A81" w:rsidRDefault="00BB54C3">
            <w:pPr>
              <w:jc w:val="center"/>
              <w:rPr>
                <w:b/>
                <w:bCs/>
                <w:sz w:val="16"/>
                <w:szCs w:val="16"/>
              </w:rPr>
            </w:pPr>
            <w:r w:rsidRPr="00F65A81">
              <w:rPr>
                <w:b/>
                <w:bCs/>
                <w:sz w:val="16"/>
                <w:szCs w:val="16"/>
              </w:rPr>
              <w:t>Закон</w:t>
            </w:r>
          </w:p>
        </w:tc>
        <w:tc>
          <w:tcPr>
            <w:tcW w:w="533" w:type="pct"/>
            <w:vMerge w:val="restart"/>
            <w:shd w:val="clear" w:color="000000" w:fill="E6E6E6"/>
            <w:vAlign w:val="center"/>
            <w:hideMark/>
          </w:tcPr>
          <w:p w14:paraId="5440A3D2" w14:textId="77777777" w:rsidR="00BB54C3" w:rsidRPr="00F65A81" w:rsidRDefault="00BB54C3">
            <w:pPr>
              <w:jc w:val="center"/>
              <w:rPr>
                <w:b/>
                <w:bCs/>
                <w:sz w:val="16"/>
                <w:szCs w:val="16"/>
              </w:rPr>
            </w:pPr>
            <w:r w:rsidRPr="00F65A81">
              <w:rPr>
                <w:b/>
                <w:bCs/>
                <w:sz w:val="16"/>
                <w:szCs w:val="16"/>
              </w:rPr>
              <w:t>Уточнен план</w:t>
            </w:r>
          </w:p>
        </w:tc>
        <w:tc>
          <w:tcPr>
            <w:tcW w:w="606" w:type="pct"/>
            <w:vMerge w:val="restart"/>
            <w:shd w:val="clear" w:color="000000" w:fill="E6E6E6"/>
            <w:vAlign w:val="center"/>
            <w:hideMark/>
          </w:tcPr>
          <w:p w14:paraId="4ED99989" w14:textId="77777777" w:rsidR="00BB54C3" w:rsidRPr="00F65A81" w:rsidRDefault="00BB54C3">
            <w:pPr>
              <w:jc w:val="center"/>
              <w:rPr>
                <w:b/>
                <w:bCs/>
                <w:sz w:val="16"/>
                <w:szCs w:val="16"/>
              </w:rPr>
            </w:pPr>
            <w:r w:rsidRPr="00F65A81">
              <w:rPr>
                <w:b/>
                <w:bCs/>
                <w:sz w:val="16"/>
                <w:szCs w:val="16"/>
              </w:rPr>
              <w:t>Отчет</w:t>
            </w:r>
          </w:p>
        </w:tc>
      </w:tr>
      <w:tr w:rsidR="00BB54C3" w:rsidRPr="00F65A81" w14:paraId="03056A26" w14:textId="77777777" w:rsidTr="001D6D73">
        <w:trPr>
          <w:trHeight w:val="136"/>
        </w:trPr>
        <w:tc>
          <w:tcPr>
            <w:tcW w:w="310" w:type="pct"/>
            <w:vMerge/>
            <w:vAlign w:val="center"/>
            <w:hideMark/>
          </w:tcPr>
          <w:p w14:paraId="23BA2AD7" w14:textId="77777777" w:rsidR="00BB54C3" w:rsidRPr="00F65A81" w:rsidRDefault="00BB54C3">
            <w:pPr>
              <w:rPr>
                <w:b/>
                <w:bCs/>
                <w:sz w:val="16"/>
                <w:szCs w:val="16"/>
              </w:rPr>
            </w:pPr>
          </w:p>
        </w:tc>
        <w:tc>
          <w:tcPr>
            <w:tcW w:w="3019" w:type="pct"/>
            <w:tcBorders>
              <w:top w:val="nil"/>
            </w:tcBorders>
            <w:shd w:val="clear" w:color="000000" w:fill="E6E6E6"/>
            <w:noWrap/>
            <w:vAlign w:val="center"/>
            <w:hideMark/>
          </w:tcPr>
          <w:p w14:paraId="380A4DA7" w14:textId="77777777" w:rsidR="00BB54C3" w:rsidRPr="00F65A81" w:rsidRDefault="00BB54C3">
            <w:pPr>
              <w:jc w:val="center"/>
              <w:rPr>
                <w:b/>
                <w:bCs/>
                <w:sz w:val="16"/>
                <w:szCs w:val="16"/>
              </w:rPr>
            </w:pPr>
            <w:r w:rsidRPr="00F65A81">
              <w:rPr>
                <w:b/>
                <w:bCs/>
                <w:sz w:val="16"/>
                <w:szCs w:val="16"/>
              </w:rPr>
              <w:t>(в лева)</w:t>
            </w:r>
          </w:p>
        </w:tc>
        <w:tc>
          <w:tcPr>
            <w:tcW w:w="531" w:type="pct"/>
            <w:vMerge/>
            <w:vAlign w:val="center"/>
            <w:hideMark/>
          </w:tcPr>
          <w:p w14:paraId="7E51C772" w14:textId="77777777" w:rsidR="00BB54C3" w:rsidRPr="00F65A81" w:rsidRDefault="00BB54C3">
            <w:pPr>
              <w:rPr>
                <w:b/>
                <w:bCs/>
                <w:sz w:val="16"/>
                <w:szCs w:val="16"/>
              </w:rPr>
            </w:pPr>
          </w:p>
        </w:tc>
        <w:tc>
          <w:tcPr>
            <w:tcW w:w="533" w:type="pct"/>
            <w:vMerge/>
            <w:vAlign w:val="center"/>
            <w:hideMark/>
          </w:tcPr>
          <w:p w14:paraId="225D6111" w14:textId="77777777" w:rsidR="00BB54C3" w:rsidRPr="00F65A81" w:rsidRDefault="00BB54C3">
            <w:pPr>
              <w:rPr>
                <w:b/>
                <w:bCs/>
                <w:sz w:val="16"/>
                <w:szCs w:val="16"/>
              </w:rPr>
            </w:pPr>
          </w:p>
        </w:tc>
        <w:tc>
          <w:tcPr>
            <w:tcW w:w="606" w:type="pct"/>
            <w:vMerge/>
            <w:vAlign w:val="center"/>
            <w:hideMark/>
          </w:tcPr>
          <w:p w14:paraId="73619E5E" w14:textId="77777777" w:rsidR="00BB54C3" w:rsidRPr="00F65A81" w:rsidRDefault="00BB54C3">
            <w:pPr>
              <w:rPr>
                <w:b/>
                <w:bCs/>
                <w:sz w:val="16"/>
                <w:szCs w:val="16"/>
              </w:rPr>
            </w:pPr>
          </w:p>
        </w:tc>
      </w:tr>
      <w:tr w:rsidR="00F65A81" w:rsidRPr="00F65A81" w14:paraId="62171CE2" w14:textId="77777777" w:rsidTr="001D6D73">
        <w:trPr>
          <w:trHeight w:val="237"/>
        </w:trPr>
        <w:tc>
          <w:tcPr>
            <w:tcW w:w="310" w:type="pct"/>
            <w:shd w:val="clear" w:color="000000" w:fill="E6E6E6"/>
            <w:noWrap/>
            <w:vAlign w:val="center"/>
            <w:hideMark/>
          </w:tcPr>
          <w:p w14:paraId="01C5D9CC" w14:textId="77777777" w:rsidR="00BB54C3" w:rsidRPr="00F65A81" w:rsidRDefault="00BB54C3">
            <w:pPr>
              <w:jc w:val="both"/>
              <w:rPr>
                <w:b/>
                <w:bCs/>
                <w:sz w:val="16"/>
                <w:szCs w:val="16"/>
              </w:rPr>
            </w:pPr>
            <w:r w:rsidRPr="00F65A81">
              <w:rPr>
                <w:b/>
                <w:bCs/>
                <w:sz w:val="16"/>
                <w:szCs w:val="16"/>
              </w:rPr>
              <w:t>І.</w:t>
            </w:r>
          </w:p>
        </w:tc>
        <w:tc>
          <w:tcPr>
            <w:tcW w:w="3019" w:type="pct"/>
            <w:shd w:val="clear" w:color="000000" w:fill="E6E6E6"/>
            <w:noWrap/>
            <w:vAlign w:val="center"/>
            <w:hideMark/>
          </w:tcPr>
          <w:p w14:paraId="1E411E1D" w14:textId="77777777" w:rsidR="00BB54C3" w:rsidRPr="00F65A81" w:rsidRDefault="00BB54C3">
            <w:pPr>
              <w:rPr>
                <w:b/>
                <w:bCs/>
                <w:sz w:val="16"/>
                <w:szCs w:val="16"/>
              </w:rPr>
            </w:pPr>
            <w:r w:rsidRPr="00F65A81">
              <w:rPr>
                <w:b/>
                <w:bCs/>
                <w:sz w:val="16"/>
                <w:szCs w:val="16"/>
              </w:rPr>
              <w:t>Общо ведомствени разходи:</w:t>
            </w:r>
          </w:p>
        </w:tc>
        <w:tc>
          <w:tcPr>
            <w:tcW w:w="531" w:type="pct"/>
            <w:shd w:val="clear" w:color="000000" w:fill="E6E6E6"/>
            <w:noWrap/>
            <w:vAlign w:val="center"/>
            <w:hideMark/>
          </w:tcPr>
          <w:p w14:paraId="432CEF16" w14:textId="77777777" w:rsidR="00BB54C3" w:rsidRPr="00F65A81" w:rsidRDefault="00BB54C3">
            <w:pPr>
              <w:jc w:val="right"/>
              <w:rPr>
                <w:b/>
                <w:bCs/>
                <w:sz w:val="16"/>
                <w:szCs w:val="16"/>
              </w:rPr>
            </w:pPr>
            <w:r w:rsidRPr="00F65A81">
              <w:rPr>
                <w:b/>
                <w:bCs/>
                <w:sz w:val="16"/>
                <w:szCs w:val="16"/>
              </w:rPr>
              <w:t>501 800</w:t>
            </w:r>
          </w:p>
        </w:tc>
        <w:tc>
          <w:tcPr>
            <w:tcW w:w="533" w:type="pct"/>
            <w:shd w:val="clear" w:color="000000" w:fill="E6E6E6"/>
            <w:noWrap/>
            <w:vAlign w:val="center"/>
            <w:hideMark/>
          </w:tcPr>
          <w:p w14:paraId="2DDCE5CD" w14:textId="77777777" w:rsidR="00BB54C3" w:rsidRPr="00F65A81" w:rsidRDefault="00BB54C3">
            <w:pPr>
              <w:jc w:val="right"/>
              <w:rPr>
                <w:b/>
                <w:bCs/>
                <w:sz w:val="16"/>
                <w:szCs w:val="16"/>
              </w:rPr>
            </w:pPr>
            <w:r w:rsidRPr="00F65A81">
              <w:rPr>
                <w:b/>
                <w:bCs/>
                <w:sz w:val="16"/>
                <w:szCs w:val="16"/>
              </w:rPr>
              <w:t>501 800</w:t>
            </w:r>
          </w:p>
        </w:tc>
        <w:tc>
          <w:tcPr>
            <w:tcW w:w="606" w:type="pct"/>
            <w:shd w:val="clear" w:color="000000" w:fill="E6E6E6"/>
            <w:noWrap/>
            <w:vAlign w:val="center"/>
            <w:hideMark/>
          </w:tcPr>
          <w:p w14:paraId="0E68B5E7" w14:textId="77777777" w:rsidR="00BB54C3" w:rsidRPr="00F65A81" w:rsidRDefault="00BB54C3">
            <w:pPr>
              <w:jc w:val="right"/>
              <w:rPr>
                <w:b/>
                <w:bCs/>
                <w:sz w:val="16"/>
                <w:szCs w:val="16"/>
              </w:rPr>
            </w:pPr>
            <w:r w:rsidRPr="00F65A81">
              <w:rPr>
                <w:b/>
                <w:bCs/>
                <w:sz w:val="16"/>
                <w:szCs w:val="16"/>
              </w:rPr>
              <w:t>4 662 273</w:t>
            </w:r>
          </w:p>
        </w:tc>
      </w:tr>
      <w:tr w:rsidR="00BB54C3" w:rsidRPr="00F65A81" w14:paraId="58DAD99A" w14:textId="77777777" w:rsidTr="001D6D73">
        <w:trPr>
          <w:trHeight w:val="128"/>
        </w:trPr>
        <w:tc>
          <w:tcPr>
            <w:tcW w:w="310" w:type="pct"/>
            <w:shd w:val="clear" w:color="auto" w:fill="auto"/>
            <w:noWrap/>
            <w:vAlign w:val="center"/>
            <w:hideMark/>
          </w:tcPr>
          <w:p w14:paraId="2BBBEC42" w14:textId="77777777" w:rsidR="00BB54C3" w:rsidRPr="00F65A81" w:rsidRDefault="00BB54C3">
            <w:pPr>
              <w:jc w:val="both"/>
              <w:rPr>
                <w:sz w:val="16"/>
                <w:szCs w:val="16"/>
              </w:rPr>
            </w:pPr>
            <w:r w:rsidRPr="00F65A81">
              <w:rPr>
                <w:sz w:val="16"/>
                <w:szCs w:val="16"/>
              </w:rPr>
              <w:t> </w:t>
            </w:r>
          </w:p>
        </w:tc>
        <w:tc>
          <w:tcPr>
            <w:tcW w:w="3019" w:type="pct"/>
            <w:shd w:val="clear" w:color="auto" w:fill="auto"/>
            <w:noWrap/>
            <w:vAlign w:val="center"/>
            <w:hideMark/>
          </w:tcPr>
          <w:p w14:paraId="636377DE" w14:textId="55117CC7" w:rsidR="00BB54C3" w:rsidRPr="00F65A81" w:rsidRDefault="00BB54C3" w:rsidP="00F65A81">
            <w:pPr>
              <w:ind w:firstLine="163"/>
              <w:rPr>
                <w:sz w:val="16"/>
                <w:szCs w:val="16"/>
              </w:rPr>
            </w:pPr>
            <w:r w:rsidRPr="00F65A81">
              <w:rPr>
                <w:sz w:val="16"/>
                <w:szCs w:val="16"/>
              </w:rPr>
              <w:t>Персонал</w:t>
            </w:r>
          </w:p>
        </w:tc>
        <w:tc>
          <w:tcPr>
            <w:tcW w:w="531" w:type="pct"/>
            <w:shd w:val="clear" w:color="auto" w:fill="auto"/>
            <w:noWrap/>
            <w:vAlign w:val="center"/>
            <w:hideMark/>
          </w:tcPr>
          <w:p w14:paraId="79FA5BF5" w14:textId="77777777" w:rsidR="00BB54C3" w:rsidRPr="00F65A81" w:rsidRDefault="00BB54C3">
            <w:pPr>
              <w:jc w:val="right"/>
              <w:rPr>
                <w:sz w:val="16"/>
                <w:szCs w:val="16"/>
              </w:rPr>
            </w:pPr>
            <w:r w:rsidRPr="00F65A81">
              <w:rPr>
                <w:sz w:val="16"/>
                <w:szCs w:val="16"/>
              </w:rPr>
              <w:t>443 300</w:t>
            </w:r>
          </w:p>
        </w:tc>
        <w:tc>
          <w:tcPr>
            <w:tcW w:w="533" w:type="pct"/>
            <w:shd w:val="clear" w:color="auto" w:fill="auto"/>
            <w:noWrap/>
            <w:vAlign w:val="center"/>
            <w:hideMark/>
          </w:tcPr>
          <w:p w14:paraId="14A6BDD1" w14:textId="77777777" w:rsidR="00BB54C3" w:rsidRPr="00F65A81" w:rsidRDefault="00BB54C3">
            <w:pPr>
              <w:jc w:val="right"/>
              <w:rPr>
                <w:sz w:val="16"/>
                <w:szCs w:val="16"/>
              </w:rPr>
            </w:pPr>
            <w:r w:rsidRPr="00F65A81">
              <w:rPr>
                <w:sz w:val="16"/>
                <w:szCs w:val="16"/>
              </w:rPr>
              <w:t>443 300</w:t>
            </w:r>
          </w:p>
        </w:tc>
        <w:tc>
          <w:tcPr>
            <w:tcW w:w="606" w:type="pct"/>
            <w:shd w:val="clear" w:color="auto" w:fill="auto"/>
            <w:noWrap/>
            <w:vAlign w:val="center"/>
            <w:hideMark/>
          </w:tcPr>
          <w:p w14:paraId="5BCCBF7C" w14:textId="77777777" w:rsidR="00BB54C3" w:rsidRPr="00F65A81" w:rsidRDefault="00BB54C3">
            <w:pPr>
              <w:jc w:val="right"/>
              <w:rPr>
                <w:sz w:val="16"/>
                <w:szCs w:val="16"/>
              </w:rPr>
            </w:pPr>
            <w:r w:rsidRPr="00F65A81">
              <w:rPr>
                <w:sz w:val="16"/>
                <w:szCs w:val="16"/>
              </w:rPr>
              <w:t>3 690 758</w:t>
            </w:r>
          </w:p>
        </w:tc>
      </w:tr>
      <w:tr w:rsidR="00BB54C3" w:rsidRPr="00F65A81" w14:paraId="18080711" w14:textId="77777777" w:rsidTr="001D6D73">
        <w:trPr>
          <w:trHeight w:val="74"/>
        </w:trPr>
        <w:tc>
          <w:tcPr>
            <w:tcW w:w="310" w:type="pct"/>
            <w:shd w:val="clear" w:color="auto" w:fill="auto"/>
            <w:noWrap/>
            <w:vAlign w:val="center"/>
            <w:hideMark/>
          </w:tcPr>
          <w:p w14:paraId="5EDAD5D1" w14:textId="77777777" w:rsidR="00BB54C3" w:rsidRPr="00F65A81" w:rsidRDefault="00BB54C3">
            <w:pPr>
              <w:jc w:val="both"/>
              <w:rPr>
                <w:sz w:val="16"/>
                <w:szCs w:val="16"/>
              </w:rPr>
            </w:pPr>
            <w:r w:rsidRPr="00F65A81">
              <w:rPr>
                <w:sz w:val="16"/>
                <w:szCs w:val="16"/>
              </w:rPr>
              <w:t> </w:t>
            </w:r>
          </w:p>
        </w:tc>
        <w:tc>
          <w:tcPr>
            <w:tcW w:w="3019" w:type="pct"/>
            <w:shd w:val="clear" w:color="auto" w:fill="auto"/>
            <w:noWrap/>
            <w:vAlign w:val="center"/>
            <w:hideMark/>
          </w:tcPr>
          <w:p w14:paraId="0C4989D9" w14:textId="6EA92D99" w:rsidR="00BB54C3" w:rsidRPr="00F65A81" w:rsidRDefault="00BB54C3" w:rsidP="00F65A81">
            <w:pPr>
              <w:ind w:firstLine="163"/>
              <w:rPr>
                <w:sz w:val="16"/>
                <w:szCs w:val="16"/>
              </w:rPr>
            </w:pPr>
            <w:r w:rsidRPr="00F65A81">
              <w:rPr>
                <w:sz w:val="16"/>
                <w:szCs w:val="16"/>
              </w:rPr>
              <w:t>Издръжка</w:t>
            </w:r>
          </w:p>
        </w:tc>
        <w:tc>
          <w:tcPr>
            <w:tcW w:w="531" w:type="pct"/>
            <w:shd w:val="clear" w:color="auto" w:fill="auto"/>
            <w:noWrap/>
            <w:vAlign w:val="center"/>
            <w:hideMark/>
          </w:tcPr>
          <w:p w14:paraId="7C39F1EA" w14:textId="77777777" w:rsidR="00BB54C3" w:rsidRPr="00F65A81" w:rsidRDefault="00BB54C3">
            <w:pPr>
              <w:jc w:val="right"/>
              <w:rPr>
                <w:sz w:val="16"/>
                <w:szCs w:val="16"/>
              </w:rPr>
            </w:pPr>
            <w:r w:rsidRPr="00F65A81">
              <w:rPr>
                <w:sz w:val="16"/>
                <w:szCs w:val="16"/>
              </w:rPr>
              <w:t>58 500</w:t>
            </w:r>
          </w:p>
        </w:tc>
        <w:tc>
          <w:tcPr>
            <w:tcW w:w="533" w:type="pct"/>
            <w:shd w:val="clear" w:color="auto" w:fill="auto"/>
            <w:noWrap/>
            <w:vAlign w:val="center"/>
            <w:hideMark/>
          </w:tcPr>
          <w:p w14:paraId="5602A507" w14:textId="77777777" w:rsidR="00BB54C3" w:rsidRPr="00F65A81" w:rsidRDefault="00BB54C3">
            <w:pPr>
              <w:jc w:val="right"/>
              <w:rPr>
                <w:sz w:val="16"/>
                <w:szCs w:val="16"/>
              </w:rPr>
            </w:pPr>
            <w:r w:rsidRPr="00F65A81">
              <w:rPr>
                <w:sz w:val="16"/>
                <w:szCs w:val="16"/>
              </w:rPr>
              <w:t>58 500</w:t>
            </w:r>
          </w:p>
        </w:tc>
        <w:tc>
          <w:tcPr>
            <w:tcW w:w="606" w:type="pct"/>
            <w:shd w:val="clear" w:color="auto" w:fill="auto"/>
            <w:noWrap/>
            <w:vAlign w:val="center"/>
            <w:hideMark/>
          </w:tcPr>
          <w:p w14:paraId="3E81E3AC" w14:textId="77777777" w:rsidR="00BB54C3" w:rsidRPr="00F65A81" w:rsidRDefault="00BB54C3">
            <w:pPr>
              <w:jc w:val="right"/>
              <w:rPr>
                <w:sz w:val="16"/>
                <w:szCs w:val="16"/>
              </w:rPr>
            </w:pPr>
            <w:r w:rsidRPr="00F65A81">
              <w:rPr>
                <w:sz w:val="16"/>
                <w:szCs w:val="16"/>
              </w:rPr>
              <w:t>967 075</w:t>
            </w:r>
          </w:p>
        </w:tc>
      </w:tr>
      <w:tr w:rsidR="00BB54C3" w:rsidRPr="00F65A81" w14:paraId="051E9D94" w14:textId="77777777" w:rsidTr="001D6D73">
        <w:trPr>
          <w:trHeight w:val="161"/>
        </w:trPr>
        <w:tc>
          <w:tcPr>
            <w:tcW w:w="310" w:type="pct"/>
            <w:shd w:val="clear" w:color="auto" w:fill="auto"/>
            <w:noWrap/>
            <w:vAlign w:val="center"/>
            <w:hideMark/>
          </w:tcPr>
          <w:p w14:paraId="0703D8E4" w14:textId="77777777" w:rsidR="00BB54C3" w:rsidRPr="00F65A81" w:rsidRDefault="00BB54C3">
            <w:pPr>
              <w:jc w:val="both"/>
              <w:rPr>
                <w:sz w:val="16"/>
                <w:szCs w:val="16"/>
              </w:rPr>
            </w:pPr>
            <w:r w:rsidRPr="00F65A81">
              <w:rPr>
                <w:sz w:val="16"/>
                <w:szCs w:val="16"/>
              </w:rPr>
              <w:t> </w:t>
            </w:r>
          </w:p>
        </w:tc>
        <w:tc>
          <w:tcPr>
            <w:tcW w:w="3019" w:type="pct"/>
            <w:shd w:val="clear" w:color="auto" w:fill="auto"/>
            <w:noWrap/>
            <w:vAlign w:val="center"/>
            <w:hideMark/>
          </w:tcPr>
          <w:p w14:paraId="39A461C5" w14:textId="2C38F600" w:rsidR="00BB54C3" w:rsidRPr="00F65A81" w:rsidRDefault="00BB54C3" w:rsidP="00F65A81">
            <w:pPr>
              <w:ind w:firstLine="163"/>
              <w:rPr>
                <w:sz w:val="16"/>
                <w:szCs w:val="16"/>
              </w:rPr>
            </w:pPr>
            <w:r w:rsidRPr="00F65A81">
              <w:rPr>
                <w:sz w:val="16"/>
                <w:szCs w:val="16"/>
              </w:rPr>
              <w:t>Капиталови разходи</w:t>
            </w:r>
          </w:p>
        </w:tc>
        <w:tc>
          <w:tcPr>
            <w:tcW w:w="531" w:type="pct"/>
            <w:shd w:val="clear" w:color="auto" w:fill="auto"/>
            <w:noWrap/>
            <w:vAlign w:val="center"/>
            <w:hideMark/>
          </w:tcPr>
          <w:p w14:paraId="72478C38" w14:textId="77777777" w:rsidR="00BB54C3" w:rsidRPr="00F65A81" w:rsidRDefault="00BB54C3">
            <w:pPr>
              <w:jc w:val="right"/>
              <w:rPr>
                <w:sz w:val="16"/>
                <w:szCs w:val="16"/>
              </w:rPr>
            </w:pPr>
            <w:r w:rsidRPr="00F65A81">
              <w:rPr>
                <w:sz w:val="16"/>
                <w:szCs w:val="16"/>
              </w:rPr>
              <w:t>0</w:t>
            </w:r>
          </w:p>
        </w:tc>
        <w:tc>
          <w:tcPr>
            <w:tcW w:w="533" w:type="pct"/>
            <w:shd w:val="clear" w:color="auto" w:fill="auto"/>
            <w:noWrap/>
            <w:vAlign w:val="center"/>
            <w:hideMark/>
          </w:tcPr>
          <w:p w14:paraId="3DDB2F63" w14:textId="77777777" w:rsidR="00BB54C3" w:rsidRPr="00F65A81" w:rsidRDefault="00BB54C3">
            <w:pPr>
              <w:jc w:val="right"/>
              <w:rPr>
                <w:sz w:val="16"/>
                <w:szCs w:val="16"/>
              </w:rPr>
            </w:pPr>
            <w:r w:rsidRPr="00F65A81">
              <w:rPr>
                <w:sz w:val="16"/>
                <w:szCs w:val="16"/>
              </w:rPr>
              <w:t>0</w:t>
            </w:r>
          </w:p>
        </w:tc>
        <w:tc>
          <w:tcPr>
            <w:tcW w:w="606" w:type="pct"/>
            <w:shd w:val="clear" w:color="auto" w:fill="auto"/>
            <w:noWrap/>
            <w:vAlign w:val="center"/>
            <w:hideMark/>
          </w:tcPr>
          <w:p w14:paraId="1CB5CA4D" w14:textId="77777777" w:rsidR="00BB54C3" w:rsidRPr="00F65A81" w:rsidRDefault="00BB54C3">
            <w:pPr>
              <w:jc w:val="right"/>
              <w:rPr>
                <w:sz w:val="16"/>
                <w:szCs w:val="16"/>
              </w:rPr>
            </w:pPr>
            <w:r w:rsidRPr="00F65A81">
              <w:rPr>
                <w:sz w:val="16"/>
                <w:szCs w:val="16"/>
              </w:rPr>
              <w:t>4 440</w:t>
            </w:r>
          </w:p>
        </w:tc>
      </w:tr>
      <w:tr w:rsidR="00F65A81" w:rsidRPr="00F65A81" w14:paraId="4187430C" w14:textId="77777777" w:rsidTr="00E10833">
        <w:trPr>
          <w:trHeight w:val="250"/>
        </w:trPr>
        <w:tc>
          <w:tcPr>
            <w:tcW w:w="310" w:type="pct"/>
            <w:shd w:val="clear" w:color="000000" w:fill="E6E6E6"/>
            <w:noWrap/>
            <w:vAlign w:val="center"/>
            <w:hideMark/>
          </w:tcPr>
          <w:p w14:paraId="028FF3B0" w14:textId="77777777" w:rsidR="00BB54C3" w:rsidRPr="00F65A81" w:rsidRDefault="00BB54C3">
            <w:pPr>
              <w:jc w:val="both"/>
              <w:rPr>
                <w:b/>
                <w:bCs/>
                <w:sz w:val="16"/>
                <w:szCs w:val="16"/>
              </w:rPr>
            </w:pPr>
            <w:r w:rsidRPr="00F65A81">
              <w:rPr>
                <w:b/>
                <w:bCs/>
                <w:sz w:val="16"/>
                <w:szCs w:val="16"/>
              </w:rPr>
              <w:t>1</w:t>
            </w:r>
          </w:p>
        </w:tc>
        <w:tc>
          <w:tcPr>
            <w:tcW w:w="3019" w:type="pct"/>
            <w:shd w:val="clear" w:color="000000" w:fill="E6E6E6"/>
            <w:noWrap/>
            <w:vAlign w:val="center"/>
            <w:hideMark/>
          </w:tcPr>
          <w:p w14:paraId="67844DE6" w14:textId="77777777" w:rsidR="00BB54C3" w:rsidRPr="00F65A81" w:rsidRDefault="00BB54C3">
            <w:pPr>
              <w:ind w:firstLineChars="300" w:firstLine="482"/>
              <w:rPr>
                <w:b/>
                <w:bCs/>
                <w:sz w:val="16"/>
                <w:szCs w:val="16"/>
              </w:rPr>
            </w:pPr>
            <w:r w:rsidRPr="00F65A81">
              <w:rPr>
                <w:b/>
                <w:bCs/>
                <w:sz w:val="16"/>
                <w:szCs w:val="16"/>
              </w:rPr>
              <w:t>Ведомствени разходи по бюджета на ПРБ:</w:t>
            </w:r>
          </w:p>
        </w:tc>
        <w:tc>
          <w:tcPr>
            <w:tcW w:w="531" w:type="pct"/>
            <w:shd w:val="clear" w:color="000000" w:fill="E6E6E6"/>
            <w:noWrap/>
            <w:vAlign w:val="center"/>
            <w:hideMark/>
          </w:tcPr>
          <w:p w14:paraId="59AD5BC7" w14:textId="77777777" w:rsidR="00BB54C3" w:rsidRPr="00F65A81" w:rsidRDefault="00BB54C3">
            <w:pPr>
              <w:jc w:val="right"/>
              <w:rPr>
                <w:b/>
                <w:bCs/>
                <w:sz w:val="16"/>
                <w:szCs w:val="16"/>
              </w:rPr>
            </w:pPr>
            <w:r w:rsidRPr="00F65A81">
              <w:rPr>
                <w:b/>
                <w:bCs/>
                <w:sz w:val="16"/>
                <w:szCs w:val="16"/>
              </w:rPr>
              <w:t>501 800</w:t>
            </w:r>
          </w:p>
        </w:tc>
        <w:tc>
          <w:tcPr>
            <w:tcW w:w="533" w:type="pct"/>
            <w:shd w:val="clear" w:color="000000" w:fill="E6E6E6"/>
            <w:noWrap/>
            <w:vAlign w:val="center"/>
            <w:hideMark/>
          </w:tcPr>
          <w:p w14:paraId="6AA6CF5C" w14:textId="77777777" w:rsidR="00BB54C3" w:rsidRPr="00F65A81" w:rsidRDefault="00BB54C3">
            <w:pPr>
              <w:jc w:val="right"/>
              <w:rPr>
                <w:b/>
                <w:bCs/>
                <w:sz w:val="16"/>
                <w:szCs w:val="16"/>
              </w:rPr>
            </w:pPr>
            <w:r w:rsidRPr="00F65A81">
              <w:rPr>
                <w:b/>
                <w:bCs/>
                <w:sz w:val="16"/>
                <w:szCs w:val="16"/>
              </w:rPr>
              <w:t>501 800</w:t>
            </w:r>
          </w:p>
        </w:tc>
        <w:tc>
          <w:tcPr>
            <w:tcW w:w="606" w:type="pct"/>
            <w:shd w:val="clear" w:color="000000" w:fill="E6E6E6"/>
            <w:noWrap/>
            <w:vAlign w:val="center"/>
            <w:hideMark/>
          </w:tcPr>
          <w:p w14:paraId="1C6DF61C" w14:textId="77777777" w:rsidR="00BB54C3" w:rsidRPr="00F65A81" w:rsidRDefault="00BB54C3">
            <w:pPr>
              <w:jc w:val="right"/>
              <w:rPr>
                <w:b/>
                <w:bCs/>
                <w:sz w:val="16"/>
                <w:szCs w:val="16"/>
              </w:rPr>
            </w:pPr>
            <w:r w:rsidRPr="00F65A81">
              <w:rPr>
                <w:b/>
                <w:bCs/>
                <w:sz w:val="16"/>
                <w:szCs w:val="16"/>
              </w:rPr>
              <w:t>256 058</w:t>
            </w:r>
          </w:p>
        </w:tc>
      </w:tr>
      <w:tr w:rsidR="00BB54C3" w:rsidRPr="00F65A81" w14:paraId="10E3D26D" w14:textId="77777777" w:rsidTr="00E10833">
        <w:trPr>
          <w:trHeight w:val="139"/>
        </w:trPr>
        <w:tc>
          <w:tcPr>
            <w:tcW w:w="310" w:type="pct"/>
            <w:shd w:val="clear" w:color="auto" w:fill="auto"/>
            <w:noWrap/>
            <w:vAlign w:val="center"/>
            <w:hideMark/>
          </w:tcPr>
          <w:p w14:paraId="7D240A02" w14:textId="77777777" w:rsidR="00BB54C3" w:rsidRPr="00F65A81" w:rsidRDefault="00BB54C3">
            <w:pPr>
              <w:jc w:val="both"/>
              <w:rPr>
                <w:sz w:val="16"/>
                <w:szCs w:val="16"/>
              </w:rPr>
            </w:pPr>
            <w:r w:rsidRPr="00F65A81">
              <w:rPr>
                <w:sz w:val="16"/>
                <w:szCs w:val="16"/>
              </w:rPr>
              <w:t> </w:t>
            </w:r>
          </w:p>
        </w:tc>
        <w:tc>
          <w:tcPr>
            <w:tcW w:w="3019" w:type="pct"/>
            <w:shd w:val="clear" w:color="auto" w:fill="auto"/>
            <w:noWrap/>
            <w:vAlign w:val="center"/>
            <w:hideMark/>
          </w:tcPr>
          <w:p w14:paraId="6AA0E915" w14:textId="74B848A3" w:rsidR="00BB54C3" w:rsidRPr="00F65A81" w:rsidRDefault="00BB54C3" w:rsidP="009108B5">
            <w:pPr>
              <w:ind w:firstLineChars="367" w:firstLine="587"/>
              <w:rPr>
                <w:sz w:val="16"/>
                <w:szCs w:val="16"/>
              </w:rPr>
            </w:pPr>
            <w:r w:rsidRPr="00F65A81">
              <w:rPr>
                <w:sz w:val="16"/>
                <w:szCs w:val="16"/>
              </w:rPr>
              <w:t>Персонал</w:t>
            </w:r>
          </w:p>
        </w:tc>
        <w:tc>
          <w:tcPr>
            <w:tcW w:w="531" w:type="pct"/>
            <w:shd w:val="clear" w:color="auto" w:fill="auto"/>
            <w:vAlign w:val="center"/>
            <w:hideMark/>
          </w:tcPr>
          <w:p w14:paraId="3A1ABC4C" w14:textId="77777777" w:rsidR="00BB54C3" w:rsidRPr="00F65A81" w:rsidRDefault="00BB54C3">
            <w:pPr>
              <w:jc w:val="right"/>
              <w:rPr>
                <w:sz w:val="16"/>
                <w:szCs w:val="16"/>
              </w:rPr>
            </w:pPr>
            <w:r w:rsidRPr="00F65A81">
              <w:rPr>
                <w:sz w:val="16"/>
                <w:szCs w:val="16"/>
              </w:rPr>
              <w:t>443 300</w:t>
            </w:r>
          </w:p>
        </w:tc>
        <w:tc>
          <w:tcPr>
            <w:tcW w:w="533" w:type="pct"/>
            <w:shd w:val="clear" w:color="auto" w:fill="auto"/>
            <w:noWrap/>
            <w:vAlign w:val="center"/>
            <w:hideMark/>
          </w:tcPr>
          <w:p w14:paraId="2EB67824" w14:textId="77777777" w:rsidR="00BB54C3" w:rsidRPr="00F65A81" w:rsidRDefault="00BB54C3">
            <w:pPr>
              <w:jc w:val="right"/>
              <w:rPr>
                <w:sz w:val="16"/>
                <w:szCs w:val="16"/>
              </w:rPr>
            </w:pPr>
            <w:r w:rsidRPr="00F65A81">
              <w:rPr>
                <w:sz w:val="16"/>
                <w:szCs w:val="16"/>
              </w:rPr>
              <w:t>443 300</w:t>
            </w:r>
          </w:p>
        </w:tc>
        <w:tc>
          <w:tcPr>
            <w:tcW w:w="606" w:type="pct"/>
            <w:shd w:val="clear" w:color="auto" w:fill="auto"/>
            <w:noWrap/>
            <w:vAlign w:val="center"/>
            <w:hideMark/>
          </w:tcPr>
          <w:p w14:paraId="292BD053" w14:textId="77777777" w:rsidR="00BB54C3" w:rsidRPr="00F65A81" w:rsidRDefault="00BB54C3">
            <w:pPr>
              <w:jc w:val="right"/>
              <w:rPr>
                <w:sz w:val="16"/>
                <w:szCs w:val="16"/>
              </w:rPr>
            </w:pPr>
            <w:r w:rsidRPr="00F65A81">
              <w:rPr>
                <w:sz w:val="16"/>
                <w:szCs w:val="16"/>
              </w:rPr>
              <w:t>234 508</w:t>
            </w:r>
          </w:p>
        </w:tc>
      </w:tr>
      <w:tr w:rsidR="00BB54C3" w:rsidRPr="00F65A81" w14:paraId="0CFDA232" w14:textId="77777777" w:rsidTr="00E10833">
        <w:trPr>
          <w:trHeight w:val="86"/>
        </w:trPr>
        <w:tc>
          <w:tcPr>
            <w:tcW w:w="310" w:type="pct"/>
            <w:shd w:val="clear" w:color="auto" w:fill="auto"/>
            <w:noWrap/>
            <w:vAlign w:val="center"/>
            <w:hideMark/>
          </w:tcPr>
          <w:p w14:paraId="0F0C6403" w14:textId="77777777" w:rsidR="00BB54C3" w:rsidRPr="00F65A81" w:rsidRDefault="00BB54C3">
            <w:pPr>
              <w:jc w:val="both"/>
              <w:rPr>
                <w:sz w:val="16"/>
                <w:szCs w:val="16"/>
              </w:rPr>
            </w:pPr>
            <w:r w:rsidRPr="00F65A81">
              <w:rPr>
                <w:sz w:val="16"/>
                <w:szCs w:val="16"/>
              </w:rPr>
              <w:t> </w:t>
            </w:r>
          </w:p>
        </w:tc>
        <w:tc>
          <w:tcPr>
            <w:tcW w:w="3019" w:type="pct"/>
            <w:shd w:val="clear" w:color="auto" w:fill="auto"/>
            <w:noWrap/>
            <w:vAlign w:val="center"/>
            <w:hideMark/>
          </w:tcPr>
          <w:p w14:paraId="69657458" w14:textId="09115B97" w:rsidR="00BB54C3" w:rsidRPr="00F65A81" w:rsidRDefault="00BB54C3" w:rsidP="008A38F8">
            <w:pPr>
              <w:ind w:firstLineChars="367" w:firstLine="587"/>
              <w:rPr>
                <w:sz w:val="16"/>
                <w:szCs w:val="16"/>
              </w:rPr>
            </w:pPr>
            <w:r w:rsidRPr="00F65A81">
              <w:rPr>
                <w:sz w:val="16"/>
                <w:szCs w:val="16"/>
              </w:rPr>
              <w:t>Издръжка</w:t>
            </w:r>
          </w:p>
        </w:tc>
        <w:tc>
          <w:tcPr>
            <w:tcW w:w="531" w:type="pct"/>
            <w:shd w:val="clear" w:color="auto" w:fill="auto"/>
            <w:vAlign w:val="center"/>
            <w:hideMark/>
          </w:tcPr>
          <w:p w14:paraId="742D4914" w14:textId="77777777" w:rsidR="00BB54C3" w:rsidRPr="00F65A81" w:rsidRDefault="00BB54C3">
            <w:pPr>
              <w:jc w:val="right"/>
              <w:rPr>
                <w:sz w:val="16"/>
                <w:szCs w:val="16"/>
              </w:rPr>
            </w:pPr>
            <w:r w:rsidRPr="00F65A81">
              <w:rPr>
                <w:sz w:val="16"/>
                <w:szCs w:val="16"/>
              </w:rPr>
              <w:t>58 500</w:t>
            </w:r>
          </w:p>
        </w:tc>
        <w:tc>
          <w:tcPr>
            <w:tcW w:w="533" w:type="pct"/>
            <w:shd w:val="clear" w:color="auto" w:fill="auto"/>
            <w:noWrap/>
            <w:vAlign w:val="center"/>
            <w:hideMark/>
          </w:tcPr>
          <w:p w14:paraId="085980CD" w14:textId="77777777" w:rsidR="00BB54C3" w:rsidRPr="00F65A81" w:rsidRDefault="00BB54C3">
            <w:pPr>
              <w:jc w:val="right"/>
              <w:rPr>
                <w:sz w:val="16"/>
                <w:szCs w:val="16"/>
              </w:rPr>
            </w:pPr>
            <w:r w:rsidRPr="00F65A81">
              <w:rPr>
                <w:sz w:val="16"/>
                <w:szCs w:val="16"/>
              </w:rPr>
              <w:t>58 500</w:t>
            </w:r>
          </w:p>
        </w:tc>
        <w:tc>
          <w:tcPr>
            <w:tcW w:w="606" w:type="pct"/>
            <w:shd w:val="clear" w:color="auto" w:fill="auto"/>
            <w:noWrap/>
            <w:vAlign w:val="center"/>
            <w:hideMark/>
          </w:tcPr>
          <w:p w14:paraId="6CAEE7C0" w14:textId="77777777" w:rsidR="00BB54C3" w:rsidRPr="00F65A81" w:rsidRDefault="00BB54C3">
            <w:pPr>
              <w:jc w:val="right"/>
              <w:rPr>
                <w:sz w:val="16"/>
                <w:szCs w:val="16"/>
              </w:rPr>
            </w:pPr>
            <w:r w:rsidRPr="00F65A81">
              <w:rPr>
                <w:sz w:val="16"/>
                <w:szCs w:val="16"/>
              </w:rPr>
              <w:t>21 550</w:t>
            </w:r>
          </w:p>
        </w:tc>
      </w:tr>
      <w:tr w:rsidR="00BB54C3" w:rsidRPr="00F65A81" w14:paraId="4F90D7DD" w14:textId="77777777" w:rsidTr="00E10833">
        <w:trPr>
          <w:trHeight w:val="174"/>
        </w:trPr>
        <w:tc>
          <w:tcPr>
            <w:tcW w:w="310" w:type="pct"/>
            <w:shd w:val="clear" w:color="auto" w:fill="auto"/>
            <w:noWrap/>
            <w:vAlign w:val="center"/>
            <w:hideMark/>
          </w:tcPr>
          <w:p w14:paraId="79440BF0" w14:textId="77777777" w:rsidR="00BB54C3" w:rsidRPr="00F65A81" w:rsidRDefault="00BB54C3">
            <w:pPr>
              <w:jc w:val="both"/>
              <w:rPr>
                <w:sz w:val="16"/>
                <w:szCs w:val="16"/>
              </w:rPr>
            </w:pPr>
            <w:r w:rsidRPr="00F65A81">
              <w:rPr>
                <w:sz w:val="16"/>
                <w:szCs w:val="16"/>
              </w:rPr>
              <w:t> </w:t>
            </w:r>
          </w:p>
        </w:tc>
        <w:tc>
          <w:tcPr>
            <w:tcW w:w="3019" w:type="pct"/>
            <w:shd w:val="clear" w:color="auto" w:fill="auto"/>
            <w:noWrap/>
            <w:vAlign w:val="center"/>
            <w:hideMark/>
          </w:tcPr>
          <w:p w14:paraId="428AE3BC" w14:textId="75AA7905" w:rsidR="00BB54C3" w:rsidRPr="00F65A81" w:rsidRDefault="00BB54C3" w:rsidP="008A38F8">
            <w:pPr>
              <w:ind w:firstLineChars="367" w:firstLine="587"/>
              <w:rPr>
                <w:sz w:val="16"/>
                <w:szCs w:val="16"/>
              </w:rPr>
            </w:pPr>
            <w:r w:rsidRPr="00F65A81">
              <w:rPr>
                <w:sz w:val="16"/>
                <w:szCs w:val="16"/>
              </w:rPr>
              <w:t>Капиталови разходи</w:t>
            </w:r>
          </w:p>
        </w:tc>
        <w:tc>
          <w:tcPr>
            <w:tcW w:w="531" w:type="pct"/>
            <w:shd w:val="clear" w:color="auto" w:fill="auto"/>
            <w:noWrap/>
            <w:vAlign w:val="center"/>
            <w:hideMark/>
          </w:tcPr>
          <w:p w14:paraId="654F6C5A" w14:textId="77777777" w:rsidR="00BB54C3" w:rsidRPr="00F65A81" w:rsidRDefault="00BB54C3">
            <w:pPr>
              <w:jc w:val="right"/>
              <w:rPr>
                <w:sz w:val="16"/>
                <w:szCs w:val="16"/>
              </w:rPr>
            </w:pPr>
            <w:r w:rsidRPr="00F65A81">
              <w:rPr>
                <w:sz w:val="16"/>
                <w:szCs w:val="16"/>
              </w:rPr>
              <w:t> </w:t>
            </w:r>
          </w:p>
        </w:tc>
        <w:tc>
          <w:tcPr>
            <w:tcW w:w="533" w:type="pct"/>
            <w:shd w:val="clear" w:color="auto" w:fill="auto"/>
            <w:noWrap/>
            <w:vAlign w:val="center"/>
            <w:hideMark/>
          </w:tcPr>
          <w:p w14:paraId="32FC965B" w14:textId="77777777" w:rsidR="00BB54C3" w:rsidRPr="00F65A81" w:rsidRDefault="00BB54C3">
            <w:pPr>
              <w:jc w:val="right"/>
              <w:rPr>
                <w:sz w:val="16"/>
                <w:szCs w:val="16"/>
              </w:rPr>
            </w:pPr>
            <w:r w:rsidRPr="00F65A81">
              <w:rPr>
                <w:sz w:val="16"/>
                <w:szCs w:val="16"/>
              </w:rPr>
              <w:t> </w:t>
            </w:r>
          </w:p>
        </w:tc>
        <w:tc>
          <w:tcPr>
            <w:tcW w:w="606" w:type="pct"/>
            <w:shd w:val="clear" w:color="auto" w:fill="auto"/>
            <w:noWrap/>
            <w:vAlign w:val="center"/>
            <w:hideMark/>
          </w:tcPr>
          <w:p w14:paraId="1F20FCD9" w14:textId="77777777" w:rsidR="00BB54C3" w:rsidRPr="00F65A81" w:rsidRDefault="00BB54C3">
            <w:pPr>
              <w:jc w:val="right"/>
              <w:rPr>
                <w:sz w:val="16"/>
                <w:szCs w:val="16"/>
              </w:rPr>
            </w:pPr>
            <w:r w:rsidRPr="00F65A81">
              <w:rPr>
                <w:sz w:val="16"/>
                <w:szCs w:val="16"/>
              </w:rPr>
              <w:t> </w:t>
            </w:r>
          </w:p>
        </w:tc>
      </w:tr>
      <w:tr w:rsidR="00F65A81" w:rsidRPr="00F65A81" w14:paraId="3C1A48B5" w14:textId="77777777" w:rsidTr="00E10833">
        <w:trPr>
          <w:trHeight w:val="261"/>
        </w:trPr>
        <w:tc>
          <w:tcPr>
            <w:tcW w:w="310" w:type="pct"/>
            <w:shd w:val="clear" w:color="000000" w:fill="E6E6E6"/>
            <w:noWrap/>
            <w:vAlign w:val="center"/>
            <w:hideMark/>
          </w:tcPr>
          <w:p w14:paraId="02B61A9F" w14:textId="77777777" w:rsidR="00BB54C3" w:rsidRPr="00F65A81" w:rsidRDefault="00BB54C3">
            <w:pPr>
              <w:jc w:val="both"/>
              <w:rPr>
                <w:b/>
                <w:bCs/>
                <w:sz w:val="16"/>
                <w:szCs w:val="16"/>
              </w:rPr>
            </w:pPr>
            <w:r w:rsidRPr="00F65A81">
              <w:rPr>
                <w:b/>
                <w:bCs/>
                <w:sz w:val="16"/>
                <w:szCs w:val="16"/>
              </w:rPr>
              <w:t>2</w:t>
            </w:r>
          </w:p>
        </w:tc>
        <w:tc>
          <w:tcPr>
            <w:tcW w:w="3019" w:type="pct"/>
            <w:shd w:val="clear" w:color="000000" w:fill="E6E6E6"/>
            <w:noWrap/>
            <w:vAlign w:val="center"/>
            <w:hideMark/>
          </w:tcPr>
          <w:p w14:paraId="1F27F75E" w14:textId="77777777" w:rsidR="00BB54C3" w:rsidRPr="00F65A81" w:rsidRDefault="00BB54C3">
            <w:pPr>
              <w:ind w:firstLineChars="300" w:firstLine="482"/>
              <w:rPr>
                <w:b/>
                <w:bCs/>
                <w:sz w:val="16"/>
                <w:szCs w:val="16"/>
              </w:rPr>
            </w:pPr>
            <w:r w:rsidRPr="00F65A81">
              <w:rPr>
                <w:b/>
                <w:bCs/>
                <w:sz w:val="16"/>
                <w:szCs w:val="16"/>
              </w:rPr>
              <w:t xml:space="preserve">Ведомствени разходи по други бюджети и сметки за средства от ЕС </w:t>
            </w:r>
          </w:p>
        </w:tc>
        <w:tc>
          <w:tcPr>
            <w:tcW w:w="531" w:type="pct"/>
            <w:shd w:val="clear" w:color="000000" w:fill="E6E6E6"/>
            <w:noWrap/>
            <w:vAlign w:val="center"/>
            <w:hideMark/>
          </w:tcPr>
          <w:p w14:paraId="5B498E11" w14:textId="77777777" w:rsidR="00BB54C3" w:rsidRPr="00F65A81" w:rsidRDefault="00BB54C3">
            <w:pPr>
              <w:jc w:val="right"/>
              <w:rPr>
                <w:b/>
                <w:bCs/>
                <w:sz w:val="16"/>
                <w:szCs w:val="16"/>
              </w:rPr>
            </w:pPr>
            <w:r w:rsidRPr="00F65A81">
              <w:rPr>
                <w:b/>
                <w:bCs/>
                <w:sz w:val="16"/>
                <w:szCs w:val="16"/>
              </w:rPr>
              <w:t>0</w:t>
            </w:r>
          </w:p>
        </w:tc>
        <w:tc>
          <w:tcPr>
            <w:tcW w:w="533" w:type="pct"/>
            <w:shd w:val="clear" w:color="000000" w:fill="E6E6E6"/>
            <w:noWrap/>
            <w:vAlign w:val="center"/>
            <w:hideMark/>
          </w:tcPr>
          <w:p w14:paraId="2FDC0682" w14:textId="77777777" w:rsidR="00BB54C3" w:rsidRPr="00F65A81" w:rsidRDefault="00BB54C3">
            <w:pPr>
              <w:jc w:val="right"/>
              <w:rPr>
                <w:b/>
                <w:bCs/>
                <w:sz w:val="16"/>
                <w:szCs w:val="16"/>
              </w:rPr>
            </w:pPr>
            <w:r w:rsidRPr="00F65A81">
              <w:rPr>
                <w:b/>
                <w:bCs/>
                <w:sz w:val="16"/>
                <w:szCs w:val="16"/>
              </w:rPr>
              <w:t>0</w:t>
            </w:r>
          </w:p>
        </w:tc>
        <w:tc>
          <w:tcPr>
            <w:tcW w:w="606" w:type="pct"/>
            <w:shd w:val="clear" w:color="000000" w:fill="E6E6E6"/>
            <w:noWrap/>
            <w:vAlign w:val="center"/>
            <w:hideMark/>
          </w:tcPr>
          <w:p w14:paraId="26F26505" w14:textId="77777777" w:rsidR="00BB54C3" w:rsidRPr="00F65A81" w:rsidRDefault="00BB54C3">
            <w:pPr>
              <w:jc w:val="right"/>
              <w:rPr>
                <w:b/>
                <w:bCs/>
                <w:sz w:val="16"/>
                <w:szCs w:val="16"/>
              </w:rPr>
            </w:pPr>
            <w:r w:rsidRPr="00F65A81">
              <w:rPr>
                <w:b/>
                <w:bCs/>
                <w:sz w:val="16"/>
                <w:szCs w:val="16"/>
              </w:rPr>
              <w:t>4 406 215</w:t>
            </w:r>
          </w:p>
        </w:tc>
      </w:tr>
      <w:tr w:rsidR="00BB54C3" w:rsidRPr="00F65A81" w14:paraId="10394EA4" w14:textId="77777777" w:rsidTr="00E10833">
        <w:trPr>
          <w:trHeight w:val="124"/>
        </w:trPr>
        <w:tc>
          <w:tcPr>
            <w:tcW w:w="310" w:type="pct"/>
            <w:shd w:val="clear" w:color="auto" w:fill="auto"/>
            <w:noWrap/>
            <w:vAlign w:val="center"/>
            <w:hideMark/>
          </w:tcPr>
          <w:p w14:paraId="57642411" w14:textId="77777777" w:rsidR="00BB54C3" w:rsidRPr="00F65A81" w:rsidRDefault="00BB54C3">
            <w:pPr>
              <w:jc w:val="both"/>
              <w:rPr>
                <w:sz w:val="16"/>
                <w:szCs w:val="16"/>
              </w:rPr>
            </w:pPr>
            <w:r w:rsidRPr="00F65A81">
              <w:rPr>
                <w:sz w:val="16"/>
                <w:szCs w:val="16"/>
              </w:rPr>
              <w:t> </w:t>
            </w:r>
          </w:p>
        </w:tc>
        <w:tc>
          <w:tcPr>
            <w:tcW w:w="3019" w:type="pct"/>
            <w:shd w:val="clear" w:color="auto" w:fill="auto"/>
            <w:noWrap/>
            <w:vAlign w:val="center"/>
            <w:hideMark/>
          </w:tcPr>
          <w:p w14:paraId="37C871A0" w14:textId="3CB84919" w:rsidR="00BB54C3" w:rsidRPr="00F65A81" w:rsidRDefault="00BB54C3" w:rsidP="008A38F8">
            <w:pPr>
              <w:ind w:firstLineChars="367" w:firstLine="587"/>
              <w:rPr>
                <w:sz w:val="16"/>
                <w:szCs w:val="16"/>
              </w:rPr>
            </w:pPr>
            <w:r w:rsidRPr="00F65A81">
              <w:rPr>
                <w:sz w:val="16"/>
                <w:szCs w:val="16"/>
              </w:rPr>
              <w:t>Персонал</w:t>
            </w:r>
          </w:p>
        </w:tc>
        <w:tc>
          <w:tcPr>
            <w:tcW w:w="531" w:type="pct"/>
            <w:shd w:val="clear" w:color="auto" w:fill="auto"/>
            <w:noWrap/>
            <w:vAlign w:val="center"/>
            <w:hideMark/>
          </w:tcPr>
          <w:p w14:paraId="1FBBCB9D" w14:textId="77777777" w:rsidR="00BB54C3" w:rsidRPr="00F65A81" w:rsidRDefault="00BB54C3">
            <w:pPr>
              <w:jc w:val="right"/>
              <w:rPr>
                <w:sz w:val="16"/>
                <w:szCs w:val="16"/>
              </w:rPr>
            </w:pPr>
            <w:r w:rsidRPr="00F65A81">
              <w:rPr>
                <w:sz w:val="16"/>
                <w:szCs w:val="16"/>
              </w:rPr>
              <w:t> </w:t>
            </w:r>
          </w:p>
        </w:tc>
        <w:tc>
          <w:tcPr>
            <w:tcW w:w="533" w:type="pct"/>
            <w:shd w:val="clear" w:color="auto" w:fill="auto"/>
            <w:noWrap/>
            <w:vAlign w:val="center"/>
            <w:hideMark/>
          </w:tcPr>
          <w:p w14:paraId="027EFA44" w14:textId="77777777" w:rsidR="00BB54C3" w:rsidRPr="00F65A81" w:rsidRDefault="00BB54C3">
            <w:pPr>
              <w:jc w:val="right"/>
              <w:rPr>
                <w:sz w:val="16"/>
                <w:szCs w:val="16"/>
              </w:rPr>
            </w:pPr>
            <w:r w:rsidRPr="00F65A81">
              <w:rPr>
                <w:sz w:val="16"/>
                <w:szCs w:val="16"/>
              </w:rPr>
              <w:t> </w:t>
            </w:r>
          </w:p>
        </w:tc>
        <w:tc>
          <w:tcPr>
            <w:tcW w:w="606" w:type="pct"/>
            <w:shd w:val="clear" w:color="000000" w:fill="FFFFFF"/>
            <w:noWrap/>
            <w:vAlign w:val="center"/>
            <w:hideMark/>
          </w:tcPr>
          <w:p w14:paraId="5C53A6F8" w14:textId="77777777" w:rsidR="00BB54C3" w:rsidRPr="00F65A81" w:rsidRDefault="00BB54C3">
            <w:pPr>
              <w:jc w:val="right"/>
              <w:rPr>
                <w:sz w:val="16"/>
                <w:szCs w:val="16"/>
              </w:rPr>
            </w:pPr>
            <w:r w:rsidRPr="00F65A81">
              <w:rPr>
                <w:sz w:val="16"/>
                <w:szCs w:val="16"/>
              </w:rPr>
              <w:t>3 456 250</w:t>
            </w:r>
          </w:p>
        </w:tc>
      </w:tr>
      <w:tr w:rsidR="00BB54C3" w:rsidRPr="00F65A81" w14:paraId="6C4FB756" w14:textId="77777777" w:rsidTr="00E10833">
        <w:trPr>
          <w:trHeight w:val="84"/>
        </w:trPr>
        <w:tc>
          <w:tcPr>
            <w:tcW w:w="310" w:type="pct"/>
            <w:shd w:val="clear" w:color="auto" w:fill="auto"/>
            <w:noWrap/>
            <w:vAlign w:val="center"/>
            <w:hideMark/>
          </w:tcPr>
          <w:p w14:paraId="018AAC32" w14:textId="77777777" w:rsidR="00BB54C3" w:rsidRPr="00F65A81" w:rsidRDefault="00BB54C3">
            <w:pPr>
              <w:jc w:val="both"/>
              <w:rPr>
                <w:sz w:val="16"/>
                <w:szCs w:val="16"/>
              </w:rPr>
            </w:pPr>
            <w:r w:rsidRPr="00F65A81">
              <w:rPr>
                <w:sz w:val="16"/>
                <w:szCs w:val="16"/>
              </w:rPr>
              <w:t> </w:t>
            </w:r>
          </w:p>
        </w:tc>
        <w:tc>
          <w:tcPr>
            <w:tcW w:w="3019" w:type="pct"/>
            <w:shd w:val="clear" w:color="auto" w:fill="auto"/>
            <w:noWrap/>
            <w:vAlign w:val="center"/>
            <w:hideMark/>
          </w:tcPr>
          <w:p w14:paraId="3FFC99A2" w14:textId="6ADA8868" w:rsidR="00BB54C3" w:rsidRPr="00F65A81" w:rsidRDefault="00BB54C3" w:rsidP="008A38F8">
            <w:pPr>
              <w:ind w:firstLineChars="367" w:firstLine="587"/>
              <w:rPr>
                <w:sz w:val="16"/>
                <w:szCs w:val="16"/>
              </w:rPr>
            </w:pPr>
            <w:r w:rsidRPr="00F65A81">
              <w:rPr>
                <w:sz w:val="16"/>
                <w:szCs w:val="16"/>
              </w:rPr>
              <w:t>Издръжка</w:t>
            </w:r>
          </w:p>
        </w:tc>
        <w:tc>
          <w:tcPr>
            <w:tcW w:w="531" w:type="pct"/>
            <w:shd w:val="clear" w:color="auto" w:fill="auto"/>
            <w:noWrap/>
            <w:vAlign w:val="center"/>
            <w:hideMark/>
          </w:tcPr>
          <w:p w14:paraId="589EC0C8" w14:textId="77777777" w:rsidR="00BB54C3" w:rsidRPr="00F65A81" w:rsidRDefault="00BB54C3">
            <w:pPr>
              <w:jc w:val="right"/>
              <w:rPr>
                <w:sz w:val="16"/>
                <w:szCs w:val="16"/>
              </w:rPr>
            </w:pPr>
            <w:r w:rsidRPr="00F65A81">
              <w:rPr>
                <w:sz w:val="16"/>
                <w:szCs w:val="16"/>
              </w:rPr>
              <w:t> </w:t>
            </w:r>
          </w:p>
        </w:tc>
        <w:tc>
          <w:tcPr>
            <w:tcW w:w="533" w:type="pct"/>
            <w:shd w:val="clear" w:color="auto" w:fill="auto"/>
            <w:noWrap/>
            <w:vAlign w:val="center"/>
            <w:hideMark/>
          </w:tcPr>
          <w:p w14:paraId="5D56914C" w14:textId="77777777" w:rsidR="00BB54C3" w:rsidRPr="00F65A81" w:rsidRDefault="00BB54C3">
            <w:pPr>
              <w:jc w:val="right"/>
              <w:rPr>
                <w:sz w:val="16"/>
                <w:szCs w:val="16"/>
              </w:rPr>
            </w:pPr>
            <w:r w:rsidRPr="00F65A81">
              <w:rPr>
                <w:sz w:val="16"/>
                <w:szCs w:val="16"/>
              </w:rPr>
              <w:t> </w:t>
            </w:r>
          </w:p>
        </w:tc>
        <w:tc>
          <w:tcPr>
            <w:tcW w:w="606" w:type="pct"/>
            <w:shd w:val="clear" w:color="000000" w:fill="FFFFFF"/>
            <w:noWrap/>
            <w:vAlign w:val="center"/>
            <w:hideMark/>
          </w:tcPr>
          <w:p w14:paraId="5D10E5E0" w14:textId="77777777" w:rsidR="00BB54C3" w:rsidRPr="00F65A81" w:rsidRDefault="00BB54C3">
            <w:pPr>
              <w:jc w:val="right"/>
              <w:rPr>
                <w:sz w:val="16"/>
                <w:szCs w:val="16"/>
              </w:rPr>
            </w:pPr>
            <w:r w:rsidRPr="00F65A81">
              <w:rPr>
                <w:sz w:val="16"/>
                <w:szCs w:val="16"/>
              </w:rPr>
              <w:t>945 525</w:t>
            </w:r>
          </w:p>
        </w:tc>
      </w:tr>
      <w:tr w:rsidR="00BB54C3" w:rsidRPr="00F65A81" w14:paraId="7670B187" w14:textId="77777777" w:rsidTr="00E10833">
        <w:trPr>
          <w:trHeight w:val="157"/>
        </w:trPr>
        <w:tc>
          <w:tcPr>
            <w:tcW w:w="310" w:type="pct"/>
            <w:shd w:val="clear" w:color="auto" w:fill="auto"/>
            <w:noWrap/>
            <w:vAlign w:val="center"/>
            <w:hideMark/>
          </w:tcPr>
          <w:p w14:paraId="49394CD6" w14:textId="77777777" w:rsidR="00BB54C3" w:rsidRPr="00F65A81" w:rsidRDefault="00BB54C3">
            <w:pPr>
              <w:jc w:val="both"/>
              <w:rPr>
                <w:sz w:val="16"/>
                <w:szCs w:val="16"/>
              </w:rPr>
            </w:pPr>
            <w:r w:rsidRPr="00F65A81">
              <w:rPr>
                <w:sz w:val="16"/>
                <w:szCs w:val="16"/>
              </w:rPr>
              <w:t> </w:t>
            </w:r>
          </w:p>
        </w:tc>
        <w:tc>
          <w:tcPr>
            <w:tcW w:w="3019" w:type="pct"/>
            <w:shd w:val="clear" w:color="auto" w:fill="auto"/>
            <w:noWrap/>
            <w:vAlign w:val="center"/>
            <w:hideMark/>
          </w:tcPr>
          <w:p w14:paraId="36458B7A" w14:textId="154E84EF" w:rsidR="00BB54C3" w:rsidRPr="00F65A81" w:rsidRDefault="00BB54C3" w:rsidP="008A38F8">
            <w:pPr>
              <w:ind w:firstLineChars="367" w:firstLine="587"/>
              <w:rPr>
                <w:sz w:val="16"/>
                <w:szCs w:val="16"/>
              </w:rPr>
            </w:pPr>
            <w:r w:rsidRPr="00F65A81">
              <w:rPr>
                <w:sz w:val="16"/>
                <w:szCs w:val="16"/>
              </w:rPr>
              <w:t>Капиталови разходи</w:t>
            </w:r>
          </w:p>
        </w:tc>
        <w:tc>
          <w:tcPr>
            <w:tcW w:w="531" w:type="pct"/>
            <w:shd w:val="clear" w:color="auto" w:fill="auto"/>
            <w:noWrap/>
            <w:vAlign w:val="center"/>
            <w:hideMark/>
          </w:tcPr>
          <w:p w14:paraId="2504AA14" w14:textId="77777777" w:rsidR="00BB54C3" w:rsidRPr="00F65A81" w:rsidRDefault="00BB54C3">
            <w:pPr>
              <w:jc w:val="right"/>
              <w:rPr>
                <w:sz w:val="16"/>
                <w:szCs w:val="16"/>
              </w:rPr>
            </w:pPr>
            <w:r w:rsidRPr="00F65A81">
              <w:rPr>
                <w:sz w:val="16"/>
                <w:szCs w:val="16"/>
              </w:rPr>
              <w:t> </w:t>
            </w:r>
          </w:p>
        </w:tc>
        <w:tc>
          <w:tcPr>
            <w:tcW w:w="533" w:type="pct"/>
            <w:shd w:val="clear" w:color="auto" w:fill="auto"/>
            <w:noWrap/>
            <w:vAlign w:val="center"/>
            <w:hideMark/>
          </w:tcPr>
          <w:p w14:paraId="3EFD842D" w14:textId="77777777" w:rsidR="00BB54C3" w:rsidRPr="00F65A81" w:rsidRDefault="00BB54C3">
            <w:pPr>
              <w:jc w:val="right"/>
              <w:rPr>
                <w:sz w:val="16"/>
                <w:szCs w:val="16"/>
              </w:rPr>
            </w:pPr>
            <w:r w:rsidRPr="00F65A81">
              <w:rPr>
                <w:sz w:val="16"/>
                <w:szCs w:val="16"/>
              </w:rPr>
              <w:t> </w:t>
            </w:r>
          </w:p>
        </w:tc>
        <w:tc>
          <w:tcPr>
            <w:tcW w:w="606" w:type="pct"/>
            <w:shd w:val="clear" w:color="000000" w:fill="FFFFFF"/>
            <w:noWrap/>
            <w:vAlign w:val="center"/>
            <w:hideMark/>
          </w:tcPr>
          <w:p w14:paraId="1EC4940E" w14:textId="77777777" w:rsidR="00BB54C3" w:rsidRPr="00F65A81" w:rsidRDefault="00BB54C3">
            <w:pPr>
              <w:jc w:val="right"/>
              <w:rPr>
                <w:sz w:val="16"/>
                <w:szCs w:val="16"/>
              </w:rPr>
            </w:pPr>
            <w:r w:rsidRPr="00F65A81">
              <w:rPr>
                <w:sz w:val="16"/>
                <w:szCs w:val="16"/>
              </w:rPr>
              <w:t>4 440</w:t>
            </w:r>
          </w:p>
        </w:tc>
      </w:tr>
      <w:tr w:rsidR="00BB54C3" w:rsidRPr="00F65A81" w14:paraId="26021902" w14:textId="77777777" w:rsidTr="00E10833">
        <w:trPr>
          <w:trHeight w:val="118"/>
        </w:trPr>
        <w:tc>
          <w:tcPr>
            <w:tcW w:w="310" w:type="pct"/>
            <w:shd w:val="clear" w:color="auto" w:fill="auto"/>
            <w:noWrap/>
            <w:vAlign w:val="center"/>
            <w:hideMark/>
          </w:tcPr>
          <w:p w14:paraId="5C577D14" w14:textId="77777777" w:rsidR="00BB54C3" w:rsidRPr="00F65A81" w:rsidRDefault="00BB54C3">
            <w:pPr>
              <w:jc w:val="both"/>
              <w:rPr>
                <w:sz w:val="16"/>
                <w:szCs w:val="16"/>
              </w:rPr>
            </w:pPr>
            <w:r w:rsidRPr="00F65A81">
              <w:rPr>
                <w:sz w:val="16"/>
                <w:szCs w:val="16"/>
              </w:rPr>
              <w:t> </w:t>
            </w:r>
          </w:p>
        </w:tc>
        <w:tc>
          <w:tcPr>
            <w:tcW w:w="3019" w:type="pct"/>
            <w:shd w:val="clear" w:color="auto" w:fill="auto"/>
            <w:noWrap/>
            <w:vAlign w:val="center"/>
            <w:hideMark/>
          </w:tcPr>
          <w:p w14:paraId="23665DFB" w14:textId="77777777" w:rsidR="00BB54C3" w:rsidRPr="00F65A81" w:rsidRDefault="00BB54C3">
            <w:pPr>
              <w:ind w:firstLineChars="200" w:firstLine="320"/>
              <w:rPr>
                <w:sz w:val="16"/>
                <w:szCs w:val="16"/>
              </w:rPr>
            </w:pPr>
            <w:r w:rsidRPr="00F65A81">
              <w:rPr>
                <w:sz w:val="16"/>
                <w:szCs w:val="16"/>
              </w:rPr>
              <w:t xml:space="preserve">От тях за: * </w:t>
            </w:r>
          </w:p>
        </w:tc>
        <w:tc>
          <w:tcPr>
            <w:tcW w:w="531" w:type="pct"/>
            <w:shd w:val="clear" w:color="auto" w:fill="auto"/>
            <w:noWrap/>
            <w:vAlign w:val="center"/>
            <w:hideMark/>
          </w:tcPr>
          <w:p w14:paraId="2930275F" w14:textId="77777777" w:rsidR="00BB54C3" w:rsidRPr="00F65A81" w:rsidRDefault="00BB54C3">
            <w:pPr>
              <w:jc w:val="right"/>
              <w:rPr>
                <w:sz w:val="16"/>
                <w:szCs w:val="16"/>
              </w:rPr>
            </w:pPr>
            <w:r w:rsidRPr="00F65A81">
              <w:rPr>
                <w:sz w:val="16"/>
                <w:szCs w:val="16"/>
              </w:rPr>
              <w:t> </w:t>
            </w:r>
          </w:p>
        </w:tc>
        <w:tc>
          <w:tcPr>
            <w:tcW w:w="533" w:type="pct"/>
            <w:shd w:val="clear" w:color="auto" w:fill="auto"/>
            <w:noWrap/>
            <w:vAlign w:val="center"/>
            <w:hideMark/>
          </w:tcPr>
          <w:p w14:paraId="37634267" w14:textId="77777777" w:rsidR="00BB54C3" w:rsidRPr="00F65A81" w:rsidRDefault="00BB54C3">
            <w:pPr>
              <w:jc w:val="right"/>
              <w:rPr>
                <w:sz w:val="16"/>
                <w:szCs w:val="16"/>
              </w:rPr>
            </w:pPr>
            <w:r w:rsidRPr="00F65A81">
              <w:rPr>
                <w:sz w:val="16"/>
                <w:szCs w:val="16"/>
              </w:rPr>
              <w:t> </w:t>
            </w:r>
          </w:p>
        </w:tc>
        <w:tc>
          <w:tcPr>
            <w:tcW w:w="606" w:type="pct"/>
            <w:shd w:val="clear" w:color="000000" w:fill="FFFFFF"/>
            <w:noWrap/>
            <w:vAlign w:val="center"/>
            <w:hideMark/>
          </w:tcPr>
          <w:p w14:paraId="75F7298E" w14:textId="77777777" w:rsidR="00BB54C3" w:rsidRPr="00F65A81" w:rsidRDefault="00BB54C3">
            <w:pPr>
              <w:jc w:val="right"/>
              <w:rPr>
                <w:sz w:val="16"/>
                <w:szCs w:val="16"/>
              </w:rPr>
            </w:pPr>
            <w:r w:rsidRPr="00F65A81">
              <w:rPr>
                <w:sz w:val="16"/>
                <w:szCs w:val="16"/>
              </w:rPr>
              <w:t> </w:t>
            </w:r>
          </w:p>
        </w:tc>
      </w:tr>
      <w:tr w:rsidR="00BB54C3" w:rsidRPr="00F65A81" w14:paraId="2CA60BFE" w14:textId="77777777" w:rsidTr="00BC2D55">
        <w:trPr>
          <w:trHeight w:val="78"/>
        </w:trPr>
        <w:tc>
          <w:tcPr>
            <w:tcW w:w="310" w:type="pct"/>
            <w:shd w:val="clear" w:color="auto" w:fill="auto"/>
            <w:noWrap/>
            <w:vAlign w:val="center"/>
            <w:hideMark/>
          </w:tcPr>
          <w:p w14:paraId="39863546" w14:textId="77777777" w:rsidR="00BB54C3" w:rsidRPr="00F65A81" w:rsidRDefault="00BB54C3">
            <w:pPr>
              <w:jc w:val="both"/>
              <w:rPr>
                <w:sz w:val="16"/>
                <w:szCs w:val="16"/>
              </w:rPr>
            </w:pPr>
            <w:r w:rsidRPr="00F65A81">
              <w:rPr>
                <w:sz w:val="16"/>
                <w:szCs w:val="16"/>
              </w:rPr>
              <w:t> 2.1</w:t>
            </w:r>
          </w:p>
        </w:tc>
        <w:tc>
          <w:tcPr>
            <w:tcW w:w="3019" w:type="pct"/>
            <w:shd w:val="clear" w:color="auto" w:fill="auto"/>
            <w:vAlign w:val="center"/>
            <w:hideMark/>
          </w:tcPr>
          <w:p w14:paraId="6CB68635" w14:textId="1BD94525" w:rsidR="00BB54C3" w:rsidRPr="00F65A81" w:rsidRDefault="00BB54C3">
            <w:pPr>
              <w:ind w:firstLineChars="200" w:firstLine="320"/>
              <w:rPr>
                <w:sz w:val="16"/>
                <w:szCs w:val="16"/>
              </w:rPr>
            </w:pPr>
            <w:r w:rsidRPr="00F65A81">
              <w:rPr>
                <w:sz w:val="16"/>
                <w:szCs w:val="16"/>
              </w:rPr>
              <w:t xml:space="preserve">ЕФРР </w:t>
            </w:r>
            <w:r w:rsidR="00E10833">
              <w:rPr>
                <w:sz w:val="16"/>
                <w:szCs w:val="16"/>
              </w:rPr>
              <w:t>–</w:t>
            </w:r>
            <w:r w:rsidRPr="00F65A81">
              <w:rPr>
                <w:sz w:val="16"/>
                <w:szCs w:val="16"/>
              </w:rPr>
              <w:t xml:space="preserve"> ОП "Техническа помощ"</w:t>
            </w:r>
          </w:p>
        </w:tc>
        <w:tc>
          <w:tcPr>
            <w:tcW w:w="531" w:type="pct"/>
            <w:shd w:val="clear" w:color="auto" w:fill="auto"/>
            <w:noWrap/>
            <w:vAlign w:val="center"/>
            <w:hideMark/>
          </w:tcPr>
          <w:p w14:paraId="31479FE8" w14:textId="77777777" w:rsidR="00BB54C3" w:rsidRPr="00F65A81" w:rsidRDefault="00BB54C3">
            <w:pPr>
              <w:jc w:val="right"/>
              <w:rPr>
                <w:sz w:val="16"/>
                <w:szCs w:val="16"/>
              </w:rPr>
            </w:pPr>
            <w:r w:rsidRPr="00F65A81">
              <w:rPr>
                <w:sz w:val="16"/>
                <w:szCs w:val="16"/>
              </w:rPr>
              <w:t> </w:t>
            </w:r>
          </w:p>
        </w:tc>
        <w:tc>
          <w:tcPr>
            <w:tcW w:w="533" w:type="pct"/>
            <w:shd w:val="clear" w:color="auto" w:fill="auto"/>
            <w:noWrap/>
            <w:vAlign w:val="center"/>
            <w:hideMark/>
          </w:tcPr>
          <w:p w14:paraId="23CE5C7A" w14:textId="77777777" w:rsidR="00BB54C3" w:rsidRPr="00F65A81" w:rsidRDefault="00BB54C3">
            <w:pPr>
              <w:jc w:val="right"/>
              <w:rPr>
                <w:sz w:val="16"/>
                <w:szCs w:val="16"/>
              </w:rPr>
            </w:pPr>
            <w:r w:rsidRPr="00F65A81">
              <w:rPr>
                <w:sz w:val="16"/>
                <w:szCs w:val="16"/>
              </w:rPr>
              <w:t> </w:t>
            </w:r>
          </w:p>
        </w:tc>
        <w:tc>
          <w:tcPr>
            <w:tcW w:w="606" w:type="pct"/>
            <w:shd w:val="clear" w:color="000000" w:fill="FFFFFF"/>
            <w:noWrap/>
            <w:vAlign w:val="center"/>
            <w:hideMark/>
          </w:tcPr>
          <w:p w14:paraId="3EBE7BF4" w14:textId="77777777" w:rsidR="00BB54C3" w:rsidRPr="00F65A81" w:rsidRDefault="00BB54C3">
            <w:pPr>
              <w:jc w:val="right"/>
              <w:rPr>
                <w:sz w:val="16"/>
                <w:szCs w:val="16"/>
              </w:rPr>
            </w:pPr>
            <w:r w:rsidRPr="00F65A81">
              <w:rPr>
                <w:sz w:val="16"/>
                <w:szCs w:val="16"/>
              </w:rPr>
              <w:t>3 919 001</w:t>
            </w:r>
          </w:p>
        </w:tc>
      </w:tr>
      <w:tr w:rsidR="00BB54C3" w:rsidRPr="00F65A81" w14:paraId="365BA9A9" w14:textId="77777777" w:rsidTr="00BC2D55">
        <w:trPr>
          <w:trHeight w:val="151"/>
        </w:trPr>
        <w:tc>
          <w:tcPr>
            <w:tcW w:w="310" w:type="pct"/>
            <w:shd w:val="clear" w:color="auto" w:fill="auto"/>
            <w:noWrap/>
            <w:vAlign w:val="center"/>
            <w:hideMark/>
          </w:tcPr>
          <w:p w14:paraId="7926ECA2" w14:textId="77777777" w:rsidR="00BB54C3" w:rsidRPr="00F65A81" w:rsidRDefault="00BB54C3">
            <w:pPr>
              <w:jc w:val="both"/>
              <w:rPr>
                <w:sz w:val="16"/>
                <w:szCs w:val="16"/>
              </w:rPr>
            </w:pPr>
            <w:r w:rsidRPr="00F65A81">
              <w:rPr>
                <w:sz w:val="16"/>
                <w:szCs w:val="16"/>
              </w:rPr>
              <w:t> 2.2</w:t>
            </w:r>
          </w:p>
        </w:tc>
        <w:tc>
          <w:tcPr>
            <w:tcW w:w="3019" w:type="pct"/>
            <w:shd w:val="clear" w:color="auto" w:fill="auto"/>
            <w:vAlign w:val="center"/>
            <w:hideMark/>
          </w:tcPr>
          <w:p w14:paraId="6550E920" w14:textId="77777777" w:rsidR="00BB54C3" w:rsidRPr="00F65A81" w:rsidRDefault="00BB54C3">
            <w:pPr>
              <w:ind w:firstLineChars="200" w:firstLine="320"/>
              <w:rPr>
                <w:sz w:val="16"/>
                <w:szCs w:val="16"/>
              </w:rPr>
            </w:pPr>
            <w:r w:rsidRPr="00F65A81">
              <w:rPr>
                <w:sz w:val="16"/>
                <w:szCs w:val="16"/>
              </w:rPr>
              <w:t>Отчетени средства по други международни програми (ДМП)</w:t>
            </w:r>
          </w:p>
        </w:tc>
        <w:tc>
          <w:tcPr>
            <w:tcW w:w="531" w:type="pct"/>
            <w:shd w:val="clear" w:color="auto" w:fill="auto"/>
            <w:noWrap/>
            <w:vAlign w:val="center"/>
            <w:hideMark/>
          </w:tcPr>
          <w:p w14:paraId="6C0C6E94" w14:textId="77777777" w:rsidR="00BB54C3" w:rsidRPr="00F65A81" w:rsidRDefault="00BB54C3">
            <w:pPr>
              <w:jc w:val="right"/>
              <w:rPr>
                <w:sz w:val="16"/>
                <w:szCs w:val="16"/>
              </w:rPr>
            </w:pPr>
            <w:r w:rsidRPr="00F65A81">
              <w:rPr>
                <w:sz w:val="16"/>
                <w:szCs w:val="16"/>
              </w:rPr>
              <w:t> </w:t>
            </w:r>
          </w:p>
        </w:tc>
        <w:tc>
          <w:tcPr>
            <w:tcW w:w="533" w:type="pct"/>
            <w:shd w:val="clear" w:color="auto" w:fill="auto"/>
            <w:noWrap/>
            <w:vAlign w:val="center"/>
            <w:hideMark/>
          </w:tcPr>
          <w:p w14:paraId="33FB0A91" w14:textId="77777777" w:rsidR="00BB54C3" w:rsidRPr="00F65A81" w:rsidRDefault="00BB54C3">
            <w:pPr>
              <w:jc w:val="right"/>
              <w:rPr>
                <w:sz w:val="16"/>
                <w:szCs w:val="16"/>
              </w:rPr>
            </w:pPr>
            <w:r w:rsidRPr="00F65A81">
              <w:rPr>
                <w:sz w:val="16"/>
                <w:szCs w:val="16"/>
              </w:rPr>
              <w:t> </w:t>
            </w:r>
          </w:p>
        </w:tc>
        <w:tc>
          <w:tcPr>
            <w:tcW w:w="606" w:type="pct"/>
            <w:shd w:val="clear" w:color="000000" w:fill="FFFFFF"/>
            <w:noWrap/>
            <w:vAlign w:val="center"/>
            <w:hideMark/>
          </w:tcPr>
          <w:p w14:paraId="40D13E9B" w14:textId="77777777" w:rsidR="00BB54C3" w:rsidRPr="00F65A81" w:rsidRDefault="00BB54C3">
            <w:pPr>
              <w:jc w:val="right"/>
              <w:rPr>
                <w:sz w:val="16"/>
                <w:szCs w:val="16"/>
              </w:rPr>
            </w:pPr>
            <w:r w:rsidRPr="00F65A81">
              <w:rPr>
                <w:sz w:val="16"/>
                <w:szCs w:val="16"/>
              </w:rPr>
              <w:t>317 680</w:t>
            </w:r>
          </w:p>
        </w:tc>
      </w:tr>
      <w:tr w:rsidR="00BB54C3" w:rsidRPr="00F65A81" w14:paraId="4B8F15AC" w14:textId="77777777" w:rsidTr="00BC2D55">
        <w:trPr>
          <w:trHeight w:val="254"/>
        </w:trPr>
        <w:tc>
          <w:tcPr>
            <w:tcW w:w="310" w:type="pct"/>
            <w:shd w:val="clear" w:color="auto" w:fill="auto"/>
            <w:noWrap/>
            <w:vAlign w:val="center"/>
            <w:hideMark/>
          </w:tcPr>
          <w:p w14:paraId="75887AB4" w14:textId="77777777" w:rsidR="00BB54C3" w:rsidRPr="00F65A81" w:rsidRDefault="00BB54C3">
            <w:pPr>
              <w:jc w:val="both"/>
              <w:rPr>
                <w:sz w:val="16"/>
                <w:szCs w:val="16"/>
              </w:rPr>
            </w:pPr>
            <w:r w:rsidRPr="00F65A81">
              <w:rPr>
                <w:sz w:val="16"/>
                <w:szCs w:val="16"/>
              </w:rPr>
              <w:t> 2.3</w:t>
            </w:r>
          </w:p>
        </w:tc>
        <w:tc>
          <w:tcPr>
            <w:tcW w:w="3019" w:type="pct"/>
            <w:shd w:val="clear" w:color="auto" w:fill="auto"/>
            <w:noWrap/>
            <w:vAlign w:val="center"/>
            <w:hideMark/>
          </w:tcPr>
          <w:p w14:paraId="0FD84215" w14:textId="77777777" w:rsidR="00BB54C3" w:rsidRPr="00F65A81" w:rsidRDefault="00BB54C3">
            <w:pPr>
              <w:ind w:firstLineChars="200" w:firstLine="320"/>
              <w:rPr>
                <w:sz w:val="16"/>
                <w:szCs w:val="16"/>
              </w:rPr>
            </w:pPr>
            <w:r w:rsidRPr="00F65A81">
              <w:rPr>
                <w:sz w:val="16"/>
                <w:szCs w:val="16"/>
              </w:rPr>
              <w:t>Разходи по Плана за възстановяване и устойчивост на РБ</w:t>
            </w:r>
          </w:p>
        </w:tc>
        <w:tc>
          <w:tcPr>
            <w:tcW w:w="531" w:type="pct"/>
            <w:shd w:val="clear" w:color="auto" w:fill="auto"/>
            <w:noWrap/>
            <w:vAlign w:val="center"/>
            <w:hideMark/>
          </w:tcPr>
          <w:p w14:paraId="766BC850" w14:textId="77777777" w:rsidR="00BB54C3" w:rsidRPr="00F65A81" w:rsidRDefault="00BB54C3">
            <w:pPr>
              <w:jc w:val="right"/>
              <w:rPr>
                <w:sz w:val="16"/>
                <w:szCs w:val="16"/>
              </w:rPr>
            </w:pPr>
            <w:r w:rsidRPr="00F65A81">
              <w:rPr>
                <w:sz w:val="16"/>
                <w:szCs w:val="16"/>
              </w:rPr>
              <w:t> </w:t>
            </w:r>
          </w:p>
        </w:tc>
        <w:tc>
          <w:tcPr>
            <w:tcW w:w="533" w:type="pct"/>
            <w:shd w:val="clear" w:color="auto" w:fill="auto"/>
            <w:noWrap/>
            <w:vAlign w:val="center"/>
            <w:hideMark/>
          </w:tcPr>
          <w:p w14:paraId="1FF0971B" w14:textId="77777777" w:rsidR="00BB54C3" w:rsidRPr="00F65A81" w:rsidRDefault="00BB54C3">
            <w:pPr>
              <w:jc w:val="right"/>
              <w:rPr>
                <w:sz w:val="16"/>
                <w:szCs w:val="16"/>
              </w:rPr>
            </w:pPr>
            <w:r w:rsidRPr="00F65A81">
              <w:rPr>
                <w:sz w:val="16"/>
                <w:szCs w:val="16"/>
              </w:rPr>
              <w:t> </w:t>
            </w:r>
          </w:p>
        </w:tc>
        <w:tc>
          <w:tcPr>
            <w:tcW w:w="606" w:type="pct"/>
            <w:shd w:val="clear" w:color="000000" w:fill="FFFFFF"/>
            <w:noWrap/>
            <w:vAlign w:val="center"/>
            <w:hideMark/>
          </w:tcPr>
          <w:p w14:paraId="6BE1ABF7" w14:textId="77777777" w:rsidR="00BB54C3" w:rsidRPr="00F65A81" w:rsidRDefault="00BB54C3">
            <w:pPr>
              <w:jc w:val="right"/>
              <w:rPr>
                <w:sz w:val="16"/>
                <w:szCs w:val="16"/>
              </w:rPr>
            </w:pPr>
            <w:r w:rsidRPr="00F65A81">
              <w:rPr>
                <w:sz w:val="16"/>
                <w:szCs w:val="16"/>
              </w:rPr>
              <w:t>169 534</w:t>
            </w:r>
          </w:p>
        </w:tc>
      </w:tr>
      <w:tr w:rsidR="00BB54C3" w:rsidRPr="00F65A81" w14:paraId="6ACE4C0F" w14:textId="77777777" w:rsidTr="001D6D73">
        <w:trPr>
          <w:trHeight w:val="177"/>
        </w:trPr>
        <w:tc>
          <w:tcPr>
            <w:tcW w:w="310" w:type="pct"/>
            <w:shd w:val="clear" w:color="auto" w:fill="auto"/>
            <w:noWrap/>
            <w:vAlign w:val="center"/>
            <w:hideMark/>
          </w:tcPr>
          <w:p w14:paraId="4B3F3389" w14:textId="77777777" w:rsidR="00BB54C3" w:rsidRPr="00F65A81" w:rsidRDefault="00BB54C3">
            <w:pPr>
              <w:jc w:val="both"/>
              <w:rPr>
                <w:sz w:val="16"/>
                <w:szCs w:val="16"/>
              </w:rPr>
            </w:pPr>
            <w:r w:rsidRPr="00F65A81">
              <w:rPr>
                <w:sz w:val="16"/>
                <w:szCs w:val="16"/>
              </w:rPr>
              <w:t> </w:t>
            </w:r>
          </w:p>
        </w:tc>
        <w:tc>
          <w:tcPr>
            <w:tcW w:w="3019" w:type="pct"/>
            <w:shd w:val="clear" w:color="auto" w:fill="auto"/>
            <w:noWrap/>
            <w:vAlign w:val="center"/>
            <w:hideMark/>
          </w:tcPr>
          <w:p w14:paraId="52A8F69F" w14:textId="77777777" w:rsidR="00BB54C3" w:rsidRPr="00F65A81" w:rsidRDefault="00BB54C3">
            <w:pPr>
              <w:ind w:firstLineChars="500" w:firstLine="800"/>
              <w:rPr>
                <w:sz w:val="16"/>
                <w:szCs w:val="16"/>
              </w:rPr>
            </w:pPr>
            <w:r w:rsidRPr="00F65A81">
              <w:rPr>
                <w:sz w:val="16"/>
                <w:szCs w:val="16"/>
              </w:rPr>
              <w:t> </w:t>
            </w:r>
          </w:p>
        </w:tc>
        <w:tc>
          <w:tcPr>
            <w:tcW w:w="531" w:type="pct"/>
            <w:shd w:val="clear" w:color="auto" w:fill="auto"/>
            <w:noWrap/>
            <w:vAlign w:val="center"/>
            <w:hideMark/>
          </w:tcPr>
          <w:p w14:paraId="370A0229" w14:textId="77777777" w:rsidR="00BB54C3" w:rsidRPr="00F65A81" w:rsidRDefault="00BB54C3">
            <w:pPr>
              <w:jc w:val="right"/>
              <w:rPr>
                <w:sz w:val="16"/>
                <w:szCs w:val="16"/>
              </w:rPr>
            </w:pPr>
            <w:r w:rsidRPr="00F65A81">
              <w:rPr>
                <w:sz w:val="16"/>
                <w:szCs w:val="16"/>
              </w:rPr>
              <w:t> </w:t>
            </w:r>
          </w:p>
        </w:tc>
        <w:tc>
          <w:tcPr>
            <w:tcW w:w="533" w:type="pct"/>
            <w:shd w:val="clear" w:color="auto" w:fill="auto"/>
            <w:noWrap/>
            <w:vAlign w:val="center"/>
            <w:hideMark/>
          </w:tcPr>
          <w:p w14:paraId="1601B4EA" w14:textId="77777777" w:rsidR="00BB54C3" w:rsidRPr="00F65A81" w:rsidRDefault="00BB54C3">
            <w:pPr>
              <w:jc w:val="right"/>
              <w:rPr>
                <w:sz w:val="16"/>
                <w:szCs w:val="16"/>
              </w:rPr>
            </w:pPr>
            <w:r w:rsidRPr="00F65A81">
              <w:rPr>
                <w:sz w:val="16"/>
                <w:szCs w:val="16"/>
              </w:rPr>
              <w:t> </w:t>
            </w:r>
          </w:p>
        </w:tc>
        <w:tc>
          <w:tcPr>
            <w:tcW w:w="606" w:type="pct"/>
            <w:shd w:val="clear" w:color="auto" w:fill="auto"/>
            <w:noWrap/>
            <w:vAlign w:val="center"/>
            <w:hideMark/>
          </w:tcPr>
          <w:p w14:paraId="5A863C90" w14:textId="77777777" w:rsidR="00BB54C3" w:rsidRPr="00F65A81" w:rsidRDefault="00BB54C3">
            <w:pPr>
              <w:jc w:val="right"/>
              <w:rPr>
                <w:sz w:val="16"/>
                <w:szCs w:val="16"/>
              </w:rPr>
            </w:pPr>
            <w:r w:rsidRPr="00F65A81">
              <w:rPr>
                <w:sz w:val="16"/>
                <w:szCs w:val="16"/>
              </w:rPr>
              <w:t> </w:t>
            </w:r>
          </w:p>
        </w:tc>
      </w:tr>
      <w:tr w:rsidR="00BB54C3" w:rsidRPr="00F65A81" w14:paraId="6279A27D" w14:textId="77777777" w:rsidTr="00BC2D55">
        <w:trPr>
          <w:trHeight w:val="76"/>
        </w:trPr>
        <w:tc>
          <w:tcPr>
            <w:tcW w:w="310" w:type="pct"/>
            <w:shd w:val="clear" w:color="auto" w:fill="auto"/>
            <w:noWrap/>
            <w:vAlign w:val="center"/>
            <w:hideMark/>
          </w:tcPr>
          <w:p w14:paraId="0748BCEF" w14:textId="77777777" w:rsidR="00BB54C3" w:rsidRPr="00F65A81" w:rsidRDefault="00BB54C3">
            <w:pPr>
              <w:jc w:val="both"/>
              <w:rPr>
                <w:sz w:val="16"/>
                <w:szCs w:val="16"/>
              </w:rPr>
            </w:pPr>
            <w:r w:rsidRPr="00F65A81">
              <w:rPr>
                <w:sz w:val="16"/>
                <w:szCs w:val="16"/>
              </w:rPr>
              <w:t> </w:t>
            </w:r>
          </w:p>
        </w:tc>
        <w:tc>
          <w:tcPr>
            <w:tcW w:w="3019" w:type="pct"/>
            <w:shd w:val="clear" w:color="auto" w:fill="auto"/>
            <w:noWrap/>
            <w:vAlign w:val="center"/>
            <w:hideMark/>
          </w:tcPr>
          <w:p w14:paraId="0C84DC71" w14:textId="77777777" w:rsidR="00BB54C3" w:rsidRPr="00F65A81" w:rsidRDefault="00BB54C3">
            <w:pPr>
              <w:rPr>
                <w:i/>
                <w:iCs/>
                <w:sz w:val="16"/>
                <w:szCs w:val="16"/>
              </w:rPr>
            </w:pPr>
            <w:r w:rsidRPr="00F65A81">
              <w:rPr>
                <w:i/>
                <w:iCs/>
                <w:sz w:val="16"/>
                <w:szCs w:val="16"/>
              </w:rPr>
              <w:t xml:space="preserve">Администрирани разходни показатели </w:t>
            </w:r>
            <w:r w:rsidRPr="00F65A81">
              <w:rPr>
                <w:sz w:val="16"/>
                <w:szCs w:val="16"/>
              </w:rPr>
              <w:t>**</w:t>
            </w:r>
          </w:p>
        </w:tc>
        <w:tc>
          <w:tcPr>
            <w:tcW w:w="531" w:type="pct"/>
            <w:shd w:val="clear" w:color="auto" w:fill="auto"/>
            <w:noWrap/>
            <w:vAlign w:val="center"/>
            <w:hideMark/>
          </w:tcPr>
          <w:p w14:paraId="600996B1" w14:textId="77777777" w:rsidR="00BB54C3" w:rsidRPr="00F65A81" w:rsidRDefault="00BB54C3">
            <w:pPr>
              <w:jc w:val="right"/>
              <w:rPr>
                <w:sz w:val="16"/>
                <w:szCs w:val="16"/>
              </w:rPr>
            </w:pPr>
            <w:r w:rsidRPr="00F65A81">
              <w:rPr>
                <w:sz w:val="16"/>
                <w:szCs w:val="16"/>
              </w:rPr>
              <w:t> </w:t>
            </w:r>
          </w:p>
        </w:tc>
        <w:tc>
          <w:tcPr>
            <w:tcW w:w="533" w:type="pct"/>
            <w:shd w:val="clear" w:color="auto" w:fill="auto"/>
            <w:noWrap/>
            <w:vAlign w:val="center"/>
            <w:hideMark/>
          </w:tcPr>
          <w:p w14:paraId="6AE6F49E" w14:textId="77777777" w:rsidR="00BB54C3" w:rsidRPr="00F65A81" w:rsidRDefault="00BB54C3">
            <w:pPr>
              <w:jc w:val="right"/>
              <w:rPr>
                <w:sz w:val="16"/>
                <w:szCs w:val="16"/>
              </w:rPr>
            </w:pPr>
            <w:r w:rsidRPr="00F65A81">
              <w:rPr>
                <w:sz w:val="16"/>
                <w:szCs w:val="16"/>
              </w:rPr>
              <w:t> </w:t>
            </w:r>
          </w:p>
        </w:tc>
        <w:tc>
          <w:tcPr>
            <w:tcW w:w="606" w:type="pct"/>
            <w:shd w:val="clear" w:color="auto" w:fill="auto"/>
            <w:noWrap/>
            <w:vAlign w:val="center"/>
            <w:hideMark/>
          </w:tcPr>
          <w:p w14:paraId="394335F4" w14:textId="77777777" w:rsidR="00BB54C3" w:rsidRPr="00F65A81" w:rsidRDefault="00BB54C3">
            <w:pPr>
              <w:jc w:val="right"/>
              <w:rPr>
                <w:sz w:val="16"/>
                <w:szCs w:val="16"/>
              </w:rPr>
            </w:pPr>
            <w:r w:rsidRPr="00F65A81">
              <w:rPr>
                <w:sz w:val="16"/>
                <w:szCs w:val="16"/>
              </w:rPr>
              <w:t> </w:t>
            </w:r>
          </w:p>
        </w:tc>
      </w:tr>
      <w:tr w:rsidR="00F65A81" w:rsidRPr="00F65A81" w14:paraId="1181F4EE" w14:textId="77777777" w:rsidTr="00BC2D55">
        <w:trPr>
          <w:trHeight w:val="150"/>
        </w:trPr>
        <w:tc>
          <w:tcPr>
            <w:tcW w:w="310" w:type="pct"/>
            <w:shd w:val="clear" w:color="000000" w:fill="E6E6E6"/>
            <w:noWrap/>
            <w:vAlign w:val="center"/>
            <w:hideMark/>
          </w:tcPr>
          <w:p w14:paraId="6F5B6EDF" w14:textId="77777777" w:rsidR="00BB54C3" w:rsidRPr="00F65A81" w:rsidRDefault="00BB54C3">
            <w:pPr>
              <w:jc w:val="both"/>
              <w:rPr>
                <w:b/>
                <w:bCs/>
                <w:sz w:val="16"/>
                <w:szCs w:val="16"/>
              </w:rPr>
            </w:pPr>
            <w:r w:rsidRPr="00F65A81">
              <w:rPr>
                <w:b/>
                <w:bCs/>
                <w:sz w:val="16"/>
                <w:szCs w:val="16"/>
              </w:rPr>
              <w:t>ІІ.</w:t>
            </w:r>
          </w:p>
        </w:tc>
        <w:tc>
          <w:tcPr>
            <w:tcW w:w="3019" w:type="pct"/>
            <w:shd w:val="clear" w:color="000000" w:fill="E6E6E6"/>
            <w:noWrap/>
            <w:vAlign w:val="center"/>
            <w:hideMark/>
          </w:tcPr>
          <w:p w14:paraId="21B95C92" w14:textId="77777777" w:rsidR="00BB54C3" w:rsidRPr="00F65A81" w:rsidRDefault="00BB54C3">
            <w:pPr>
              <w:rPr>
                <w:b/>
                <w:bCs/>
                <w:sz w:val="16"/>
                <w:szCs w:val="16"/>
              </w:rPr>
            </w:pPr>
            <w:r w:rsidRPr="00F65A81">
              <w:rPr>
                <w:b/>
                <w:bCs/>
                <w:sz w:val="16"/>
                <w:szCs w:val="16"/>
              </w:rPr>
              <w:t xml:space="preserve">Администрирани разходни параграфи по бюджета </w:t>
            </w:r>
          </w:p>
        </w:tc>
        <w:tc>
          <w:tcPr>
            <w:tcW w:w="531" w:type="pct"/>
            <w:shd w:val="clear" w:color="000000" w:fill="E6E6E6"/>
            <w:noWrap/>
            <w:vAlign w:val="center"/>
            <w:hideMark/>
          </w:tcPr>
          <w:p w14:paraId="5F2114BE" w14:textId="77777777" w:rsidR="00BB54C3" w:rsidRPr="00F65A81" w:rsidRDefault="00BB54C3">
            <w:pPr>
              <w:jc w:val="right"/>
              <w:rPr>
                <w:b/>
                <w:bCs/>
                <w:sz w:val="16"/>
                <w:szCs w:val="16"/>
              </w:rPr>
            </w:pPr>
            <w:r w:rsidRPr="00F65A81">
              <w:rPr>
                <w:b/>
                <w:bCs/>
                <w:sz w:val="16"/>
                <w:szCs w:val="16"/>
              </w:rPr>
              <w:t>0</w:t>
            </w:r>
          </w:p>
        </w:tc>
        <w:tc>
          <w:tcPr>
            <w:tcW w:w="533" w:type="pct"/>
            <w:shd w:val="clear" w:color="000000" w:fill="E6E6E6"/>
            <w:noWrap/>
            <w:vAlign w:val="center"/>
            <w:hideMark/>
          </w:tcPr>
          <w:p w14:paraId="1325B6B6" w14:textId="77777777" w:rsidR="00BB54C3" w:rsidRPr="00F65A81" w:rsidRDefault="00BB54C3">
            <w:pPr>
              <w:jc w:val="right"/>
              <w:rPr>
                <w:b/>
                <w:bCs/>
                <w:sz w:val="16"/>
                <w:szCs w:val="16"/>
              </w:rPr>
            </w:pPr>
            <w:r w:rsidRPr="00F65A81">
              <w:rPr>
                <w:b/>
                <w:bCs/>
                <w:sz w:val="16"/>
                <w:szCs w:val="16"/>
              </w:rPr>
              <w:t>0</w:t>
            </w:r>
          </w:p>
        </w:tc>
        <w:tc>
          <w:tcPr>
            <w:tcW w:w="606" w:type="pct"/>
            <w:shd w:val="clear" w:color="000000" w:fill="E6E6E6"/>
            <w:noWrap/>
            <w:vAlign w:val="center"/>
            <w:hideMark/>
          </w:tcPr>
          <w:p w14:paraId="28DF16FF" w14:textId="77777777" w:rsidR="00BB54C3" w:rsidRPr="00F65A81" w:rsidRDefault="00BB54C3">
            <w:pPr>
              <w:jc w:val="right"/>
              <w:rPr>
                <w:b/>
                <w:bCs/>
                <w:sz w:val="16"/>
                <w:szCs w:val="16"/>
              </w:rPr>
            </w:pPr>
            <w:r w:rsidRPr="00F65A81">
              <w:rPr>
                <w:b/>
                <w:bCs/>
                <w:sz w:val="16"/>
                <w:szCs w:val="16"/>
              </w:rPr>
              <w:t>0</w:t>
            </w:r>
          </w:p>
        </w:tc>
      </w:tr>
      <w:tr w:rsidR="00BB54C3" w:rsidRPr="00F65A81" w14:paraId="58079D7D" w14:textId="77777777" w:rsidTr="001D6D73">
        <w:trPr>
          <w:trHeight w:val="162"/>
        </w:trPr>
        <w:tc>
          <w:tcPr>
            <w:tcW w:w="310" w:type="pct"/>
            <w:shd w:val="clear" w:color="auto" w:fill="auto"/>
            <w:noWrap/>
            <w:vAlign w:val="center"/>
            <w:hideMark/>
          </w:tcPr>
          <w:p w14:paraId="419DFC18" w14:textId="77777777" w:rsidR="00BB54C3" w:rsidRPr="00F65A81" w:rsidRDefault="00BB54C3">
            <w:pPr>
              <w:jc w:val="both"/>
              <w:rPr>
                <w:sz w:val="16"/>
                <w:szCs w:val="16"/>
              </w:rPr>
            </w:pPr>
            <w:r w:rsidRPr="00F65A81">
              <w:rPr>
                <w:sz w:val="16"/>
                <w:szCs w:val="16"/>
              </w:rPr>
              <w:t> </w:t>
            </w:r>
          </w:p>
        </w:tc>
        <w:tc>
          <w:tcPr>
            <w:tcW w:w="3019" w:type="pct"/>
            <w:shd w:val="clear" w:color="auto" w:fill="auto"/>
            <w:noWrap/>
            <w:vAlign w:val="center"/>
            <w:hideMark/>
          </w:tcPr>
          <w:p w14:paraId="64DCEFF2" w14:textId="77777777" w:rsidR="00BB54C3" w:rsidRPr="00F65A81" w:rsidRDefault="00BB54C3">
            <w:pPr>
              <w:ind w:firstLineChars="200" w:firstLine="320"/>
              <w:rPr>
                <w:sz w:val="16"/>
                <w:szCs w:val="16"/>
              </w:rPr>
            </w:pPr>
            <w:r w:rsidRPr="00F65A81">
              <w:rPr>
                <w:sz w:val="16"/>
                <w:szCs w:val="16"/>
              </w:rPr>
              <w:t> </w:t>
            </w:r>
          </w:p>
        </w:tc>
        <w:tc>
          <w:tcPr>
            <w:tcW w:w="531" w:type="pct"/>
            <w:shd w:val="clear" w:color="auto" w:fill="auto"/>
            <w:noWrap/>
            <w:vAlign w:val="center"/>
            <w:hideMark/>
          </w:tcPr>
          <w:p w14:paraId="0AEDFED8" w14:textId="77777777" w:rsidR="00BB54C3" w:rsidRPr="00F65A81" w:rsidRDefault="00BB54C3">
            <w:pPr>
              <w:jc w:val="right"/>
              <w:rPr>
                <w:sz w:val="16"/>
                <w:szCs w:val="16"/>
              </w:rPr>
            </w:pPr>
            <w:r w:rsidRPr="00F65A81">
              <w:rPr>
                <w:sz w:val="16"/>
                <w:szCs w:val="16"/>
              </w:rPr>
              <w:t> </w:t>
            </w:r>
          </w:p>
        </w:tc>
        <w:tc>
          <w:tcPr>
            <w:tcW w:w="533" w:type="pct"/>
            <w:shd w:val="clear" w:color="auto" w:fill="auto"/>
            <w:noWrap/>
            <w:vAlign w:val="center"/>
            <w:hideMark/>
          </w:tcPr>
          <w:p w14:paraId="67565578" w14:textId="77777777" w:rsidR="00BB54C3" w:rsidRPr="00F65A81" w:rsidRDefault="00BB54C3">
            <w:pPr>
              <w:jc w:val="right"/>
              <w:rPr>
                <w:sz w:val="16"/>
                <w:szCs w:val="16"/>
              </w:rPr>
            </w:pPr>
            <w:r w:rsidRPr="00F65A81">
              <w:rPr>
                <w:sz w:val="16"/>
                <w:szCs w:val="16"/>
              </w:rPr>
              <w:t> </w:t>
            </w:r>
          </w:p>
        </w:tc>
        <w:tc>
          <w:tcPr>
            <w:tcW w:w="606" w:type="pct"/>
            <w:shd w:val="clear" w:color="auto" w:fill="auto"/>
            <w:noWrap/>
            <w:vAlign w:val="center"/>
            <w:hideMark/>
          </w:tcPr>
          <w:p w14:paraId="7619D4DA" w14:textId="77777777" w:rsidR="00BB54C3" w:rsidRPr="00F65A81" w:rsidRDefault="00BB54C3">
            <w:pPr>
              <w:jc w:val="right"/>
              <w:rPr>
                <w:sz w:val="16"/>
                <w:szCs w:val="16"/>
              </w:rPr>
            </w:pPr>
            <w:r w:rsidRPr="00F65A81">
              <w:rPr>
                <w:sz w:val="16"/>
                <w:szCs w:val="16"/>
              </w:rPr>
              <w:t> </w:t>
            </w:r>
          </w:p>
        </w:tc>
      </w:tr>
      <w:tr w:rsidR="00F65A81" w:rsidRPr="00F65A81" w14:paraId="02B4A44C" w14:textId="77777777" w:rsidTr="00BC2D55">
        <w:trPr>
          <w:trHeight w:val="184"/>
        </w:trPr>
        <w:tc>
          <w:tcPr>
            <w:tcW w:w="310" w:type="pct"/>
            <w:shd w:val="clear" w:color="000000" w:fill="E6E6E6"/>
            <w:noWrap/>
            <w:vAlign w:val="center"/>
            <w:hideMark/>
          </w:tcPr>
          <w:p w14:paraId="3731ACA3" w14:textId="77777777" w:rsidR="00BB54C3" w:rsidRPr="00F65A81" w:rsidRDefault="00BB54C3">
            <w:pPr>
              <w:jc w:val="both"/>
              <w:rPr>
                <w:b/>
                <w:bCs/>
                <w:sz w:val="16"/>
                <w:szCs w:val="16"/>
              </w:rPr>
            </w:pPr>
            <w:r w:rsidRPr="00F65A81">
              <w:rPr>
                <w:b/>
                <w:bCs/>
                <w:sz w:val="16"/>
                <w:szCs w:val="16"/>
              </w:rPr>
              <w:t>ІІІ.</w:t>
            </w:r>
          </w:p>
        </w:tc>
        <w:tc>
          <w:tcPr>
            <w:tcW w:w="3019" w:type="pct"/>
            <w:shd w:val="clear" w:color="000000" w:fill="E6E6E6"/>
            <w:noWrap/>
            <w:vAlign w:val="center"/>
            <w:hideMark/>
          </w:tcPr>
          <w:p w14:paraId="07B8B618" w14:textId="77777777" w:rsidR="00BB54C3" w:rsidRPr="00F65A81" w:rsidRDefault="00BB54C3">
            <w:pPr>
              <w:rPr>
                <w:b/>
                <w:bCs/>
                <w:sz w:val="16"/>
                <w:szCs w:val="16"/>
              </w:rPr>
            </w:pPr>
            <w:r w:rsidRPr="00F65A81">
              <w:rPr>
                <w:b/>
                <w:bCs/>
                <w:sz w:val="16"/>
                <w:szCs w:val="16"/>
              </w:rPr>
              <w:t>Администрирани разходни параграфи по други бюджети и сметки за средства от ЕС</w:t>
            </w:r>
          </w:p>
        </w:tc>
        <w:tc>
          <w:tcPr>
            <w:tcW w:w="531" w:type="pct"/>
            <w:shd w:val="clear" w:color="000000" w:fill="E6E6E6"/>
            <w:noWrap/>
            <w:vAlign w:val="center"/>
            <w:hideMark/>
          </w:tcPr>
          <w:p w14:paraId="542E7821" w14:textId="77777777" w:rsidR="00BB54C3" w:rsidRPr="00F65A81" w:rsidRDefault="00BB54C3">
            <w:pPr>
              <w:jc w:val="right"/>
              <w:rPr>
                <w:b/>
                <w:bCs/>
                <w:sz w:val="16"/>
                <w:szCs w:val="16"/>
              </w:rPr>
            </w:pPr>
            <w:r w:rsidRPr="00F65A81">
              <w:rPr>
                <w:b/>
                <w:bCs/>
                <w:sz w:val="16"/>
                <w:szCs w:val="16"/>
              </w:rPr>
              <w:t>0</w:t>
            </w:r>
          </w:p>
        </w:tc>
        <w:tc>
          <w:tcPr>
            <w:tcW w:w="533" w:type="pct"/>
            <w:shd w:val="clear" w:color="000000" w:fill="E6E6E6"/>
            <w:noWrap/>
            <w:vAlign w:val="center"/>
            <w:hideMark/>
          </w:tcPr>
          <w:p w14:paraId="15C379C9" w14:textId="77777777" w:rsidR="00BB54C3" w:rsidRPr="00F65A81" w:rsidRDefault="00BB54C3">
            <w:pPr>
              <w:jc w:val="right"/>
              <w:rPr>
                <w:b/>
                <w:bCs/>
                <w:sz w:val="16"/>
                <w:szCs w:val="16"/>
              </w:rPr>
            </w:pPr>
            <w:r w:rsidRPr="00F65A81">
              <w:rPr>
                <w:b/>
                <w:bCs/>
                <w:sz w:val="16"/>
                <w:szCs w:val="16"/>
              </w:rPr>
              <w:t>0</w:t>
            </w:r>
          </w:p>
        </w:tc>
        <w:tc>
          <w:tcPr>
            <w:tcW w:w="606" w:type="pct"/>
            <w:shd w:val="clear" w:color="000000" w:fill="E6E6E6"/>
            <w:noWrap/>
            <w:vAlign w:val="center"/>
            <w:hideMark/>
          </w:tcPr>
          <w:p w14:paraId="0723C7CC" w14:textId="77777777" w:rsidR="00BB54C3" w:rsidRPr="00F65A81" w:rsidRDefault="00BB54C3">
            <w:pPr>
              <w:jc w:val="right"/>
              <w:rPr>
                <w:b/>
                <w:bCs/>
                <w:sz w:val="16"/>
                <w:szCs w:val="16"/>
              </w:rPr>
            </w:pPr>
            <w:r w:rsidRPr="00F65A81">
              <w:rPr>
                <w:b/>
                <w:bCs/>
                <w:sz w:val="16"/>
                <w:szCs w:val="16"/>
              </w:rPr>
              <w:t>0</w:t>
            </w:r>
          </w:p>
        </w:tc>
      </w:tr>
      <w:tr w:rsidR="00BB54C3" w:rsidRPr="00F65A81" w14:paraId="31B29DC4" w14:textId="77777777" w:rsidTr="001D6D73">
        <w:trPr>
          <w:trHeight w:val="156"/>
        </w:trPr>
        <w:tc>
          <w:tcPr>
            <w:tcW w:w="310" w:type="pct"/>
            <w:shd w:val="clear" w:color="auto" w:fill="auto"/>
            <w:noWrap/>
            <w:vAlign w:val="center"/>
            <w:hideMark/>
          </w:tcPr>
          <w:p w14:paraId="670F9A26" w14:textId="77777777" w:rsidR="00BB54C3" w:rsidRPr="00F65A81" w:rsidRDefault="00BB54C3">
            <w:pPr>
              <w:jc w:val="both"/>
              <w:rPr>
                <w:sz w:val="16"/>
                <w:szCs w:val="16"/>
              </w:rPr>
            </w:pPr>
            <w:r w:rsidRPr="00F65A81">
              <w:rPr>
                <w:sz w:val="16"/>
                <w:szCs w:val="16"/>
              </w:rPr>
              <w:t> </w:t>
            </w:r>
          </w:p>
        </w:tc>
        <w:tc>
          <w:tcPr>
            <w:tcW w:w="3019" w:type="pct"/>
            <w:shd w:val="clear" w:color="auto" w:fill="auto"/>
            <w:noWrap/>
            <w:vAlign w:val="center"/>
            <w:hideMark/>
          </w:tcPr>
          <w:p w14:paraId="5C9999E5" w14:textId="77777777" w:rsidR="00BB54C3" w:rsidRPr="00F65A81" w:rsidRDefault="00BB54C3">
            <w:pPr>
              <w:ind w:firstLineChars="200" w:firstLine="320"/>
              <w:rPr>
                <w:sz w:val="16"/>
                <w:szCs w:val="16"/>
              </w:rPr>
            </w:pPr>
            <w:r w:rsidRPr="00F65A81">
              <w:rPr>
                <w:sz w:val="16"/>
                <w:szCs w:val="16"/>
              </w:rPr>
              <w:t> </w:t>
            </w:r>
          </w:p>
        </w:tc>
        <w:tc>
          <w:tcPr>
            <w:tcW w:w="531" w:type="pct"/>
            <w:shd w:val="clear" w:color="auto" w:fill="auto"/>
            <w:noWrap/>
            <w:vAlign w:val="center"/>
            <w:hideMark/>
          </w:tcPr>
          <w:p w14:paraId="0BB1BADD" w14:textId="77777777" w:rsidR="00BB54C3" w:rsidRPr="00F65A81" w:rsidRDefault="00BB54C3">
            <w:pPr>
              <w:jc w:val="right"/>
              <w:rPr>
                <w:sz w:val="16"/>
                <w:szCs w:val="16"/>
              </w:rPr>
            </w:pPr>
            <w:r w:rsidRPr="00F65A81">
              <w:rPr>
                <w:sz w:val="16"/>
                <w:szCs w:val="16"/>
              </w:rPr>
              <w:t> </w:t>
            </w:r>
          </w:p>
        </w:tc>
        <w:tc>
          <w:tcPr>
            <w:tcW w:w="533" w:type="pct"/>
            <w:shd w:val="clear" w:color="auto" w:fill="auto"/>
            <w:noWrap/>
            <w:vAlign w:val="center"/>
            <w:hideMark/>
          </w:tcPr>
          <w:p w14:paraId="3C5A6D81" w14:textId="77777777" w:rsidR="00BB54C3" w:rsidRPr="00F65A81" w:rsidRDefault="00BB54C3">
            <w:pPr>
              <w:jc w:val="right"/>
              <w:rPr>
                <w:sz w:val="16"/>
                <w:szCs w:val="16"/>
              </w:rPr>
            </w:pPr>
            <w:r w:rsidRPr="00F65A81">
              <w:rPr>
                <w:sz w:val="16"/>
                <w:szCs w:val="16"/>
              </w:rPr>
              <w:t> </w:t>
            </w:r>
          </w:p>
        </w:tc>
        <w:tc>
          <w:tcPr>
            <w:tcW w:w="606" w:type="pct"/>
            <w:shd w:val="clear" w:color="auto" w:fill="auto"/>
            <w:noWrap/>
            <w:vAlign w:val="center"/>
            <w:hideMark/>
          </w:tcPr>
          <w:p w14:paraId="7427B0B2" w14:textId="77777777" w:rsidR="00BB54C3" w:rsidRPr="00F65A81" w:rsidRDefault="00BB54C3">
            <w:pPr>
              <w:jc w:val="right"/>
              <w:rPr>
                <w:sz w:val="16"/>
                <w:szCs w:val="16"/>
              </w:rPr>
            </w:pPr>
            <w:r w:rsidRPr="00F65A81">
              <w:rPr>
                <w:sz w:val="16"/>
                <w:szCs w:val="16"/>
              </w:rPr>
              <w:t> </w:t>
            </w:r>
          </w:p>
        </w:tc>
      </w:tr>
      <w:tr w:rsidR="00F65A81" w:rsidRPr="00F65A81" w14:paraId="1A6DFEB0" w14:textId="77777777" w:rsidTr="00BC2D55">
        <w:trPr>
          <w:trHeight w:val="89"/>
        </w:trPr>
        <w:tc>
          <w:tcPr>
            <w:tcW w:w="310" w:type="pct"/>
            <w:shd w:val="clear" w:color="000000" w:fill="E6E6E6"/>
            <w:noWrap/>
            <w:vAlign w:val="center"/>
            <w:hideMark/>
          </w:tcPr>
          <w:p w14:paraId="2C5B40D8" w14:textId="77777777" w:rsidR="00BB54C3" w:rsidRPr="00F65A81" w:rsidRDefault="00BB54C3">
            <w:pPr>
              <w:jc w:val="both"/>
              <w:rPr>
                <w:b/>
                <w:bCs/>
                <w:sz w:val="16"/>
                <w:szCs w:val="16"/>
              </w:rPr>
            </w:pPr>
            <w:r w:rsidRPr="00F65A81">
              <w:rPr>
                <w:b/>
                <w:bCs/>
                <w:sz w:val="16"/>
                <w:szCs w:val="16"/>
              </w:rPr>
              <w:t> </w:t>
            </w:r>
          </w:p>
        </w:tc>
        <w:tc>
          <w:tcPr>
            <w:tcW w:w="3019" w:type="pct"/>
            <w:shd w:val="clear" w:color="000000" w:fill="E6E6E6"/>
            <w:noWrap/>
            <w:vAlign w:val="center"/>
            <w:hideMark/>
          </w:tcPr>
          <w:p w14:paraId="43D373BD" w14:textId="77777777" w:rsidR="00BB54C3" w:rsidRPr="00F65A81" w:rsidRDefault="00BB54C3">
            <w:pPr>
              <w:rPr>
                <w:b/>
                <w:bCs/>
                <w:sz w:val="16"/>
                <w:szCs w:val="16"/>
              </w:rPr>
            </w:pPr>
            <w:r w:rsidRPr="00F65A81">
              <w:rPr>
                <w:b/>
                <w:bCs/>
                <w:sz w:val="16"/>
                <w:szCs w:val="16"/>
              </w:rPr>
              <w:t>Общо администрирани разходи (ІІ.+ІІІ.):</w:t>
            </w:r>
          </w:p>
        </w:tc>
        <w:tc>
          <w:tcPr>
            <w:tcW w:w="531" w:type="pct"/>
            <w:shd w:val="clear" w:color="000000" w:fill="E6E6E6"/>
            <w:noWrap/>
            <w:vAlign w:val="center"/>
            <w:hideMark/>
          </w:tcPr>
          <w:p w14:paraId="220BE843" w14:textId="77777777" w:rsidR="00BB54C3" w:rsidRPr="00F65A81" w:rsidRDefault="00BB54C3">
            <w:pPr>
              <w:jc w:val="right"/>
              <w:rPr>
                <w:b/>
                <w:bCs/>
                <w:sz w:val="16"/>
                <w:szCs w:val="16"/>
              </w:rPr>
            </w:pPr>
            <w:r w:rsidRPr="00F65A81">
              <w:rPr>
                <w:b/>
                <w:bCs/>
                <w:sz w:val="16"/>
                <w:szCs w:val="16"/>
              </w:rPr>
              <w:t>0</w:t>
            </w:r>
          </w:p>
        </w:tc>
        <w:tc>
          <w:tcPr>
            <w:tcW w:w="533" w:type="pct"/>
            <w:shd w:val="clear" w:color="000000" w:fill="E6E6E6"/>
            <w:noWrap/>
            <w:vAlign w:val="center"/>
            <w:hideMark/>
          </w:tcPr>
          <w:p w14:paraId="3DDA1A92" w14:textId="77777777" w:rsidR="00BB54C3" w:rsidRPr="00F65A81" w:rsidRDefault="00BB54C3">
            <w:pPr>
              <w:jc w:val="right"/>
              <w:rPr>
                <w:b/>
                <w:bCs/>
                <w:sz w:val="16"/>
                <w:szCs w:val="16"/>
              </w:rPr>
            </w:pPr>
            <w:r w:rsidRPr="00F65A81">
              <w:rPr>
                <w:b/>
                <w:bCs/>
                <w:sz w:val="16"/>
                <w:szCs w:val="16"/>
              </w:rPr>
              <w:t>0</w:t>
            </w:r>
          </w:p>
        </w:tc>
        <w:tc>
          <w:tcPr>
            <w:tcW w:w="606" w:type="pct"/>
            <w:shd w:val="clear" w:color="000000" w:fill="E6E6E6"/>
            <w:noWrap/>
            <w:vAlign w:val="center"/>
            <w:hideMark/>
          </w:tcPr>
          <w:p w14:paraId="733A30C6" w14:textId="77777777" w:rsidR="00BB54C3" w:rsidRPr="00F65A81" w:rsidRDefault="00BB54C3">
            <w:pPr>
              <w:jc w:val="right"/>
              <w:rPr>
                <w:b/>
                <w:bCs/>
                <w:sz w:val="16"/>
                <w:szCs w:val="16"/>
              </w:rPr>
            </w:pPr>
            <w:r w:rsidRPr="00F65A81">
              <w:rPr>
                <w:b/>
                <w:bCs/>
                <w:sz w:val="16"/>
                <w:szCs w:val="16"/>
              </w:rPr>
              <w:t>0</w:t>
            </w:r>
          </w:p>
        </w:tc>
      </w:tr>
      <w:tr w:rsidR="00BB54C3" w:rsidRPr="00F65A81" w14:paraId="0B0AF0AE" w14:textId="77777777" w:rsidTr="001D6D73">
        <w:trPr>
          <w:trHeight w:val="192"/>
        </w:trPr>
        <w:tc>
          <w:tcPr>
            <w:tcW w:w="310" w:type="pct"/>
            <w:shd w:val="clear" w:color="auto" w:fill="auto"/>
            <w:noWrap/>
            <w:vAlign w:val="center"/>
            <w:hideMark/>
          </w:tcPr>
          <w:p w14:paraId="08D06901" w14:textId="77777777" w:rsidR="00BB54C3" w:rsidRPr="00F65A81" w:rsidRDefault="00BB54C3">
            <w:pPr>
              <w:jc w:val="both"/>
              <w:rPr>
                <w:sz w:val="16"/>
                <w:szCs w:val="16"/>
              </w:rPr>
            </w:pPr>
            <w:r w:rsidRPr="00F65A81">
              <w:rPr>
                <w:sz w:val="16"/>
                <w:szCs w:val="16"/>
              </w:rPr>
              <w:t> </w:t>
            </w:r>
          </w:p>
        </w:tc>
        <w:tc>
          <w:tcPr>
            <w:tcW w:w="3019" w:type="pct"/>
            <w:shd w:val="clear" w:color="auto" w:fill="auto"/>
            <w:noWrap/>
            <w:vAlign w:val="center"/>
            <w:hideMark/>
          </w:tcPr>
          <w:p w14:paraId="3E58EE48" w14:textId="77777777" w:rsidR="00BB54C3" w:rsidRPr="00F65A81" w:rsidRDefault="00BB54C3">
            <w:pPr>
              <w:rPr>
                <w:sz w:val="16"/>
                <w:szCs w:val="16"/>
              </w:rPr>
            </w:pPr>
            <w:r w:rsidRPr="00F65A81">
              <w:rPr>
                <w:sz w:val="16"/>
                <w:szCs w:val="16"/>
              </w:rPr>
              <w:t> </w:t>
            </w:r>
          </w:p>
        </w:tc>
        <w:tc>
          <w:tcPr>
            <w:tcW w:w="531" w:type="pct"/>
            <w:shd w:val="clear" w:color="auto" w:fill="auto"/>
            <w:noWrap/>
            <w:vAlign w:val="center"/>
            <w:hideMark/>
          </w:tcPr>
          <w:p w14:paraId="74BA0C5B" w14:textId="77777777" w:rsidR="00BB54C3" w:rsidRPr="00F65A81" w:rsidRDefault="00BB54C3">
            <w:pPr>
              <w:jc w:val="right"/>
              <w:rPr>
                <w:sz w:val="16"/>
                <w:szCs w:val="16"/>
              </w:rPr>
            </w:pPr>
            <w:r w:rsidRPr="00F65A81">
              <w:rPr>
                <w:sz w:val="16"/>
                <w:szCs w:val="16"/>
              </w:rPr>
              <w:t> </w:t>
            </w:r>
          </w:p>
        </w:tc>
        <w:tc>
          <w:tcPr>
            <w:tcW w:w="533" w:type="pct"/>
            <w:shd w:val="clear" w:color="auto" w:fill="auto"/>
            <w:noWrap/>
            <w:vAlign w:val="center"/>
            <w:hideMark/>
          </w:tcPr>
          <w:p w14:paraId="2078F4D9" w14:textId="77777777" w:rsidR="00BB54C3" w:rsidRPr="00F65A81" w:rsidRDefault="00BB54C3">
            <w:pPr>
              <w:jc w:val="right"/>
              <w:rPr>
                <w:sz w:val="16"/>
                <w:szCs w:val="16"/>
              </w:rPr>
            </w:pPr>
            <w:r w:rsidRPr="00F65A81">
              <w:rPr>
                <w:sz w:val="16"/>
                <w:szCs w:val="16"/>
              </w:rPr>
              <w:t> </w:t>
            </w:r>
          </w:p>
        </w:tc>
        <w:tc>
          <w:tcPr>
            <w:tcW w:w="606" w:type="pct"/>
            <w:shd w:val="clear" w:color="auto" w:fill="auto"/>
            <w:noWrap/>
            <w:vAlign w:val="center"/>
            <w:hideMark/>
          </w:tcPr>
          <w:p w14:paraId="5B55F0FD" w14:textId="77777777" w:rsidR="00BB54C3" w:rsidRPr="00F65A81" w:rsidRDefault="00BB54C3">
            <w:pPr>
              <w:jc w:val="right"/>
              <w:rPr>
                <w:sz w:val="16"/>
                <w:szCs w:val="16"/>
              </w:rPr>
            </w:pPr>
            <w:r w:rsidRPr="00F65A81">
              <w:rPr>
                <w:sz w:val="16"/>
                <w:szCs w:val="16"/>
              </w:rPr>
              <w:t> </w:t>
            </w:r>
          </w:p>
        </w:tc>
      </w:tr>
      <w:tr w:rsidR="00F65A81" w:rsidRPr="00F65A81" w14:paraId="1263CF68" w14:textId="77777777" w:rsidTr="00BC2D55">
        <w:trPr>
          <w:trHeight w:val="124"/>
        </w:trPr>
        <w:tc>
          <w:tcPr>
            <w:tcW w:w="310" w:type="pct"/>
            <w:shd w:val="clear" w:color="000000" w:fill="E6E6E6"/>
            <w:noWrap/>
            <w:vAlign w:val="center"/>
            <w:hideMark/>
          </w:tcPr>
          <w:p w14:paraId="3DC003BA" w14:textId="77777777" w:rsidR="00BB54C3" w:rsidRPr="00F65A81" w:rsidRDefault="00BB54C3">
            <w:pPr>
              <w:jc w:val="both"/>
              <w:rPr>
                <w:b/>
                <w:bCs/>
                <w:sz w:val="16"/>
                <w:szCs w:val="16"/>
              </w:rPr>
            </w:pPr>
            <w:r w:rsidRPr="00F65A81">
              <w:rPr>
                <w:b/>
                <w:bCs/>
                <w:sz w:val="16"/>
                <w:szCs w:val="16"/>
              </w:rPr>
              <w:t> </w:t>
            </w:r>
          </w:p>
        </w:tc>
        <w:tc>
          <w:tcPr>
            <w:tcW w:w="3019" w:type="pct"/>
            <w:shd w:val="clear" w:color="000000" w:fill="E6E6E6"/>
            <w:noWrap/>
            <w:vAlign w:val="center"/>
            <w:hideMark/>
          </w:tcPr>
          <w:p w14:paraId="0A5BB91C" w14:textId="77777777" w:rsidR="00BB54C3" w:rsidRPr="00F65A81" w:rsidRDefault="00BB54C3">
            <w:pPr>
              <w:rPr>
                <w:b/>
                <w:bCs/>
                <w:sz w:val="16"/>
                <w:szCs w:val="16"/>
              </w:rPr>
            </w:pPr>
            <w:r w:rsidRPr="00F65A81">
              <w:rPr>
                <w:b/>
                <w:bCs/>
                <w:sz w:val="16"/>
                <w:szCs w:val="16"/>
              </w:rPr>
              <w:t>Общо разходи по бюджета (І.1+ІІ.):</w:t>
            </w:r>
          </w:p>
        </w:tc>
        <w:tc>
          <w:tcPr>
            <w:tcW w:w="531" w:type="pct"/>
            <w:shd w:val="clear" w:color="000000" w:fill="E6E6E6"/>
            <w:noWrap/>
            <w:vAlign w:val="center"/>
            <w:hideMark/>
          </w:tcPr>
          <w:p w14:paraId="7BD92609" w14:textId="77777777" w:rsidR="00BB54C3" w:rsidRPr="00F65A81" w:rsidRDefault="00BB54C3">
            <w:pPr>
              <w:jc w:val="right"/>
              <w:rPr>
                <w:b/>
                <w:bCs/>
                <w:sz w:val="16"/>
                <w:szCs w:val="16"/>
              </w:rPr>
            </w:pPr>
            <w:r w:rsidRPr="00F65A81">
              <w:rPr>
                <w:b/>
                <w:bCs/>
                <w:sz w:val="16"/>
                <w:szCs w:val="16"/>
              </w:rPr>
              <w:t>501 800</w:t>
            </w:r>
          </w:p>
        </w:tc>
        <w:tc>
          <w:tcPr>
            <w:tcW w:w="533" w:type="pct"/>
            <w:shd w:val="clear" w:color="000000" w:fill="E6E6E6"/>
            <w:noWrap/>
            <w:vAlign w:val="center"/>
            <w:hideMark/>
          </w:tcPr>
          <w:p w14:paraId="54951051" w14:textId="77777777" w:rsidR="00BB54C3" w:rsidRPr="00F65A81" w:rsidRDefault="00BB54C3">
            <w:pPr>
              <w:jc w:val="right"/>
              <w:rPr>
                <w:b/>
                <w:bCs/>
                <w:sz w:val="16"/>
                <w:szCs w:val="16"/>
              </w:rPr>
            </w:pPr>
            <w:r w:rsidRPr="00F65A81">
              <w:rPr>
                <w:b/>
                <w:bCs/>
                <w:sz w:val="16"/>
                <w:szCs w:val="16"/>
              </w:rPr>
              <w:t>501 800</w:t>
            </w:r>
          </w:p>
        </w:tc>
        <w:tc>
          <w:tcPr>
            <w:tcW w:w="606" w:type="pct"/>
            <w:shd w:val="clear" w:color="000000" w:fill="E6E6E6"/>
            <w:noWrap/>
            <w:vAlign w:val="center"/>
            <w:hideMark/>
          </w:tcPr>
          <w:p w14:paraId="759FE6BD" w14:textId="77777777" w:rsidR="00BB54C3" w:rsidRPr="00F65A81" w:rsidRDefault="00BB54C3">
            <w:pPr>
              <w:jc w:val="right"/>
              <w:rPr>
                <w:b/>
                <w:bCs/>
                <w:sz w:val="16"/>
                <w:szCs w:val="16"/>
              </w:rPr>
            </w:pPr>
            <w:r w:rsidRPr="00F65A81">
              <w:rPr>
                <w:b/>
                <w:bCs/>
                <w:sz w:val="16"/>
                <w:szCs w:val="16"/>
              </w:rPr>
              <w:t>256 058</w:t>
            </w:r>
          </w:p>
        </w:tc>
      </w:tr>
      <w:tr w:rsidR="00BB54C3" w:rsidRPr="00F65A81" w14:paraId="18022FA8" w14:textId="77777777" w:rsidTr="001D6D73">
        <w:trPr>
          <w:trHeight w:val="214"/>
        </w:trPr>
        <w:tc>
          <w:tcPr>
            <w:tcW w:w="310" w:type="pct"/>
            <w:shd w:val="clear" w:color="auto" w:fill="auto"/>
            <w:noWrap/>
            <w:vAlign w:val="center"/>
            <w:hideMark/>
          </w:tcPr>
          <w:p w14:paraId="1A188E3E" w14:textId="77777777" w:rsidR="00BB54C3" w:rsidRPr="00F65A81" w:rsidRDefault="00BB54C3">
            <w:pPr>
              <w:jc w:val="both"/>
              <w:rPr>
                <w:sz w:val="16"/>
                <w:szCs w:val="16"/>
              </w:rPr>
            </w:pPr>
            <w:r w:rsidRPr="00F65A81">
              <w:rPr>
                <w:sz w:val="16"/>
                <w:szCs w:val="16"/>
              </w:rPr>
              <w:t> </w:t>
            </w:r>
          </w:p>
        </w:tc>
        <w:tc>
          <w:tcPr>
            <w:tcW w:w="3019" w:type="pct"/>
            <w:shd w:val="clear" w:color="auto" w:fill="auto"/>
            <w:noWrap/>
            <w:vAlign w:val="center"/>
            <w:hideMark/>
          </w:tcPr>
          <w:p w14:paraId="3B15A29C" w14:textId="77777777" w:rsidR="00BB54C3" w:rsidRPr="00F65A81" w:rsidRDefault="00BB54C3">
            <w:pPr>
              <w:rPr>
                <w:sz w:val="16"/>
                <w:szCs w:val="16"/>
              </w:rPr>
            </w:pPr>
            <w:r w:rsidRPr="00F65A81">
              <w:rPr>
                <w:sz w:val="16"/>
                <w:szCs w:val="16"/>
              </w:rPr>
              <w:t> </w:t>
            </w:r>
          </w:p>
        </w:tc>
        <w:tc>
          <w:tcPr>
            <w:tcW w:w="531" w:type="pct"/>
            <w:shd w:val="clear" w:color="auto" w:fill="auto"/>
            <w:noWrap/>
            <w:vAlign w:val="center"/>
            <w:hideMark/>
          </w:tcPr>
          <w:p w14:paraId="480C1C74" w14:textId="77777777" w:rsidR="00BB54C3" w:rsidRPr="00F65A81" w:rsidRDefault="00BB54C3">
            <w:pPr>
              <w:jc w:val="right"/>
              <w:rPr>
                <w:sz w:val="16"/>
                <w:szCs w:val="16"/>
              </w:rPr>
            </w:pPr>
            <w:r w:rsidRPr="00F65A81">
              <w:rPr>
                <w:sz w:val="16"/>
                <w:szCs w:val="16"/>
              </w:rPr>
              <w:t> </w:t>
            </w:r>
          </w:p>
        </w:tc>
        <w:tc>
          <w:tcPr>
            <w:tcW w:w="533" w:type="pct"/>
            <w:shd w:val="clear" w:color="auto" w:fill="auto"/>
            <w:noWrap/>
            <w:vAlign w:val="center"/>
            <w:hideMark/>
          </w:tcPr>
          <w:p w14:paraId="13AC698E" w14:textId="77777777" w:rsidR="00BB54C3" w:rsidRPr="00F65A81" w:rsidRDefault="00BB54C3">
            <w:pPr>
              <w:jc w:val="right"/>
              <w:rPr>
                <w:sz w:val="16"/>
                <w:szCs w:val="16"/>
              </w:rPr>
            </w:pPr>
            <w:r w:rsidRPr="00F65A81">
              <w:rPr>
                <w:sz w:val="16"/>
                <w:szCs w:val="16"/>
              </w:rPr>
              <w:t> </w:t>
            </w:r>
          </w:p>
        </w:tc>
        <w:tc>
          <w:tcPr>
            <w:tcW w:w="606" w:type="pct"/>
            <w:shd w:val="clear" w:color="auto" w:fill="auto"/>
            <w:noWrap/>
            <w:vAlign w:val="center"/>
            <w:hideMark/>
          </w:tcPr>
          <w:p w14:paraId="585A3723" w14:textId="77777777" w:rsidR="00BB54C3" w:rsidRPr="00F65A81" w:rsidRDefault="00BB54C3">
            <w:pPr>
              <w:jc w:val="right"/>
              <w:rPr>
                <w:sz w:val="16"/>
                <w:szCs w:val="16"/>
              </w:rPr>
            </w:pPr>
            <w:r w:rsidRPr="00F65A81">
              <w:rPr>
                <w:sz w:val="16"/>
                <w:szCs w:val="16"/>
              </w:rPr>
              <w:t> </w:t>
            </w:r>
          </w:p>
        </w:tc>
      </w:tr>
      <w:tr w:rsidR="00F65A81" w:rsidRPr="00F65A81" w14:paraId="5015CB09" w14:textId="77777777" w:rsidTr="00BC2D55">
        <w:trPr>
          <w:trHeight w:val="116"/>
        </w:trPr>
        <w:tc>
          <w:tcPr>
            <w:tcW w:w="310" w:type="pct"/>
            <w:shd w:val="clear" w:color="000000" w:fill="E6E6E6"/>
            <w:noWrap/>
            <w:vAlign w:val="center"/>
            <w:hideMark/>
          </w:tcPr>
          <w:p w14:paraId="26EAEFC3" w14:textId="77777777" w:rsidR="00BB54C3" w:rsidRPr="00F65A81" w:rsidRDefault="00BB54C3">
            <w:pPr>
              <w:jc w:val="both"/>
              <w:rPr>
                <w:b/>
                <w:bCs/>
                <w:sz w:val="16"/>
                <w:szCs w:val="16"/>
              </w:rPr>
            </w:pPr>
            <w:r w:rsidRPr="00F65A81">
              <w:rPr>
                <w:b/>
                <w:bCs/>
                <w:sz w:val="16"/>
                <w:szCs w:val="16"/>
              </w:rPr>
              <w:t> </w:t>
            </w:r>
          </w:p>
        </w:tc>
        <w:tc>
          <w:tcPr>
            <w:tcW w:w="3019" w:type="pct"/>
            <w:shd w:val="clear" w:color="000000" w:fill="E6E6E6"/>
            <w:noWrap/>
            <w:vAlign w:val="center"/>
            <w:hideMark/>
          </w:tcPr>
          <w:p w14:paraId="1DFCDA5E" w14:textId="77777777" w:rsidR="00BB54C3" w:rsidRPr="00F65A81" w:rsidRDefault="00BB54C3">
            <w:pPr>
              <w:rPr>
                <w:b/>
                <w:bCs/>
                <w:sz w:val="16"/>
                <w:szCs w:val="16"/>
              </w:rPr>
            </w:pPr>
            <w:r w:rsidRPr="00F65A81">
              <w:rPr>
                <w:b/>
                <w:bCs/>
                <w:sz w:val="16"/>
                <w:szCs w:val="16"/>
              </w:rPr>
              <w:t>Общо разходи (І.+ІІ.+ІІІ.):</w:t>
            </w:r>
          </w:p>
        </w:tc>
        <w:tc>
          <w:tcPr>
            <w:tcW w:w="531" w:type="pct"/>
            <w:shd w:val="clear" w:color="000000" w:fill="E6E6E6"/>
            <w:noWrap/>
            <w:vAlign w:val="center"/>
            <w:hideMark/>
          </w:tcPr>
          <w:p w14:paraId="0852096A" w14:textId="77777777" w:rsidR="00BB54C3" w:rsidRPr="00F65A81" w:rsidRDefault="00BB54C3">
            <w:pPr>
              <w:jc w:val="right"/>
              <w:rPr>
                <w:b/>
                <w:bCs/>
                <w:sz w:val="16"/>
                <w:szCs w:val="16"/>
              </w:rPr>
            </w:pPr>
            <w:r w:rsidRPr="00F65A81">
              <w:rPr>
                <w:b/>
                <w:bCs/>
                <w:sz w:val="16"/>
                <w:szCs w:val="16"/>
              </w:rPr>
              <w:t>501 800</w:t>
            </w:r>
          </w:p>
        </w:tc>
        <w:tc>
          <w:tcPr>
            <w:tcW w:w="533" w:type="pct"/>
            <w:shd w:val="clear" w:color="000000" w:fill="E6E6E6"/>
            <w:noWrap/>
            <w:vAlign w:val="center"/>
            <w:hideMark/>
          </w:tcPr>
          <w:p w14:paraId="4E3FE300" w14:textId="77777777" w:rsidR="00BB54C3" w:rsidRPr="00F65A81" w:rsidRDefault="00BB54C3">
            <w:pPr>
              <w:jc w:val="right"/>
              <w:rPr>
                <w:b/>
                <w:bCs/>
                <w:sz w:val="16"/>
                <w:szCs w:val="16"/>
              </w:rPr>
            </w:pPr>
            <w:r w:rsidRPr="00F65A81">
              <w:rPr>
                <w:b/>
                <w:bCs/>
                <w:sz w:val="16"/>
                <w:szCs w:val="16"/>
              </w:rPr>
              <w:t>501 800</w:t>
            </w:r>
          </w:p>
        </w:tc>
        <w:tc>
          <w:tcPr>
            <w:tcW w:w="606" w:type="pct"/>
            <w:shd w:val="clear" w:color="000000" w:fill="E6E6E6"/>
            <w:noWrap/>
            <w:vAlign w:val="center"/>
            <w:hideMark/>
          </w:tcPr>
          <w:p w14:paraId="03F45963" w14:textId="77777777" w:rsidR="00BB54C3" w:rsidRPr="00F65A81" w:rsidRDefault="00BB54C3">
            <w:pPr>
              <w:jc w:val="right"/>
              <w:rPr>
                <w:b/>
                <w:bCs/>
                <w:sz w:val="16"/>
                <w:szCs w:val="16"/>
              </w:rPr>
            </w:pPr>
            <w:r w:rsidRPr="00F65A81">
              <w:rPr>
                <w:b/>
                <w:bCs/>
                <w:sz w:val="16"/>
                <w:szCs w:val="16"/>
              </w:rPr>
              <w:t>4 662 273</w:t>
            </w:r>
          </w:p>
        </w:tc>
      </w:tr>
      <w:tr w:rsidR="00BB54C3" w:rsidRPr="00F65A81" w14:paraId="4E473392" w14:textId="77777777" w:rsidTr="00BC2D55">
        <w:trPr>
          <w:trHeight w:val="218"/>
        </w:trPr>
        <w:tc>
          <w:tcPr>
            <w:tcW w:w="310" w:type="pct"/>
            <w:shd w:val="clear" w:color="auto" w:fill="auto"/>
            <w:noWrap/>
            <w:vAlign w:val="center"/>
            <w:hideMark/>
          </w:tcPr>
          <w:p w14:paraId="6F1AE837" w14:textId="77777777" w:rsidR="00BB54C3" w:rsidRPr="00F65A81" w:rsidRDefault="00BB54C3">
            <w:pPr>
              <w:jc w:val="both"/>
              <w:rPr>
                <w:sz w:val="16"/>
                <w:szCs w:val="16"/>
              </w:rPr>
            </w:pPr>
            <w:r w:rsidRPr="00F65A81">
              <w:rPr>
                <w:sz w:val="16"/>
                <w:szCs w:val="16"/>
              </w:rPr>
              <w:t> </w:t>
            </w:r>
          </w:p>
        </w:tc>
        <w:tc>
          <w:tcPr>
            <w:tcW w:w="3019" w:type="pct"/>
            <w:shd w:val="clear" w:color="auto" w:fill="auto"/>
            <w:noWrap/>
            <w:vAlign w:val="center"/>
            <w:hideMark/>
          </w:tcPr>
          <w:p w14:paraId="764B7EE9" w14:textId="77777777" w:rsidR="00BB54C3" w:rsidRPr="00F65A81" w:rsidRDefault="00BB54C3">
            <w:pPr>
              <w:rPr>
                <w:sz w:val="16"/>
                <w:szCs w:val="16"/>
              </w:rPr>
            </w:pPr>
            <w:r w:rsidRPr="00F65A81">
              <w:rPr>
                <w:sz w:val="16"/>
                <w:szCs w:val="16"/>
              </w:rPr>
              <w:t>Численост на щатния персонал</w:t>
            </w:r>
          </w:p>
        </w:tc>
        <w:tc>
          <w:tcPr>
            <w:tcW w:w="531" w:type="pct"/>
            <w:shd w:val="clear" w:color="auto" w:fill="auto"/>
            <w:noWrap/>
            <w:vAlign w:val="center"/>
            <w:hideMark/>
          </w:tcPr>
          <w:p w14:paraId="4950B771" w14:textId="77777777" w:rsidR="00BB54C3" w:rsidRPr="00F65A81" w:rsidRDefault="00BB54C3">
            <w:pPr>
              <w:jc w:val="right"/>
              <w:rPr>
                <w:sz w:val="16"/>
                <w:szCs w:val="16"/>
              </w:rPr>
            </w:pPr>
            <w:r w:rsidRPr="00F65A81">
              <w:rPr>
                <w:sz w:val="16"/>
                <w:szCs w:val="16"/>
              </w:rPr>
              <w:t>95</w:t>
            </w:r>
          </w:p>
        </w:tc>
        <w:tc>
          <w:tcPr>
            <w:tcW w:w="533" w:type="pct"/>
            <w:shd w:val="clear" w:color="auto" w:fill="auto"/>
            <w:noWrap/>
            <w:vAlign w:val="center"/>
            <w:hideMark/>
          </w:tcPr>
          <w:p w14:paraId="389A3B33" w14:textId="77777777" w:rsidR="00BB54C3" w:rsidRPr="00F65A81" w:rsidRDefault="00BB54C3">
            <w:pPr>
              <w:jc w:val="right"/>
              <w:rPr>
                <w:sz w:val="16"/>
                <w:szCs w:val="16"/>
              </w:rPr>
            </w:pPr>
            <w:r w:rsidRPr="00F65A81">
              <w:rPr>
                <w:sz w:val="16"/>
                <w:szCs w:val="16"/>
              </w:rPr>
              <w:t>95</w:t>
            </w:r>
          </w:p>
        </w:tc>
        <w:tc>
          <w:tcPr>
            <w:tcW w:w="606" w:type="pct"/>
            <w:shd w:val="clear" w:color="auto" w:fill="auto"/>
            <w:noWrap/>
            <w:vAlign w:val="center"/>
            <w:hideMark/>
          </w:tcPr>
          <w:p w14:paraId="0FDDE281" w14:textId="77777777" w:rsidR="00BB54C3" w:rsidRPr="00F65A81" w:rsidRDefault="00BB54C3">
            <w:pPr>
              <w:jc w:val="right"/>
              <w:rPr>
                <w:sz w:val="16"/>
                <w:szCs w:val="16"/>
              </w:rPr>
            </w:pPr>
            <w:r w:rsidRPr="00F65A81">
              <w:rPr>
                <w:sz w:val="16"/>
                <w:szCs w:val="16"/>
              </w:rPr>
              <w:t>82</w:t>
            </w:r>
          </w:p>
        </w:tc>
      </w:tr>
    </w:tbl>
    <w:p w14:paraId="597F3379" w14:textId="77777777" w:rsidR="004B10AD" w:rsidRDefault="004B10AD" w:rsidP="0017418E">
      <w:pPr>
        <w:shd w:val="clear" w:color="auto" w:fill="FFFFFF" w:themeFill="background1"/>
        <w:spacing w:before="120"/>
        <w:ind w:firstLine="425"/>
        <w:jc w:val="both"/>
        <w:rPr>
          <w:b/>
          <w:bCs/>
          <w:i/>
          <w:iCs/>
          <w:color w:val="215E99" w:themeColor="text2" w:themeTint="BF"/>
          <w:sz w:val="22"/>
          <w:szCs w:val="22"/>
        </w:rPr>
      </w:pPr>
      <w:r w:rsidRPr="00B61BBB">
        <w:rPr>
          <w:b/>
          <w:bCs/>
          <w:i/>
          <w:iCs/>
          <w:color w:val="215E99" w:themeColor="text2" w:themeTint="BF"/>
          <w:sz w:val="22"/>
          <w:szCs w:val="22"/>
        </w:rPr>
        <w:t>Отговорност за изпълнение на програмата</w:t>
      </w:r>
    </w:p>
    <w:p w14:paraId="5EE89269" w14:textId="5532C93E" w:rsidR="000D3E1F" w:rsidRDefault="004B10AD" w:rsidP="00D55349">
      <w:pPr>
        <w:shd w:val="clear" w:color="auto" w:fill="FFFFFF" w:themeFill="background1"/>
        <w:spacing w:before="120" w:after="240"/>
        <w:ind w:firstLine="426"/>
        <w:contextualSpacing/>
        <w:jc w:val="both"/>
        <w:rPr>
          <w:sz w:val="22"/>
          <w:szCs w:val="22"/>
        </w:rPr>
      </w:pPr>
      <w:r w:rsidRPr="0017418E">
        <w:rPr>
          <w:sz w:val="22"/>
          <w:szCs w:val="22"/>
          <w:shd w:val="clear" w:color="auto" w:fill="FFFFFF" w:themeFill="background1"/>
        </w:rPr>
        <w:t xml:space="preserve">Отговорността е на </w:t>
      </w:r>
      <w:r w:rsidRPr="00F53CFC">
        <w:rPr>
          <w:sz w:val="22"/>
          <w:szCs w:val="22"/>
        </w:rPr>
        <w:t>дирекци</w:t>
      </w:r>
      <w:r>
        <w:rPr>
          <w:sz w:val="22"/>
          <w:szCs w:val="22"/>
        </w:rPr>
        <w:t>я</w:t>
      </w:r>
      <w:r w:rsidRPr="00F53CFC">
        <w:rPr>
          <w:sz w:val="22"/>
          <w:szCs w:val="22"/>
        </w:rPr>
        <w:t xml:space="preserve"> „Централно координационно звено“ и </w:t>
      </w:r>
      <w:r>
        <w:rPr>
          <w:sz w:val="22"/>
          <w:szCs w:val="22"/>
        </w:rPr>
        <w:t xml:space="preserve">дирекция </w:t>
      </w:r>
      <w:r w:rsidRPr="00F53CFC">
        <w:rPr>
          <w:sz w:val="22"/>
          <w:szCs w:val="22"/>
        </w:rPr>
        <w:t>„Добро управление“ в администрацията на Министерския съвет</w:t>
      </w:r>
      <w:r w:rsidRPr="00C414E0">
        <w:rPr>
          <w:sz w:val="22"/>
          <w:szCs w:val="22"/>
        </w:rPr>
        <w:t>.</w:t>
      </w:r>
    </w:p>
    <w:p w14:paraId="27864B07" w14:textId="6F3337E8" w:rsidR="005B6697" w:rsidRPr="00667B09" w:rsidRDefault="001B3ED8" w:rsidP="00FE5CDF">
      <w:pPr>
        <w:pStyle w:val="Heading1"/>
      </w:pPr>
      <w:bookmarkStart w:id="51" w:name="_Toc239159344"/>
      <w:r w:rsidRPr="00667B09">
        <w:t>9</w:t>
      </w:r>
      <w:r w:rsidR="005B6697" w:rsidRPr="00667B09">
        <w:t>.</w:t>
      </w:r>
      <w:r w:rsidR="00AD5CCF" w:rsidRPr="00667B09">
        <w:t>4</w:t>
      </w:r>
      <w:r w:rsidR="005B6697" w:rsidRPr="00667B09">
        <w:t xml:space="preserve"> </w:t>
      </w:r>
      <w:r w:rsidR="00E53B32" w:rsidRPr="00667B09">
        <w:t>Бюджетна п</w:t>
      </w:r>
      <w:r w:rsidR="005B6697" w:rsidRPr="00667B09">
        <w:t xml:space="preserve">рограма </w:t>
      </w:r>
      <w:r w:rsidR="00EF5252" w:rsidRPr="00667B09">
        <w:t xml:space="preserve">0300.03.01 </w:t>
      </w:r>
      <w:r w:rsidR="005B6697" w:rsidRPr="00667B09">
        <w:t>“</w:t>
      </w:r>
      <w:r w:rsidR="00EB2CC6" w:rsidRPr="00667B09">
        <w:t xml:space="preserve">Осъществяване на държавната политика </w:t>
      </w:r>
      <w:r w:rsidR="0015100C" w:rsidRPr="00667B09">
        <w:t xml:space="preserve">на </w:t>
      </w:r>
      <w:r w:rsidR="00EB2CC6" w:rsidRPr="00667B09">
        <w:t>областн</w:t>
      </w:r>
      <w:r w:rsidR="0015100C" w:rsidRPr="00667B09">
        <w:t>о</w:t>
      </w:r>
      <w:r w:rsidR="00EB2CC6" w:rsidRPr="00667B09">
        <w:t xml:space="preserve"> </w:t>
      </w:r>
      <w:r w:rsidR="0015100C" w:rsidRPr="00667B09">
        <w:t>ниво</w:t>
      </w:r>
      <w:r w:rsidR="005B6697" w:rsidRPr="00667B09">
        <w:t>”</w:t>
      </w:r>
      <w:bookmarkEnd w:id="51"/>
    </w:p>
    <w:p w14:paraId="65F9236F" w14:textId="77777777" w:rsidR="00034E52" w:rsidRPr="002C7952" w:rsidRDefault="00034E52" w:rsidP="00D55349">
      <w:pPr>
        <w:widowControl w:val="0"/>
        <w:shd w:val="clear" w:color="auto" w:fill="FFFFFF" w:themeFill="background1"/>
        <w:ind w:firstLine="425"/>
        <w:jc w:val="both"/>
        <w:outlineLvl w:val="3"/>
        <w:rPr>
          <w:b/>
          <w:i/>
          <w:color w:val="800000"/>
          <w:sz w:val="22"/>
          <w:szCs w:val="22"/>
        </w:rPr>
      </w:pPr>
      <w:r w:rsidRPr="002C7952">
        <w:rPr>
          <w:b/>
          <w:i/>
          <w:color w:val="800000"/>
          <w:sz w:val="22"/>
          <w:szCs w:val="22"/>
        </w:rPr>
        <w:t>Описание на степента на изпълнение на заложените в програмата цели</w:t>
      </w:r>
    </w:p>
    <w:p w14:paraId="247040C4" w14:textId="77777777" w:rsidR="007D38D8" w:rsidRPr="009E682F" w:rsidRDefault="007D38D8" w:rsidP="00D55349">
      <w:pPr>
        <w:shd w:val="clear" w:color="auto" w:fill="FFFFFF" w:themeFill="background1"/>
        <w:autoSpaceDE w:val="0"/>
        <w:autoSpaceDN w:val="0"/>
        <w:adjustRightInd w:val="0"/>
        <w:ind w:firstLine="425"/>
        <w:jc w:val="both"/>
        <w:rPr>
          <w:sz w:val="22"/>
          <w:szCs w:val="22"/>
        </w:rPr>
      </w:pPr>
      <w:r w:rsidRPr="009E682F">
        <w:rPr>
          <w:sz w:val="22"/>
          <w:szCs w:val="22"/>
        </w:rPr>
        <w:t>Основната цел на програмата е постигане на по-добро управление на областите при провеждане на държавната политика, защитата на националните интереси, на законността и на обществения ред и осъществяване на административен контрол.</w:t>
      </w:r>
    </w:p>
    <w:p w14:paraId="01716BC9" w14:textId="77777777" w:rsidR="007D38D8" w:rsidRPr="009E682F" w:rsidRDefault="007D38D8" w:rsidP="00D55349">
      <w:pPr>
        <w:shd w:val="clear" w:color="auto" w:fill="FFFFFF" w:themeFill="background1"/>
        <w:autoSpaceDE w:val="0"/>
        <w:autoSpaceDN w:val="0"/>
        <w:adjustRightInd w:val="0"/>
        <w:ind w:firstLine="425"/>
        <w:jc w:val="both"/>
        <w:rPr>
          <w:sz w:val="22"/>
          <w:szCs w:val="22"/>
        </w:rPr>
      </w:pPr>
      <w:r w:rsidRPr="009E682F">
        <w:rPr>
          <w:sz w:val="22"/>
          <w:szCs w:val="22"/>
        </w:rPr>
        <w:t>Областният управител е териториален орган на изпълнителната власт в областта с обща компетентност. Той осъществява държавното управление в областта и осигурява съответствие между националните и местните интереси при провеждането на регионалната политика. Областният управител се назначава от Министерския съвет. При осъществяване на своите правомощия и функции областният управител се подпомага от заместник областни управители и областна администрация.</w:t>
      </w:r>
    </w:p>
    <w:p w14:paraId="7740A38E" w14:textId="77777777" w:rsidR="007D38D8" w:rsidRPr="009E682F" w:rsidRDefault="007D38D8" w:rsidP="00D55349">
      <w:pPr>
        <w:shd w:val="clear" w:color="auto" w:fill="FFFFFF" w:themeFill="background1"/>
        <w:autoSpaceDE w:val="0"/>
        <w:autoSpaceDN w:val="0"/>
        <w:adjustRightInd w:val="0"/>
        <w:ind w:firstLine="425"/>
        <w:jc w:val="both"/>
        <w:rPr>
          <w:sz w:val="22"/>
          <w:szCs w:val="22"/>
        </w:rPr>
      </w:pPr>
      <w:r w:rsidRPr="009E682F">
        <w:rPr>
          <w:sz w:val="22"/>
          <w:szCs w:val="22"/>
        </w:rPr>
        <w:t xml:space="preserve">Правната рамка, очертаваща правомощията на областния управител, съответно структурата, функциите и дейността на ръководената от него администрация е зададена от Конституцията на Република България, Закона за администрацията и Устройствения правилник на областните администрации. Отделни правомощия на областния управител, както и функции на администрациите са уредени в редица специални закони и др. нормативни актове. </w:t>
      </w:r>
    </w:p>
    <w:p w14:paraId="1AEA2B7D" w14:textId="77777777" w:rsidR="003966F5" w:rsidRPr="00E85C10" w:rsidRDefault="003966F5" w:rsidP="00D55349">
      <w:pPr>
        <w:widowControl w:val="0"/>
        <w:shd w:val="clear" w:color="auto" w:fill="FFFFFF" w:themeFill="background1"/>
        <w:spacing w:before="120"/>
        <w:ind w:firstLine="425"/>
        <w:jc w:val="both"/>
        <w:outlineLvl w:val="3"/>
        <w:rPr>
          <w:b/>
          <w:i/>
          <w:color w:val="800000"/>
          <w:sz w:val="22"/>
          <w:szCs w:val="22"/>
        </w:rPr>
      </w:pPr>
      <w:r w:rsidRPr="00E85C10">
        <w:rPr>
          <w:b/>
          <w:i/>
          <w:color w:val="800000"/>
          <w:sz w:val="22"/>
          <w:szCs w:val="22"/>
        </w:rPr>
        <w:lastRenderedPageBreak/>
        <w:t xml:space="preserve">Продукти/услуги, предоставяне по програмата – описание на постигнатите резултати и изпълнение на дейностите за тяхното предоставяне </w:t>
      </w:r>
    </w:p>
    <w:p w14:paraId="24931D40" w14:textId="77777777" w:rsidR="003966F5" w:rsidRPr="008242F1" w:rsidRDefault="003966F5" w:rsidP="00D55349">
      <w:pPr>
        <w:shd w:val="clear" w:color="auto" w:fill="FFFFFF" w:themeFill="background1"/>
        <w:autoSpaceDE w:val="0"/>
        <w:autoSpaceDN w:val="0"/>
        <w:adjustRightInd w:val="0"/>
        <w:ind w:firstLine="426"/>
        <w:jc w:val="both"/>
        <w:rPr>
          <w:sz w:val="22"/>
          <w:szCs w:val="22"/>
        </w:rPr>
      </w:pPr>
      <w:r w:rsidRPr="008242F1">
        <w:rPr>
          <w:sz w:val="22"/>
          <w:szCs w:val="22"/>
        </w:rPr>
        <w:t>Областният управител отговаря за опазването и защитата на държавната собственост, осигурява спазването на законността, обществения ред и сигурността на територията на областта. Съгласно</w:t>
      </w:r>
      <w:r w:rsidRPr="003E644A">
        <w:rPr>
          <w:sz w:val="22"/>
          <w:szCs w:val="22"/>
        </w:rPr>
        <w:t xml:space="preserve"> </w:t>
      </w:r>
      <w:r w:rsidRPr="008242F1">
        <w:rPr>
          <w:sz w:val="22"/>
          <w:szCs w:val="22"/>
        </w:rPr>
        <w:t>ч</w:t>
      </w:r>
      <w:r w:rsidRPr="003E644A">
        <w:rPr>
          <w:sz w:val="22"/>
          <w:szCs w:val="22"/>
        </w:rPr>
        <w:t>л</w:t>
      </w:r>
      <w:r w:rsidRPr="008242F1">
        <w:rPr>
          <w:sz w:val="22"/>
          <w:szCs w:val="22"/>
        </w:rPr>
        <w:t>. 29,</w:t>
      </w:r>
      <w:r w:rsidRPr="003E644A">
        <w:rPr>
          <w:sz w:val="22"/>
          <w:szCs w:val="22"/>
        </w:rPr>
        <w:t xml:space="preserve"> </w:t>
      </w:r>
      <w:r w:rsidRPr="008242F1">
        <w:rPr>
          <w:sz w:val="22"/>
          <w:szCs w:val="22"/>
        </w:rPr>
        <w:t>ал. 1</w:t>
      </w:r>
      <w:r w:rsidRPr="003E644A">
        <w:rPr>
          <w:sz w:val="22"/>
          <w:szCs w:val="22"/>
        </w:rPr>
        <w:t xml:space="preserve"> о</w:t>
      </w:r>
      <w:r w:rsidRPr="008242F1">
        <w:rPr>
          <w:sz w:val="22"/>
          <w:szCs w:val="22"/>
        </w:rPr>
        <w:t>т</w:t>
      </w:r>
      <w:r w:rsidRPr="003E644A">
        <w:rPr>
          <w:sz w:val="22"/>
          <w:szCs w:val="22"/>
        </w:rPr>
        <w:t xml:space="preserve"> </w:t>
      </w:r>
      <w:r w:rsidRPr="008242F1">
        <w:rPr>
          <w:sz w:val="22"/>
          <w:szCs w:val="22"/>
        </w:rPr>
        <w:t>Закона</w:t>
      </w:r>
      <w:r w:rsidRPr="003E644A">
        <w:rPr>
          <w:sz w:val="22"/>
          <w:szCs w:val="22"/>
        </w:rPr>
        <w:t xml:space="preserve"> </w:t>
      </w:r>
      <w:r w:rsidRPr="008242F1">
        <w:rPr>
          <w:sz w:val="22"/>
          <w:szCs w:val="22"/>
        </w:rPr>
        <w:t>за</w:t>
      </w:r>
      <w:r w:rsidRPr="003E644A">
        <w:rPr>
          <w:sz w:val="22"/>
          <w:szCs w:val="22"/>
        </w:rPr>
        <w:t xml:space="preserve"> </w:t>
      </w:r>
      <w:r w:rsidRPr="008242F1">
        <w:rPr>
          <w:sz w:val="22"/>
          <w:szCs w:val="22"/>
        </w:rPr>
        <w:t>администрац</w:t>
      </w:r>
      <w:r w:rsidRPr="003E644A">
        <w:rPr>
          <w:sz w:val="22"/>
          <w:szCs w:val="22"/>
        </w:rPr>
        <w:t>и</w:t>
      </w:r>
      <w:r w:rsidRPr="008242F1">
        <w:rPr>
          <w:sz w:val="22"/>
          <w:szCs w:val="22"/>
        </w:rPr>
        <w:t>ят</w:t>
      </w:r>
      <w:r w:rsidRPr="003E644A">
        <w:rPr>
          <w:sz w:val="22"/>
          <w:szCs w:val="22"/>
        </w:rPr>
        <w:t>а</w:t>
      </w:r>
      <w:r w:rsidRPr="008242F1">
        <w:rPr>
          <w:sz w:val="22"/>
          <w:szCs w:val="22"/>
        </w:rPr>
        <w:t>,</w:t>
      </w:r>
      <w:r w:rsidRPr="003E644A">
        <w:rPr>
          <w:sz w:val="22"/>
          <w:szCs w:val="22"/>
        </w:rPr>
        <w:t xml:space="preserve"> </w:t>
      </w:r>
      <w:r w:rsidRPr="008242F1">
        <w:rPr>
          <w:sz w:val="22"/>
          <w:szCs w:val="22"/>
        </w:rPr>
        <w:t>областният</w:t>
      </w:r>
      <w:r w:rsidRPr="003E644A">
        <w:rPr>
          <w:sz w:val="22"/>
          <w:szCs w:val="22"/>
        </w:rPr>
        <w:t xml:space="preserve"> у</w:t>
      </w:r>
      <w:r w:rsidRPr="008242F1">
        <w:rPr>
          <w:sz w:val="22"/>
          <w:szCs w:val="22"/>
        </w:rPr>
        <w:t>правител</w:t>
      </w:r>
      <w:r w:rsidRPr="003E644A">
        <w:rPr>
          <w:sz w:val="22"/>
          <w:szCs w:val="22"/>
        </w:rPr>
        <w:t xml:space="preserve"> </w:t>
      </w:r>
      <w:r w:rsidRPr="008242F1">
        <w:rPr>
          <w:sz w:val="22"/>
          <w:szCs w:val="22"/>
        </w:rPr>
        <w:t>е</w:t>
      </w:r>
      <w:r w:rsidRPr="003E644A">
        <w:rPr>
          <w:sz w:val="22"/>
          <w:szCs w:val="22"/>
        </w:rPr>
        <w:t xml:space="preserve"> </w:t>
      </w:r>
      <w:r w:rsidRPr="008242F1">
        <w:rPr>
          <w:sz w:val="22"/>
          <w:szCs w:val="22"/>
        </w:rPr>
        <w:t>е</w:t>
      </w:r>
      <w:r w:rsidRPr="003E644A">
        <w:rPr>
          <w:sz w:val="22"/>
          <w:szCs w:val="22"/>
        </w:rPr>
        <w:t>д</w:t>
      </w:r>
      <w:r w:rsidRPr="008242F1">
        <w:rPr>
          <w:sz w:val="22"/>
          <w:szCs w:val="22"/>
        </w:rPr>
        <w:t>нол</w:t>
      </w:r>
      <w:r w:rsidRPr="003E644A">
        <w:rPr>
          <w:sz w:val="22"/>
          <w:szCs w:val="22"/>
        </w:rPr>
        <w:t>и</w:t>
      </w:r>
      <w:r w:rsidRPr="008242F1">
        <w:rPr>
          <w:sz w:val="22"/>
          <w:szCs w:val="22"/>
        </w:rPr>
        <w:t>чен орган</w:t>
      </w:r>
      <w:r w:rsidRPr="003E644A">
        <w:rPr>
          <w:sz w:val="22"/>
          <w:szCs w:val="22"/>
        </w:rPr>
        <w:t xml:space="preserve"> </w:t>
      </w:r>
      <w:r w:rsidRPr="008242F1">
        <w:rPr>
          <w:sz w:val="22"/>
          <w:szCs w:val="22"/>
        </w:rPr>
        <w:t>на</w:t>
      </w:r>
      <w:r w:rsidRPr="003E644A">
        <w:rPr>
          <w:sz w:val="22"/>
          <w:szCs w:val="22"/>
        </w:rPr>
        <w:t xml:space="preserve"> и</w:t>
      </w:r>
      <w:r w:rsidRPr="008242F1">
        <w:rPr>
          <w:sz w:val="22"/>
          <w:szCs w:val="22"/>
        </w:rPr>
        <w:t>з</w:t>
      </w:r>
      <w:r w:rsidRPr="003E644A">
        <w:rPr>
          <w:sz w:val="22"/>
          <w:szCs w:val="22"/>
        </w:rPr>
        <w:t>п</w:t>
      </w:r>
      <w:r w:rsidRPr="008242F1">
        <w:rPr>
          <w:sz w:val="22"/>
          <w:szCs w:val="22"/>
        </w:rPr>
        <w:t>ълнителната</w:t>
      </w:r>
      <w:r w:rsidRPr="003E644A">
        <w:rPr>
          <w:sz w:val="22"/>
          <w:szCs w:val="22"/>
        </w:rPr>
        <w:t xml:space="preserve"> </w:t>
      </w:r>
      <w:r w:rsidRPr="008242F1">
        <w:rPr>
          <w:sz w:val="22"/>
          <w:szCs w:val="22"/>
        </w:rPr>
        <w:t>власт</w:t>
      </w:r>
      <w:r w:rsidRPr="003E644A">
        <w:rPr>
          <w:sz w:val="22"/>
          <w:szCs w:val="22"/>
        </w:rPr>
        <w:t xml:space="preserve"> </w:t>
      </w:r>
      <w:r w:rsidRPr="008242F1">
        <w:rPr>
          <w:sz w:val="22"/>
          <w:szCs w:val="22"/>
        </w:rPr>
        <w:t>в</w:t>
      </w:r>
      <w:r w:rsidRPr="003E644A">
        <w:rPr>
          <w:sz w:val="22"/>
          <w:szCs w:val="22"/>
        </w:rPr>
        <w:t xml:space="preserve"> </w:t>
      </w:r>
      <w:r w:rsidRPr="008242F1">
        <w:rPr>
          <w:sz w:val="22"/>
          <w:szCs w:val="22"/>
        </w:rPr>
        <w:t>областт</w:t>
      </w:r>
      <w:r w:rsidRPr="003E644A">
        <w:rPr>
          <w:sz w:val="22"/>
          <w:szCs w:val="22"/>
        </w:rPr>
        <w:t>а</w:t>
      </w:r>
      <w:r w:rsidRPr="008242F1">
        <w:rPr>
          <w:sz w:val="22"/>
          <w:szCs w:val="22"/>
        </w:rPr>
        <w:t>,</w:t>
      </w:r>
      <w:r w:rsidRPr="003E644A">
        <w:rPr>
          <w:sz w:val="22"/>
          <w:szCs w:val="22"/>
        </w:rPr>
        <w:t xml:space="preserve"> </w:t>
      </w:r>
      <w:r w:rsidRPr="008242F1">
        <w:rPr>
          <w:sz w:val="22"/>
          <w:szCs w:val="22"/>
        </w:rPr>
        <w:t>който</w:t>
      </w:r>
      <w:r w:rsidRPr="003E644A">
        <w:rPr>
          <w:sz w:val="22"/>
          <w:szCs w:val="22"/>
        </w:rPr>
        <w:t xml:space="preserve"> о</w:t>
      </w:r>
      <w:r w:rsidRPr="008242F1">
        <w:rPr>
          <w:sz w:val="22"/>
          <w:szCs w:val="22"/>
        </w:rPr>
        <w:t>същес</w:t>
      </w:r>
      <w:r w:rsidRPr="003E644A">
        <w:rPr>
          <w:sz w:val="22"/>
          <w:szCs w:val="22"/>
        </w:rPr>
        <w:t>т</w:t>
      </w:r>
      <w:r w:rsidRPr="008242F1">
        <w:rPr>
          <w:sz w:val="22"/>
          <w:szCs w:val="22"/>
        </w:rPr>
        <w:t>в</w:t>
      </w:r>
      <w:r w:rsidRPr="003E644A">
        <w:rPr>
          <w:sz w:val="22"/>
          <w:szCs w:val="22"/>
        </w:rPr>
        <w:t>я</w:t>
      </w:r>
      <w:r w:rsidRPr="008242F1">
        <w:rPr>
          <w:sz w:val="22"/>
          <w:szCs w:val="22"/>
        </w:rPr>
        <w:t>ва</w:t>
      </w:r>
      <w:r w:rsidRPr="003E644A">
        <w:rPr>
          <w:sz w:val="22"/>
          <w:szCs w:val="22"/>
        </w:rPr>
        <w:t xml:space="preserve"> </w:t>
      </w:r>
      <w:r w:rsidRPr="008242F1">
        <w:rPr>
          <w:sz w:val="22"/>
          <w:szCs w:val="22"/>
        </w:rPr>
        <w:t xml:space="preserve">държавното </w:t>
      </w:r>
      <w:r w:rsidRPr="003E644A">
        <w:rPr>
          <w:sz w:val="22"/>
          <w:szCs w:val="22"/>
        </w:rPr>
        <w:t>упр</w:t>
      </w:r>
      <w:r w:rsidRPr="008242F1">
        <w:rPr>
          <w:sz w:val="22"/>
          <w:szCs w:val="22"/>
        </w:rPr>
        <w:t>авлен</w:t>
      </w:r>
      <w:r w:rsidRPr="003E644A">
        <w:rPr>
          <w:sz w:val="22"/>
          <w:szCs w:val="22"/>
        </w:rPr>
        <w:t>и</w:t>
      </w:r>
      <w:r w:rsidRPr="008242F1">
        <w:rPr>
          <w:sz w:val="22"/>
          <w:szCs w:val="22"/>
        </w:rPr>
        <w:t>е</w:t>
      </w:r>
      <w:r w:rsidRPr="003E644A">
        <w:rPr>
          <w:sz w:val="22"/>
          <w:szCs w:val="22"/>
        </w:rPr>
        <w:t xml:space="preserve"> по </w:t>
      </w:r>
      <w:r w:rsidRPr="008242F1">
        <w:rPr>
          <w:sz w:val="22"/>
          <w:szCs w:val="22"/>
        </w:rPr>
        <w:t>места</w:t>
      </w:r>
      <w:r w:rsidRPr="003E644A">
        <w:rPr>
          <w:sz w:val="22"/>
          <w:szCs w:val="22"/>
        </w:rPr>
        <w:t xml:space="preserve"> </w:t>
      </w:r>
      <w:r w:rsidRPr="008242F1">
        <w:rPr>
          <w:sz w:val="22"/>
          <w:szCs w:val="22"/>
        </w:rPr>
        <w:t>и</w:t>
      </w:r>
      <w:r w:rsidRPr="003E644A">
        <w:rPr>
          <w:sz w:val="22"/>
          <w:szCs w:val="22"/>
        </w:rPr>
        <w:t xml:space="preserve"> </w:t>
      </w:r>
      <w:r w:rsidRPr="008242F1">
        <w:rPr>
          <w:sz w:val="22"/>
          <w:szCs w:val="22"/>
        </w:rPr>
        <w:t>осиг</w:t>
      </w:r>
      <w:r w:rsidRPr="003E644A">
        <w:rPr>
          <w:sz w:val="22"/>
          <w:szCs w:val="22"/>
        </w:rPr>
        <w:t>ур</w:t>
      </w:r>
      <w:r w:rsidRPr="008242F1">
        <w:rPr>
          <w:sz w:val="22"/>
          <w:szCs w:val="22"/>
        </w:rPr>
        <w:t>ява съответс</w:t>
      </w:r>
      <w:r w:rsidRPr="003E644A">
        <w:rPr>
          <w:sz w:val="22"/>
          <w:szCs w:val="22"/>
        </w:rPr>
        <w:t>т</w:t>
      </w:r>
      <w:r w:rsidRPr="008242F1">
        <w:rPr>
          <w:sz w:val="22"/>
          <w:szCs w:val="22"/>
        </w:rPr>
        <w:t>вие между на</w:t>
      </w:r>
      <w:r w:rsidRPr="003E644A">
        <w:rPr>
          <w:sz w:val="22"/>
          <w:szCs w:val="22"/>
        </w:rPr>
        <w:t>ц</w:t>
      </w:r>
      <w:r w:rsidRPr="008242F1">
        <w:rPr>
          <w:sz w:val="22"/>
          <w:szCs w:val="22"/>
        </w:rPr>
        <w:t>ионалните</w:t>
      </w:r>
      <w:r w:rsidRPr="003E644A">
        <w:rPr>
          <w:sz w:val="22"/>
          <w:szCs w:val="22"/>
        </w:rPr>
        <w:t xml:space="preserve"> </w:t>
      </w:r>
      <w:r w:rsidRPr="008242F1">
        <w:rPr>
          <w:sz w:val="22"/>
          <w:szCs w:val="22"/>
        </w:rPr>
        <w:t>и</w:t>
      </w:r>
      <w:r w:rsidRPr="003E644A">
        <w:rPr>
          <w:sz w:val="22"/>
          <w:szCs w:val="22"/>
        </w:rPr>
        <w:t xml:space="preserve"> </w:t>
      </w:r>
      <w:r w:rsidRPr="008242F1">
        <w:rPr>
          <w:sz w:val="22"/>
          <w:szCs w:val="22"/>
        </w:rPr>
        <w:t>местн</w:t>
      </w:r>
      <w:r w:rsidRPr="003E644A">
        <w:rPr>
          <w:sz w:val="22"/>
          <w:szCs w:val="22"/>
        </w:rPr>
        <w:t>и</w:t>
      </w:r>
      <w:r w:rsidRPr="008242F1">
        <w:rPr>
          <w:sz w:val="22"/>
          <w:szCs w:val="22"/>
        </w:rPr>
        <w:t>те интере</w:t>
      </w:r>
      <w:r w:rsidRPr="003E644A">
        <w:rPr>
          <w:sz w:val="22"/>
          <w:szCs w:val="22"/>
        </w:rPr>
        <w:t>с</w:t>
      </w:r>
      <w:r w:rsidRPr="008242F1">
        <w:rPr>
          <w:sz w:val="22"/>
          <w:szCs w:val="22"/>
        </w:rPr>
        <w:t>и при прове</w:t>
      </w:r>
      <w:r w:rsidRPr="003E644A">
        <w:rPr>
          <w:sz w:val="22"/>
          <w:szCs w:val="22"/>
        </w:rPr>
        <w:t>ж</w:t>
      </w:r>
      <w:r w:rsidRPr="008242F1">
        <w:rPr>
          <w:sz w:val="22"/>
          <w:szCs w:val="22"/>
        </w:rPr>
        <w:t>дане</w:t>
      </w:r>
      <w:r w:rsidRPr="003E644A">
        <w:rPr>
          <w:sz w:val="22"/>
          <w:szCs w:val="22"/>
        </w:rPr>
        <w:t xml:space="preserve"> </w:t>
      </w:r>
      <w:r w:rsidRPr="008242F1">
        <w:rPr>
          <w:sz w:val="22"/>
          <w:szCs w:val="22"/>
        </w:rPr>
        <w:t>на</w:t>
      </w:r>
      <w:r w:rsidRPr="003E644A">
        <w:rPr>
          <w:sz w:val="22"/>
          <w:szCs w:val="22"/>
        </w:rPr>
        <w:t xml:space="preserve"> </w:t>
      </w:r>
      <w:r w:rsidRPr="008242F1">
        <w:rPr>
          <w:sz w:val="22"/>
          <w:szCs w:val="22"/>
        </w:rPr>
        <w:t>регионалната</w:t>
      </w:r>
      <w:r w:rsidRPr="003E644A">
        <w:rPr>
          <w:sz w:val="22"/>
          <w:szCs w:val="22"/>
        </w:rPr>
        <w:t xml:space="preserve"> </w:t>
      </w:r>
      <w:r w:rsidRPr="008242F1">
        <w:rPr>
          <w:sz w:val="22"/>
          <w:szCs w:val="22"/>
        </w:rPr>
        <w:t>пол</w:t>
      </w:r>
      <w:r w:rsidRPr="003E644A">
        <w:rPr>
          <w:sz w:val="22"/>
          <w:szCs w:val="22"/>
        </w:rPr>
        <w:t>и</w:t>
      </w:r>
      <w:r w:rsidRPr="008242F1">
        <w:rPr>
          <w:sz w:val="22"/>
          <w:szCs w:val="22"/>
        </w:rPr>
        <w:t>т</w:t>
      </w:r>
      <w:r w:rsidRPr="003E644A">
        <w:rPr>
          <w:sz w:val="22"/>
          <w:szCs w:val="22"/>
        </w:rPr>
        <w:t>и</w:t>
      </w:r>
      <w:r w:rsidRPr="008242F1">
        <w:rPr>
          <w:sz w:val="22"/>
          <w:szCs w:val="22"/>
        </w:rPr>
        <w:t>к</w:t>
      </w:r>
      <w:r w:rsidRPr="003E644A">
        <w:rPr>
          <w:sz w:val="22"/>
          <w:szCs w:val="22"/>
        </w:rPr>
        <w:t>а</w:t>
      </w:r>
      <w:r w:rsidRPr="008242F1">
        <w:rPr>
          <w:sz w:val="22"/>
          <w:szCs w:val="22"/>
        </w:rPr>
        <w:t xml:space="preserve">. Координира и контролира дейността на териториалните звена на министерствата и на другите административни структури на изпълнителната власт на територията на областта и контролира изпълнението на актовете и действията на ръководителите им. Осъществява контрол за законосъобразност на актовете на общинските съвети. Функции и отговорности на областния управител са регламентирани в над 120 нормативни акта. Продължава възлагането на допълнителни функции и задължения на областните управители и техните администрации, без за това да са обезпечени допълнителни експертни и финансови ресурси. </w:t>
      </w:r>
    </w:p>
    <w:p w14:paraId="3AD5D4A0" w14:textId="77777777" w:rsidR="003966F5" w:rsidRPr="008242F1" w:rsidRDefault="003966F5" w:rsidP="00D55349">
      <w:pPr>
        <w:shd w:val="clear" w:color="auto" w:fill="FFFFFF" w:themeFill="background1"/>
        <w:autoSpaceDE w:val="0"/>
        <w:autoSpaceDN w:val="0"/>
        <w:adjustRightInd w:val="0"/>
        <w:ind w:firstLine="426"/>
        <w:jc w:val="both"/>
        <w:rPr>
          <w:sz w:val="22"/>
          <w:szCs w:val="22"/>
        </w:rPr>
      </w:pPr>
      <w:r w:rsidRPr="008242F1">
        <w:rPr>
          <w:sz w:val="22"/>
          <w:szCs w:val="22"/>
        </w:rPr>
        <w:t>Най-много нормативни актове, предвиждащи правомощия на областния управител, има в сектор държавна собственост и регионално развитие (25), земеделие, гори и храни (19), околна среда (15), отбрана и сигурност (15), социална политика и заетост (12), икономика, енергетика и туризъм (9), правораздаване и вътрешни работи, административен контрол (9), държавно управление (6), здравеопазване (6), култура, образование, физическо възпитание и спорт (6), транспорт (5), данъчна политика, финансов и обществен контрол (3). Почти всички сектори на политики (с изключение на секторите държавно управление и данъчна политика, финансов и обществен контрол) са регламентирани както на законово, така и на подзаконово ниво. В шест от областите на политики преобладават законите, а единствено в сферата на отбраната и сигурността подзаконовите нормативни актове са 4 пъти повече от законовите.</w:t>
      </w:r>
    </w:p>
    <w:p w14:paraId="384AD6B1" w14:textId="77777777" w:rsidR="003966F5" w:rsidRPr="008242F1" w:rsidRDefault="003966F5" w:rsidP="00D55349">
      <w:pPr>
        <w:shd w:val="clear" w:color="auto" w:fill="FFFFFF" w:themeFill="background1"/>
        <w:autoSpaceDE w:val="0"/>
        <w:autoSpaceDN w:val="0"/>
        <w:adjustRightInd w:val="0"/>
        <w:spacing w:after="120"/>
        <w:ind w:firstLine="425"/>
        <w:jc w:val="both"/>
        <w:rPr>
          <w:sz w:val="22"/>
          <w:szCs w:val="22"/>
        </w:rPr>
      </w:pPr>
      <w:r w:rsidRPr="008242F1">
        <w:rPr>
          <w:sz w:val="22"/>
          <w:szCs w:val="22"/>
        </w:rPr>
        <w:t>Най-много правомощия и функции са свързани с координация, надзор и контрол – 94, което съответства на конституционно възложените правомощия на областният управител като орган на изпълнителната власт в областта. Следващите по брой функции са по предоставяне на услуги, което се свързва най-вече с правомощието на областния управител да управлява държавната собственост на територията на областта и такива, свързани с устройство на територията. Функциите по секторна политика са 31 броя, което представлява едва 14.5% от всички типове функции, като основната част от тях са регламентирани в закони.</w:t>
      </w:r>
    </w:p>
    <w:p w14:paraId="261CE846" w14:textId="75C6A7A9" w:rsidR="00FC4EDA" w:rsidRDefault="00FC4EDA" w:rsidP="008B11A6">
      <w:pPr>
        <w:widowControl w:val="0"/>
        <w:shd w:val="clear" w:color="auto" w:fill="FFFFFF" w:themeFill="background1"/>
        <w:tabs>
          <w:tab w:val="left" w:pos="426"/>
        </w:tabs>
        <w:spacing w:before="120"/>
        <w:ind w:firstLine="425"/>
        <w:jc w:val="both"/>
        <w:outlineLvl w:val="3"/>
        <w:rPr>
          <w:b/>
          <w:bCs/>
          <w:iCs/>
          <w:color w:val="215E99" w:themeColor="text2" w:themeTint="BF"/>
          <w:sz w:val="22"/>
          <w:szCs w:val="22"/>
          <w:lang w:eastAsia="en-US"/>
        </w:rPr>
      </w:pPr>
      <w:r w:rsidRPr="006C5E16">
        <w:rPr>
          <w:b/>
          <w:bCs/>
          <w:iCs/>
          <w:color w:val="215E99" w:themeColor="text2" w:themeTint="BF"/>
          <w:sz w:val="22"/>
          <w:szCs w:val="22"/>
          <w:lang w:eastAsia="en-US"/>
        </w:rPr>
        <w:t>Отчет на показателите за изпълнение на програмата (количествени, качествени, времеви)</w:t>
      </w:r>
    </w:p>
    <w:tbl>
      <w:tblPr>
        <w:tblW w:w="5110" w:type="pct"/>
        <w:jc w:val="center"/>
        <w:tblCellMar>
          <w:left w:w="70" w:type="dxa"/>
          <w:right w:w="70" w:type="dxa"/>
        </w:tblCellMar>
        <w:tblLook w:val="04A0" w:firstRow="1" w:lastRow="0" w:firstColumn="1" w:lastColumn="0" w:noHBand="0" w:noVBand="1"/>
      </w:tblPr>
      <w:tblGrid>
        <w:gridCol w:w="1690"/>
        <w:gridCol w:w="706"/>
        <w:gridCol w:w="685"/>
        <w:gridCol w:w="547"/>
        <w:gridCol w:w="706"/>
        <w:gridCol w:w="685"/>
        <w:gridCol w:w="580"/>
        <w:gridCol w:w="706"/>
        <w:gridCol w:w="685"/>
        <w:gridCol w:w="580"/>
        <w:gridCol w:w="706"/>
        <w:gridCol w:w="685"/>
        <w:gridCol w:w="580"/>
      </w:tblGrid>
      <w:tr w:rsidR="000946E3" w:rsidRPr="00A94F94" w14:paraId="24CD6D39" w14:textId="77777777" w:rsidTr="00641163">
        <w:trPr>
          <w:trHeight w:val="1006"/>
          <w:jc w:val="center"/>
        </w:trPr>
        <w:tc>
          <w:tcPr>
            <w:tcW w:w="886" w:type="pct"/>
            <w:tcBorders>
              <w:top w:val="single" w:sz="8" w:space="0" w:color="auto"/>
              <w:left w:val="single" w:sz="8" w:space="0" w:color="auto"/>
              <w:bottom w:val="nil"/>
              <w:right w:val="single" w:sz="4" w:space="0" w:color="auto"/>
            </w:tcBorders>
            <w:shd w:val="clear" w:color="000000" w:fill="E3E3E3"/>
            <w:vAlign w:val="center"/>
            <w:hideMark/>
          </w:tcPr>
          <w:p w14:paraId="4C0F1D55" w14:textId="77777777" w:rsidR="000946E3" w:rsidRPr="00A94F94" w:rsidRDefault="000946E3" w:rsidP="008156A3">
            <w:pPr>
              <w:jc w:val="center"/>
              <w:rPr>
                <w:b/>
                <w:bCs/>
                <w:sz w:val="16"/>
                <w:szCs w:val="16"/>
              </w:rPr>
            </w:pPr>
            <w:r w:rsidRPr="00B72372">
              <w:rPr>
                <w:b/>
                <w:bCs/>
                <w:sz w:val="16"/>
                <w:szCs w:val="16"/>
              </w:rPr>
              <w:t xml:space="preserve">ПОКАЗАТЕЛИ ЗА ИЗПЪЛНЕНИЕ </w:t>
            </w:r>
            <w:r w:rsidRPr="00A94F94">
              <w:rPr>
                <w:b/>
                <w:bCs/>
                <w:sz w:val="16"/>
                <w:szCs w:val="16"/>
              </w:rPr>
              <w:t>→</w:t>
            </w:r>
          </w:p>
        </w:tc>
        <w:tc>
          <w:tcPr>
            <w:tcW w:w="1016" w:type="pct"/>
            <w:gridSpan w:val="3"/>
            <w:tcBorders>
              <w:top w:val="single" w:sz="8" w:space="0" w:color="auto"/>
              <w:left w:val="single" w:sz="4" w:space="0" w:color="auto"/>
              <w:bottom w:val="single" w:sz="8" w:space="0" w:color="000000"/>
              <w:right w:val="single" w:sz="4" w:space="0" w:color="auto"/>
            </w:tcBorders>
            <w:shd w:val="clear" w:color="auto" w:fill="D1D1D1" w:themeFill="background2" w:themeFillShade="E6"/>
            <w:hideMark/>
          </w:tcPr>
          <w:p w14:paraId="7AE5257C" w14:textId="77777777" w:rsidR="000946E3" w:rsidRPr="00A94F94" w:rsidRDefault="000946E3" w:rsidP="008156A3">
            <w:pPr>
              <w:rPr>
                <w:sz w:val="16"/>
                <w:szCs w:val="16"/>
              </w:rPr>
            </w:pPr>
            <w:r w:rsidRPr="00A94F94">
              <w:rPr>
                <w:sz w:val="16"/>
                <w:szCs w:val="16"/>
              </w:rPr>
              <w:t>1. Брой изпълнявани проекти, вкл. и като партньор.</w:t>
            </w:r>
          </w:p>
        </w:tc>
        <w:tc>
          <w:tcPr>
            <w:tcW w:w="1033" w:type="pct"/>
            <w:gridSpan w:val="3"/>
            <w:tcBorders>
              <w:top w:val="single" w:sz="8" w:space="0" w:color="auto"/>
              <w:left w:val="single" w:sz="4" w:space="0" w:color="auto"/>
              <w:bottom w:val="single" w:sz="8" w:space="0" w:color="auto"/>
              <w:right w:val="single" w:sz="8" w:space="0" w:color="000000"/>
            </w:tcBorders>
            <w:shd w:val="clear" w:color="auto" w:fill="D1D1D1" w:themeFill="background2" w:themeFillShade="E6"/>
            <w:hideMark/>
          </w:tcPr>
          <w:p w14:paraId="43DBFD8F" w14:textId="77777777" w:rsidR="000946E3" w:rsidRPr="00A94F94" w:rsidRDefault="000946E3" w:rsidP="008156A3">
            <w:pPr>
              <w:rPr>
                <w:sz w:val="16"/>
                <w:szCs w:val="16"/>
              </w:rPr>
            </w:pPr>
            <w:r w:rsidRPr="00A94F94">
              <w:rPr>
                <w:sz w:val="16"/>
                <w:szCs w:val="16"/>
              </w:rPr>
              <w:t>2. Относителен дял на приключените в срок преписки спрямо общия брой преписки.</w:t>
            </w:r>
          </w:p>
        </w:tc>
        <w:tc>
          <w:tcPr>
            <w:tcW w:w="1033" w:type="pct"/>
            <w:gridSpan w:val="3"/>
            <w:tcBorders>
              <w:top w:val="single" w:sz="8" w:space="0" w:color="auto"/>
              <w:left w:val="nil"/>
              <w:bottom w:val="single" w:sz="8" w:space="0" w:color="auto"/>
              <w:right w:val="single" w:sz="8" w:space="0" w:color="000000"/>
            </w:tcBorders>
            <w:shd w:val="clear" w:color="auto" w:fill="D1D1D1" w:themeFill="background2" w:themeFillShade="E6"/>
            <w:hideMark/>
          </w:tcPr>
          <w:p w14:paraId="699B25FF" w14:textId="77777777" w:rsidR="000946E3" w:rsidRPr="00A94F94" w:rsidRDefault="000946E3" w:rsidP="008156A3">
            <w:pPr>
              <w:rPr>
                <w:sz w:val="16"/>
                <w:szCs w:val="16"/>
              </w:rPr>
            </w:pPr>
            <w:r w:rsidRPr="00A94F94">
              <w:rPr>
                <w:sz w:val="16"/>
                <w:szCs w:val="16"/>
              </w:rPr>
              <w:t>3. Относителен дял на върнатите и/или оспорени от ОУ решения на ОС спрямо общия брой проверени решения на ОС.</w:t>
            </w:r>
          </w:p>
        </w:tc>
        <w:tc>
          <w:tcPr>
            <w:tcW w:w="1033" w:type="pct"/>
            <w:gridSpan w:val="3"/>
            <w:tcBorders>
              <w:top w:val="single" w:sz="8" w:space="0" w:color="auto"/>
              <w:left w:val="nil"/>
              <w:bottom w:val="single" w:sz="8" w:space="0" w:color="auto"/>
              <w:right w:val="single" w:sz="8" w:space="0" w:color="000000"/>
            </w:tcBorders>
            <w:shd w:val="clear" w:color="auto" w:fill="D1D1D1" w:themeFill="background2" w:themeFillShade="E6"/>
            <w:hideMark/>
          </w:tcPr>
          <w:p w14:paraId="000D99AF" w14:textId="77777777" w:rsidR="000946E3" w:rsidRPr="00A94F94" w:rsidRDefault="000946E3" w:rsidP="008156A3">
            <w:pPr>
              <w:rPr>
                <w:sz w:val="16"/>
                <w:szCs w:val="16"/>
              </w:rPr>
            </w:pPr>
            <w:r w:rsidRPr="00A94F94">
              <w:rPr>
                <w:sz w:val="16"/>
                <w:szCs w:val="16"/>
              </w:rPr>
              <w:t>4. Относителен дял на оспорените от ОУ и отменени от съда решения на ОС спрямо общия брой оспорени от ОУ решения на ОС.</w:t>
            </w:r>
          </w:p>
        </w:tc>
      </w:tr>
      <w:tr w:rsidR="00C82914" w:rsidRPr="00A94F94" w14:paraId="48934336" w14:textId="77777777" w:rsidTr="002B39E3">
        <w:trPr>
          <w:trHeight w:val="276"/>
          <w:jc w:val="center"/>
        </w:trPr>
        <w:tc>
          <w:tcPr>
            <w:tcW w:w="886" w:type="pct"/>
            <w:vMerge w:val="restart"/>
            <w:tcBorders>
              <w:top w:val="nil"/>
              <w:left w:val="single" w:sz="8" w:space="0" w:color="auto"/>
              <w:bottom w:val="single" w:sz="8" w:space="0" w:color="000000"/>
              <w:right w:val="single" w:sz="4" w:space="0" w:color="auto"/>
            </w:tcBorders>
            <w:shd w:val="clear" w:color="000000" w:fill="E3E3E3"/>
            <w:vAlign w:val="center"/>
            <w:hideMark/>
          </w:tcPr>
          <w:p w14:paraId="77E3E258" w14:textId="77777777" w:rsidR="000946E3" w:rsidRPr="00A94F94" w:rsidRDefault="000946E3" w:rsidP="008156A3">
            <w:pPr>
              <w:jc w:val="center"/>
              <w:rPr>
                <w:b/>
                <w:bCs/>
                <w:sz w:val="16"/>
                <w:szCs w:val="16"/>
              </w:rPr>
            </w:pPr>
            <w:r w:rsidRPr="00A94F94">
              <w:rPr>
                <w:b/>
                <w:bCs/>
                <w:sz w:val="16"/>
                <w:szCs w:val="16"/>
              </w:rPr>
              <w:t>ОБЛАСТНА АДМИНИСТРАЦИЯ ↓</w:t>
            </w:r>
          </w:p>
        </w:tc>
        <w:tc>
          <w:tcPr>
            <w:tcW w:w="370" w:type="pct"/>
            <w:vMerge w:val="restart"/>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7C6F521C" w14:textId="77777777" w:rsidR="000946E3" w:rsidRPr="00A94F94" w:rsidRDefault="000946E3" w:rsidP="008156A3">
            <w:pPr>
              <w:jc w:val="center"/>
              <w:rPr>
                <w:sz w:val="16"/>
                <w:szCs w:val="16"/>
              </w:rPr>
            </w:pPr>
            <w:r w:rsidRPr="00A94F94">
              <w:rPr>
                <w:sz w:val="16"/>
                <w:szCs w:val="16"/>
              </w:rPr>
              <w:t>Мерна единица</w:t>
            </w:r>
          </w:p>
        </w:tc>
        <w:tc>
          <w:tcPr>
            <w:tcW w:w="359" w:type="pct"/>
            <w:vMerge w:val="restart"/>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55ADFE06" w14:textId="77777777" w:rsidR="000946E3" w:rsidRPr="00A94F94" w:rsidRDefault="000946E3" w:rsidP="008156A3">
            <w:pPr>
              <w:jc w:val="center"/>
              <w:rPr>
                <w:sz w:val="16"/>
                <w:szCs w:val="16"/>
              </w:rPr>
            </w:pPr>
            <w:r w:rsidRPr="00A94F94">
              <w:rPr>
                <w:sz w:val="16"/>
                <w:szCs w:val="16"/>
              </w:rPr>
              <w:t>Бюджет 2025</w:t>
            </w:r>
          </w:p>
        </w:tc>
        <w:tc>
          <w:tcPr>
            <w:tcW w:w="287" w:type="pct"/>
            <w:vMerge w:val="restart"/>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0EF6FDC8" w14:textId="77777777" w:rsidR="000946E3" w:rsidRPr="00A94F94" w:rsidRDefault="000946E3" w:rsidP="008156A3">
            <w:pPr>
              <w:jc w:val="center"/>
              <w:rPr>
                <w:sz w:val="16"/>
                <w:szCs w:val="16"/>
              </w:rPr>
            </w:pPr>
            <w:r w:rsidRPr="00A94F94">
              <w:rPr>
                <w:sz w:val="16"/>
                <w:szCs w:val="16"/>
              </w:rPr>
              <w:t>Отчет 2025</w:t>
            </w:r>
          </w:p>
        </w:tc>
        <w:tc>
          <w:tcPr>
            <w:tcW w:w="370" w:type="pct"/>
            <w:vMerge w:val="restart"/>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34728DB7" w14:textId="77777777" w:rsidR="000946E3" w:rsidRPr="00A94F94" w:rsidRDefault="000946E3" w:rsidP="008156A3">
            <w:pPr>
              <w:jc w:val="center"/>
              <w:rPr>
                <w:sz w:val="16"/>
                <w:szCs w:val="16"/>
              </w:rPr>
            </w:pPr>
            <w:r w:rsidRPr="00A94F94">
              <w:rPr>
                <w:sz w:val="16"/>
                <w:szCs w:val="16"/>
              </w:rPr>
              <w:t>Мерна единица</w:t>
            </w:r>
          </w:p>
        </w:tc>
        <w:tc>
          <w:tcPr>
            <w:tcW w:w="359" w:type="pct"/>
            <w:vMerge w:val="restart"/>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29B377D4" w14:textId="77777777" w:rsidR="000946E3" w:rsidRPr="00A94F94" w:rsidRDefault="000946E3" w:rsidP="008156A3">
            <w:pPr>
              <w:jc w:val="center"/>
              <w:rPr>
                <w:sz w:val="16"/>
                <w:szCs w:val="16"/>
              </w:rPr>
            </w:pPr>
            <w:r w:rsidRPr="00A94F94">
              <w:rPr>
                <w:sz w:val="16"/>
                <w:szCs w:val="16"/>
              </w:rPr>
              <w:t>Бюджет 2025</w:t>
            </w:r>
          </w:p>
        </w:tc>
        <w:tc>
          <w:tcPr>
            <w:tcW w:w="304" w:type="pct"/>
            <w:vMerge w:val="restart"/>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6508CB64" w14:textId="77777777" w:rsidR="000946E3" w:rsidRPr="00A94F94" w:rsidRDefault="000946E3" w:rsidP="008156A3">
            <w:pPr>
              <w:jc w:val="center"/>
              <w:rPr>
                <w:sz w:val="16"/>
                <w:szCs w:val="16"/>
              </w:rPr>
            </w:pPr>
            <w:r w:rsidRPr="00A94F94">
              <w:rPr>
                <w:sz w:val="16"/>
                <w:szCs w:val="16"/>
              </w:rPr>
              <w:t>Отчет 2025</w:t>
            </w:r>
          </w:p>
        </w:tc>
        <w:tc>
          <w:tcPr>
            <w:tcW w:w="370" w:type="pct"/>
            <w:vMerge w:val="restart"/>
            <w:tcBorders>
              <w:top w:val="nil"/>
              <w:left w:val="single" w:sz="8" w:space="0" w:color="auto"/>
              <w:bottom w:val="single" w:sz="8" w:space="0" w:color="000000"/>
              <w:right w:val="single" w:sz="4" w:space="0" w:color="auto"/>
            </w:tcBorders>
            <w:shd w:val="clear" w:color="auto" w:fill="D1D1D1" w:themeFill="background2" w:themeFillShade="E6"/>
            <w:vAlign w:val="center"/>
            <w:hideMark/>
          </w:tcPr>
          <w:p w14:paraId="1D6FB131" w14:textId="77777777" w:rsidR="000946E3" w:rsidRPr="00A94F94" w:rsidRDefault="000946E3" w:rsidP="008156A3">
            <w:pPr>
              <w:jc w:val="center"/>
              <w:rPr>
                <w:sz w:val="16"/>
                <w:szCs w:val="16"/>
              </w:rPr>
            </w:pPr>
            <w:r w:rsidRPr="00A94F94">
              <w:rPr>
                <w:sz w:val="16"/>
                <w:szCs w:val="16"/>
              </w:rPr>
              <w:t>Мерна единица</w:t>
            </w:r>
          </w:p>
        </w:tc>
        <w:tc>
          <w:tcPr>
            <w:tcW w:w="359" w:type="pct"/>
            <w:vMerge w:val="restart"/>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60ED73EC" w14:textId="77777777" w:rsidR="000946E3" w:rsidRPr="00A94F94" w:rsidRDefault="000946E3" w:rsidP="008156A3">
            <w:pPr>
              <w:jc w:val="center"/>
              <w:rPr>
                <w:sz w:val="16"/>
                <w:szCs w:val="16"/>
              </w:rPr>
            </w:pPr>
            <w:r w:rsidRPr="00A94F94">
              <w:rPr>
                <w:sz w:val="16"/>
                <w:szCs w:val="16"/>
              </w:rPr>
              <w:t>Бюджет 2025</w:t>
            </w:r>
          </w:p>
        </w:tc>
        <w:tc>
          <w:tcPr>
            <w:tcW w:w="304" w:type="pct"/>
            <w:vMerge w:val="restart"/>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10851DBF" w14:textId="77777777" w:rsidR="000946E3" w:rsidRPr="00A94F94" w:rsidRDefault="000946E3" w:rsidP="008156A3">
            <w:pPr>
              <w:jc w:val="center"/>
              <w:rPr>
                <w:sz w:val="16"/>
                <w:szCs w:val="16"/>
              </w:rPr>
            </w:pPr>
            <w:r w:rsidRPr="00A94F94">
              <w:rPr>
                <w:sz w:val="16"/>
                <w:szCs w:val="16"/>
              </w:rPr>
              <w:t>Отчет 2025</w:t>
            </w:r>
          </w:p>
        </w:tc>
        <w:tc>
          <w:tcPr>
            <w:tcW w:w="370" w:type="pct"/>
            <w:vMerge w:val="restart"/>
            <w:tcBorders>
              <w:top w:val="nil"/>
              <w:left w:val="single" w:sz="8" w:space="0" w:color="auto"/>
              <w:bottom w:val="single" w:sz="8" w:space="0" w:color="000000"/>
              <w:right w:val="single" w:sz="4" w:space="0" w:color="auto"/>
            </w:tcBorders>
            <w:shd w:val="clear" w:color="auto" w:fill="D1D1D1" w:themeFill="background2" w:themeFillShade="E6"/>
            <w:vAlign w:val="center"/>
            <w:hideMark/>
          </w:tcPr>
          <w:p w14:paraId="5DD2E946" w14:textId="77777777" w:rsidR="000946E3" w:rsidRPr="00A94F94" w:rsidRDefault="000946E3" w:rsidP="008156A3">
            <w:pPr>
              <w:jc w:val="center"/>
              <w:rPr>
                <w:sz w:val="16"/>
                <w:szCs w:val="16"/>
              </w:rPr>
            </w:pPr>
            <w:r w:rsidRPr="00A94F94">
              <w:rPr>
                <w:sz w:val="16"/>
                <w:szCs w:val="16"/>
              </w:rPr>
              <w:t>Мерна единица</w:t>
            </w:r>
          </w:p>
        </w:tc>
        <w:tc>
          <w:tcPr>
            <w:tcW w:w="359" w:type="pct"/>
            <w:vMerge w:val="restart"/>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7F4C07CE" w14:textId="77777777" w:rsidR="000946E3" w:rsidRPr="00A94F94" w:rsidRDefault="000946E3" w:rsidP="008156A3">
            <w:pPr>
              <w:jc w:val="center"/>
              <w:rPr>
                <w:sz w:val="16"/>
                <w:szCs w:val="16"/>
              </w:rPr>
            </w:pPr>
            <w:r w:rsidRPr="00A94F94">
              <w:rPr>
                <w:sz w:val="16"/>
                <w:szCs w:val="16"/>
              </w:rPr>
              <w:t>Бюджет 2025</w:t>
            </w:r>
          </w:p>
        </w:tc>
        <w:tc>
          <w:tcPr>
            <w:tcW w:w="304" w:type="pct"/>
            <w:vMerge w:val="restart"/>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22D460D3" w14:textId="77777777" w:rsidR="000946E3" w:rsidRPr="00A94F94" w:rsidRDefault="000946E3" w:rsidP="008156A3">
            <w:pPr>
              <w:jc w:val="center"/>
              <w:rPr>
                <w:sz w:val="16"/>
                <w:szCs w:val="16"/>
              </w:rPr>
            </w:pPr>
            <w:r w:rsidRPr="00A94F94">
              <w:rPr>
                <w:sz w:val="16"/>
                <w:szCs w:val="16"/>
              </w:rPr>
              <w:t>Отчет 2025</w:t>
            </w:r>
          </w:p>
        </w:tc>
      </w:tr>
      <w:tr w:rsidR="00C82914" w:rsidRPr="00A94F94" w14:paraId="7F2EC9F6" w14:textId="77777777" w:rsidTr="00641163">
        <w:trPr>
          <w:trHeight w:val="276"/>
          <w:jc w:val="center"/>
        </w:trPr>
        <w:tc>
          <w:tcPr>
            <w:tcW w:w="886" w:type="pct"/>
            <w:vMerge/>
            <w:tcBorders>
              <w:top w:val="nil"/>
              <w:left w:val="single" w:sz="8" w:space="0" w:color="auto"/>
              <w:bottom w:val="single" w:sz="8" w:space="0" w:color="000000"/>
              <w:right w:val="single" w:sz="4" w:space="0" w:color="auto"/>
            </w:tcBorders>
            <w:vAlign w:val="center"/>
            <w:hideMark/>
          </w:tcPr>
          <w:p w14:paraId="5486502C" w14:textId="77777777" w:rsidR="000946E3" w:rsidRPr="00A94F94" w:rsidRDefault="000946E3" w:rsidP="008156A3">
            <w:pPr>
              <w:rPr>
                <w:b/>
                <w:bCs/>
                <w:sz w:val="16"/>
                <w:szCs w:val="16"/>
              </w:rPr>
            </w:pPr>
          </w:p>
        </w:tc>
        <w:tc>
          <w:tcPr>
            <w:tcW w:w="370" w:type="pct"/>
            <w:vMerge/>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3FBE94DB" w14:textId="77777777" w:rsidR="000946E3" w:rsidRPr="00A94F94" w:rsidRDefault="000946E3" w:rsidP="008156A3">
            <w:pPr>
              <w:rPr>
                <w:sz w:val="16"/>
                <w:szCs w:val="16"/>
              </w:rPr>
            </w:pPr>
          </w:p>
        </w:tc>
        <w:tc>
          <w:tcPr>
            <w:tcW w:w="359" w:type="pct"/>
            <w:vMerge/>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0D616C7B" w14:textId="77777777" w:rsidR="000946E3" w:rsidRPr="00A94F94" w:rsidRDefault="000946E3" w:rsidP="008156A3">
            <w:pPr>
              <w:rPr>
                <w:sz w:val="16"/>
                <w:szCs w:val="16"/>
              </w:rPr>
            </w:pPr>
          </w:p>
        </w:tc>
        <w:tc>
          <w:tcPr>
            <w:tcW w:w="287" w:type="pct"/>
            <w:vMerge/>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6D8B52C5" w14:textId="77777777" w:rsidR="000946E3" w:rsidRPr="00A94F94" w:rsidRDefault="000946E3" w:rsidP="008156A3">
            <w:pPr>
              <w:rPr>
                <w:sz w:val="16"/>
                <w:szCs w:val="16"/>
              </w:rPr>
            </w:pPr>
          </w:p>
        </w:tc>
        <w:tc>
          <w:tcPr>
            <w:tcW w:w="370" w:type="pct"/>
            <w:vMerge/>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14F3303A" w14:textId="77777777" w:rsidR="000946E3" w:rsidRPr="00A94F94" w:rsidRDefault="000946E3" w:rsidP="008156A3">
            <w:pPr>
              <w:rPr>
                <w:sz w:val="16"/>
                <w:szCs w:val="16"/>
              </w:rPr>
            </w:pPr>
          </w:p>
        </w:tc>
        <w:tc>
          <w:tcPr>
            <w:tcW w:w="359" w:type="pct"/>
            <w:vMerge/>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508DE0D5" w14:textId="77777777" w:rsidR="000946E3" w:rsidRPr="00A94F94" w:rsidRDefault="000946E3" w:rsidP="008156A3">
            <w:pPr>
              <w:rPr>
                <w:sz w:val="16"/>
                <w:szCs w:val="16"/>
              </w:rPr>
            </w:pPr>
          </w:p>
        </w:tc>
        <w:tc>
          <w:tcPr>
            <w:tcW w:w="304" w:type="pct"/>
            <w:vMerge/>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6DF73B52" w14:textId="77777777" w:rsidR="000946E3" w:rsidRPr="00A94F94" w:rsidRDefault="000946E3" w:rsidP="008156A3">
            <w:pPr>
              <w:rPr>
                <w:sz w:val="16"/>
                <w:szCs w:val="16"/>
              </w:rPr>
            </w:pPr>
          </w:p>
        </w:tc>
        <w:tc>
          <w:tcPr>
            <w:tcW w:w="370" w:type="pct"/>
            <w:vMerge/>
            <w:tcBorders>
              <w:top w:val="nil"/>
              <w:left w:val="single" w:sz="8" w:space="0" w:color="auto"/>
              <w:bottom w:val="single" w:sz="8" w:space="0" w:color="000000"/>
              <w:right w:val="single" w:sz="4" w:space="0" w:color="auto"/>
            </w:tcBorders>
            <w:shd w:val="clear" w:color="auto" w:fill="D1D1D1" w:themeFill="background2" w:themeFillShade="E6"/>
            <w:vAlign w:val="center"/>
            <w:hideMark/>
          </w:tcPr>
          <w:p w14:paraId="40ABA0DD" w14:textId="77777777" w:rsidR="000946E3" w:rsidRPr="00A94F94" w:rsidRDefault="000946E3" w:rsidP="008156A3">
            <w:pPr>
              <w:rPr>
                <w:sz w:val="16"/>
                <w:szCs w:val="16"/>
              </w:rPr>
            </w:pPr>
          </w:p>
        </w:tc>
        <w:tc>
          <w:tcPr>
            <w:tcW w:w="359" w:type="pct"/>
            <w:vMerge/>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134723AB" w14:textId="77777777" w:rsidR="000946E3" w:rsidRPr="00A94F94" w:rsidRDefault="000946E3" w:rsidP="008156A3">
            <w:pPr>
              <w:rPr>
                <w:sz w:val="16"/>
                <w:szCs w:val="16"/>
              </w:rPr>
            </w:pPr>
          </w:p>
        </w:tc>
        <w:tc>
          <w:tcPr>
            <w:tcW w:w="304" w:type="pct"/>
            <w:vMerge/>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2B300162" w14:textId="77777777" w:rsidR="000946E3" w:rsidRPr="00A94F94" w:rsidRDefault="000946E3" w:rsidP="008156A3">
            <w:pPr>
              <w:rPr>
                <w:sz w:val="16"/>
                <w:szCs w:val="16"/>
              </w:rPr>
            </w:pPr>
          </w:p>
        </w:tc>
        <w:tc>
          <w:tcPr>
            <w:tcW w:w="370" w:type="pct"/>
            <w:vMerge/>
            <w:tcBorders>
              <w:top w:val="nil"/>
              <w:left w:val="single" w:sz="8" w:space="0" w:color="auto"/>
              <w:bottom w:val="single" w:sz="8" w:space="0" w:color="000000"/>
              <w:right w:val="single" w:sz="4" w:space="0" w:color="auto"/>
            </w:tcBorders>
            <w:shd w:val="clear" w:color="auto" w:fill="D1D1D1" w:themeFill="background2" w:themeFillShade="E6"/>
            <w:vAlign w:val="center"/>
            <w:hideMark/>
          </w:tcPr>
          <w:p w14:paraId="6BB1D129" w14:textId="77777777" w:rsidR="000946E3" w:rsidRPr="00A94F94" w:rsidRDefault="000946E3" w:rsidP="008156A3">
            <w:pPr>
              <w:rPr>
                <w:sz w:val="16"/>
                <w:szCs w:val="16"/>
              </w:rPr>
            </w:pPr>
          </w:p>
        </w:tc>
        <w:tc>
          <w:tcPr>
            <w:tcW w:w="359" w:type="pct"/>
            <w:vMerge/>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1FB1F374" w14:textId="77777777" w:rsidR="000946E3" w:rsidRPr="00A94F94" w:rsidRDefault="000946E3" w:rsidP="008156A3">
            <w:pPr>
              <w:rPr>
                <w:sz w:val="16"/>
                <w:szCs w:val="16"/>
              </w:rPr>
            </w:pPr>
          </w:p>
        </w:tc>
        <w:tc>
          <w:tcPr>
            <w:tcW w:w="304" w:type="pct"/>
            <w:vMerge/>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08D56FCD" w14:textId="77777777" w:rsidR="000946E3" w:rsidRPr="00A94F94" w:rsidRDefault="000946E3" w:rsidP="008156A3">
            <w:pPr>
              <w:rPr>
                <w:sz w:val="16"/>
                <w:szCs w:val="16"/>
              </w:rPr>
            </w:pPr>
          </w:p>
        </w:tc>
      </w:tr>
      <w:tr w:rsidR="00C16743" w:rsidRPr="008C0AD6" w14:paraId="4BD5A87E"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4106CEF0" w14:textId="77777777" w:rsidR="00C16743" w:rsidRPr="008C0AD6" w:rsidRDefault="00C16743" w:rsidP="00C16743">
            <w:pPr>
              <w:rPr>
                <w:sz w:val="16"/>
                <w:szCs w:val="16"/>
              </w:rPr>
            </w:pPr>
            <w:r w:rsidRPr="008C0AD6">
              <w:rPr>
                <w:sz w:val="16"/>
                <w:szCs w:val="16"/>
              </w:rPr>
              <w:t xml:space="preserve">Благоевград </w:t>
            </w:r>
          </w:p>
        </w:tc>
        <w:tc>
          <w:tcPr>
            <w:tcW w:w="370" w:type="pct"/>
            <w:tcBorders>
              <w:top w:val="nil"/>
              <w:left w:val="nil"/>
              <w:bottom w:val="single" w:sz="4" w:space="0" w:color="auto"/>
              <w:right w:val="single" w:sz="4" w:space="0" w:color="auto"/>
            </w:tcBorders>
            <w:shd w:val="clear" w:color="auto" w:fill="auto"/>
            <w:noWrap/>
            <w:vAlign w:val="bottom"/>
            <w:hideMark/>
          </w:tcPr>
          <w:p w14:paraId="3D3DAEAB"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0262BC07" w14:textId="13769B27" w:rsidR="00C16743" w:rsidRPr="008C0AD6" w:rsidRDefault="00C16743" w:rsidP="00C16743">
            <w:pPr>
              <w:jc w:val="right"/>
              <w:rPr>
                <w:sz w:val="16"/>
                <w:szCs w:val="16"/>
              </w:rPr>
            </w:pPr>
            <w:r w:rsidRPr="008C0AD6">
              <w:rPr>
                <w:sz w:val="16"/>
                <w:szCs w:val="16"/>
              </w:rPr>
              <w:t>1</w:t>
            </w:r>
          </w:p>
        </w:tc>
        <w:tc>
          <w:tcPr>
            <w:tcW w:w="287" w:type="pct"/>
            <w:tcBorders>
              <w:top w:val="nil"/>
              <w:left w:val="nil"/>
              <w:bottom w:val="single" w:sz="4" w:space="0" w:color="auto"/>
              <w:right w:val="single" w:sz="4" w:space="0" w:color="auto"/>
            </w:tcBorders>
            <w:shd w:val="clear" w:color="auto" w:fill="auto"/>
            <w:noWrap/>
            <w:vAlign w:val="center"/>
            <w:hideMark/>
          </w:tcPr>
          <w:p w14:paraId="20D40D38" w14:textId="77777777" w:rsidR="00C16743" w:rsidRPr="008C0AD6" w:rsidRDefault="00C16743" w:rsidP="00C16743">
            <w:pPr>
              <w:jc w:val="right"/>
              <w:rPr>
                <w:sz w:val="16"/>
                <w:szCs w:val="16"/>
              </w:rPr>
            </w:pPr>
            <w:r w:rsidRPr="008C0AD6">
              <w:rPr>
                <w:sz w:val="16"/>
                <w:szCs w:val="16"/>
              </w:rPr>
              <w:t>1</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020BEB6D"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1E53630E" w14:textId="41A27277"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000BDB3F" w14:textId="77777777" w:rsidR="00C16743" w:rsidRPr="008C0AD6" w:rsidRDefault="00C16743" w:rsidP="00C16743">
            <w:pPr>
              <w:jc w:val="right"/>
              <w:rPr>
                <w:sz w:val="16"/>
                <w:szCs w:val="16"/>
              </w:rPr>
            </w:pPr>
            <w:r w:rsidRPr="008C0AD6">
              <w:rPr>
                <w:sz w:val="16"/>
                <w:szCs w:val="16"/>
              </w:rPr>
              <w:t>95,80</w:t>
            </w:r>
          </w:p>
        </w:tc>
        <w:tc>
          <w:tcPr>
            <w:tcW w:w="370" w:type="pct"/>
            <w:tcBorders>
              <w:top w:val="nil"/>
              <w:left w:val="nil"/>
              <w:bottom w:val="single" w:sz="4" w:space="0" w:color="auto"/>
              <w:right w:val="single" w:sz="4" w:space="0" w:color="auto"/>
            </w:tcBorders>
            <w:shd w:val="clear" w:color="auto" w:fill="auto"/>
            <w:noWrap/>
            <w:vAlign w:val="bottom"/>
            <w:hideMark/>
          </w:tcPr>
          <w:p w14:paraId="61E6AB1E"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693F96AF" w14:textId="51F1DD36" w:rsidR="00C16743" w:rsidRPr="008C0AD6" w:rsidRDefault="00C16743" w:rsidP="00C16743">
            <w:pPr>
              <w:jc w:val="right"/>
              <w:rPr>
                <w:sz w:val="16"/>
                <w:szCs w:val="16"/>
              </w:rPr>
            </w:pPr>
            <w:r w:rsidRPr="008C0AD6">
              <w:rPr>
                <w:sz w:val="16"/>
                <w:szCs w:val="16"/>
              </w:rPr>
              <w:t>3</w:t>
            </w:r>
          </w:p>
        </w:tc>
        <w:tc>
          <w:tcPr>
            <w:tcW w:w="304" w:type="pct"/>
            <w:tcBorders>
              <w:top w:val="nil"/>
              <w:left w:val="nil"/>
              <w:bottom w:val="single" w:sz="4" w:space="0" w:color="auto"/>
              <w:right w:val="single" w:sz="4" w:space="0" w:color="auto"/>
            </w:tcBorders>
            <w:shd w:val="clear" w:color="auto" w:fill="auto"/>
            <w:noWrap/>
            <w:vAlign w:val="bottom"/>
            <w:hideMark/>
          </w:tcPr>
          <w:p w14:paraId="4784978F" w14:textId="77777777" w:rsidR="00C16743" w:rsidRPr="008C0AD6" w:rsidRDefault="00C16743" w:rsidP="00C16743">
            <w:pPr>
              <w:jc w:val="right"/>
              <w:rPr>
                <w:sz w:val="16"/>
                <w:szCs w:val="16"/>
              </w:rPr>
            </w:pPr>
            <w:r w:rsidRPr="008C0AD6">
              <w:rPr>
                <w:sz w:val="16"/>
                <w:szCs w:val="16"/>
              </w:rPr>
              <w:t>2,20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44B71693"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3EE9E623" w14:textId="5238E7D5"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2E2E934C" w14:textId="77777777" w:rsidR="00C16743" w:rsidRPr="008C0AD6" w:rsidRDefault="00C16743" w:rsidP="00C16743">
            <w:pPr>
              <w:jc w:val="right"/>
              <w:rPr>
                <w:sz w:val="16"/>
                <w:szCs w:val="16"/>
              </w:rPr>
            </w:pPr>
            <w:r w:rsidRPr="008C0AD6">
              <w:rPr>
                <w:sz w:val="16"/>
                <w:szCs w:val="16"/>
              </w:rPr>
              <w:t>62,62</w:t>
            </w:r>
          </w:p>
        </w:tc>
      </w:tr>
      <w:tr w:rsidR="00C16743" w:rsidRPr="008C0AD6" w14:paraId="47194A77"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5EADDA77" w14:textId="77777777" w:rsidR="00C16743" w:rsidRPr="008C0AD6" w:rsidRDefault="00C16743" w:rsidP="00C16743">
            <w:pPr>
              <w:rPr>
                <w:sz w:val="16"/>
                <w:szCs w:val="16"/>
              </w:rPr>
            </w:pPr>
            <w:r w:rsidRPr="008C0AD6">
              <w:rPr>
                <w:sz w:val="16"/>
                <w:szCs w:val="16"/>
              </w:rPr>
              <w:t>Бургас</w:t>
            </w:r>
          </w:p>
        </w:tc>
        <w:tc>
          <w:tcPr>
            <w:tcW w:w="370" w:type="pct"/>
            <w:tcBorders>
              <w:top w:val="nil"/>
              <w:left w:val="nil"/>
              <w:bottom w:val="single" w:sz="4" w:space="0" w:color="auto"/>
              <w:right w:val="single" w:sz="4" w:space="0" w:color="auto"/>
            </w:tcBorders>
            <w:shd w:val="clear" w:color="auto" w:fill="auto"/>
            <w:noWrap/>
            <w:vAlign w:val="bottom"/>
            <w:hideMark/>
          </w:tcPr>
          <w:p w14:paraId="4EA2E843"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5AB534CB" w14:textId="2F605A1F" w:rsidR="00C16743" w:rsidRPr="008C0AD6" w:rsidRDefault="00C16743" w:rsidP="00C16743">
            <w:pPr>
              <w:jc w:val="right"/>
              <w:rPr>
                <w:sz w:val="16"/>
                <w:szCs w:val="16"/>
              </w:rPr>
            </w:pPr>
            <w:r w:rsidRPr="008C0AD6">
              <w:rPr>
                <w:sz w:val="16"/>
                <w:szCs w:val="16"/>
              </w:rPr>
              <w:t>1</w:t>
            </w:r>
          </w:p>
        </w:tc>
        <w:tc>
          <w:tcPr>
            <w:tcW w:w="287" w:type="pct"/>
            <w:tcBorders>
              <w:top w:val="nil"/>
              <w:left w:val="nil"/>
              <w:bottom w:val="single" w:sz="4" w:space="0" w:color="auto"/>
              <w:right w:val="single" w:sz="4" w:space="0" w:color="auto"/>
            </w:tcBorders>
            <w:shd w:val="clear" w:color="auto" w:fill="auto"/>
            <w:noWrap/>
            <w:vAlign w:val="center"/>
            <w:hideMark/>
          </w:tcPr>
          <w:p w14:paraId="74B74382" w14:textId="77777777" w:rsidR="00C16743" w:rsidRPr="008C0AD6" w:rsidRDefault="00C16743" w:rsidP="00C16743">
            <w:pPr>
              <w:jc w:val="right"/>
              <w:rPr>
                <w:sz w:val="16"/>
                <w:szCs w:val="16"/>
              </w:rPr>
            </w:pPr>
            <w:r w:rsidRPr="008C0AD6">
              <w:rPr>
                <w:sz w:val="16"/>
                <w:szCs w:val="16"/>
              </w:rPr>
              <w:t>2</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35A5C46B"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336D0FD1" w14:textId="05AE6114" w:rsidR="00C16743" w:rsidRPr="008C0AD6" w:rsidRDefault="00C16743" w:rsidP="00C16743">
            <w:pPr>
              <w:jc w:val="right"/>
              <w:rPr>
                <w:sz w:val="16"/>
                <w:szCs w:val="16"/>
              </w:rPr>
            </w:pPr>
            <w:r w:rsidRPr="008C0AD6">
              <w:rPr>
                <w:sz w:val="16"/>
                <w:szCs w:val="16"/>
              </w:rPr>
              <w:t>80</w:t>
            </w:r>
          </w:p>
        </w:tc>
        <w:tc>
          <w:tcPr>
            <w:tcW w:w="304" w:type="pct"/>
            <w:tcBorders>
              <w:top w:val="nil"/>
              <w:left w:val="nil"/>
              <w:bottom w:val="single" w:sz="4" w:space="0" w:color="auto"/>
              <w:right w:val="single" w:sz="8" w:space="0" w:color="auto"/>
            </w:tcBorders>
            <w:shd w:val="clear" w:color="auto" w:fill="auto"/>
            <w:noWrap/>
            <w:vAlign w:val="bottom"/>
            <w:hideMark/>
          </w:tcPr>
          <w:p w14:paraId="7A04A1AF" w14:textId="77777777" w:rsidR="00C16743" w:rsidRPr="008C0AD6" w:rsidRDefault="00C16743" w:rsidP="00C16743">
            <w:pPr>
              <w:jc w:val="right"/>
              <w:rPr>
                <w:sz w:val="16"/>
                <w:szCs w:val="16"/>
              </w:rPr>
            </w:pPr>
            <w:r w:rsidRPr="008C0AD6">
              <w:rPr>
                <w:sz w:val="16"/>
                <w:szCs w:val="16"/>
              </w:rPr>
              <w:t>28,00</w:t>
            </w:r>
          </w:p>
        </w:tc>
        <w:tc>
          <w:tcPr>
            <w:tcW w:w="370" w:type="pct"/>
            <w:tcBorders>
              <w:top w:val="nil"/>
              <w:left w:val="nil"/>
              <w:bottom w:val="single" w:sz="4" w:space="0" w:color="auto"/>
              <w:right w:val="single" w:sz="4" w:space="0" w:color="auto"/>
            </w:tcBorders>
            <w:shd w:val="clear" w:color="auto" w:fill="auto"/>
            <w:noWrap/>
            <w:vAlign w:val="bottom"/>
            <w:hideMark/>
          </w:tcPr>
          <w:p w14:paraId="1EBBB1D5"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21A20A94" w14:textId="5994D4E5" w:rsidR="00C16743" w:rsidRPr="008C0AD6" w:rsidRDefault="00C16743" w:rsidP="00C16743">
            <w:pPr>
              <w:jc w:val="right"/>
              <w:rPr>
                <w:sz w:val="16"/>
                <w:szCs w:val="16"/>
              </w:rPr>
            </w:pPr>
            <w:r w:rsidRPr="008C0AD6">
              <w:rPr>
                <w:sz w:val="16"/>
                <w:szCs w:val="16"/>
              </w:rPr>
              <w:t>0,5</w:t>
            </w:r>
          </w:p>
        </w:tc>
        <w:tc>
          <w:tcPr>
            <w:tcW w:w="304" w:type="pct"/>
            <w:tcBorders>
              <w:top w:val="nil"/>
              <w:left w:val="nil"/>
              <w:bottom w:val="single" w:sz="4" w:space="0" w:color="auto"/>
              <w:right w:val="single" w:sz="4" w:space="0" w:color="auto"/>
            </w:tcBorders>
            <w:shd w:val="clear" w:color="auto" w:fill="auto"/>
            <w:noWrap/>
            <w:vAlign w:val="bottom"/>
            <w:hideMark/>
          </w:tcPr>
          <w:p w14:paraId="607C8D35" w14:textId="77777777" w:rsidR="00C16743" w:rsidRPr="008C0AD6" w:rsidRDefault="00C16743" w:rsidP="00C16743">
            <w:pPr>
              <w:jc w:val="right"/>
              <w:rPr>
                <w:sz w:val="16"/>
                <w:szCs w:val="16"/>
              </w:rPr>
            </w:pPr>
            <w:r w:rsidRPr="008C0AD6">
              <w:rPr>
                <w:sz w:val="16"/>
                <w:szCs w:val="16"/>
              </w:rPr>
              <w:t>0,45</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254201FF"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70536202" w14:textId="0ADA79FE" w:rsidR="00C16743" w:rsidRPr="008C0AD6" w:rsidRDefault="00C16743" w:rsidP="00C16743">
            <w:pPr>
              <w:jc w:val="right"/>
              <w:rPr>
                <w:sz w:val="16"/>
                <w:szCs w:val="16"/>
              </w:rPr>
            </w:pPr>
            <w:r w:rsidRPr="008C0AD6">
              <w:rPr>
                <w:sz w:val="16"/>
                <w:szCs w:val="16"/>
              </w:rPr>
              <w:t>90</w:t>
            </w:r>
          </w:p>
        </w:tc>
        <w:tc>
          <w:tcPr>
            <w:tcW w:w="304" w:type="pct"/>
            <w:tcBorders>
              <w:top w:val="nil"/>
              <w:left w:val="nil"/>
              <w:bottom w:val="single" w:sz="4" w:space="0" w:color="auto"/>
              <w:right w:val="single" w:sz="8" w:space="0" w:color="auto"/>
            </w:tcBorders>
            <w:shd w:val="clear" w:color="auto" w:fill="auto"/>
            <w:noWrap/>
            <w:vAlign w:val="bottom"/>
            <w:hideMark/>
          </w:tcPr>
          <w:p w14:paraId="49E3E6C7" w14:textId="77777777" w:rsidR="00C16743" w:rsidRPr="008C0AD6" w:rsidRDefault="00C16743" w:rsidP="00C16743">
            <w:pPr>
              <w:jc w:val="right"/>
              <w:rPr>
                <w:sz w:val="16"/>
                <w:szCs w:val="16"/>
              </w:rPr>
            </w:pPr>
            <w:r w:rsidRPr="008C0AD6">
              <w:rPr>
                <w:sz w:val="16"/>
                <w:szCs w:val="16"/>
              </w:rPr>
              <w:t>100,00</w:t>
            </w:r>
          </w:p>
        </w:tc>
      </w:tr>
      <w:tr w:rsidR="00C16743" w:rsidRPr="008C0AD6" w14:paraId="0A55DCAA"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304A9FD5" w14:textId="77777777" w:rsidR="00C16743" w:rsidRPr="008C0AD6" w:rsidRDefault="00C16743" w:rsidP="00C16743">
            <w:pPr>
              <w:rPr>
                <w:sz w:val="16"/>
                <w:szCs w:val="16"/>
              </w:rPr>
            </w:pPr>
            <w:r w:rsidRPr="008C0AD6">
              <w:rPr>
                <w:sz w:val="16"/>
                <w:szCs w:val="16"/>
              </w:rPr>
              <w:t>Варна</w:t>
            </w:r>
          </w:p>
        </w:tc>
        <w:tc>
          <w:tcPr>
            <w:tcW w:w="370" w:type="pct"/>
            <w:tcBorders>
              <w:top w:val="nil"/>
              <w:left w:val="nil"/>
              <w:bottom w:val="single" w:sz="4" w:space="0" w:color="auto"/>
              <w:right w:val="single" w:sz="4" w:space="0" w:color="auto"/>
            </w:tcBorders>
            <w:shd w:val="clear" w:color="auto" w:fill="auto"/>
            <w:noWrap/>
            <w:vAlign w:val="bottom"/>
            <w:hideMark/>
          </w:tcPr>
          <w:p w14:paraId="39E277BC"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40183A78" w14:textId="04DFDE4D" w:rsidR="00C16743" w:rsidRPr="008C0AD6" w:rsidRDefault="00C16743" w:rsidP="00C16743">
            <w:pPr>
              <w:jc w:val="right"/>
              <w:rPr>
                <w:sz w:val="16"/>
                <w:szCs w:val="16"/>
              </w:rPr>
            </w:pPr>
            <w:r w:rsidRPr="008C0AD6">
              <w:rPr>
                <w:sz w:val="16"/>
                <w:szCs w:val="16"/>
              </w:rPr>
              <w:t>5</w:t>
            </w:r>
          </w:p>
        </w:tc>
        <w:tc>
          <w:tcPr>
            <w:tcW w:w="287" w:type="pct"/>
            <w:tcBorders>
              <w:top w:val="nil"/>
              <w:left w:val="nil"/>
              <w:bottom w:val="single" w:sz="4" w:space="0" w:color="auto"/>
              <w:right w:val="single" w:sz="4" w:space="0" w:color="auto"/>
            </w:tcBorders>
            <w:shd w:val="clear" w:color="auto" w:fill="auto"/>
            <w:noWrap/>
            <w:vAlign w:val="center"/>
            <w:hideMark/>
          </w:tcPr>
          <w:p w14:paraId="7C87D8E5" w14:textId="77777777" w:rsidR="00C16743" w:rsidRPr="008C0AD6" w:rsidRDefault="00C16743" w:rsidP="00C16743">
            <w:pPr>
              <w:jc w:val="right"/>
              <w:rPr>
                <w:sz w:val="16"/>
                <w:szCs w:val="16"/>
              </w:rPr>
            </w:pPr>
            <w:r w:rsidRPr="008C0AD6">
              <w:rPr>
                <w:sz w:val="16"/>
                <w:szCs w:val="16"/>
              </w:rPr>
              <w:t>1</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0298B817"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37DAF73D" w14:textId="56F57C03"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664BB16F" w14:textId="77777777" w:rsidR="00C16743" w:rsidRPr="008C0AD6" w:rsidRDefault="00C16743" w:rsidP="00C16743">
            <w:pPr>
              <w:jc w:val="right"/>
              <w:rPr>
                <w:sz w:val="16"/>
                <w:szCs w:val="16"/>
              </w:rPr>
            </w:pPr>
            <w:r w:rsidRPr="008C0AD6">
              <w:rPr>
                <w:sz w:val="16"/>
                <w:szCs w:val="16"/>
              </w:rPr>
              <w:t>100,00</w:t>
            </w:r>
          </w:p>
        </w:tc>
        <w:tc>
          <w:tcPr>
            <w:tcW w:w="370" w:type="pct"/>
            <w:tcBorders>
              <w:top w:val="nil"/>
              <w:left w:val="nil"/>
              <w:bottom w:val="single" w:sz="4" w:space="0" w:color="auto"/>
              <w:right w:val="single" w:sz="4" w:space="0" w:color="auto"/>
            </w:tcBorders>
            <w:shd w:val="clear" w:color="auto" w:fill="auto"/>
            <w:noWrap/>
            <w:vAlign w:val="bottom"/>
            <w:hideMark/>
          </w:tcPr>
          <w:p w14:paraId="00E2CABE"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17887F37" w14:textId="61B12C62" w:rsidR="00C16743" w:rsidRPr="008C0AD6" w:rsidRDefault="00C16743" w:rsidP="00C16743">
            <w:pPr>
              <w:jc w:val="right"/>
              <w:rPr>
                <w:sz w:val="16"/>
                <w:szCs w:val="16"/>
              </w:rPr>
            </w:pPr>
            <w:r w:rsidRPr="008C0AD6">
              <w:rPr>
                <w:sz w:val="16"/>
                <w:szCs w:val="16"/>
              </w:rPr>
              <w:t>0</w:t>
            </w:r>
          </w:p>
        </w:tc>
        <w:tc>
          <w:tcPr>
            <w:tcW w:w="304" w:type="pct"/>
            <w:tcBorders>
              <w:top w:val="nil"/>
              <w:left w:val="nil"/>
              <w:bottom w:val="single" w:sz="4" w:space="0" w:color="auto"/>
              <w:right w:val="single" w:sz="4" w:space="0" w:color="auto"/>
            </w:tcBorders>
            <w:shd w:val="clear" w:color="auto" w:fill="auto"/>
            <w:noWrap/>
            <w:vAlign w:val="bottom"/>
            <w:hideMark/>
          </w:tcPr>
          <w:p w14:paraId="6A85308E" w14:textId="77777777" w:rsidR="00C16743" w:rsidRPr="008C0AD6" w:rsidRDefault="00C16743" w:rsidP="00C16743">
            <w:pPr>
              <w:jc w:val="right"/>
              <w:rPr>
                <w:sz w:val="16"/>
                <w:szCs w:val="16"/>
              </w:rPr>
            </w:pPr>
            <w:r w:rsidRPr="008C0AD6">
              <w:rPr>
                <w:sz w:val="16"/>
                <w:szCs w:val="16"/>
              </w:rPr>
              <w:t>0,10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12A4992F"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4F9556EC" w14:textId="1D6A6F6D"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2F347414" w14:textId="77777777" w:rsidR="00C16743" w:rsidRPr="008C0AD6" w:rsidRDefault="00C16743" w:rsidP="00C16743">
            <w:pPr>
              <w:jc w:val="right"/>
              <w:rPr>
                <w:sz w:val="16"/>
                <w:szCs w:val="16"/>
              </w:rPr>
            </w:pPr>
            <w:r w:rsidRPr="008C0AD6">
              <w:rPr>
                <w:sz w:val="16"/>
                <w:szCs w:val="16"/>
              </w:rPr>
              <w:t>100,00</w:t>
            </w:r>
          </w:p>
        </w:tc>
      </w:tr>
      <w:tr w:rsidR="00C16743" w:rsidRPr="008C0AD6" w14:paraId="0426ADC8"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1AFF1E7B" w14:textId="77777777" w:rsidR="00C16743" w:rsidRPr="008C0AD6" w:rsidRDefault="00C16743" w:rsidP="00C16743">
            <w:pPr>
              <w:rPr>
                <w:sz w:val="16"/>
                <w:szCs w:val="16"/>
              </w:rPr>
            </w:pPr>
            <w:r w:rsidRPr="008C0AD6">
              <w:rPr>
                <w:sz w:val="16"/>
                <w:szCs w:val="16"/>
              </w:rPr>
              <w:t>Велико Търново</w:t>
            </w:r>
          </w:p>
        </w:tc>
        <w:tc>
          <w:tcPr>
            <w:tcW w:w="370" w:type="pct"/>
            <w:tcBorders>
              <w:top w:val="nil"/>
              <w:left w:val="nil"/>
              <w:bottom w:val="single" w:sz="4" w:space="0" w:color="auto"/>
              <w:right w:val="single" w:sz="4" w:space="0" w:color="auto"/>
            </w:tcBorders>
            <w:shd w:val="clear" w:color="auto" w:fill="auto"/>
            <w:noWrap/>
            <w:vAlign w:val="bottom"/>
            <w:hideMark/>
          </w:tcPr>
          <w:p w14:paraId="48411B6A"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04C59D55" w14:textId="49889A3B" w:rsidR="00C16743" w:rsidRPr="008C0AD6" w:rsidRDefault="00C16743" w:rsidP="00C16743">
            <w:pPr>
              <w:jc w:val="right"/>
              <w:rPr>
                <w:sz w:val="16"/>
                <w:szCs w:val="16"/>
              </w:rPr>
            </w:pPr>
            <w:r w:rsidRPr="008C0AD6">
              <w:rPr>
                <w:sz w:val="16"/>
                <w:szCs w:val="16"/>
              </w:rPr>
              <w:t>1</w:t>
            </w:r>
          </w:p>
        </w:tc>
        <w:tc>
          <w:tcPr>
            <w:tcW w:w="287" w:type="pct"/>
            <w:tcBorders>
              <w:top w:val="nil"/>
              <w:left w:val="nil"/>
              <w:bottom w:val="single" w:sz="4" w:space="0" w:color="auto"/>
              <w:right w:val="single" w:sz="4" w:space="0" w:color="auto"/>
            </w:tcBorders>
            <w:shd w:val="clear" w:color="auto" w:fill="auto"/>
            <w:noWrap/>
            <w:vAlign w:val="center"/>
            <w:hideMark/>
          </w:tcPr>
          <w:p w14:paraId="2C3187F8" w14:textId="77777777" w:rsidR="00C16743" w:rsidRPr="008C0AD6" w:rsidRDefault="00C16743" w:rsidP="00C16743">
            <w:pPr>
              <w:jc w:val="right"/>
              <w:rPr>
                <w:sz w:val="16"/>
                <w:szCs w:val="16"/>
              </w:rPr>
            </w:pPr>
            <w:r w:rsidRPr="008C0AD6">
              <w:rPr>
                <w:sz w:val="16"/>
                <w:szCs w:val="16"/>
              </w:rPr>
              <w:t>1</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0339F084"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60CCAD00" w14:textId="72FE6CF2"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2715C9EC" w14:textId="77777777" w:rsidR="00C16743" w:rsidRPr="008C0AD6" w:rsidRDefault="00C16743" w:rsidP="00C16743">
            <w:pPr>
              <w:jc w:val="right"/>
              <w:rPr>
                <w:sz w:val="16"/>
                <w:szCs w:val="16"/>
              </w:rPr>
            </w:pPr>
            <w:r w:rsidRPr="008C0AD6">
              <w:rPr>
                <w:sz w:val="16"/>
                <w:szCs w:val="16"/>
              </w:rPr>
              <w:t>98,00</w:t>
            </w:r>
          </w:p>
        </w:tc>
        <w:tc>
          <w:tcPr>
            <w:tcW w:w="370" w:type="pct"/>
            <w:tcBorders>
              <w:top w:val="nil"/>
              <w:left w:val="nil"/>
              <w:bottom w:val="single" w:sz="4" w:space="0" w:color="auto"/>
              <w:right w:val="single" w:sz="4" w:space="0" w:color="auto"/>
            </w:tcBorders>
            <w:shd w:val="clear" w:color="auto" w:fill="auto"/>
            <w:noWrap/>
            <w:vAlign w:val="bottom"/>
            <w:hideMark/>
          </w:tcPr>
          <w:p w14:paraId="09F022F4"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5C79914D" w14:textId="60AD0A7B" w:rsidR="00C16743" w:rsidRPr="008C0AD6" w:rsidRDefault="00C16743" w:rsidP="00C16743">
            <w:pPr>
              <w:jc w:val="right"/>
              <w:rPr>
                <w:sz w:val="16"/>
                <w:szCs w:val="16"/>
              </w:rPr>
            </w:pPr>
            <w:r w:rsidRPr="008C0AD6">
              <w:rPr>
                <w:sz w:val="16"/>
                <w:szCs w:val="16"/>
              </w:rPr>
              <w:t>1</w:t>
            </w:r>
          </w:p>
        </w:tc>
        <w:tc>
          <w:tcPr>
            <w:tcW w:w="304" w:type="pct"/>
            <w:tcBorders>
              <w:top w:val="nil"/>
              <w:left w:val="nil"/>
              <w:bottom w:val="single" w:sz="4" w:space="0" w:color="auto"/>
              <w:right w:val="single" w:sz="4" w:space="0" w:color="auto"/>
            </w:tcBorders>
            <w:shd w:val="clear" w:color="auto" w:fill="auto"/>
            <w:noWrap/>
            <w:vAlign w:val="bottom"/>
            <w:hideMark/>
          </w:tcPr>
          <w:p w14:paraId="3EC82CAF" w14:textId="77777777" w:rsidR="00C16743" w:rsidRPr="008C0AD6" w:rsidRDefault="00C16743" w:rsidP="00C16743">
            <w:pPr>
              <w:jc w:val="right"/>
              <w:rPr>
                <w:sz w:val="16"/>
                <w:szCs w:val="16"/>
              </w:rPr>
            </w:pPr>
            <w:r w:rsidRPr="008C0AD6">
              <w:rPr>
                <w:sz w:val="16"/>
                <w:szCs w:val="16"/>
              </w:rPr>
              <w:t>0,32</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20671D21"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2ED52F84" w14:textId="416A9717"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438C9B18" w14:textId="77777777" w:rsidR="00C16743" w:rsidRPr="008C0AD6" w:rsidRDefault="00C16743" w:rsidP="00C16743">
            <w:pPr>
              <w:jc w:val="right"/>
              <w:rPr>
                <w:sz w:val="16"/>
                <w:szCs w:val="16"/>
              </w:rPr>
            </w:pPr>
            <w:r w:rsidRPr="008C0AD6">
              <w:rPr>
                <w:sz w:val="16"/>
                <w:szCs w:val="16"/>
              </w:rPr>
              <w:t>0,00</w:t>
            </w:r>
          </w:p>
        </w:tc>
      </w:tr>
      <w:tr w:rsidR="00C16743" w:rsidRPr="008C0AD6" w14:paraId="578BC773"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5AE57EC3" w14:textId="77777777" w:rsidR="00C16743" w:rsidRPr="008C0AD6" w:rsidRDefault="00C16743" w:rsidP="00C16743">
            <w:pPr>
              <w:rPr>
                <w:sz w:val="16"/>
                <w:szCs w:val="16"/>
              </w:rPr>
            </w:pPr>
            <w:r w:rsidRPr="008C0AD6">
              <w:rPr>
                <w:sz w:val="16"/>
                <w:szCs w:val="16"/>
              </w:rPr>
              <w:t>Видин</w:t>
            </w:r>
          </w:p>
        </w:tc>
        <w:tc>
          <w:tcPr>
            <w:tcW w:w="370" w:type="pct"/>
            <w:tcBorders>
              <w:top w:val="nil"/>
              <w:left w:val="nil"/>
              <w:bottom w:val="single" w:sz="4" w:space="0" w:color="auto"/>
              <w:right w:val="single" w:sz="4" w:space="0" w:color="auto"/>
            </w:tcBorders>
            <w:shd w:val="clear" w:color="auto" w:fill="auto"/>
            <w:noWrap/>
            <w:vAlign w:val="bottom"/>
            <w:hideMark/>
          </w:tcPr>
          <w:p w14:paraId="313CE604"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085105DE" w14:textId="291444DE" w:rsidR="00C16743" w:rsidRPr="008C0AD6" w:rsidRDefault="00C16743" w:rsidP="00C16743">
            <w:pPr>
              <w:jc w:val="right"/>
              <w:rPr>
                <w:sz w:val="16"/>
                <w:szCs w:val="16"/>
              </w:rPr>
            </w:pPr>
            <w:r w:rsidRPr="008C0AD6">
              <w:rPr>
                <w:sz w:val="16"/>
                <w:szCs w:val="16"/>
              </w:rPr>
              <w:t>1</w:t>
            </w:r>
          </w:p>
        </w:tc>
        <w:tc>
          <w:tcPr>
            <w:tcW w:w="287" w:type="pct"/>
            <w:tcBorders>
              <w:top w:val="nil"/>
              <w:left w:val="nil"/>
              <w:bottom w:val="single" w:sz="4" w:space="0" w:color="auto"/>
              <w:right w:val="single" w:sz="4" w:space="0" w:color="auto"/>
            </w:tcBorders>
            <w:shd w:val="clear" w:color="auto" w:fill="auto"/>
            <w:noWrap/>
            <w:vAlign w:val="center"/>
            <w:hideMark/>
          </w:tcPr>
          <w:p w14:paraId="275AC408" w14:textId="77777777" w:rsidR="00C16743" w:rsidRPr="008C0AD6" w:rsidRDefault="00C16743" w:rsidP="00C16743">
            <w:pPr>
              <w:jc w:val="right"/>
              <w:rPr>
                <w:sz w:val="16"/>
                <w:szCs w:val="16"/>
              </w:rPr>
            </w:pPr>
            <w:r w:rsidRPr="008C0AD6">
              <w:rPr>
                <w:sz w:val="16"/>
                <w:szCs w:val="16"/>
              </w:rPr>
              <w:t>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601F2B17"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26C4F670" w14:textId="7C54D5AF"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6D2EDB6F" w14:textId="77777777" w:rsidR="00C16743" w:rsidRPr="008C0AD6" w:rsidRDefault="00C16743" w:rsidP="00C16743">
            <w:pPr>
              <w:jc w:val="right"/>
              <w:rPr>
                <w:sz w:val="16"/>
                <w:szCs w:val="16"/>
              </w:rPr>
            </w:pPr>
            <w:r w:rsidRPr="008C0AD6">
              <w:rPr>
                <w:sz w:val="16"/>
                <w:szCs w:val="16"/>
              </w:rPr>
              <w:t>100,00</w:t>
            </w:r>
          </w:p>
        </w:tc>
        <w:tc>
          <w:tcPr>
            <w:tcW w:w="370" w:type="pct"/>
            <w:tcBorders>
              <w:top w:val="nil"/>
              <w:left w:val="nil"/>
              <w:bottom w:val="single" w:sz="4" w:space="0" w:color="auto"/>
              <w:right w:val="single" w:sz="4" w:space="0" w:color="auto"/>
            </w:tcBorders>
            <w:shd w:val="clear" w:color="auto" w:fill="auto"/>
            <w:noWrap/>
            <w:vAlign w:val="bottom"/>
            <w:hideMark/>
          </w:tcPr>
          <w:p w14:paraId="39A52CBB"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10B1E212" w14:textId="3844AA2A" w:rsidR="00C16743" w:rsidRPr="008C0AD6" w:rsidRDefault="00C16743" w:rsidP="00C16743">
            <w:pPr>
              <w:jc w:val="right"/>
              <w:rPr>
                <w:sz w:val="16"/>
                <w:szCs w:val="16"/>
              </w:rPr>
            </w:pPr>
            <w:r w:rsidRPr="008C0AD6">
              <w:rPr>
                <w:sz w:val="16"/>
                <w:szCs w:val="16"/>
              </w:rPr>
              <w:t>3</w:t>
            </w:r>
          </w:p>
        </w:tc>
        <w:tc>
          <w:tcPr>
            <w:tcW w:w="304" w:type="pct"/>
            <w:tcBorders>
              <w:top w:val="nil"/>
              <w:left w:val="nil"/>
              <w:bottom w:val="single" w:sz="4" w:space="0" w:color="auto"/>
              <w:right w:val="single" w:sz="4" w:space="0" w:color="auto"/>
            </w:tcBorders>
            <w:shd w:val="clear" w:color="auto" w:fill="auto"/>
            <w:noWrap/>
            <w:vAlign w:val="bottom"/>
            <w:hideMark/>
          </w:tcPr>
          <w:p w14:paraId="133A81BE" w14:textId="77777777" w:rsidR="00C16743" w:rsidRPr="008C0AD6" w:rsidRDefault="00C16743" w:rsidP="00C16743">
            <w:pPr>
              <w:jc w:val="right"/>
              <w:rPr>
                <w:sz w:val="16"/>
                <w:szCs w:val="16"/>
              </w:rPr>
            </w:pPr>
            <w:r w:rsidRPr="008C0AD6">
              <w:rPr>
                <w:sz w:val="16"/>
                <w:szCs w:val="16"/>
              </w:rPr>
              <w:t>3,89</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46900827"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1E958781" w14:textId="14DA9F2A"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697C1057" w14:textId="77777777" w:rsidR="00C16743" w:rsidRPr="008C0AD6" w:rsidRDefault="00C16743" w:rsidP="00C16743">
            <w:pPr>
              <w:jc w:val="right"/>
              <w:rPr>
                <w:sz w:val="16"/>
                <w:szCs w:val="16"/>
              </w:rPr>
            </w:pPr>
            <w:r w:rsidRPr="008C0AD6">
              <w:rPr>
                <w:sz w:val="16"/>
                <w:szCs w:val="16"/>
              </w:rPr>
              <w:t>33,33</w:t>
            </w:r>
          </w:p>
        </w:tc>
      </w:tr>
      <w:tr w:rsidR="00C16743" w:rsidRPr="008C0AD6" w14:paraId="000D4AAF"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286F6B8F" w14:textId="77777777" w:rsidR="00C16743" w:rsidRPr="008C0AD6" w:rsidRDefault="00C16743" w:rsidP="00C16743">
            <w:pPr>
              <w:rPr>
                <w:sz w:val="16"/>
                <w:szCs w:val="16"/>
              </w:rPr>
            </w:pPr>
            <w:r w:rsidRPr="008C0AD6">
              <w:rPr>
                <w:sz w:val="16"/>
                <w:szCs w:val="16"/>
              </w:rPr>
              <w:t>Враца</w:t>
            </w:r>
          </w:p>
        </w:tc>
        <w:tc>
          <w:tcPr>
            <w:tcW w:w="370" w:type="pct"/>
            <w:tcBorders>
              <w:top w:val="nil"/>
              <w:left w:val="nil"/>
              <w:bottom w:val="single" w:sz="4" w:space="0" w:color="auto"/>
              <w:right w:val="single" w:sz="4" w:space="0" w:color="auto"/>
            </w:tcBorders>
            <w:shd w:val="clear" w:color="auto" w:fill="auto"/>
            <w:noWrap/>
            <w:vAlign w:val="bottom"/>
            <w:hideMark/>
          </w:tcPr>
          <w:p w14:paraId="557E0C30"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5FA672F7" w14:textId="42E2A014" w:rsidR="00C16743" w:rsidRPr="008C0AD6" w:rsidRDefault="00C16743" w:rsidP="00C16743">
            <w:pPr>
              <w:jc w:val="right"/>
              <w:rPr>
                <w:sz w:val="16"/>
                <w:szCs w:val="16"/>
              </w:rPr>
            </w:pPr>
            <w:r w:rsidRPr="008C0AD6">
              <w:rPr>
                <w:sz w:val="16"/>
                <w:szCs w:val="16"/>
              </w:rPr>
              <w:t>1</w:t>
            </w:r>
          </w:p>
        </w:tc>
        <w:tc>
          <w:tcPr>
            <w:tcW w:w="287" w:type="pct"/>
            <w:tcBorders>
              <w:top w:val="nil"/>
              <w:left w:val="nil"/>
              <w:bottom w:val="single" w:sz="4" w:space="0" w:color="auto"/>
              <w:right w:val="single" w:sz="4" w:space="0" w:color="auto"/>
            </w:tcBorders>
            <w:shd w:val="clear" w:color="auto" w:fill="auto"/>
            <w:noWrap/>
            <w:vAlign w:val="center"/>
            <w:hideMark/>
          </w:tcPr>
          <w:p w14:paraId="0F954C4B" w14:textId="77777777" w:rsidR="00C16743" w:rsidRPr="008C0AD6" w:rsidRDefault="00C16743" w:rsidP="00C16743">
            <w:pPr>
              <w:jc w:val="right"/>
              <w:rPr>
                <w:sz w:val="16"/>
                <w:szCs w:val="16"/>
              </w:rPr>
            </w:pPr>
            <w:r w:rsidRPr="008C0AD6">
              <w:rPr>
                <w:sz w:val="16"/>
                <w:szCs w:val="16"/>
              </w:rPr>
              <w:t>1</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6D9C9590"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2B22979F" w14:textId="74B14224"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691F6E39" w14:textId="77777777" w:rsidR="00C16743" w:rsidRPr="008C0AD6" w:rsidRDefault="00C16743" w:rsidP="00C16743">
            <w:pPr>
              <w:jc w:val="right"/>
              <w:rPr>
                <w:sz w:val="16"/>
                <w:szCs w:val="16"/>
              </w:rPr>
            </w:pPr>
            <w:r w:rsidRPr="008C0AD6">
              <w:rPr>
                <w:sz w:val="16"/>
                <w:szCs w:val="16"/>
              </w:rPr>
              <w:t>100,00</w:t>
            </w:r>
          </w:p>
        </w:tc>
        <w:tc>
          <w:tcPr>
            <w:tcW w:w="370" w:type="pct"/>
            <w:tcBorders>
              <w:top w:val="nil"/>
              <w:left w:val="nil"/>
              <w:bottom w:val="single" w:sz="4" w:space="0" w:color="auto"/>
              <w:right w:val="single" w:sz="4" w:space="0" w:color="auto"/>
            </w:tcBorders>
            <w:shd w:val="clear" w:color="auto" w:fill="auto"/>
            <w:noWrap/>
            <w:vAlign w:val="bottom"/>
            <w:hideMark/>
          </w:tcPr>
          <w:p w14:paraId="75D47B23"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7384E646" w14:textId="7B031D60" w:rsidR="00C16743" w:rsidRPr="008C0AD6" w:rsidRDefault="00C16743" w:rsidP="00C16743">
            <w:pPr>
              <w:jc w:val="right"/>
              <w:rPr>
                <w:sz w:val="16"/>
                <w:szCs w:val="16"/>
              </w:rPr>
            </w:pPr>
            <w:r w:rsidRPr="008C0AD6">
              <w:rPr>
                <w:sz w:val="16"/>
                <w:szCs w:val="16"/>
              </w:rPr>
              <w:t>3</w:t>
            </w:r>
          </w:p>
        </w:tc>
        <w:tc>
          <w:tcPr>
            <w:tcW w:w="304" w:type="pct"/>
            <w:tcBorders>
              <w:top w:val="nil"/>
              <w:left w:val="nil"/>
              <w:bottom w:val="single" w:sz="4" w:space="0" w:color="auto"/>
              <w:right w:val="single" w:sz="4" w:space="0" w:color="auto"/>
            </w:tcBorders>
            <w:shd w:val="clear" w:color="auto" w:fill="auto"/>
            <w:noWrap/>
            <w:vAlign w:val="bottom"/>
            <w:hideMark/>
          </w:tcPr>
          <w:p w14:paraId="4C82EF4F" w14:textId="77777777" w:rsidR="00C16743" w:rsidRPr="008C0AD6" w:rsidRDefault="00C16743" w:rsidP="00C16743">
            <w:pPr>
              <w:jc w:val="right"/>
              <w:rPr>
                <w:sz w:val="16"/>
                <w:szCs w:val="16"/>
              </w:rPr>
            </w:pPr>
            <w:r w:rsidRPr="008C0AD6">
              <w:rPr>
                <w:sz w:val="16"/>
                <w:szCs w:val="16"/>
              </w:rPr>
              <w:t>0,43</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5623887C"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2C37CE45" w14:textId="2ACD1AF8"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73F10302" w14:textId="77777777" w:rsidR="00C16743" w:rsidRPr="008C0AD6" w:rsidRDefault="00C16743" w:rsidP="00C16743">
            <w:pPr>
              <w:jc w:val="right"/>
              <w:rPr>
                <w:sz w:val="16"/>
                <w:szCs w:val="16"/>
              </w:rPr>
            </w:pPr>
            <w:r w:rsidRPr="008C0AD6">
              <w:rPr>
                <w:sz w:val="16"/>
                <w:szCs w:val="16"/>
              </w:rPr>
              <w:t>0,00</w:t>
            </w:r>
          </w:p>
        </w:tc>
      </w:tr>
      <w:tr w:rsidR="00C16743" w:rsidRPr="008C0AD6" w14:paraId="2F50D759"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18F6BEDE" w14:textId="77777777" w:rsidR="00C16743" w:rsidRPr="008C0AD6" w:rsidRDefault="00C16743" w:rsidP="00C16743">
            <w:pPr>
              <w:rPr>
                <w:sz w:val="16"/>
                <w:szCs w:val="16"/>
              </w:rPr>
            </w:pPr>
            <w:r w:rsidRPr="008C0AD6">
              <w:rPr>
                <w:sz w:val="16"/>
                <w:szCs w:val="16"/>
              </w:rPr>
              <w:t>Габрово</w:t>
            </w:r>
          </w:p>
        </w:tc>
        <w:tc>
          <w:tcPr>
            <w:tcW w:w="370" w:type="pct"/>
            <w:tcBorders>
              <w:top w:val="nil"/>
              <w:left w:val="nil"/>
              <w:bottom w:val="single" w:sz="4" w:space="0" w:color="auto"/>
              <w:right w:val="single" w:sz="4" w:space="0" w:color="auto"/>
            </w:tcBorders>
            <w:shd w:val="clear" w:color="auto" w:fill="auto"/>
            <w:noWrap/>
            <w:vAlign w:val="bottom"/>
            <w:hideMark/>
          </w:tcPr>
          <w:p w14:paraId="4D051354"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56C36C5A" w14:textId="7E54AFC3" w:rsidR="00C16743" w:rsidRPr="008C0AD6" w:rsidRDefault="00C16743" w:rsidP="00C16743">
            <w:pPr>
              <w:jc w:val="right"/>
              <w:rPr>
                <w:sz w:val="16"/>
                <w:szCs w:val="16"/>
              </w:rPr>
            </w:pPr>
            <w:r w:rsidRPr="008C0AD6">
              <w:rPr>
                <w:sz w:val="16"/>
                <w:szCs w:val="16"/>
              </w:rPr>
              <w:t>1</w:t>
            </w:r>
          </w:p>
        </w:tc>
        <w:tc>
          <w:tcPr>
            <w:tcW w:w="287" w:type="pct"/>
            <w:tcBorders>
              <w:top w:val="nil"/>
              <w:left w:val="nil"/>
              <w:bottom w:val="single" w:sz="4" w:space="0" w:color="auto"/>
              <w:right w:val="single" w:sz="4" w:space="0" w:color="auto"/>
            </w:tcBorders>
            <w:shd w:val="clear" w:color="auto" w:fill="auto"/>
            <w:noWrap/>
            <w:vAlign w:val="center"/>
            <w:hideMark/>
          </w:tcPr>
          <w:p w14:paraId="2220A378" w14:textId="77777777" w:rsidR="00C16743" w:rsidRPr="008C0AD6" w:rsidRDefault="00C16743" w:rsidP="00C16743">
            <w:pPr>
              <w:jc w:val="right"/>
              <w:rPr>
                <w:sz w:val="16"/>
                <w:szCs w:val="16"/>
              </w:rPr>
            </w:pPr>
            <w:r w:rsidRPr="008C0AD6">
              <w:rPr>
                <w:sz w:val="16"/>
                <w:szCs w:val="16"/>
              </w:rPr>
              <w:t>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592C0636"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08F73ABC" w14:textId="62E26A8F" w:rsidR="00C16743" w:rsidRPr="008C0AD6" w:rsidRDefault="00C16743" w:rsidP="00C16743">
            <w:pPr>
              <w:jc w:val="right"/>
              <w:rPr>
                <w:sz w:val="16"/>
                <w:szCs w:val="16"/>
              </w:rPr>
            </w:pPr>
            <w:r w:rsidRPr="008C0AD6">
              <w:rPr>
                <w:sz w:val="16"/>
                <w:szCs w:val="16"/>
              </w:rPr>
              <w:t>96,5</w:t>
            </w:r>
          </w:p>
        </w:tc>
        <w:tc>
          <w:tcPr>
            <w:tcW w:w="304" w:type="pct"/>
            <w:tcBorders>
              <w:top w:val="nil"/>
              <w:left w:val="nil"/>
              <w:bottom w:val="single" w:sz="4" w:space="0" w:color="auto"/>
              <w:right w:val="single" w:sz="8" w:space="0" w:color="auto"/>
            </w:tcBorders>
            <w:shd w:val="clear" w:color="auto" w:fill="auto"/>
            <w:noWrap/>
            <w:vAlign w:val="bottom"/>
            <w:hideMark/>
          </w:tcPr>
          <w:p w14:paraId="0F94EE1B" w14:textId="77777777" w:rsidR="00C16743" w:rsidRPr="008C0AD6" w:rsidRDefault="00C16743" w:rsidP="00C16743">
            <w:pPr>
              <w:jc w:val="right"/>
              <w:rPr>
                <w:sz w:val="16"/>
                <w:szCs w:val="16"/>
              </w:rPr>
            </w:pPr>
            <w:r w:rsidRPr="008C0AD6">
              <w:rPr>
                <w:sz w:val="16"/>
                <w:szCs w:val="16"/>
              </w:rPr>
              <w:t>95,65</w:t>
            </w:r>
          </w:p>
        </w:tc>
        <w:tc>
          <w:tcPr>
            <w:tcW w:w="370" w:type="pct"/>
            <w:tcBorders>
              <w:top w:val="nil"/>
              <w:left w:val="nil"/>
              <w:bottom w:val="single" w:sz="4" w:space="0" w:color="auto"/>
              <w:right w:val="single" w:sz="4" w:space="0" w:color="auto"/>
            </w:tcBorders>
            <w:shd w:val="clear" w:color="auto" w:fill="auto"/>
            <w:noWrap/>
            <w:vAlign w:val="bottom"/>
            <w:hideMark/>
          </w:tcPr>
          <w:p w14:paraId="5F7F30F0"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2D854AB2" w14:textId="0916D273" w:rsidR="00C16743" w:rsidRPr="008C0AD6" w:rsidRDefault="00C16743" w:rsidP="00C16743">
            <w:pPr>
              <w:jc w:val="right"/>
              <w:rPr>
                <w:sz w:val="16"/>
                <w:szCs w:val="16"/>
              </w:rPr>
            </w:pPr>
            <w:r w:rsidRPr="008C0AD6">
              <w:rPr>
                <w:sz w:val="16"/>
                <w:szCs w:val="16"/>
              </w:rPr>
              <w:t>1,5</w:t>
            </w:r>
          </w:p>
        </w:tc>
        <w:tc>
          <w:tcPr>
            <w:tcW w:w="304" w:type="pct"/>
            <w:tcBorders>
              <w:top w:val="nil"/>
              <w:left w:val="nil"/>
              <w:bottom w:val="single" w:sz="4" w:space="0" w:color="auto"/>
              <w:right w:val="single" w:sz="4" w:space="0" w:color="auto"/>
            </w:tcBorders>
            <w:shd w:val="clear" w:color="auto" w:fill="auto"/>
            <w:noWrap/>
            <w:vAlign w:val="bottom"/>
            <w:hideMark/>
          </w:tcPr>
          <w:p w14:paraId="6D8F4A88" w14:textId="77777777" w:rsidR="00C16743" w:rsidRPr="008C0AD6" w:rsidRDefault="00C16743" w:rsidP="00C16743">
            <w:pPr>
              <w:jc w:val="right"/>
              <w:rPr>
                <w:sz w:val="16"/>
                <w:szCs w:val="16"/>
              </w:rPr>
            </w:pPr>
            <w:r w:rsidRPr="008C0AD6">
              <w:rPr>
                <w:sz w:val="16"/>
                <w:szCs w:val="16"/>
              </w:rPr>
              <w:t>0,00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2D2B2244"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6ACE630B" w14:textId="55F7E445"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0ABA7CC2" w14:textId="77777777" w:rsidR="00C16743" w:rsidRPr="008C0AD6" w:rsidRDefault="00C16743" w:rsidP="00C16743">
            <w:pPr>
              <w:jc w:val="right"/>
              <w:rPr>
                <w:sz w:val="16"/>
                <w:szCs w:val="16"/>
              </w:rPr>
            </w:pPr>
            <w:r w:rsidRPr="008C0AD6">
              <w:rPr>
                <w:sz w:val="16"/>
                <w:szCs w:val="16"/>
              </w:rPr>
              <w:t>0,00</w:t>
            </w:r>
          </w:p>
        </w:tc>
      </w:tr>
      <w:tr w:rsidR="00C16743" w:rsidRPr="008C0AD6" w14:paraId="5F1EDCCB"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4B624600" w14:textId="77777777" w:rsidR="00C16743" w:rsidRPr="008C0AD6" w:rsidRDefault="00C16743" w:rsidP="00C16743">
            <w:pPr>
              <w:rPr>
                <w:sz w:val="16"/>
                <w:szCs w:val="16"/>
              </w:rPr>
            </w:pPr>
            <w:r w:rsidRPr="008C0AD6">
              <w:rPr>
                <w:sz w:val="16"/>
                <w:szCs w:val="16"/>
              </w:rPr>
              <w:t>Добрич</w:t>
            </w:r>
          </w:p>
        </w:tc>
        <w:tc>
          <w:tcPr>
            <w:tcW w:w="370" w:type="pct"/>
            <w:tcBorders>
              <w:top w:val="nil"/>
              <w:left w:val="nil"/>
              <w:bottom w:val="single" w:sz="4" w:space="0" w:color="auto"/>
              <w:right w:val="single" w:sz="4" w:space="0" w:color="auto"/>
            </w:tcBorders>
            <w:shd w:val="clear" w:color="auto" w:fill="auto"/>
            <w:noWrap/>
            <w:vAlign w:val="bottom"/>
            <w:hideMark/>
          </w:tcPr>
          <w:p w14:paraId="14245195"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505A83F7" w14:textId="0301C58A" w:rsidR="00C16743" w:rsidRPr="008C0AD6" w:rsidRDefault="00C16743" w:rsidP="00C16743">
            <w:pPr>
              <w:jc w:val="right"/>
              <w:rPr>
                <w:sz w:val="16"/>
                <w:szCs w:val="16"/>
              </w:rPr>
            </w:pPr>
            <w:r w:rsidRPr="008C0AD6">
              <w:rPr>
                <w:sz w:val="16"/>
                <w:szCs w:val="16"/>
              </w:rPr>
              <w:t>1</w:t>
            </w:r>
          </w:p>
        </w:tc>
        <w:tc>
          <w:tcPr>
            <w:tcW w:w="287" w:type="pct"/>
            <w:tcBorders>
              <w:top w:val="nil"/>
              <w:left w:val="nil"/>
              <w:bottom w:val="single" w:sz="4" w:space="0" w:color="auto"/>
              <w:right w:val="single" w:sz="4" w:space="0" w:color="auto"/>
            </w:tcBorders>
            <w:shd w:val="clear" w:color="auto" w:fill="auto"/>
            <w:noWrap/>
            <w:vAlign w:val="center"/>
            <w:hideMark/>
          </w:tcPr>
          <w:p w14:paraId="3B857578" w14:textId="77777777" w:rsidR="00C16743" w:rsidRPr="008C0AD6" w:rsidRDefault="00C16743" w:rsidP="00C16743">
            <w:pPr>
              <w:jc w:val="right"/>
              <w:rPr>
                <w:sz w:val="16"/>
                <w:szCs w:val="16"/>
              </w:rPr>
            </w:pPr>
            <w:r w:rsidRPr="008C0AD6">
              <w:rPr>
                <w:sz w:val="16"/>
                <w:szCs w:val="16"/>
              </w:rPr>
              <w:t>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09F8552A"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16E7D433" w14:textId="725D9774" w:rsidR="00C16743" w:rsidRPr="008C0AD6" w:rsidRDefault="00C16743" w:rsidP="00C16743">
            <w:pPr>
              <w:jc w:val="right"/>
              <w:rPr>
                <w:sz w:val="16"/>
                <w:szCs w:val="16"/>
              </w:rPr>
            </w:pPr>
            <w:r w:rsidRPr="008C0AD6">
              <w:rPr>
                <w:sz w:val="16"/>
                <w:szCs w:val="16"/>
              </w:rPr>
              <w:t>80</w:t>
            </w:r>
          </w:p>
        </w:tc>
        <w:tc>
          <w:tcPr>
            <w:tcW w:w="304" w:type="pct"/>
            <w:tcBorders>
              <w:top w:val="nil"/>
              <w:left w:val="nil"/>
              <w:bottom w:val="single" w:sz="4" w:space="0" w:color="auto"/>
              <w:right w:val="single" w:sz="8" w:space="0" w:color="auto"/>
            </w:tcBorders>
            <w:shd w:val="clear" w:color="auto" w:fill="auto"/>
            <w:noWrap/>
            <w:vAlign w:val="bottom"/>
            <w:hideMark/>
          </w:tcPr>
          <w:p w14:paraId="56C454E2" w14:textId="77777777" w:rsidR="00C16743" w:rsidRPr="008C0AD6" w:rsidRDefault="00C16743" w:rsidP="00C16743">
            <w:pPr>
              <w:jc w:val="right"/>
              <w:rPr>
                <w:sz w:val="16"/>
                <w:szCs w:val="16"/>
              </w:rPr>
            </w:pPr>
            <w:r w:rsidRPr="008C0AD6">
              <w:rPr>
                <w:sz w:val="16"/>
                <w:szCs w:val="16"/>
              </w:rPr>
              <w:t>58,00</w:t>
            </w:r>
          </w:p>
        </w:tc>
        <w:tc>
          <w:tcPr>
            <w:tcW w:w="370" w:type="pct"/>
            <w:tcBorders>
              <w:top w:val="nil"/>
              <w:left w:val="nil"/>
              <w:bottom w:val="single" w:sz="4" w:space="0" w:color="auto"/>
              <w:right w:val="single" w:sz="4" w:space="0" w:color="auto"/>
            </w:tcBorders>
            <w:shd w:val="clear" w:color="auto" w:fill="auto"/>
            <w:noWrap/>
            <w:vAlign w:val="bottom"/>
            <w:hideMark/>
          </w:tcPr>
          <w:p w14:paraId="44F95052"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2B8B3B0C" w14:textId="0E90B95E" w:rsidR="00C16743" w:rsidRPr="008C0AD6" w:rsidRDefault="00C16743" w:rsidP="00C16743">
            <w:pPr>
              <w:jc w:val="right"/>
              <w:rPr>
                <w:sz w:val="16"/>
                <w:szCs w:val="16"/>
              </w:rPr>
            </w:pPr>
            <w:r w:rsidRPr="008C0AD6">
              <w:rPr>
                <w:sz w:val="16"/>
                <w:szCs w:val="16"/>
              </w:rPr>
              <w:t>5</w:t>
            </w:r>
          </w:p>
        </w:tc>
        <w:tc>
          <w:tcPr>
            <w:tcW w:w="304" w:type="pct"/>
            <w:tcBorders>
              <w:top w:val="nil"/>
              <w:left w:val="nil"/>
              <w:bottom w:val="single" w:sz="4" w:space="0" w:color="auto"/>
              <w:right w:val="single" w:sz="4" w:space="0" w:color="auto"/>
            </w:tcBorders>
            <w:shd w:val="clear" w:color="auto" w:fill="auto"/>
            <w:noWrap/>
            <w:vAlign w:val="bottom"/>
            <w:hideMark/>
          </w:tcPr>
          <w:p w14:paraId="17650C5C" w14:textId="77777777" w:rsidR="00C16743" w:rsidRPr="008C0AD6" w:rsidRDefault="00C16743" w:rsidP="00C16743">
            <w:pPr>
              <w:jc w:val="right"/>
              <w:rPr>
                <w:sz w:val="16"/>
                <w:szCs w:val="16"/>
              </w:rPr>
            </w:pPr>
            <w:r w:rsidRPr="008C0AD6">
              <w:rPr>
                <w:sz w:val="16"/>
                <w:szCs w:val="16"/>
              </w:rPr>
              <w:t>2,40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1A97E676"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507109D1" w14:textId="0655600E" w:rsidR="00C16743" w:rsidRPr="008C0AD6" w:rsidRDefault="00C16743" w:rsidP="00C16743">
            <w:pPr>
              <w:jc w:val="right"/>
              <w:rPr>
                <w:sz w:val="16"/>
                <w:szCs w:val="16"/>
              </w:rPr>
            </w:pPr>
            <w:r w:rsidRPr="008C0AD6">
              <w:rPr>
                <w:sz w:val="16"/>
                <w:szCs w:val="16"/>
              </w:rPr>
              <w:t>20</w:t>
            </w:r>
          </w:p>
        </w:tc>
        <w:tc>
          <w:tcPr>
            <w:tcW w:w="304" w:type="pct"/>
            <w:tcBorders>
              <w:top w:val="nil"/>
              <w:left w:val="nil"/>
              <w:bottom w:val="single" w:sz="4" w:space="0" w:color="auto"/>
              <w:right w:val="single" w:sz="8" w:space="0" w:color="auto"/>
            </w:tcBorders>
            <w:shd w:val="clear" w:color="auto" w:fill="auto"/>
            <w:noWrap/>
            <w:vAlign w:val="bottom"/>
            <w:hideMark/>
          </w:tcPr>
          <w:p w14:paraId="1B9285AC" w14:textId="77777777" w:rsidR="00C16743" w:rsidRPr="008C0AD6" w:rsidRDefault="00C16743" w:rsidP="00C16743">
            <w:pPr>
              <w:jc w:val="right"/>
              <w:rPr>
                <w:sz w:val="16"/>
                <w:szCs w:val="16"/>
              </w:rPr>
            </w:pPr>
            <w:r w:rsidRPr="008C0AD6">
              <w:rPr>
                <w:sz w:val="16"/>
                <w:szCs w:val="16"/>
              </w:rPr>
              <w:t>62,00</w:t>
            </w:r>
          </w:p>
        </w:tc>
      </w:tr>
      <w:tr w:rsidR="00C16743" w:rsidRPr="008C0AD6" w14:paraId="5EA3C0DD"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3E093243" w14:textId="77777777" w:rsidR="00C16743" w:rsidRPr="008C0AD6" w:rsidRDefault="00C16743" w:rsidP="00C16743">
            <w:pPr>
              <w:rPr>
                <w:sz w:val="16"/>
                <w:szCs w:val="16"/>
              </w:rPr>
            </w:pPr>
            <w:r w:rsidRPr="008C0AD6">
              <w:rPr>
                <w:sz w:val="16"/>
                <w:szCs w:val="16"/>
              </w:rPr>
              <w:t>Кърджали</w:t>
            </w:r>
          </w:p>
        </w:tc>
        <w:tc>
          <w:tcPr>
            <w:tcW w:w="370" w:type="pct"/>
            <w:tcBorders>
              <w:top w:val="nil"/>
              <w:left w:val="nil"/>
              <w:bottom w:val="single" w:sz="4" w:space="0" w:color="auto"/>
              <w:right w:val="single" w:sz="4" w:space="0" w:color="auto"/>
            </w:tcBorders>
            <w:shd w:val="clear" w:color="auto" w:fill="auto"/>
            <w:noWrap/>
            <w:vAlign w:val="bottom"/>
            <w:hideMark/>
          </w:tcPr>
          <w:p w14:paraId="01D9F801"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220BF2AA" w14:textId="10E3B7D3" w:rsidR="00C16743" w:rsidRPr="008C0AD6" w:rsidRDefault="00C16743" w:rsidP="00C16743">
            <w:pPr>
              <w:jc w:val="right"/>
              <w:rPr>
                <w:sz w:val="16"/>
                <w:szCs w:val="16"/>
              </w:rPr>
            </w:pPr>
            <w:r w:rsidRPr="008C0AD6">
              <w:rPr>
                <w:sz w:val="16"/>
                <w:szCs w:val="16"/>
              </w:rPr>
              <w:t>2</w:t>
            </w:r>
          </w:p>
        </w:tc>
        <w:tc>
          <w:tcPr>
            <w:tcW w:w="287" w:type="pct"/>
            <w:tcBorders>
              <w:top w:val="nil"/>
              <w:left w:val="nil"/>
              <w:bottom w:val="single" w:sz="4" w:space="0" w:color="auto"/>
              <w:right w:val="single" w:sz="4" w:space="0" w:color="auto"/>
            </w:tcBorders>
            <w:shd w:val="clear" w:color="auto" w:fill="auto"/>
            <w:noWrap/>
            <w:vAlign w:val="center"/>
            <w:hideMark/>
          </w:tcPr>
          <w:p w14:paraId="3F69355C" w14:textId="77777777" w:rsidR="00C16743" w:rsidRPr="008C0AD6" w:rsidRDefault="00C16743" w:rsidP="00C16743">
            <w:pPr>
              <w:jc w:val="right"/>
              <w:rPr>
                <w:sz w:val="16"/>
                <w:szCs w:val="16"/>
              </w:rPr>
            </w:pPr>
            <w:r w:rsidRPr="008C0AD6">
              <w:rPr>
                <w:sz w:val="16"/>
                <w:szCs w:val="16"/>
              </w:rPr>
              <w:t>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4230CD7C"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6547D753" w14:textId="0247A5EF" w:rsidR="00C16743" w:rsidRPr="008C0AD6" w:rsidRDefault="00C16743" w:rsidP="00C16743">
            <w:pPr>
              <w:jc w:val="right"/>
              <w:rPr>
                <w:sz w:val="16"/>
                <w:szCs w:val="16"/>
              </w:rPr>
            </w:pPr>
            <w:r w:rsidRPr="008C0AD6">
              <w:rPr>
                <w:sz w:val="16"/>
                <w:szCs w:val="16"/>
              </w:rPr>
              <w:t>95</w:t>
            </w:r>
          </w:p>
        </w:tc>
        <w:tc>
          <w:tcPr>
            <w:tcW w:w="304" w:type="pct"/>
            <w:tcBorders>
              <w:top w:val="nil"/>
              <w:left w:val="nil"/>
              <w:bottom w:val="single" w:sz="4" w:space="0" w:color="auto"/>
              <w:right w:val="single" w:sz="8" w:space="0" w:color="auto"/>
            </w:tcBorders>
            <w:shd w:val="clear" w:color="auto" w:fill="auto"/>
            <w:noWrap/>
            <w:vAlign w:val="bottom"/>
            <w:hideMark/>
          </w:tcPr>
          <w:p w14:paraId="101C7DB9" w14:textId="77777777" w:rsidR="00C16743" w:rsidRPr="008C0AD6" w:rsidRDefault="00C16743" w:rsidP="00C16743">
            <w:pPr>
              <w:jc w:val="right"/>
              <w:rPr>
                <w:sz w:val="16"/>
                <w:szCs w:val="16"/>
              </w:rPr>
            </w:pPr>
            <w:r w:rsidRPr="008C0AD6">
              <w:rPr>
                <w:sz w:val="16"/>
                <w:szCs w:val="16"/>
              </w:rPr>
              <w:t>90</w:t>
            </w:r>
          </w:p>
        </w:tc>
        <w:tc>
          <w:tcPr>
            <w:tcW w:w="370" w:type="pct"/>
            <w:tcBorders>
              <w:top w:val="nil"/>
              <w:left w:val="nil"/>
              <w:bottom w:val="single" w:sz="4" w:space="0" w:color="auto"/>
              <w:right w:val="single" w:sz="4" w:space="0" w:color="auto"/>
            </w:tcBorders>
            <w:shd w:val="clear" w:color="auto" w:fill="auto"/>
            <w:noWrap/>
            <w:vAlign w:val="bottom"/>
            <w:hideMark/>
          </w:tcPr>
          <w:p w14:paraId="300FCB45"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68F5DE38" w14:textId="3FC910D2" w:rsidR="00C16743" w:rsidRPr="008C0AD6" w:rsidRDefault="00C16743" w:rsidP="00C16743">
            <w:pPr>
              <w:jc w:val="right"/>
              <w:rPr>
                <w:sz w:val="16"/>
                <w:szCs w:val="16"/>
              </w:rPr>
            </w:pPr>
            <w:r w:rsidRPr="008C0AD6">
              <w:rPr>
                <w:sz w:val="16"/>
                <w:szCs w:val="16"/>
              </w:rPr>
              <w:t>0,5</w:t>
            </w:r>
          </w:p>
        </w:tc>
        <w:tc>
          <w:tcPr>
            <w:tcW w:w="304" w:type="pct"/>
            <w:tcBorders>
              <w:top w:val="nil"/>
              <w:left w:val="nil"/>
              <w:bottom w:val="single" w:sz="4" w:space="0" w:color="auto"/>
              <w:right w:val="single" w:sz="4" w:space="0" w:color="auto"/>
            </w:tcBorders>
            <w:shd w:val="clear" w:color="auto" w:fill="auto"/>
            <w:noWrap/>
            <w:vAlign w:val="bottom"/>
            <w:hideMark/>
          </w:tcPr>
          <w:p w14:paraId="3B5B0779" w14:textId="77777777" w:rsidR="00C16743" w:rsidRPr="008C0AD6" w:rsidRDefault="00C16743" w:rsidP="00C16743">
            <w:pPr>
              <w:jc w:val="right"/>
              <w:rPr>
                <w:sz w:val="16"/>
                <w:szCs w:val="16"/>
              </w:rPr>
            </w:pPr>
            <w:r w:rsidRPr="008C0AD6">
              <w:rPr>
                <w:sz w:val="16"/>
                <w:szCs w:val="16"/>
              </w:rPr>
              <w:t>1,53</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2E3A93D6"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18463B48" w14:textId="43C115D4" w:rsidR="00C16743" w:rsidRPr="008C0AD6" w:rsidRDefault="00C16743" w:rsidP="00C16743">
            <w:pPr>
              <w:jc w:val="right"/>
              <w:rPr>
                <w:sz w:val="16"/>
                <w:szCs w:val="16"/>
              </w:rPr>
            </w:pPr>
            <w:r w:rsidRPr="008C0AD6">
              <w:rPr>
                <w:sz w:val="16"/>
                <w:szCs w:val="16"/>
              </w:rPr>
              <w:t>0,95</w:t>
            </w:r>
          </w:p>
        </w:tc>
        <w:tc>
          <w:tcPr>
            <w:tcW w:w="304" w:type="pct"/>
            <w:tcBorders>
              <w:top w:val="nil"/>
              <w:left w:val="nil"/>
              <w:bottom w:val="single" w:sz="4" w:space="0" w:color="auto"/>
              <w:right w:val="single" w:sz="8" w:space="0" w:color="auto"/>
            </w:tcBorders>
            <w:shd w:val="clear" w:color="auto" w:fill="auto"/>
            <w:noWrap/>
            <w:vAlign w:val="bottom"/>
            <w:hideMark/>
          </w:tcPr>
          <w:p w14:paraId="595CF805" w14:textId="77777777" w:rsidR="00C16743" w:rsidRPr="008C0AD6" w:rsidRDefault="00C16743" w:rsidP="00C16743">
            <w:pPr>
              <w:jc w:val="right"/>
              <w:rPr>
                <w:sz w:val="16"/>
                <w:szCs w:val="16"/>
              </w:rPr>
            </w:pPr>
            <w:r w:rsidRPr="008C0AD6">
              <w:rPr>
                <w:sz w:val="16"/>
                <w:szCs w:val="16"/>
              </w:rPr>
              <w:t>0,00</w:t>
            </w:r>
          </w:p>
        </w:tc>
      </w:tr>
      <w:tr w:rsidR="00C16743" w:rsidRPr="008C0AD6" w14:paraId="0D728C5F"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44B20996" w14:textId="77777777" w:rsidR="00C16743" w:rsidRPr="008C0AD6" w:rsidRDefault="00C16743" w:rsidP="00C16743">
            <w:pPr>
              <w:rPr>
                <w:sz w:val="16"/>
                <w:szCs w:val="16"/>
              </w:rPr>
            </w:pPr>
            <w:r w:rsidRPr="008C0AD6">
              <w:rPr>
                <w:sz w:val="16"/>
                <w:szCs w:val="16"/>
              </w:rPr>
              <w:t>Кюстендил</w:t>
            </w:r>
          </w:p>
        </w:tc>
        <w:tc>
          <w:tcPr>
            <w:tcW w:w="370" w:type="pct"/>
            <w:tcBorders>
              <w:top w:val="nil"/>
              <w:left w:val="nil"/>
              <w:bottom w:val="single" w:sz="4" w:space="0" w:color="auto"/>
              <w:right w:val="single" w:sz="4" w:space="0" w:color="auto"/>
            </w:tcBorders>
            <w:shd w:val="clear" w:color="auto" w:fill="auto"/>
            <w:noWrap/>
            <w:vAlign w:val="bottom"/>
            <w:hideMark/>
          </w:tcPr>
          <w:p w14:paraId="7D268D0A"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4AFDB8C3" w14:textId="7740480A" w:rsidR="00C16743" w:rsidRPr="008C0AD6" w:rsidRDefault="00C16743" w:rsidP="00C16743">
            <w:pPr>
              <w:jc w:val="right"/>
              <w:rPr>
                <w:sz w:val="16"/>
                <w:szCs w:val="16"/>
              </w:rPr>
            </w:pPr>
            <w:r w:rsidRPr="008C0AD6">
              <w:rPr>
                <w:sz w:val="16"/>
                <w:szCs w:val="16"/>
              </w:rPr>
              <w:t>1</w:t>
            </w:r>
          </w:p>
        </w:tc>
        <w:tc>
          <w:tcPr>
            <w:tcW w:w="287" w:type="pct"/>
            <w:tcBorders>
              <w:top w:val="nil"/>
              <w:left w:val="nil"/>
              <w:bottom w:val="single" w:sz="4" w:space="0" w:color="auto"/>
              <w:right w:val="single" w:sz="4" w:space="0" w:color="auto"/>
            </w:tcBorders>
            <w:shd w:val="clear" w:color="auto" w:fill="auto"/>
            <w:noWrap/>
            <w:vAlign w:val="center"/>
            <w:hideMark/>
          </w:tcPr>
          <w:p w14:paraId="02A5DBB3" w14:textId="77777777" w:rsidR="00C16743" w:rsidRPr="008C0AD6" w:rsidRDefault="00C16743" w:rsidP="00C16743">
            <w:pPr>
              <w:jc w:val="right"/>
              <w:rPr>
                <w:sz w:val="16"/>
                <w:szCs w:val="16"/>
              </w:rPr>
            </w:pPr>
            <w:r w:rsidRPr="008C0AD6">
              <w:rPr>
                <w:sz w:val="16"/>
                <w:szCs w:val="16"/>
              </w:rPr>
              <w:t>1</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2FEA00C0"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3F2B8B5C" w14:textId="77651389" w:rsidR="00C16743" w:rsidRPr="008C0AD6" w:rsidRDefault="00C16743" w:rsidP="00C16743">
            <w:pPr>
              <w:jc w:val="right"/>
              <w:rPr>
                <w:sz w:val="16"/>
                <w:szCs w:val="16"/>
              </w:rPr>
            </w:pPr>
            <w:r w:rsidRPr="008C0AD6">
              <w:rPr>
                <w:sz w:val="16"/>
                <w:szCs w:val="16"/>
              </w:rPr>
              <w:t>90</w:t>
            </w:r>
          </w:p>
        </w:tc>
        <w:tc>
          <w:tcPr>
            <w:tcW w:w="304" w:type="pct"/>
            <w:tcBorders>
              <w:top w:val="nil"/>
              <w:left w:val="nil"/>
              <w:bottom w:val="single" w:sz="4" w:space="0" w:color="auto"/>
              <w:right w:val="single" w:sz="8" w:space="0" w:color="auto"/>
            </w:tcBorders>
            <w:shd w:val="clear" w:color="auto" w:fill="auto"/>
            <w:noWrap/>
            <w:vAlign w:val="bottom"/>
            <w:hideMark/>
          </w:tcPr>
          <w:p w14:paraId="048E2F74" w14:textId="77777777" w:rsidR="00C16743" w:rsidRPr="008C0AD6" w:rsidRDefault="00C16743" w:rsidP="00C16743">
            <w:pPr>
              <w:jc w:val="right"/>
              <w:rPr>
                <w:sz w:val="16"/>
                <w:szCs w:val="16"/>
              </w:rPr>
            </w:pPr>
            <w:r w:rsidRPr="008C0AD6">
              <w:rPr>
                <w:sz w:val="16"/>
                <w:szCs w:val="16"/>
              </w:rPr>
              <w:t>86,02</w:t>
            </w:r>
          </w:p>
        </w:tc>
        <w:tc>
          <w:tcPr>
            <w:tcW w:w="370" w:type="pct"/>
            <w:tcBorders>
              <w:top w:val="nil"/>
              <w:left w:val="nil"/>
              <w:bottom w:val="single" w:sz="4" w:space="0" w:color="auto"/>
              <w:right w:val="single" w:sz="4" w:space="0" w:color="auto"/>
            </w:tcBorders>
            <w:shd w:val="clear" w:color="auto" w:fill="auto"/>
            <w:noWrap/>
            <w:vAlign w:val="bottom"/>
            <w:hideMark/>
          </w:tcPr>
          <w:p w14:paraId="5DBF1F40"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081EB73D" w14:textId="01B2186F" w:rsidR="00C16743" w:rsidRPr="008C0AD6" w:rsidRDefault="00C16743" w:rsidP="00C16743">
            <w:pPr>
              <w:jc w:val="right"/>
              <w:rPr>
                <w:sz w:val="16"/>
                <w:szCs w:val="16"/>
              </w:rPr>
            </w:pPr>
            <w:r w:rsidRPr="008C0AD6">
              <w:rPr>
                <w:sz w:val="16"/>
                <w:szCs w:val="16"/>
              </w:rPr>
              <w:t>3</w:t>
            </w:r>
          </w:p>
        </w:tc>
        <w:tc>
          <w:tcPr>
            <w:tcW w:w="304" w:type="pct"/>
            <w:tcBorders>
              <w:top w:val="nil"/>
              <w:left w:val="nil"/>
              <w:bottom w:val="single" w:sz="4" w:space="0" w:color="auto"/>
              <w:right w:val="single" w:sz="4" w:space="0" w:color="auto"/>
            </w:tcBorders>
            <w:shd w:val="clear" w:color="auto" w:fill="auto"/>
            <w:noWrap/>
            <w:vAlign w:val="bottom"/>
            <w:hideMark/>
          </w:tcPr>
          <w:p w14:paraId="1D686299" w14:textId="77777777" w:rsidR="00C16743" w:rsidRPr="008C0AD6" w:rsidRDefault="00C16743" w:rsidP="00C16743">
            <w:pPr>
              <w:jc w:val="right"/>
              <w:rPr>
                <w:sz w:val="16"/>
                <w:szCs w:val="16"/>
              </w:rPr>
            </w:pPr>
            <w:r w:rsidRPr="008C0AD6">
              <w:rPr>
                <w:sz w:val="16"/>
                <w:szCs w:val="16"/>
              </w:rPr>
              <w:t>1,68</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489B4D57"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08F2E092" w14:textId="03508D7A" w:rsidR="00C16743" w:rsidRPr="008C0AD6" w:rsidRDefault="00C16743" w:rsidP="00C16743">
            <w:pPr>
              <w:jc w:val="right"/>
              <w:rPr>
                <w:sz w:val="16"/>
                <w:szCs w:val="16"/>
              </w:rPr>
            </w:pPr>
            <w:r w:rsidRPr="008C0AD6">
              <w:rPr>
                <w:sz w:val="16"/>
                <w:szCs w:val="16"/>
              </w:rPr>
              <w:t>70</w:t>
            </w:r>
          </w:p>
        </w:tc>
        <w:tc>
          <w:tcPr>
            <w:tcW w:w="304" w:type="pct"/>
            <w:tcBorders>
              <w:top w:val="nil"/>
              <w:left w:val="nil"/>
              <w:bottom w:val="single" w:sz="4" w:space="0" w:color="auto"/>
              <w:right w:val="single" w:sz="8" w:space="0" w:color="auto"/>
            </w:tcBorders>
            <w:shd w:val="clear" w:color="auto" w:fill="auto"/>
            <w:noWrap/>
            <w:vAlign w:val="bottom"/>
            <w:hideMark/>
          </w:tcPr>
          <w:p w14:paraId="689DEBF9" w14:textId="77777777" w:rsidR="00C16743" w:rsidRPr="008C0AD6" w:rsidRDefault="00C16743" w:rsidP="00C16743">
            <w:pPr>
              <w:jc w:val="right"/>
              <w:rPr>
                <w:sz w:val="16"/>
                <w:szCs w:val="16"/>
              </w:rPr>
            </w:pPr>
            <w:r w:rsidRPr="008C0AD6">
              <w:rPr>
                <w:sz w:val="16"/>
                <w:szCs w:val="16"/>
              </w:rPr>
              <w:t>0,00</w:t>
            </w:r>
          </w:p>
        </w:tc>
      </w:tr>
      <w:tr w:rsidR="00C16743" w:rsidRPr="008C0AD6" w14:paraId="388D925B"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7E7FD4FA" w14:textId="77777777" w:rsidR="00C16743" w:rsidRPr="008C0AD6" w:rsidRDefault="00C16743" w:rsidP="00C16743">
            <w:pPr>
              <w:rPr>
                <w:sz w:val="16"/>
                <w:szCs w:val="16"/>
              </w:rPr>
            </w:pPr>
            <w:r w:rsidRPr="008C0AD6">
              <w:rPr>
                <w:sz w:val="16"/>
                <w:szCs w:val="16"/>
              </w:rPr>
              <w:t>Ловеч</w:t>
            </w:r>
          </w:p>
        </w:tc>
        <w:tc>
          <w:tcPr>
            <w:tcW w:w="370" w:type="pct"/>
            <w:tcBorders>
              <w:top w:val="nil"/>
              <w:left w:val="nil"/>
              <w:bottom w:val="single" w:sz="4" w:space="0" w:color="auto"/>
              <w:right w:val="single" w:sz="4" w:space="0" w:color="auto"/>
            </w:tcBorders>
            <w:shd w:val="clear" w:color="auto" w:fill="auto"/>
            <w:noWrap/>
            <w:vAlign w:val="bottom"/>
            <w:hideMark/>
          </w:tcPr>
          <w:p w14:paraId="091A6B11"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558A228C" w14:textId="61B57379" w:rsidR="00C16743" w:rsidRPr="008C0AD6" w:rsidRDefault="00C16743" w:rsidP="00C16743">
            <w:pPr>
              <w:jc w:val="right"/>
              <w:rPr>
                <w:sz w:val="16"/>
                <w:szCs w:val="16"/>
              </w:rPr>
            </w:pPr>
            <w:r w:rsidRPr="008C0AD6">
              <w:rPr>
                <w:sz w:val="16"/>
                <w:szCs w:val="16"/>
              </w:rPr>
              <w:t>2</w:t>
            </w:r>
          </w:p>
        </w:tc>
        <w:tc>
          <w:tcPr>
            <w:tcW w:w="287" w:type="pct"/>
            <w:tcBorders>
              <w:top w:val="nil"/>
              <w:left w:val="nil"/>
              <w:bottom w:val="single" w:sz="4" w:space="0" w:color="auto"/>
              <w:right w:val="single" w:sz="4" w:space="0" w:color="auto"/>
            </w:tcBorders>
            <w:shd w:val="clear" w:color="auto" w:fill="auto"/>
            <w:noWrap/>
            <w:vAlign w:val="center"/>
            <w:hideMark/>
          </w:tcPr>
          <w:p w14:paraId="2F5C379E" w14:textId="77777777" w:rsidR="00C16743" w:rsidRPr="008C0AD6" w:rsidRDefault="00C16743" w:rsidP="00C16743">
            <w:pPr>
              <w:jc w:val="right"/>
              <w:rPr>
                <w:sz w:val="16"/>
                <w:szCs w:val="16"/>
              </w:rPr>
            </w:pPr>
            <w:r w:rsidRPr="008C0AD6">
              <w:rPr>
                <w:sz w:val="16"/>
                <w:szCs w:val="16"/>
              </w:rPr>
              <w:t>1</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7FCE6B4E"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2CF79768" w14:textId="7882B295" w:rsidR="00C16743" w:rsidRPr="008C0AD6" w:rsidRDefault="00C16743" w:rsidP="00C16743">
            <w:pPr>
              <w:jc w:val="right"/>
              <w:rPr>
                <w:sz w:val="16"/>
                <w:szCs w:val="16"/>
              </w:rPr>
            </w:pPr>
            <w:r w:rsidRPr="008C0AD6">
              <w:rPr>
                <w:sz w:val="16"/>
                <w:szCs w:val="16"/>
              </w:rPr>
              <w:t>99</w:t>
            </w:r>
          </w:p>
        </w:tc>
        <w:tc>
          <w:tcPr>
            <w:tcW w:w="304" w:type="pct"/>
            <w:tcBorders>
              <w:top w:val="nil"/>
              <w:left w:val="nil"/>
              <w:bottom w:val="single" w:sz="4" w:space="0" w:color="auto"/>
              <w:right w:val="single" w:sz="8" w:space="0" w:color="auto"/>
            </w:tcBorders>
            <w:shd w:val="clear" w:color="auto" w:fill="auto"/>
            <w:noWrap/>
            <w:vAlign w:val="bottom"/>
            <w:hideMark/>
          </w:tcPr>
          <w:p w14:paraId="3178453A" w14:textId="77777777" w:rsidR="00C16743" w:rsidRPr="008C0AD6" w:rsidRDefault="00C16743" w:rsidP="00C16743">
            <w:pPr>
              <w:jc w:val="right"/>
              <w:rPr>
                <w:sz w:val="16"/>
                <w:szCs w:val="16"/>
              </w:rPr>
            </w:pPr>
            <w:r w:rsidRPr="008C0AD6">
              <w:rPr>
                <w:sz w:val="16"/>
                <w:szCs w:val="16"/>
              </w:rPr>
              <w:t>99,00</w:t>
            </w:r>
          </w:p>
        </w:tc>
        <w:tc>
          <w:tcPr>
            <w:tcW w:w="370" w:type="pct"/>
            <w:tcBorders>
              <w:top w:val="nil"/>
              <w:left w:val="nil"/>
              <w:bottom w:val="single" w:sz="4" w:space="0" w:color="auto"/>
              <w:right w:val="single" w:sz="4" w:space="0" w:color="auto"/>
            </w:tcBorders>
            <w:shd w:val="clear" w:color="auto" w:fill="auto"/>
            <w:noWrap/>
            <w:vAlign w:val="bottom"/>
            <w:hideMark/>
          </w:tcPr>
          <w:p w14:paraId="6E0490BE"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4031BE96" w14:textId="0948D447"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4" w:space="0" w:color="auto"/>
            </w:tcBorders>
            <w:shd w:val="clear" w:color="auto" w:fill="auto"/>
            <w:noWrap/>
            <w:vAlign w:val="bottom"/>
            <w:hideMark/>
          </w:tcPr>
          <w:p w14:paraId="4F695A2E" w14:textId="77777777" w:rsidR="00C16743" w:rsidRPr="008C0AD6" w:rsidRDefault="00C16743" w:rsidP="00C16743">
            <w:pPr>
              <w:jc w:val="right"/>
              <w:rPr>
                <w:sz w:val="16"/>
                <w:szCs w:val="16"/>
              </w:rPr>
            </w:pPr>
            <w:r w:rsidRPr="008C0AD6">
              <w:rPr>
                <w:sz w:val="16"/>
                <w:szCs w:val="16"/>
              </w:rPr>
              <w:t>100,00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17B580D0"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291B66D5" w14:textId="540C0786"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1B44C6DB" w14:textId="77777777" w:rsidR="00C16743" w:rsidRPr="008C0AD6" w:rsidRDefault="00C16743" w:rsidP="00C16743">
            <w:pPr>
              <w:jc w:val="right"/>
              <w:rPr>
                <w:sz w:val="16"/>
                <w:szCs w:val="16"/>
              </w:rPr>
            </w:pPr>
            <w:r w:rsidRPr="008C0AD6">
              <w:rPr>
                <w:sz w:val="16"/>
                <w:szCs w:val="16"/>
              </w:rPr>
              <w:t>100,00</w:t>
            </w:r>
          </w:p>
        </w:tc>
      </w:tr>
      <w:tr w:rsidR="00C16743" w:rsidRPr="008C0AD6" w14:paraId="16092E81"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2A347BE3" w14:textId="77777777" w:rsidR="00C16743" w:rsidRPr="008C0AD6" w:rsidRDefault="00C16743" w:rsidP="00C16743">
            <w:pPr>
              <w:rPr>
                <w:sz w:val="16"/>
                <w:szCs w:val="16"/>
              </w:rPr>
            </w:pPr>
            <w:r w:rsidRPr="008C0AD6">
              <w:rPr>
                <w:sz w:val="16"/>
                <w:szCs w:val="16"/>
              </w:rPr>
              <w:t>Монтана</w:t>
            </w:r>
          </w:p>
        </w:tc>
        <w:tc>
          <w:tcPr>
            <w:tcW w:w="370" w:type="pct"/>
            <w:tcBorders>
              <w:top w:val="nil"/>
              <w:left w:val="nil"/>
              <w:bottom w:val="single" w:sz="4" w:space="0" w:color="auto"/>
              <w:right w:val="single" w:sz="4" w:space="0" w:color="auto"/>
            </w:tcBorders>
            <w:shd w:val="clear" w:color="auto" w:fill="auto"/>
            <w:noWrap/>
            <w:vAlign w:val="bottom"/>
            <w:hideMark/>
          </w:tcPr>
          <w:p w14:paraId="3A816A3D"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11D57789" w14:textId="0E31628E" w:rsidR="00C16743" w:rsidRPr="008C0AD6" w:rsidRDefault="00C16743" w:rsidP="00C16743">
            <w:pPr>
              <w:jc w:val="right"/>
              <w:rPr>
                <w:sz w:val="16"/>
                <w:szCs w:val="16"/>
              </w:rPr>
            </w:pPr>
            <w:r w:rsidRPr="008C0AD6">
              <w:rPr>
                <w:sz w:val="16"/>
                <w:szCs w:val="16"/>
              </w:rPr>
              <w:t>3</w:t>
            </w:r>
          </w:p>
        </w:tc>
        <w:tc>
          <w:tcPr>
            <w:tcW w:w="287" w:type="pct"/>
            <w:tcBorders>
              <w:top w:val="nil"/>
              <w:left w:val="nil"/>
              <w:bottom w:val="single" w:sz="4" w:space="0" w:color="auto"/>
              <w:right w:val="single" w:sz="4" w:space="0" w:color="auto"/>
            </w:tcBorders>
            <w:shd w:val="clear" w:color="auto" w:fill="auto"/>
            <w:noWrap/>
            <w:vAlign w:val="center"/>
            <w:hideMark/>
          </w:tcPr>
          <w:p w14:paraId="45578049" w14:textId="77777777" w:rsidR="00C16743" w:rsidRPr="008C0AD6" w:rsidRDefault="00C16743" w:rsidP="00C16743">
            <w:pPr>
              <w:jc w:val="right"/>
              <w:rPr>
                <w:sz w:val="16"/>
                <w:szCs w:val="16"/>
              </w:rPr>
            </w:pPr>
            <w:r w:rsidRPr="008C0AD6">
              <w:rPr>
                <w:sz w:val="16"/>
                <w:szCs w:val="16"/>
              </w:rPr>
              <w:t>1</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48E14F3B"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06A954B1" w14:textId="1FED4EF0"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2922BE01" w14:textId="77777777" w:rsidR="00C16743" w:rsidRPr="008C0AD6" w:rsidRDefault="00C16743" w:rsidP="00C16743">
            <w:pPr>
              <w:jc w:val="right"/>
              <w:rPr>
                <w:sz w:val="16"/>
                <w:szCs w:val="16"/>
              </w:rPr>
            </w:pPr>
            <w:r w:rsidRPr="008C0AD6">
              <w:rPr>
                <w:sz w:val="16"/>
                <w:szCs w:val="16"/>
              </w:rPr>
              <w:t>100,00</w:t>
            </w:r>
          </w:p>
        </w:tc>
        <w:tc>
          <w:tcPr>
            <w:tcW w:w="370" w:type="pct"/>
            <w:tcBorders>
              <w:top w:val="nil"/>
              <w:left w:val="nil"/>
              <w:bottom w:val="single" w:sz="4" w:space="0" w:color="auto"/>
              <w:right w:val="single" w:sz="4" w:space="0" w:color="auto"/>
            </w:tcBorders>
            <w:shd w:val="clear" w:color="auto" w:fill="auto"/>
            <w:noWrap/>
            <w:vAlign w:val="bottom"/>
            <w:hideMark/>
          </w:tcPr>
          <w:p w14:paraId="34DFEC94"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0D83B6CC" w14:textId="25872839" w:rsidR="00C16743" w:rsidRPr="008C0AD6" w:rsidRDefault="00C16743" w:rsidP="00C16743">
            <w:pPr>
              <w:jc w:val="right"/>
              <w:rPr>
                <w:sz w:val="16"/>
                <w:szCs w:val="16"/>
              </w:rPr>
            </w:pPr>
            <w:r w:rsidRPr="008C0AD6">
              <w:rPr>
                <w:sz w:val="16"/>
                <w:szCs w:val="16"/>
              </w:rPr>
              <w:t>1</w:t>
            </w:r>
          </w:p>
        </w:tc>
        <w:tc>
          <w:tcPr>
            <w:tcW w:w="304" w:type="pct"/>
            <w:tcBorders>
              <w:top w:val="nil"/>
              <w:left w:val="nil"/>
              <w:bottom w:val="single" w:sz="4" w:space="0" w:color="auto"/>
              <w:right w:val="single" w:sz="4" w:space="0" w:color="auto"/>
            </w:tcBorders>
            <w:shd w:val="clear" w:color="auto" w:fill="auto"/>
            <w:noWrap/>
            <w:vAlign w:val="bottom"/>
            <w:hideMark/>
          </w:tcPr>
          <w:p w14:paraId="11085919" w14:textId="77777777" w:rsidR="00C16743" w:rsidRPr="008C0AD6" w:rsidRDefault="00C16743" w:rsidP="00C16743">
            <w:pPr>
              <w:jc w:val="right"/>
              <w:rPr>
                <w:sz w:val="16"/>
                <w:szCs w:val="16"/>
              </w:rPr>
            </w:pPr>
            <w:r w:rsidRPr="008C0AD6">
              <w:rPr>
                <w:sz w:val="16"/>
                <w:szCs w:val="16"/>
              </w:rPr>
              <w:t>0,40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084ED546"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535892F4" w14:textId="732CBC49"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080A8125" w14:textId="77777777" w:rsidR="00C16743" w:rsidRPr="008C0AD6" w:rsidRDefault="00C16743" w:rsidP="00C16743">
            <w:pPr>
              <w:jc w:val="right"/>
              <w:rPr>
                <w:sz w:val="16"/>
                <w:szCs w:val="16"/>
              </w:rPr>
            </w:pPr>
            <w:r w:rsidRPr="008C0AD6">
              <w:rPr>
                <w:sz w:val="16"/>
                <w:szCs w:val="16"/>
              </w:rPr>
              <w:t>0,00</w:t>
            </w:r>
          </w:p>
        </w:tc>
      </w:tr>
      <w:tr w:rsidR="00C16743" w:rsidRPr="008C0AD6" w14:paraId="20A99A8E"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7949B7F8" w14:textId="77777777" w:rsidR="00C16743" w:rsidRPr="008C0AD6" w:rsidRDefault="00C16743" w:rsidP="00C16743">
            <w:pPr>
              <w:rPr>
                <w:sz w:val="16"/>
                <w:szCs w:val="16"/>
              </w:rPr>
            </w:pPr>
            <w:r w:rsidRPr="008C0AD6">
              <w:rPr>
                <w:sz w:val="16"/>
                <w:szCs w:val="16"/>
              </w:rPr>
              <w:lastRenderedPageBreak/>
              <w:t>Пазарджик</w:t>
            </w:r>
          </w:p>
        </w:tc>
        <w:tc>
          <w:tcPr>
            <w:tcW w:w="370" w:type="pct"/>
            <w:tcBorders>
              <w:top w:val="nil"/>
              <w:left w:val="nil"/>
              <w:bottom w:val="single" w:sz="4" w:space="0" w:color="auto"/>
              <w:right w:val="single" w:sz="4" w:space="0" w:color="auto"/>
            </w:tcBorders>
            <w:shd w:val="clear" w:color="auto" w:fill="auto"/>
            <w:noWrap/>
            <w:vAlign w:val="bottom"/>
            <w:hideMark/>
          </w:tcPr>
          <w:p w14:paraId="1C238C46"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1AC9118E" w14:textId="3892E674" w:rsidR="00C16743" w:rsidRPr="008C0AD6" w:rsidRDefault="00C16743" w:rsidP="00C16743">
            <w:pPr>
              <w:jc w:val="right"/>
              <w:rPr>
                <w:sz w:val="16"/>
                <w:szCs w:val="16"/>
              </w:rPr>
            </w:pPr>
            <w:r w:rsidRPr="008C0AD6">
              <w:rPr>
                <w:sz w:val="16"/>
                <w:szCs w:val="16"/>
              </w:rPr>
              <w:t>2</w:t>
            </w:r>
          </w:p>
        </w:tc>
        <w:tc>
          <w:tcPr>
            <w:tcW w:w="287" w:type="pct"/>
            <w:tcBorders>
              <w:top w:val="nil"/>
              <w:left w:val="nil"/>
              <w:bottom w:val="single" w:sz="4" w:space="0" w:color="auto"/>
              <w:right w:val="single" w:sz="4" w:space="0" w:color="auto"/>
            </w:tcBorders>
            <w:shd w:val="clear" w:color="auto" w:fill="auto"/>
            <w:noWrap/>
            <w:vAlign w:val="center"/>
            <w:hideMark/>
          </w:tcPr>
          <w:p w14:paraId="2EB329F0" w14:textId="77777777" w:rsidR="00C16743" w:rsidRPr="008C0AD6" w:rsidRDefault="00C16743" w:rsidP="00C16743">
            <w:pPr>
              <w:jc w:val="right"/>
              <w:rPr>
                <w:sz w:val="16"/>
                <w:szCs w:val="16"/>
              </w:rPr>
            </w:pPr>
            <w:r w:rsidRPr="008C0AD6">
              <w:rPr>
                <w:sz w:val="16"/>
                <w:szCs w:val="16"/>
              </w:rPr>
              <w:t>2</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2A5C9C41"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3DE328B4" w14:textId="2D84CE13"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4E9D58FB" w14:textId="77777777" w:rsidR="00C16743" w:rsidRPr="008C0AD6" w:rsidRDefault="00C16743" w:rsidP="00C16743">
            <w:pPr>
              <w:jc w:val="right"/>
              <w:rPr>
                <w:sz w:val="16"/>
                <w:szCs w:val="16"/>
              </w:rPr>
            </w:pPr>
            <w:r w:rsidRPr="008C0AD6">
              <w:rPr>
                <w:sz w:val="16"/>
                <w:szCs w:val="16"/>
              </w:rPr>
              <w:t>98,00</w:t>
            </w:r>
          </w:p>
        </w:tc>
        <w:tc>
          <w:tcPr>
            <w:tcW w:w="370" w:type="pct"/>
            <w:tcBorders>
              <w:top w:val="nil"/>
              <w:left w:val="nil"/>
              <w:bottom w:val="single" w:sz="4" w:space="0" w:color="auto"/>
              <w:right w:val="single" w:sz="4" w:space="0" w:color="auto"/>
            </w:tcBorders>
            <w:shd w:val="clear" w:color="auto" w:fill="auto"/>
            <w:noWrap/>
            <w:vAlign w:val="bottom"/>
            <w:hideMark/>
          </w:tcPr>
          <w:p w14:paraId="056B7BFD"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0780547B" w14:textId="31358448" w:rsidR="00C16743" w:rsidRPr="008C0AD6" w:rsidRDefault="00C16743" w:rsidP="00C16743">
            <w:pPr>
              <w:jc w:val="right"/>
              <w:rPr>
                <w:sz w:val="16"/>
                <w:szCs w:val="16"/>
              </w:rPr>
            </w:pPr>
            <w:r w:rsidRPr="008C0AD6">
              <w:rPr>
                <w:sz w:val="16"/>
                <w:szCs w:val="16"/>
              </w:rPr>
              <w:t>1,5</w:t>
            </w:r>
          </w:p>
        </w:tc>
        <w:tc>
          <w:tcPr>
            <w:tcW w:w="304" w:type="pct"/>
            <w:tcBorders>
              <w:top w:val="nil"/>
              <w:left w:val="nil"/>
              <w:bottom w:val="single" w:sz="4" w:space="0" w:color="auto"/>
              <w:right w:val="single" w:sz="4" w:space="0" w:color="auto"/>
            </w:tcBorders>
            <w:shd w:val="clear" w:color="auto" w:fill="auto"/>
            <w:noWrap/>
            <w:vAlign w:val="bottom"/>
            <w:hideMark/>
          </w:tcPr>
          <w:p w14:paraId="6135B5AB" w14:textId="77777777" w:rsidR="00C16743" w:rsidRPr="008C0AD6" w:rsidRDefault="00C16743" w:rsidP="00C16743">
            <w:pPr>
              <w:jc w:val="right"/>
              <w:rPr>
                <w:sz w:val="16"/>
                <w:szCs w:val="16"/>
              </w:rPr>
            </w:pPr>
            <w:r w:rsidRPr="008C0AD6">
              <w:rPr>
                <w:sz w:val="16"/>
                <w:szCs w:val="16"/>
              </w:rPr>
              <w:t>0,30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648749CB"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3526E76F" w14:textId="365E39DF" w:rsidR="00C16743" w:rsidRPr="008C0AD6" w:rsidRDefault="00C16743" w:rsidP="00C16743">
            <w:pPr>
              <w:jc w:val="right"/>
              <w:rPr>
                <w:sz w:val="16"/>
                <w:szCs w:val="16"/>
              </w:rPr>
            </w:pPr>
            <w:r w:rsidRPr="008C0AD6">
              <w:rPr>
                <w:sz w:val="16"/>
                <w:szCs w:val="16"/>
              </w:rPr>
              <w:t>95</w:t>
            </w:r>
          </w:p>
        </w:tc>
        <w:tc>
          <w:tcPr>
            <w:tcW w:w="304" w:type="pct"/>
            <w:tcBorders>
              <w:top w:val="nil"/>
              <w:left w:val="nil"/>
              <w:bottom w:val="single" w:sz="4" w:space="0" w:color="auto"/>
              <w:right w:val="single" w:sz="8" w:space="0" w:color="auto"/>
            </w:tcBorders>
            <w:shd w:val="clear" w:color="auto" w:fill="auto"/>
            <w:noWrap/>
            <w:vAlign w:val="bottom"/>
            <w:hideMark/>
          </w:tcPr>
          <w:p w14:paraId="30895C60" w14:textId="77777777" w:rsidR="00C16743" w:rsidRPr="008C0AD6" w:rsidRDefault="00C16743" w:rsidP="00C16743">
            <w:pPr>
              <w:jc w:val="right"/>
              <w:rPr>
                <w:sz w:val="16"/>
                <w:szCs w:val="16"/>
              </w:rPr>
            </w:pPr>
            <w:r w:rsidRPr="008C0AD6">
              <w:rPr>
                <w:sz w:val="16"/>
                <w:szCs w:val="16"/>
              </w:rPr>
              <w:t>70,00</w:t>
            </w:r>
          </w:p>
        </w:tc>
      </w:tr>
      <w:tr w:rsidR="00C16743" w:rsidRPr="008C0AD6" w14:paraId="7121D50B"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259AFE99" w14:textId="77777777" w:rsidR="00C16743" w:rsidRPr="008C0AD6" w:rsidRDefault="00C16743" w:rsidP="00C16743">
            <w:pPr>
              <w:rPr>
                <w:sz w:val="16"/>
                <w:szCs w:val="16"/>
              </w:rPr>
            </w:pPr>
            <w:r w:rsidRPr="008C0AD6">
              <w:rPr>
                <w:sz w:val="16"/>
                <w:szCs w:val="16"/>
              </w:rPr>
              <w:t>Перник</w:t>
            </w:r>
          </w:p>
        </w:tc>
        <w:tc>
          <w:tcPr>
            <w:tcW w:w="370" w:type="pct"/>
            <w:tcBorders>
              <w:top w:val="nil"/>
              <w:left w:val="nil"/>
              <w:bottom w:val="single" w:sz="4" w:space="0" w:color="auto"/>
              <w:right w:val="single" w:sz="4" w:space="0" w:color="auto"/>
            </w:tcBorders>
            <w:shd w:val="clear" w:color="auto" w:fill="auto"/>
            <w:noWrap/>
            <w:vAlign w:val="bottom"/>
            <w:hideMark/>
          </w:tcPr>
          <w:p w14:paraId="4625F239"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38CA48DA" w14:textId="68B8CF03" w:rsidR="00C16743" w:rsidRPr="008C0AD6" w:rsidRDefault="00C16743" w:rsidP="00C16743">
            <w:pPr>
              <w:jc w:val="right"/>
              <w:rPr>
                <w:sz w:val="16"/>
                <w:szCs w:val="16"/>
              </w:rPr>
            </w:pPr>
            <w:r w:rsidRPr="008C0AD6">
              <w:rPr>
                <w:sz w:val="16"/>
                <w:szCs w:val="16"/>
              </w:rPr>
              <w:t>1</w:t>
            </w:r>
          </w:p>
        </w:tc>
        <w:tc>
          <w:tcPr>
            <w:tcW w:w="287" w:type="pct"/>
            <w:tcBorders>
              <w:top w:val="nil"/>
              <w:left w:val="nil"/>
              <w:bottom w:val="single" w:sz="4" w:space="0" w:color="auto"/>
              <w:right w:val="single" w:sz="4" w:space="0" w:color="auto"/>
            </w:tcBorders>
            <w:shd w:val="clear" w:color="auto" w:fill="auto"/>
            <w:noWrap/>
            <w:vAlign w:val="center"/>
            <w:hideMark/>
          </w:tcPr>
          <w:p w14:paraId="4359AC5C" w14:textId="77777777" w:rsidR="00C16743" w:rsidRPr="008C0AD6" w:rsidRDefault="00C16743" w:rsidP="00C16743">
            <w:pPr>
              <w:jc w:val="right"/>
              <w:rPr>
                <w:sz w:val="16"/>
                <w:szCs w:val="16"/>
              </w:rPr>
            </w:pPr>
            <w:r w:rsidRPr="008C0AD6">
              <w:rPr>
                <w:sz w:val="16"/>
                <w:szCs w:val="16"/>
              </w:rPr>
              <w:t>2</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6236251B"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523A54EC" w14:textId="3D600CD2" w:rsidR="00C16743" w:rsidRPr="008C0AD6" w:rsidRDefault="00C16743" w:rsidP="00C16743">
            <w:pPr>
              <w:jc w:val="right"/>
              <w:rPr>
                <w:sz w:val="16"/>
                <w:szCs w:val="16"/>
              </w:rPr>
            </w:pPr>
            <w:r w:rsidRPr="008C0AD6">
              <w:rPr>
                <w:sz w:val="16"/>
                <w:szCs w:val="16"/>
              </w:rPr>
              <w:t>90</w:t>
            </w:r>
          </w:p>
        </w:tc>
        <w:tc>
          <w:tcPr>
            <w:tcW w:w="304" w:type="pct"/>
            <w:tcBorders>
              <w:top w:val="nil"/>
              <w:left w:val="nil"/>
              <w:bottom w:val="single" w:sz="4" w:space="0" w:color="auto"/>
              <w:right w:val="single" w:sz="8" w:space="0" w:color="auto"/>
            </w:tcBorders>
            <w:shd w:val="clear" w:color="auto" w:fill="auto"/>
            <w:noWrap/>
            <w:vAlign w:val="bottom"/>
            <w:hideMark/>
          </w:tcPr>
          <w:p w14:paraId="22D8D2F4" w14:textId="77777777" w:rsidR="00C16743" w:rsidRPr="008C0AD6" w:rsidRDefault="00C16743" w:rsidP="00C16743">
            <w:pPr>
              <w:jc w:val="right"/>
              <w:rPr>
                <w:sz w:val="16"/>
                <w:szCs w:val="16"/>
              </w:rPr>
            </w:pPr>
            <w:r w:rsidRPr="008C0AD6">
              <w:rPr>
                <w:sz w:val="16"/>
                <w:szCs w:val="16"/>
              </w:rPr>
              <w:t>73,00</w:t>
            </w:r>
          </w:p>
        </w:tc>
        <w:tc>
          <w:tcPr>
            <w:tcW w:w="370" w:type="pct"/>
            <w:tcBorders>
              <w:top w:val="nil"/>
              <w:left w:val="nil"/>
              <w:bottom w:val="single" w:sz="4" w:space="0" w:color="auto"/>
              <w:right w:val="single" w:sz="4" w:space="0" w:color="auto"/>
            </w:tcBorders>
            <w:shd w:val="clear" w:color="auto" w:fill="auto"/>
            <w:noWrap/>
            <w:vAlign w:val="bottom"/>
            <w:hideMark/>
          </w:tcPr>
          <w:p w14:paraId="73219FB9"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6BF9682D" w14:textId="14407CA9" w:rsidR="00C16743" w:rsidRPr="008C0AD6" w:rsidRDefault="00C16743" w:rsidP="00C16743">
            <w:pPr>
              <w:jc w:val="right"/>
              <w:rPr>
                <w:sz w:val="16"/>
                <w:szCs w:val="16"/>
              </w:rPr>
            </w:pPr>
            <w:r w:rsidRPr="008C0AD6">
              <w:rPr>
                <w:sz w:val="16"/>
                <w:szCs w:val="16"/>
              </w:rPr>
              <w:t>2</w:t>
            </w:r>
          </w:p>
        </w:tc>
        <w:tc>
          <w:tcPr>
            <w:tcW w:w="304" w:type="pct"/>
            <w:tcBorders>
              <w:top w:val="nil"/>
              <w:left w:val="nil"/>
              <w:bottom w:val="single" w:sz="4" w:space="0" w:color="auto"/>
              <w:right w:val="single" w:sz="4" w:space="0" w:color="auto"/>
            </w:tcBorders>
            <w:shd w:val="clear" w:color="auto" w:fill="auto"/>
            <w:noWrap/>
            <w:vAlign w:val="bottom"/>
            <w:hideMark/>
          </w:tcPr>
          <w:p w14:paraId="5A1E7CCF" w14:textId="77777777" w:rsidR="00C16743" w:rsidRPr="008C0AD6" w:rsidRDefault="00C16743" w:rsidP="00C16743">
            <w:pPr>
              <w:jc w:val="right"/>
              <w:rPr>
                <w:sz w:val="16"/>
                <w:szCs w:val="16"/>
              </w:rPr>
            </w:pPr>
            <w:r w:rsidRPr="008C0AD6">
              <w:rPr>
                <w:sz w:val="16"/>
                <w:szCs w:val="16"/>
              </w:rPr>
              <w:t>2,00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5EA6F1C8"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459664AA" w14:textId="2123C65C" w:rsidR="00C16743" w:rsidRPr="008C0AD6" w:rsidRDefault="00C16743" w:rsidP="00C16743">
            <w:pPr>
              <w:jc w:val="right"/>
              <w:rPr>
                <w:sz w:val="16"/>
                <w:szCs w:val="16"/>
              </w:rPr>
            </w:pPr>
            <w:r w:rsidRPr="008C0AD6">
              <w:rPr>
                <w:sz w:val="16"/>
                <w:szCs w:val="16"/>
              </w:rPr>
              <w:t>50</w:t>
            </w:r>
          </w:p>
        </w:tc>
        <w:tc>
          <w:tcPr>
            <w:tcW w:w="304" w:type="pct"/>
            <w:tcBorders>
              <w:top w:val="nil"/>
              <w:left w:val="nil"/>
              <w:bottom w:val="single" w:sz="4" w:space="0" w:color="auto"/>
              <w:right w:val="single" w:sz="8" w:space="0" w:color="auto"/>
            </w:tcBorders>
            <w:shd w:val="clear" w:color="auto" w:fill="auto"/>
            <w:noWrap/>
            <w:vAlign w:val="bottom"/>
            <w:hideMark/>
          </w:tcPr>
          <w:p w14:paraId="35A0B3E3" w14:textId="77777777" w:rsidR="00C16743" w:rsidRPr="008C0AD6" w:rsidRDefault="00C16743" w:rsidP="00C16743">
            <w:pPr>
              <w:jc w:val="right"/>
              <w:rPr>
                <w:sz w:val="16"/>
                <w:szCs w:val="16"/>
              </w:rPr>
            </w:pPr>
            <w:r w:rsidRPr="008C0AD6">
              <w:rPr>
                <w:sz w:val="16"/>
                <w:szCs w:val="16"/>
              </w:rPr>
              <w:t>0,00</w:t>
            </w:r>
          </w:p>
        </w:tc>
      </w:tr>
      <w:tr w:rsidR="00C16743" w:rsidRPr="008C0AD6" w14:paraId="4A58EA48"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39F6EF12" w14:textId="77777777" w:rsidR="00C16743" w:rsidRPr="008C0AD6" w:rsidRDefault="00C16743" w:rsidP="00C16743">
            <w:pPr>
              <w:rPr>
                <w:sz w:val="16"/>
                <w:szCs w:val="16"/>
              </w:rPr>
            </w:pPr>
            <w:r w:rsidRPr="008C0AD6">
              <w:rPr>
                <w:sz w:val="16"/>
                <w:szCs w:val="16"/>
              </w:rPr>
              <w:t>Плевен</w:t>
            </w:r>
          </w:p>
        </w:tc>
        <w:tc>
          <w:tcPr>
            <w:tcW w:w="370" w:type="pct"/>
            <w:tcBorders>
              <w:top w:val="nil"/>
              <w:left w:val="nil"/>
              <w:bottom w:val="single" w:sz="4" w:space="0" w:color="auto"/>
              <w:right w:val="single" w:sz="4" w:space="0" w:color="auto"/>
            </w:tcBorders>
            <w:shd w:val="clear" w:color="auto" w:fill="auto"/>
            <w:noWrap/>
            <w:vAlign w:val="bottom"/>
            <w:hideMark/>
          </w:tcPr>
          <w:p w14:paraId="513E6AEB"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629889FE" w14:textId="065F7AED" w:rsidR="00C16743" w:rsidRPr="008C0AD6" w:rsidRDefault="00C16743" w:rsidP="00C16743">
            <w:pPr>
              <w:jc w:val="right"/>
              <w:rPr>
                <w:sz w:val="16"/>
                <w:szCs w:val="16"/>
              </w:rPr>
            </w:pPr>
            <w:r w:rsidRPr="008C0AD6">
              <w:rPr>
                <w:sz w:val="16"/>
                <w:szCs w:val="16"/>
              </w:rPr>
              <w:t>0</w:t>
            </w:r>
          </w:p>
        </w:tc>
        <w:tc>
          <w:tcPr>
            <w:tcW w:w="287" w:type="pct"/>
            <w:tcBorders>
              <w:top w:val="nil"/>
              <w:left w:val="nil"/>
              <w:bottom w:val="single" w:sz="4" w:space="0" w:color="auto"/>
              <w:right w:val="nil"/>
            </w:tcBorders>
            <w:shd w:val="clear" w:color="auto" w:fill="auto"/>
            <w:noWrap/>
            <w:vAlign w:val="center"/>
            <w:hideMark/>
          </w:tcPr>
          <w:p w14:paraId="10F2C033" w14:textId="77777777" w:rsidR="00C16743" w:rsidRPr="008C0AD6" w:rsidRDefault="00C16743" w:rsidP="00C16743">
            <w:pPr>
              <w:jc w:val="right"/>
              <w:rPr>
                <w:sz w:val="16"/>
                <w:szCs w:val="16"/>
              </w:rPr>
            </w:pPr>
            <w:r w:rsidRPr="008C0AD6">
              <w:rPr>
                <w:sz w:val="16"/>
                <w:szCs w:val="16"/>
              </w:rPr>
              <w:t>1</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4BC41FB8"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3E01C2B7" w14:textId="19D10E5B" w:rsidR="00C16743" w:rsidRPr="008C0AD6" w:rsidRDefault="00C16743" w:rsidP="00C16743">
            <w:pPr>
              <w:jc w:val="right"/>
              <w:rPr>
                <w:sz w:val="16"/>
                <w:szCs w:val="16"/>
              </w:rPr>
            </w:pPr>
            <w:r w:rsidRPr="008C0AD6">
              <w:rPr>
                <w:sz w:val="16"/>
                <w:szCs w:val="16"/>
              </w:rPr>
              <w:t>98</w:t>
            </w:r>
          </w:p>
        </w:tc>
        <w:tc>
          <w:tcPr>
            <w:tcW w:w="304" w:type="pct"/>
            <w:tcBorders>
              <w:top w:val="nil"/>
              <w:left w:val="nil"/>
              <w:bottom w:val="single" w:sz="4" w:space="0" w:color="auto"/>
              <w:right w:val="single" w:sz="8" w:space="0" w:color="auto"/>
            </w:tcBorders>
            <w:shd w:val="clear" w:color="auto" w:fill="auto"/>
            <w:noWrap/>
            <w:vAlign w:val="bottom"/>
            <w:hideMark/>
          </w:tcPr>
          <w:p w14:paraId="6497BD65" w14:textId="77777777" w:rsidR="00C16743" w:rsidRPr="008C0AD6" w:rsidRDefault="00C16743" w:rsidP="00C16743">
            <w:pPr>
              <w:jc w:val="right"/>
              <w:rPr>
                <w:sz w:val="16"/>
                <w:szCs w:val="16"/>
              </w:rPr>
            </w:pPr>
            <w:r w:rsidRPr="008C0AD6">
              <w:rPr>
                <w:sz w:val="16"/>
                <w:szCs w:val="16"/>
              </w:rPr>
              <w:t>96,16</w:t>
            </w:r>
          </w:p>
        </w:tc>
        <w:tc>
          <w:tcPr>
            <w:tcW w:w="370" w:type="pct"/>
            <w:tcBorders>
              <w:top w:val="nil"/>
              <w:left w:val="nil"/>
              <w:bottom w:val="single" w:sz="4" w:space="0" w:color="auto"/>
              <w:right w:val="single" w:sz="4" w:space="0" w:color="auto"/>
            </w:tcBorders>
            <w:shd w:val="clear" w:color="auto" w:fill="auto"/>
            <w:noWrap/>
            <w:vAlign w:val="bottom"/>
            <w:hideMark/>
          </w:tcPr>
          <w:p w14:paraId="2C49C082"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246AF586" w14:textId="2354C395" w:rsidR="00C16743" w:rsidRPr="008C0AD6" w:rsidRDefault="00C16743" w:rsidP="00C16743">
            <w:pPr>
              <w:jc w:val="right"/>
              <w:rPr>
                <w:sz w:val="16"/>
                <w:szCs w:val="16"/>
              </w:rPr>
            </w:pPr>
            <w:r w:rsidRPr="008C0AD6">
              <w:rPr>
                <w:sz w:val="16"/>
                <w:szCs w:val="16"/>
              </w:rPr>
              <w:t>1</w:t>
            </w:r>
          </w:p>
        </w:tc>
        <w:tc>
          <w:tcPr>
            <w:tcW w:w="304" w:type="pct"/>
            <w:tcBorders>
              <w:top w:val="nil"/>
              <w:left w:val="nil"/>
              <w:bottom w:val="single" w:sz="4" w:space="0" w:color="auto"/>
              <w:right w:val="nil"/>
            </w:tcBorders>
            <w:shd w:val="clear" w:color="auto" w:fill="auto"/>
            <w:noWrap/>
            <w:vAlign w:val="bottom"/>
            <w:hideMark/>
          </w:tcPr>
          <w:p w14:paraId="3659D54B" w14:textId="77777777" w:rsidR="00C16743" w:rsidRPr="008C0AD6" w:rsidRDefault="00C16743" w:rsidP="00C16743">
            <w:pPr>
              <w:jc w:val="right"/>
              <w:rPr>
                <w:sz w:val="16"/>
                <w:szCs w:val="16"/>
              </w:rPr>
            </w:pPr>
            <w:r w:rsidRPr="008C0AD6">
              <w:rPr>
                <w:sz w:val="16"/>
                <w:szCs w:val="16"/>
              </w:rPr>
              <w:t>0,91</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2F588041"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713D0791" w14:textId="0CF04EE8"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4D582A3B" w14:textId="77777777" w:rsidR="00C16743" w:rsidRPr="008C0AD6" w:rsidRDefault="00C16743" w:rsidP="00C16743">
            <w:pPr>
              <w:jc w:val="right"/>
              <w:rPr>
                <w:sz w:val="16"/>
                <w:szCs w:val="16"/>
              </w:rPr>
            </w:pPr>
            <w:r w:rsidRPr="008C0AD6">
              <w:rPr>
                <w:sz w:val="16"/>
                <w:szCs w:val="16"/>
              </w:rPr>
              <w:t> </w:t>
            </w:r>
          </w:p>
        </w:tc>
      </w:tr>
      <w:tr w:rsidR="00C16743" w:rsidRPr="008C0AD6" w14:paraId="6B3633AC"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5020A59F" w14:textId="77777777" w:rsidR="00C16743" w:rsidRPr="008C0AD6" w:rsidRDefault="00C16743" w:rsidP="00C16743">
            <w:pPr>
              <w:rPr>
                <w:sz w:val="16"/>
                <w:szCs w:val="16"/>
              </w:rPr>
            </w:pPr>
            <w:r w:rsidRPr="008C0AD6">
              <w:rPr>
                <w:sz w:val="16"/>
                <w:szCs w:val="16"/>
              </w:rPr>
              <w:t>Пловдив</w:t>
            </w:r>
          </w:p>
        </w:tc>
        <w:tc>
          <w:tcPr>
            <w:tcW w:w="370" w:type="pct"/>
            <w:tcBorders>
              <w:top w:val="nil"/>
              <w:left w:val="nil"/>
              <w:bottom w:val="single" w:sz="4" w:space="0" w:color="auto"/>
              <w:right w:val="single" w:sz="4" w:space="0" w:color="auto"/>
            </w:tcBorders>
            <w:shd w:val="clear" w:color="auto" w:fill="auto"/>
            <w:noWrap/>
            <w:vAlign w:val="bottom"/>
            <w:hideMark/>
          </w:tcPr>
          <w:p w14:paraId="0F7E99F5"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06E513A4" w14:textId="27556406" w:rsidR="00C16743" w:rsidRPr="008C0AD6" w:rsidRDefault="00C16743" w:rsidP="00C16743">
            <w:pPr>
              <w:jc w:val="right"/>
              <w:rPr>
                <w:sz w:val="16"/>
                <w:szCs w:val="16"/>
              </w:rPr>
            </w:pPr>
            <w:r w:rsidRPr="008C0AD6">
              <w:rPr>
                <w:sz w:val="16"/>
                <w:szCs w:val="16"/>
              </w:rPr>
              <w:t>1</w:t>
            </w:r>
          </w:p>
        </w:tc>
        <w:tc>
          <w:tcPr>
            <w:tcW w:w="287" w:type="pct"/>
            <w:tcBorders>
              <w:top w:val="nil"/>
              <w:left w:val="nil"/>
              <w:bottom w:val="single" w:sz="4" w:space="0" w:color="auto"/>
              <w:right w:val="single" w:sz="4" w:space="0" w:color="auto"/>
            </w:tcBorders>
            <w:shd w:val="clear" w:color="auto" w:fill="auto"/>
            <w:noWrap/>
            <w:vAlign w:val="center"/>
            <w:hideMark/>
          </w:tcPr>
          <w:p w14:paraId="1D2F2092" w14:textId="77777777" w:rsidR="00C16743" w:rsidRPr="008C0AD6" w:rsidRDefault="00C16743" w:rsidP="00C16743">
            <w:pPr>
              <w:jc w:val="right"/>
              <w:rPr>
                <w:sz w:val="16"/>
                <w:szCs w:val="16"/>
              </w:rPr>
            </w:pPr>
            <w:r w:rsidRPr="008C0AD6">
              <w:rPr>
                <w:sz w:val="16"/>
                <w:szCs w:val="16"/>
              </w:rPr>
              <w:t>1</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3401380A"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2DCF978C" w14:textId="6BF349CD"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0FF5AD61" w14:textId="77777777" w:rsidR="00C16743" w:rsidRPr="008C0AD6" w:rsidRDefault="00C16743" w:rsidP="00C16743">
            <w:pPr>
              <w:jc w:val="right"/>
              <w:rPr>
                <w:sz w:val="16"/>
                <w:szCs w:val="16"/>
              </w:rPr>
            </w:pPr>
            <w:r w:rsidRPr="008C0AD6">
              <w:rPr>
                <w:sz w:val="16"/>
                <w:szCs w:val="16"/>
              </w:rPr>
              <w:t>55,00</w:t>
            </w:r>
          </w:p>
        </w:tc>
        <w:tc>
          <w:tcPr>
            <w:tcW w:w="370" w:type="pct"/>
            <w:tcBorders>
              <w:top w:val="nil"/>
              <w:left w:val="nil"/>
              <w:bottom w:val="single" w:sz="4" w:space="0" w:color="auto"/>
              <w:right w:val="single" w:sz="4" w:space="0" w:color="auto"/>
            </w:tcBorders>
            <w:shd w:val="clear" w:color="auto" w:fill="auto"/>
            <w:noWrap/>
            <w:vAlign w:val="bottom"/>
            <w:hideMark/>
          </w:tcPr>
          <w:p w14:paraId="5F091BB5"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7B78D4CE" w14:textId="7AC756D2" w:rsidR="00C16743" w:rsidRPr="008C0AD6" w:rsidRDefault="00C16743" w:rsidP="00C16743">
            <w:pPr>
              <w:jc w:val="right"/>
              <w:rPr>
                <w:sz w:val="16"/>
                <w:szCs w:val="16"/>
              </w:rPr>
            </w:pPr>
            <w:r w:rsidRPr="008C0AD6">
              <w:rPr>
                <w:sz w:val="16"/>
                <w:szCs w:val="16"/>
              </w:rPr>
              <w:t>0,1</w:t>
            </w:r>
          </w:p>
        </w:tc>
        <w:tc>
          <w:tcPr>
            <w:tcW w:w="304" w:type="pct"/>
            <w:tcBorders>
              <w:top w:val="nil"/>
              <w:left w:val="nil"/>
              <w:bottom w:val="single" w:sz="4" w:space="0" w:color="auto"/>
              <w:right w:val="single" w:sz="4" w:space="0" w:color="auto"/>
            </w:tcBorders>
            <w:shd w:val="clear" w:color="auto" w:fill="auto"/>
            <w:noWrap/>
            <w:vAlign w:val="bottom"/>
            <w:hideMark/>
          </w:tcPr>
          <w:p w14:paraId="6588CBCF" w14:textId="77777777" w:rsidR="00C16743" w:rsidRPr="008C0AD6" w:rsidRDefault="00C16743" w:rsidP="00C16743">
            <w:pPr>
              <w:jc w:val="right"/>
              <w:rPr>
                <w:sz w:val="16"/>
                <w:szCs w:val="16"/>
              </w:rPr>
            </w:pPr>
            <w:r w:rsidRPr="008C0AD6">
              <w:rPr>
                <w:sz w:val="16"/>
                <w:szCs w:val="16"/>
              </w:rPr>
              <w:t>0,95</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4BFFB078"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2B21D77E" w14:textId="4E017E5E" w:rsidR="00C16743" w:rsidRPr="008C0AD6" w:rsidRDefault="00C16743" w:rsidP="00C16743">
            <w:pPr>
              <w:jc w:val="right"/>
              <w:rPr>
                <w:sz w:val="16"/>
                <w:szCs w:val="16"/>
              </w:rPr>
            </w:pPr>
            <w:r w:rsidRPr="008C0AD6">
              <w:rPr>
                <w:sz w:val="16"/>
                <w:szCs w:val="16"/>
              </w:rPr>
              <w:t>0</w:t>
            </w:r>
          </w:p>
        </w:tc>
        <w:tc>
          <w:tcPr>
            <w:tcW w:w="304" w:type="pct"/>
            <w:tcBorders>
              <w:top w:val="nil"/>
              <w:left w:val="nil"/>
              <w:bottom w:val="single" w:sz="4" w:space="0" w:color="auto"/>
              <w:right w:val="single" w:sz="8" w:space="0" w:color="auto"/>
            </w:tcBorders>
            <w:shd w:val="clear" w:color="auto" w:fill="auto"/>
            <w:noWrap/>
            <w:vAlign w:val="bottom"/>
            <w:hideMark/>
          </w:tcPr>
          <w:p w14:paraId="4C54C5D4" w14:textId="77777777" w:rsidR="00C16743" w:rsidRPr="008C0AD6" w:rsidRDefault="00C16743" w:rsidP="00C16743">
            <w:pPr>
              <w:jc w:val="right"/>
              <w:rPr>
                <w:sz w:val="16"/>
                <w:szCs w:val="16"/>
              </w:rPr>
            </w:pPr>
            <w:r w:rsidRPr="008C0AD6">
              <w:rPr>
                <w:sz w:val="16"/>
                <w:szCs w:val="16"/>
              </w:rPr>
              <w:t>0,05</w:t>
            </w:r>
          </w:p>
        </w:tc>
      </w:tr>
      <w:tr w:rsidR="00C16743" w:rsidRPr="008C0AD6" w14:paraId="76480EC6"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19694FA3" w14:textId="77777777" w:rsidR="00C16743" w:rsidRPr="008C0AD6" w:rsidRDefault="00C16743" w:rsidP="00C16743">
            <w:pPr>
              <w:rPr>
                <w:sz w:val="16"/>
                <w:szCs w:val="16"/>
              </w:rPr>
            </w:pPr>
            <w:r w:rsidRPr="008C0AD6">
              <w:rPr>
                <w:sz w:val="16"/>
                <w:szCs w:val="16"/>
              </w:rPr>
              <w:t>Разград</w:t>
            </w:r>
          </w:p>
        </w:tc>
        <w:tc>
          <w:tcPr>
            <w:tcW w:w="370" w:type="pct"/>
            <w:tcBorders>
              <w:top w:val="nil"/>
              <w:left w:val="nil"/>
              <w:bottom w:val="single" w:sz="4" w:space="0" w:color="auto"/>
              <w:right w:val="single" w:sz="4" w:space="0" w:color="auto"/>
            </w:tcBorders>
            <w:shd w:val="clear" w:color="auto" w:fill="auto"/>
            <w:noWrap/>
            <w:vAlign w:val="bottom"/>
            <w:hideMark/>
          </w:tcPr>
          <w:p w14:paraId="7820E752"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21571D17" w14:textId="02045A26" w:rsidR="00C16743" w:rsidRPr="008C0AD6" w:rsidRDefault="00C16743" w:rsidP="00C16743">
            <w:pPr>
              <w:jc w:val="right"/>
              <w:rPr>
                <w:sz w:val="16"/>
                <w:szCs w:val="16"/>
              </w:rPr>
            </w:pPr>
            <w:r w:rsidRPr="008C0AD6">
              <w:rPr>
                <w:sz w:val="16"/>
                <w:szCs w:val="16"/>
              </w:rPr>
              <w:t>3</w:t>
            </w:r>
          </w:p>
        </w:tc>
        <w:tc>
          <w:tcPr>
            <w:tcW w:w="287" w:type="pct"/>
            <w:tcBorders>
              <w:top w:val="nil"/>
              <w:left w:val="nil"/>
              <w:bottom w:val="single" w:sz="4" w:space="0" w:color="auto"/>
              <w:right w:val="single" w:sz="4" w:space="0" w:color="auto"/>
            </w:tcBorders>
            <w:shd w:val="clear" w:color="auto" w:fill="auto"/>
            <w:noWrap/>
            <w:vAlign w:val="center"/>
            <w:hideMark/>
          </w:tcPr>
          <w:p w14:paraId="2603CF34" w14:textId="77777777" w:rsidR="00C16743" w:rsidRPr="008C0AD6" w:rsidRDefault="00C16743" w:rsidP="00C16743">
            <w:pPr>
              <w:jc w:val="right"/>
              <w:rPr>
                <w:sz w:val="16"/>
                <w:szCs w:val="16"/>
              </w:rPr>
            </w:pPr>
            <w:r w:rsidRPr="008C0AD6">
              <w:rPr>
                <w:sz w:val="16"/>
                <w:szCs w:val="16"/>
              </w:rPr>
              <w:t>3</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7B30BB2E"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1789C3E2" w14:textId="49599499"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1B2C656F" w14:textId="77777777" w:rsidR="00C16743" w:rsidRPr="008C0AD6" w:rsidRDefault="00C16743" w:rsidP="00C16743">
            <w:pPr>
              <w:jc w:val="right"/>
              <w:rPr>
                <w:sz w:val="16"/>
                <w:szCs w:val="16"/>
              </w:rPr>
            </w:pPr>
            <w:r w:rsidRPr="008C0AD6">
              <w:rPr>
                <w:sz w:val="16"/>
                <w:szCs w:val="16"/>
              </w:rPr>
              <w:t>100,00</w:t>
            </w:r>
          </w:p>
        </w:tc>
        <w:tc>
          <w:tcPr>
            <w:tcW w:w="370" w:type="pct"/>
            <w:tcBorders>
              <w:top w:val="nil"/>
              <w:left w:val="nil"/>
              <w:bottom w:val="single" w:sz="4" w:space="0" w:color="auto"/>
              <w:right w:val="single" w:sz="4" w:space="0" w:color="auto"/>
            </w:tcBorders>
            <w:shd w:val="clear" w:color="auto" w:fill="auto"/>
            <w:noWrap/>
            <w:vAlign w:val="bottom"/>
            <w:hideMark/>
          </w:tcPr>
          <w:p w14:paraId="113C0CDF"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47C68DAB" w14:textId="4BD07748" w:rsidR="00C16743" w:rsidRPr="008C0AD6" w:rsidRDefault="00C16743" w:rsidP="00C16743">
            <w:pPr>
              <w:jc w:val="right"/>
              <w:rPr>
                <w:sz w:val="16"/>
                <w:szCs w:val="16"/>
              </w:rPr>
            </w:pPr>
            <w:r w:rsidRPr="008C0AD6">
              <w:rPr>
                <w:sz w:val="16"/>
                <w:szCs w:val="16"/>
              </w:rPr>
              <w:t>1</w:t>
            </w:r>
          </w:p>
        </w:tc>
        <w:tc>
          <w:tcPr>
            <w:tcW w:w="304" w:type="pct"/>
            <w:tcBorders>
              <w:top w:val="nil"/>
              <w:left w:val="nil"/>
              <w:bottom w:val="single" w:sz="4" w:space="0" w:color="auto"/>
              <w:right w:val="single" w:sz="4" w:space="0" w:color="auto"/>
            </w:tcBorders>
            <w:shd w:val="clear" w:color="auto" w:fill="auto"/>
            <w:noWrap/>
            <w:vAlign w:val="bottom"/>
            <w:hideMark/>
          </w:tcPr>
          <w:p w14:paraId="2735BDFA" w14:textId="77777777" w:rsidR="00C16743" w:rsidRPr="008C0AD6" w:rsidRDefault="00C16743" w:rsidP="00C16743">
            <w:pPr>
              <w:jc w:val="right"/>
              <w:rPr>
                <w:sz w:val="16"/>
                <w:szCs w:val="16"/>
              </w:rPr>
            </w:pPr>
            <w:r w:rsidRPr="008C0AD6">
              <w:rPr>
                <w:sz w:val="16"/>
                <w:szCs w:val="16"/>
              </w:rPr>
              <w:t>1,00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53C5E607"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6A167BF3" w14:textId="511460A6"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7B9DF835" w14:textId="77777777" w:rsidR="00C16743" w:rsidRPr="008C0AD6" w:rsidRDefault="00C16743" w:rsidP="00C16743">
            <w:pPr>
              <w:jc w:val="right"/>
              <w:rPr>
                <w:sz w:val="16"/>
                <w:szCs w:val="16"/>
              </w:rPr>
            </w:pPr>
            <w:r w:rsidRPr="008C0AD6">
              <w:rPr>
                <w:sz w:val="16"/>
                <w:szCs w:val="16"/>
              </w:rPr>
              <w:t>100,00</w:t>
            </w:r>
          </w:p>
        </w:tc>
      </w:tr>
      <w:tr w:rsidR="00C16743" w:rsidRPr="008C0AD6" w14:paraId="5260A720"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456BB625" w14:textId="77777777" w:rsidR="00C16743" w:rsidRPr="008C0AD6" w:rsidRDefault="00C16743" w:rsidP="00C16743">
            <w:pPr>
              <w:rPr>
                <w:sz w:val="16"/>
                <w:szCs w:val="16"/>
              </w:rPr>
            </w:pPr>
            <w:r w:rsidRPr="008C0AD6">
              <w:rPr>
                <w:sz w:val="16"/>
                <w:szCs w:val="16"/>
              </w:rPr>
              <w:t>Русе</w:t>
            </w:r>
          </w:p>
        </w:tc>
        <w:tc>
          <w:tcPr>
            <w:tcW w:w="370" w:type="pct"/>
            <w:tcBorders>
              <w:top w:val="nil"/>
              <w:left w:val="nil"/>
              <w:bottom w:val="single" w:sz="4" w:space="0" w:color="auto"/>
              <w:right w:val="single" w:sz="4" w:space="0" w:color="auto"/>
            </w:tcBorders>
            <w:shd w:val="clear" w:color="auto" w:fill="auto"/>
            <w:noWrap/>
            <w:vAlign w:val="bottom"/>
            <w:hideMark/>
          </w:tcPr>
          <w:p w14:paraId="503778CA"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7B21C4EE" w14:textId="1CCC4067" w:rsidR="00C16743" w:rsidRPr="008C0AD6" w:rsidRDefault="00C16743" w:rsidP="00C16743">
            <w:pPr>
              <w:jc w:val="right"/>
              <w:rPr>
                <w:sz w:val="16"/>
                <w:szCs w:val="16"/>
              </w:rPr>
            </w:pPr>
            <w:r w:rsidRPr="008C0AD6">
              <w:rPr>
                <w:sz w:val="16"/>
                <w:szCs w:val="16"/>
              </w:rPr>
              <w:t>1</w:t>
            </w:r>
          </w:p>
        </w:tc>
        <w:tc>
          <w:tcPr>
            <w:tcW w:w="287" w:type="pct"/>
            <w:tcBorders>
              <w:top w:val="nil"/>
              <w:left w:val="nil"/>
              <w:bottom w:val="single" w:sz="4" w:space="0" w:color="auto"/>
              <w:right w:val="single" w:sz="4" w:space="0" w:color="auto"/>
            </w:tcBorders>
            <w:shd w:val="clear" w:color="000000" w:fill="FFFFFF"/>
            <w:noWrap/>
            <w:vAlign w:val="center"/>
            <w:hideMark/>
          </w:tcPr>
          <w:p w14:paraId="598CDFB6" w14:textId="77777777" w:rsidR="00C16743" w:rsidRPr="008C0AD6" w:rsidRDefault="00C16743" w:rsidP="00C16743">
            <w:pPr>
              <w:jc w:val="right"/>
              <w:rPr>
                <w:sz w:val="16"/>
                <w:szCs w:val="16"/>
              </w:rPr>
            </w:pPr>
            <w:r w:rsidRPr="008C0AD6">
              <w:rPr>
                <w:sz w:val="16"/>
                <w:szCs w:val="16"/>
              </w:rPr>
              <w:t>1</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0C6F2FB3"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20858CB1" w14:textId="6F6FDB2D" w:rsidR="00C16743" w:rsidRPr="008C0AD6" w:rsidRDefault="00C16743" w:rsidP="00C16743">
            <w:pPr>
              <w:jc w:val="right"/>
              <w:rPr>
                <w:sz w:val="16"/>
                <w:szCs w:val="16"/>
              </w:rPr>
            </w:pPr>
            <w:r w:rsidRPr="008C0AD6">
              <w:rPr>
                <w:sz w:val="16"/>
                <w:szCs w:val="16"/>
              </w:rPr>
              <w:t>80</w:t>
            </w:r>
          </w:p>
        </w:tc>
        <w:tc>
          <w:tcPr>
            <w:tcW w:w="304" w:type="pct"/>
            <w:tcBorders>
              <w:top w:val="nil"/>
              <w:left w:val="nil"/>
              <w:bottom w:val="single" w:sz="4" w:space="0" w:color="auto"/>
              <w:right w:val="single" w:sz="4" w:space="0" w:color="auto"/>
            </w:tcBorders>
            <w:shd w:val="clear" w:color="auto" w:fill="auto"/>
            <w:noWrap/>
            <w:vAlign w:val="bottom"/>
            <w:hideMark/>
          </w:tcPr>
          <w:p w14:paraId="3E7331A6" w14:textId="77777777" w:rsidR="00C16743" w:rsidRPr="008C0AD6" w:rsidRDefault="00C16743" w:rsidP="00C16743">
            <w:pPr>
              <w:jc w:val="right"/>
              <w:rPr>
                <w:sz w:val="16"/>
                <w:szCs w:val="16"/>
              </w:rPr>
            </w:pPr>
            <w:r w:rsidRPr="008C0AD6">
              <w:rPr>
                <w:sz w:val="16"/>
                <w:szCs w:val="16"/>
              </w:rPr>
              <w:t>68,00</w:t>
            </w:r>
          </w:p>
        </w:tc>
        <w:tc>
          <w:tcPr>
            <w:tcW w:w="370" w:type="pct"/>
            <w:tcBorders>
              <w:top w:val="nil"/>
              <w:left w:val="nil"/>
              <w:bottom w:val="single" w:sz="4" w:space="0" w:color="auto"/>
              <w:right w:val="single" w:sz="4" w:space="0" w:color="auto"/>
            </w:tcBorders>
            <w:shd w:val="clear" w:color="auto" w:fill="auto"/>
            <w:noWrap/>
            <w:vAlign w:val="bottom"/>
            <w:hideMark/>
          </w:tcPr>
          <w:p w14:paraId="644494DB"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360F7073" w14:textId="2F9A2ABF" w:rsidR="00C16743" w:rsidRPr="008C0AD6" w:rsidRDefault="00C16743" w:rsidP="00C16743">
            <w:pPr>
              <w:jc w:val="right"/>
              <w:rPr>
                <w:sz w:val="16"/>
                <w:szCs w:val="16"/>
              </w:rPr>
            </w:pPr>
            <w:r w:rsidRPr="008C0AD6">
              <w:rPr>
                <w:sz w:val="16"/>
                <w:szCs w:val="16"/>
              </w:rPr>
              <w:t>1</w:t>
            </w:r>
          </w:p>
        </w:tc>
        <w:tc>
          <w:tcPr>
            <w:tcW w:w="304" w:type="pct"/>
            <w:tcBorders>
              <w:top w:val="nil"/>
              <w:left w:val="nil"/>
              <w:bottom w:val="single" w:sz="4" w:space="0" w:color="auto"/>
              <w:right w:val="single" w:sz="4" w:space="0" w:color="auto"/>
            </w:tcBorders>
            <w:shd w:val="clear" w:color="auto" w:fill="auto"/>
            <w:noWrap/>
            <w:vAlign w:val="bottom"/>
            <w:hideMark/>
          </w:tcPr>
          <w:p w14:paraId="0959ABEB" w14:textId="77777777" w:rsidR="00C16743" w:rsidRPr="008C0AD6" w:rsidRDefault="00C16743" w:rsidP="00C16743">
            <w:pPr>
              <w:jc w:val="right"/>
              <w:rPr>
                <w:sz w:val="16"/>
                <w:szCs w:val="16"/>
              </w:rPr>
            </w:pPr>
            <w:r w:rsidRPr="008C0AD6">
              <w:rPr>
                <w:sz w:val="16"/>
                <w:szCs w:val="16"/>
              </w:rPr>
              <w:t>0,10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50251C6E"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3AC07B6F" w14:textId="64061D56" w:rsidR="00C16743" w:rsidRPr="008C0AD6" w:rsidRDefault="00C16743" w:rsidP="00C16743">
            <w:pPr>
              <w:jc w:val="right"/>
              <w:rPr>
                <w:sz w:val="16"/>
                <w:szCs w:val="16"/>
              </w:rPr>
            </w:pPr>
            <w:r w:rsidRPr="008C0AD6">
              <w:rPr>
                <w:sz w:val="16"/>
                <w:szCs w:val="16"/>
              </w:rPr>
              <w:t>90</w:t>
            </w:r>
          </w:p>
        </w:tc>
        <w:tc>
          <w:tcPr>
            <w:tcW w:w="304" w:type="pct"/>
            <w:tcBorders>
              <w:top w:val="nil"/>
              <w:left w:val="nil"/>
              <w:bottom w:val="single" w:sz="4" w:space="0" w:color="auto"/>
              <w:right w:val="single" w:sz="4" w:space="0" w:color="auto"/>
            </w:tcBorders>
            <w:shd w:val="clear" w:color="auto" w:fill="auto"/>
            <w:noWrap/>
            <w:vAlign w:val="bottom"/>
            <w:hideMark/>
          </w:tcPr>
          <w:p w14:paraId="054C1224" w14:textId="77777777" w:rsidR="00C16743" w:rsidRPr="008C0AD6" w:rsidRDefault="00C16743" w:rsidP="00C16743">
            <w:pPr>
              <w:jc w:val="right"/>
              <w:rPr>
                <w:sz w:val="16"/>
                <w:szCs w:val="16"/>
              </w:rPr>
            </w:pPr>
            <w:r w:rsidRPr="008C0AD6">
              <w:rPr>
                <w:sz w:val="16"/>
                <w:szCs w:val="16"/>
              </w:rPr>
              <w:t>100,00</w:t>
            </w:r>
          </w:p>
        </w:tc>
      </w:tr>
      <w:tr w:rsidR="00C16743" w:rsidRPr="008C0AD6" w14:paraId="7FB3BB95"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60F84B5E" w14:textId="77777777" w:rsidR="00C16743" w:rsidRPr="008C0AD6" w:rsidRDefault="00C16743" w:rsidP="00C16743">
            <w:pPr>
              <w:rPr>
                <w:sz w:val="16"/>
                <w:szCs w:val="16"/>
              </w:rPr>
            </w:pPr>
            <w:r w:rsidRPr="008C0AD6">
              <w:rPr>
                <w:sz w:val="16"/>
                <w:szCs w:val="16"/>
              </w:rPr>
              <w:t>Силистра</w:t>
            </w:r>
          </w:p>
        </w:tc>
        <w:tc>
          <w:tcPr>
            <w:tcW w:w="370" w:type="pct"/>
            <w:tcBorders>
              <w:top w:val="nil"/>
              <w:left w:val="nil"/>
              <w:bottom w:val="single" w:sz="4" w:space="0" w:color="auto"/>
              <w:right w:val="single" w:sz="4" w:space="0" w:color="auto"/>
            </w:tcBorders>
            <w:shd w:val="clear" w:color="auto" w:fill="auto"/>
            <w:noWrap/>
            <w:vAlign w:val="bottom"/>
            <w:hideMark/>
          </w:tcPr>
          <w:p w14:paraId="30703FB3"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5D4874BE" w14:textId="4C2B192B" w:rsidR="00C16743" w:rsidRPr="008C0AD6" w:rsidRDefault="00C16743" w:rsidP="00C16743">
            <w:pPr>
              <w:jc w:val="right"/>
              <w:rPr>
                <w:sz w:val="16"/>
                <w:szCs w:val="16"/>
              </w:rPr>
            </w:pPr>
            <w:r w:rsidRPr="008C0AD6">
              <w:rPr>
                <w:sz w:val="16"/>
                <w:szCs w:val="16"/>
              </w:rPr>
              <w:t>4</w:t>
            </w:r>
          </w:p>
        </w:tc>
        <w:tc>
          <w:tcPr>
            <w:tcW w:w="287" w:type="pct"/>
            <w:tcBorders>
              <w:top w:val="nil"/>
              <w:left w:val="nil"/>
              <w:bottom w:val="single" w:sz="4" w:space="0" w:color="auto"/>
              <w:right w:val="single" w:sz="4" w:space="0" w:color="auto"/>
            </w:tcBorders>
            <w:shd w:val="clear" w:color="auto" w:fill="auto"/>
            <w:noWrap/>
            <w:vAlign w:val="center"/>
            <w:hideMark/>
          </w:tcPr>
          <w:p w14:paraId="3FB37823" w14:textId="77777777" w:rsidR="00C16743" w:rsidRPr="008C0AD6" w:rsidRDefault="00C16743" w:rsidP="00C16743">
            <w:pPr>
              <w:jc w:val="right"/>
              <w:rPr>
                <w:sz w:val="16"/>
                <w:szCs w:val="16"/>
              </w:rPr>
            </w:pPr>
            <w:r w:rsidRPr="008C0AD6">
              <w:rPr>
                <w:sz w:val="16"/>
                <w:szCs w:val="16"/>
              </w:rPr>
              <w:t>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6314ABC2"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2B0E1189" w14:textId="55074E5F"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55C3895D" w14:textId="77777777" w:rsidR="00C16743" w:rsidRPr="008C0AD6" w:rsidRDefault="00C16743" w:rsidP="00C16743">
            <w:pPr>
              <w:jc w:val="right"/>
              <w:rPr>
                <w:sz w:val="16"/>
                <w:szCs w:val="16"/>
              </w:rPr>
            </w:pPr>
            <w:r w:rsidRPr="008C0AD6">
              <w:rPr>
                <w:sz w:val="16"/>
                <w:szCs w:val="16"/>
              </w:rPr>
              <w:t>100,00</w:t>
            </w:r>
          </w:p>
        </w:tc>
        <w:tc>
          <w:tcPr>
            <w:tcW w:w="370" w:type="pct"/>
            <w:tcBorders>
              <w:top w:val="nil"/>
              <w:left w:val="nil"/>
              <w:bottom w:val="single" w:sz="4" w:space="0" w:color="auto"/>
              <w:right w:val="single" w:sz="4" w:space="0" w:color="auto"/>
            </w:tcBorders>
            <w:shd w:val="clear" w:color="auto" w:fill="auto"/>
            <w:noWrap/>
            <w:vAlign w:val="bottom"/>
            <w:hideMark/>
          </w:tcPr>
          <w:p w14:paraId="49799165"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57CBBD03" w14:textId="24FBF658" w:rsidR="00C16743" w:rsidRPr="008C0AD6" w:rsidRDefault="00C16743" w:rsidP="00C16743">
            <w:pPr>
              <w:jc w:val="right"/>
              <w:rPr>
                <w:sz w:val="16"/>
                <w:szCs w:val="16"/>
              </w:rPr>
            </w:pPr>
            <w:r w:rsidRPr="008C0AD6">
              <w:rPr>
                <w:sz w:val="16"/>
                <w:szCs w:val="16"/>
              </w:rPr>
              <w:t>0,02</w:t>
            </w:r>
          </w:p>
        </w:tc>
        <w:tc>
          <w:tcPr>
            <w:tcW w:w="304" w:type="pct"/>
            <w:tcBorders>
              <w:top w:val="nil"/>
              <w:left w:val="nil"/>
              <w:bottom w:val="single" w:sz="4" w:space="0" w:color="auto"/>
              <w:right w:val="single" w:sz="4" w:space="0" w:color="auto"/>
            </w:tcBorders>
            <w:shd w:val="clear" w:color="auto" w:fill="auto"/>
            <w:noWrap/>
            <w:vAlign w:val="bottom"/>
            <w:hideMark/>
          </w:tcPr>
          <w:p w14:paraId="3E1EF674" w14:textId="77777777" w:rsidR="00C16743" w:rsidRPr="008C0AD6" w:rsidRDefault="00C16743" w:rsidP="00C16743">
            <w:pPr>
              <w:jc w:val="right"/>
              <w:rPr>
                <w:sz w:val="16"/>
                <w:szCs w:val="16"/>
              </w:rPr>
            </w:pPr>
            <w:r w:rsidRPr="008C0AD6">
              <w:rPr>
                <w:sz w:val="16"/>
                <w:szCs w:val="16"/>
              </w:rPr>
              <w:t>0,18</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44E19C3A"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1E333FFA" w14:textId="794DB004" w:rsidR="00C16743" w:rsidRPr="008C0AD6" w:rsidRDefault="00C16743" w:rsidP="00C16743">
            <w:pPr>
              <w:jc w:val="right"/>
              <w:rPr>
                <w:sz w:val="16"/>
                <w:szCs w:val="16"/>
              </w:rPr>
            </w:pPr>
            <w:r w:rsidRPr="008C0AD6">
              <w:rPr>
                <w:sz w:val="16"/>
                <w:szCs w:val="16"/>
              </w:rPr>
              <w:t>50</w:t>
            </w:r>
          </w:p>
        </w:tc>
        <w:tc>
          <w:tcPr>
            <w:tcW w:w="304" w:type="pct"/>
            <w:tcBorders>
              <w:top w:val="nil"/>
              <w:left w:val="nil"/>
              <w:bottom w:val="single" w:sz="4" w:space="0" w:color="auto"/>
              <w:right w:val="single" w:sz="8" w:space="0" w:color="auto"/>
            </w:tcBorders>
            <w:shd w:val="clear" w:color="auto" w:fill="auto"/>
            <w:noWrap/>
            <w:vAlign w:val="bottom"/>
            <w:hideMark/>
          </w:tcPr>
          <w:p w14:paraId="2F2A2AAB" w14:textId="77777777" w:rsidR="00C16743" w:rsidRPr="008C0AD6" w:rsidRDefault="00C16743" w:rsidP="00C16743">
            <w:pPr>
              <w:jc w:val="right"/>
              <w:rPr>
                <w:sz w:val="16"/>
                <w:szCs w:val="16"/>
              </w:rPr>
            </w:pPr>
            <w:r w:rsidRPr="008C0AD6">
              <w:rPr>
                <w:sz w:val="16"/>
                <w:szCs w:val="16"/>
              </w:rPr>
              <w:t>0,00</w:t>
            </w:r>
          </w:p>
        </w:tc>
      </w:tr>
      <w:tr w:rsidR="00C16743" w:rsidRPr="008C0AD6" w14:paraId="01E5C4A4"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2D303EB0" w14:textId="77777777" w:rsidR="00C16743" w:rsidRPr="008C0AD6" w:rsidRDefault="00C16743" w:rsidP="00C16743">
            <w:pPr>
              <w:rPr>
                <w:sz w:val="16"/>
                <w:szCs w:val="16"/>
              </w:rPr>
            </w:pPr>
            <w:r w:rsidRPr="008C0AD6">
              <w:rPr>
                <w:sz w:val="16"/>
                <w:szCs w:val="16"/>
              </w:rPr>
              <w:t>Сливен</w:t>
            </w:r>
          </w:p>
        </w:tc>
        <w:tc>
          <w:tcPr>
            <w:tcW w:w="370" w:type="pct"/>
            <w:tcBorders>
              <w:top w:val="nil"/>
              <w:left w:val="nil"/>
              <w:bottom w:val="single" w:sz="4" w:space="0" w:color="auto"/>
              <w:right w:val="single" w:sz="4" w:space="0" w:color="auto"/>
            </w:tcBorders>
            <w:shd w:val="clear" w:color="auto" w:fill="auto"/>
            <w:noWrap/>
            <w:vAlign w:val="bottom"/>
            <w:hideMark/>
          </w:tcPr>
          <w:p w14:paraId="2EE1ADA5"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22CF6644" w14:textId="16828A0A" w:rsidR="00C16743" w:rsidRPr="008C0AD6" w:rsidRDefault="00C16743" w:rsidP="00C16743">
            <w:pPr>
              <w:jc w:val="right"/>
              <w:rPr>
                <w:sz w:val="16"/>
                <w:szCs w:val="16"/>
              </w:rPr>
            </w:pPr>
            <w:r w:rsidRPr="008C0AD6">
              <w:rPr>
                <w:sz w:val="16"/>
                <w:szCs w:val="16"/>
              </w:rPr>
              <w:t>1</w:t>
            </w:r>
          </w:p>
        </w:tc>
        <w:tc>
          <w:tcPr>
            <w:tcW w:w="287" w:type="pct"/>
            <w:tcBorders>
              <w:top w:val="nil"/>
              <w:left w:val="nil"/>
              <w:bottom w:val="single" w:sz="4" w:space="0" w:color="auto"/>
              <w:right w:val="single" w:sz="4" w:space="0" w:color="auto"/>
            </w:tcBorders>
            <w:shd w:val="clear" w:color="auto" w:fill="auto"/>
            <w:noWrap/>
            <w:vAlign w:val="center"/>
            <w:hideMark/>
          </w:tcPr>
          <w:p w14:paraId="0992F195" w14:textId="77777777" w:rsidR="00C16743" w:rsidRPr="008C0AD6" w:rsidRDefault="00C16743" w:rsidP="00C16743">
            <w:pPr>
              <w:jc w:val="right"/>
              <w:rPr>
                <w:sz w:val="16"/>
                <w:szCs w:val="16"/>
              </w:rPr>
            </w:pPr>
            <w:r w:rsidRPr="008C0AD6">
              <w:rPr>
                <w:sz w:val="16"/>
                <w:szCs w:val="16"/>
              </w:rPr>
              <w:t>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654AA16A"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7B1F59DD" w14:textId="510EFB4F"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7CC764E0" w14:textId="77777777" w:rsidR="00C16743" w:rsidRPr="008C0AD6" w:rsidRDefault="00C16743" w:rsidP="00C16743">
            <w:pPr>
              <w:jc w:val="right"/>
              <w:rPr>
                <w:sz w:val="16"/>
                <w:szCs w:val="16"/>
              </w:rPr>
            </w:pPr>
            <w:r w:rsidRPr="008C0AD6">
              <w:rPr>
                <w:sz w:val="16"/>
                <w:szCs w:val="16"/>
              </w:rPr>
              <w:t>100,00</w:t>
            </w:r>
          </w:p>
        </w:tc>
        <w:tc>
          <w:tcPr>
            <w:tcW w:w="370" w:type="pct"/>
            <w:tcBorders>
              <w:top w:val="nil"/>
              <w:left w:val="nil"/>
              <w:bottom w:val="single" w:sz="4" w:space="0" w:color="auto"/>
              <w:right w:val="single" w:sz="4" w:space="0" w:color="auto"/>
            </w:tcBorders>
            <w:shd w:val="clear" w:color="auto" w:fill="auto"/>
            <w:noWrap/>
            <w:vAlign w:val="bottom"/>
            <w:hideMark/>
          </w:tcPr>
          <w:p w14:paraId="0875CD4E"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2A51DA6A" w14:textId="65E58A59" w:rsidR="00C16743" w:rsidRPr="008C0AD6" w:rsidRDefault="00C16743" w:rsidP="00C16743">
            <w:pPr>
              <w:jc w:val="right"/>
              <w:rPr>
                <w:sz w:val="16"/>
                <w:szCs w:val="16"/>
              </w:rPr>
            </w:pPr>
            <w:r w:rsidRPr="008C0AD6">
              <w:rPr>
                <w:sz w:val="16"/>
                <w:szCs w:val="16"/>
              </w:rPr>
              <w:t>1</w:t>
            </w:r>
          </w:p>
        </w:tc>
        <w:tc>
          <w:tcPr>
            <w:tcW w:w="304" w:type="pct"/>
            <w:tcBorders>
              <w:top w:val="nil"/>
              <w:left w:val="nil"/>
              <w:bottom w:val="single" w:sz="4" w:space="0" w:color="auto"/>
              <w:right w:val="single" w:sz="4" w:space="0" w:color="auto"/>
            </w:tcBorders>
            <w:shd w:val="clear" w:color="auto" w:fill="auto"/>
            <w:noWrap/>
            <w:vAlign w:val="bottom"/>
            <w:hideMark/>
          </w:tcPr>
          <w:p w14:paraId="2134ED60" w14:textId="77777777" w:rsidR="00C16743" w:rsidRPr="008C0AD6" w:rsidRDefault="00C16743" w:rsidP="00C16743">
            <w:pPr>
              <w:jc w:val="right"/>
              <w:rPr>
                <w:sz w:val="16"/>
                <w:szCs w:val="16"/>
              </w:rPr>
            </w:pPr>
            <w:r w:rsidRPr="008C0AD6">
              <w:rPr>
                <w:sz w:val="16"/>
                <w:szCs w:val="16"/>
              </w:rPr>
              <w:t>0,00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06833FB0"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742F052C" w14:textId="5B2F15A0"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4AE658B4" w14:textId="77777777" w:rsidR="00C16743" w:rsidRPr="008C0AD6" w:rsidRDefault="00C16743" w:rsidP="00C16743">
            <w:pPr>
              <w:jc w:val="right"/>
              <w:rPr>
                <w:sz w:val="16"/>
                <w:szCs w:val="16"/>
              </w:rPr>
            </w:pPr>
            <w:r w:rsidRPr="008C0AD6">
              <w:rPr>
                <w:sz w:val="16"/>
                <w:szCs w:val="16"/>
              </w:rPr>
              <w:t>0,00</w:t>
            </w:r>
          </w:p>
        </w:tc>
      </w:tr>
      <w:tr w:rsidR="00C16743" w:rsidRPr="008C0AD6" w14:paraId="6B712243"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66B5737C" w14:textId="77777777" w:rsidR="00C16743" w:rsidRPr="008C0AD6" w:rsidRDefault="00C16743" w:rsidP="00C16743">
            <w:pPr>
              <w:rPr>
                <w:sz w:val="16"/>
                <w:szCs w:val="16"/>
              </w:rPr>
            </w:pPr>
            <w:r w:rsidRPr="008C0AD6">
              <w:rPr>
                <w:sz w:val="16"/>
                <w:szCs w:val="16"/>
              </w:rPr>
              <w:t>Смолян</w:t>
            </w:r>
          </w:p>
        </w:tc>
        <w:tc>
          <w:tcPr>
            <w:tcW w:w="370" w:type="pct"/>
            <w:tcBorders>
              <w:top w:val="nil"/>
              <w:left w:val="nil"/>
              <w:bottom w:val="single" w:sz="4" w:space="0" w:color="auto"/>
              <w:right w:val="single" w:sz="4" w:space="0" w:color="auto"/>
            </w:tcBorders>
            <w:shd w:val="clear" w:color="auto" w:fill="auto"/>
            <w:noWrap/>
            <w:vAlign w:val="bottom"/>
            <w:hideMark/>
          </w:tcPr>
          <w:p w14:paraId="5A1C46D2"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09D5D0EA" w14:textId="0EE0D131" w:rsidR="00C16743" w:rsidRPr="008C0AD6" w:rsidRDefault="00C16743" w:rsidP="00C16743">
            <w:pPr>
              <w:jc w:val="right"/>
              <w:rPr>
                <w:sz w:val="16"/>
                <w:szCs w:val="16"/>
              </w:rPr>
            </w:pPr>
            <w:r w:rsidRPr="008C0AD6">
              <w:rPr>
                <w:sz w:val="16"/>
                <w:szCs w:val="16"/>
              </w:rPr>
              <w:t>3</w:t>
            </w:r>
          </w:p>
        </w:tc>
        <w:tc>
          <w:tcPr>
            <w:tcW w:w="287" w:type="pct"/>
            <w:tcBorders>
              <w:top w:val="nil"/>
              <w:left w:val="nil"/>
              <w:bottom w:val="single" w:sz="4" w:space="0" w:color="auto"/>
              <w:right w:val="single" w:sz="4" w:space="0" w:color="auto"/>
            </w:tcBorders>
            <w:shd w:val="clear" w:color="auto" w:fill="auto"/>
            <w:noWrap/>
            <w:vAlign w:val="center"/>
            <w:hideMark/>
          </w:tcPr>
          <w:p w14:paraId="6ABC66B0" w14:textId="77777777" w:rsidR="00C16743" w:rsidRPr="008C0AD6" w:rsidRDefault="00C16743" w:rsidP="00C16743">
            <w:pPr>
              <w:jc w:val="right"/>
              <w:rPr>
                <w:sz w:val="16"/>
                <w:szCs w:val="16"/>
              </w:rPr>
            </w:pPr>
            <w:r w:rsidRPr="008C0AD6">
              <w:rPr>
                <w:sz w:val="16"/>
                <w:szCs w:val="16"/>
              </w:rPr>
              <w:t>1</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58BC6B4B"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4F6CF1AA" w14:textId="16A49ECC"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217FE34C" w14:textId="77777777" w:rsidR="00C16743" w:rsidRPr="008C0AD6" w:rsidRDefault="00C16743" w:rsidP="00C16743">
            <w:pPr>
              <w:jc w:val="right"/>
              <w:rPr>
                <w:sz w:val="16"/>
                <w:szCs w:val="16"/>
              </w:rPr>
            </w:pPr>
            <w:r w:rsidRPr="008C0AD6">
              <w:rPr>
                <w:sz w:val="16"/>
                <w:szCs w:val="16"/>
              </w:rPr>
              <w:t>99,00</w:t>
            </w:r>
          </w:p>
        </w:tc>
        <w:tc>
          <w:tcPr>
            <w:tcW w:w="370" w:type="pct"/>
            <w:tcBorders>
              <w:top w:val="nil"/>
              <w:left w:val="nil"/>
              <w:bottom w:val="single" w:sz="4" w:space="0" w:color="auto"/>
              <w:right w:val="single" w:sz="4" w:space="0" w:color="auto"/>
            </w:tcBorders>
            <w:shd w:val="clear" w:color="auto" w:fill="auto"/>
            <w:noWrap/>
            <w:vAlign w:val="bottom"/>
            <w:hideMark/>
          </w:tcPr>
          <w:p w14:paraId="423F9A99"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1D1ABE12" w14:textId="4858CB0C" w:rsidR="00C16743" w:rsidRPr="008C0AD6" w:rsidRDefault="00C16743" w:rsidP="00C16743">
            <w:pPr>
              <w:jc w:val="right"/>
              <w:rPr>
                <w:sz w:val="16"/>
                <w:szCs w:val="16"/>
              </w:rPr>
            </w:pPr>
            <w:r w:rsidRPr="008C0AD6">
              <w:rPr>
                <w:sz w:val="16"/>
                <w:szCs w:val="16"/>
              </w:rPr>
              <w:t>2</w:t>
            </w:r>
          </w:p>
        </w:tc>
        <w:tc>
          <w:tcPr>
            <w:tcW w:w="304" w:type="pct"/>
            <w:tcBorders>
              <w:top w:val="nil"/>
              <w:left w:val="nil"/>
              <w:bottom w:val="single" w:sz="4" w:space="0" w:color="auto"/>
              <w:right w:val="single" w:sz="4" w:space="0" w:color="auto"/>
            </w:tcBorders>
            <w:shd w:val="clear" w:color="auto" w:fill="auto"/>
            <w:noWrap/>
            <w:vAlign w:val="bottom"/>
            <w:hideMark/>
          </w:tcPr>
          <w:p w14:paraId="25FA6DE4" w14:textId="77777777" w:rsidR="00C16743" w:rsidRPr="008C0AD6" w:rsidRDefault="00C16743" w:rsidP="00C16743">
            <w:pPr>
              <w:jc w:val="right"/>
              <w:rPr>
                <w:sz w:val="16"/>
                <w:szCs w:val="16"/>
              </w:rPr>
            </w:pPr>
            <w:r w:rsidRPr="008C0AD6">
              <w:rPr>
                <w:sz w:val="16"/>
                <w:szCs w:val="16"/>
              </w:rPr>
              <w:t>2,00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135683E5"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790EA747" w14:textId="745459CA"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42344CBF" w14:textId="77777777" w:rsidR="00C16743" w:rsidRPr="008C0AD6" w:rsidRDefault="00C16743" w:rsidP="00C16743">
            <w:pPr>
              <w:jc w:val="right"/>
              <w:rPr>
                <w:sz w:val="16"/>
                <w:szCs w:val="16"/>
              </w:rPr>
            </w:pPr>
            <w:r w:rsidRPr="008C0AD6">
              <w:rPr>
                <w:sz w:val="16"/>
                <w:szCs w:val="16"/>
              </w:rPr>
              <w:t>100,00</w:t>
            </w:r>
          </w:p>
        </w:tc>
      </w:tr>
      <w:tr w:rsidR="00C16743" w:rsidRPr="008C0AD6" w14:paraId="44441B06"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6E3C4D3D" w14:textId="77777777" w:rsidR="00C16743" w:rsidRPr="008C0AD6" w:rsidRDefault="00C16743" w:rsidP="00C16743">
            <w:pPr>
              <w:rPr>
                <w:sz w:val="16"/>
                <w:szCs w:val="16"/>
              </w:rPr>
            </w:pPr>
            <w:r w:rsidRPr="008C0AD6">
              <w:rPr>
                <w:sz w:val="16"/>
                <w:szCs w:val="16"/>
              </w:rPr>
              <w:t>София-град</w:t>
            </w:r>
          </w:p>
        </w:tc>
        <w:tc>
          <w:tcPr>
            <w:tcW w:w="370" w:type="pct"/>
            <w:tcBorders>
              <w:top w:val="nil"/>
              <w:left w:val="nil"/>
              <w:bottom w:val="single" w:sz="4" w:space="0" w:color="auto"/>
              <w:right w:val="single" w:sz="4" w:space="0" w:color="auto"/>
            </w:tcBorders>
            <w:shd w:val="clear" w:color="auto" w:fill="auto"/>
            <w:noWrap/>
            <w:vAlign w:val="bottom"/>
            <w:hideMark/>
          </w:tcPr>
          <w:p w14:paraId="1A6C0264"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3CA47917" w14:textId="00DE63F9" w:rsidR="00C16743" w:rsidRPr="008C0AD6" w:rsidRDefault="00C16743" w:rsidP="00C16743">
            <w:pPr>
              <w:jc w:val="right"/>
              <w:rPr>
                <w:sz w:val="16"/>
                <w:szCs w:val="16"/>
              </w:rPr>
            </w:pPr>
            <w:r w:rsidRPr="008C0AD6">
              <w:rPr>
                <w:sz w:val="16"/>
                <w:szCs w:val="16"/>
              </w:rPr>
              <w:t>2</w:t>
            </w:r>
          </w:p>
        </w:tc>
        <w:tc>
          <w:tcPr>
            <w:tcW w:w="287" w:type="pct"/>
            <w:tcBorders>
              <w:top w:val="nil"/>
              <w:left w:val="nil"/>
              <w:bottom w:val="single" w:sz="4" w:space="0" w:color="auto"/>
              <w:right w:val="single" w:sz="4" w:space="0" w:color="auto"/>
            </w:tcBorders>
            <w:shd w:val="clear" w:color="auto" w:fill="auto"/>
            <w:noWrap/>
            <w:vAlign w:val="center"/>
            <w:hideMark/>
          </w:tcPr>
          <w:p w14:paraId="0CC63B21" w14:textId="77777777" w:rsidR="00C16743" w:rsidRPr="008C0AD6" w:rsidRDefault="00C16743" w:rsidP="00C16743">
            <w:pPr>
              <w:jc w:val="right"/>
              <w:rPr>
                <w:sz w:val="16"/>
                <w:szCs w:val="16"/>
              </w:rPr>
            </w:pPr>
            <w:r w:rsidRPr="008C0AD6">
              <w:rPr>
                <w:sz w:val="16"/>
                <w:szCs w:val="16"/>
              </w:rPr>
              <w:t>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2BD71750"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75A625FC" w14:textId="1BC81F95" w:rsidR="00C16743" w:rsidRPr="008C0AD6" w:rsidRDefault="00C16743" w:rsidP="00C16743">
            <w:pPr>
              <w:jc w:val="right"/>
              <w:rPr>
                <w:sz w:val="16"/>
                <w:szCs w:val="16"/>
              </w:rPr>
            </w:pPr>
            <w:r w:rsidRPr="008C0AD6">
              <w:rPr>
                <w:sz w:val="16"/>
                <w:szCs w:val="16"/>
              </w:rPr>
              <w:t>70</w:t>
            </w:r>
          </w:p>
        </w:tc>
        <w:tc>
          <w:tcPr>
            <w:tcW w:w="304" w:type="pct"/>
            <w:tcBorders>
              <w:top w:val="nil"/>
              <w:left w:val="nil"/>
              <w:bottom w:val="single" w:sz="4" w:space="0" w:color="auto"/>
              <w:right w:val="single" w:sz="8" w:space="0" w:color="auto"/>
            </w:tcBorders>
            <w:shd w:val="clear" w:color="auto" w:fill="auto"/>
            <w:noWrap/>
            <w:vAlign w:val="bottom"/>
            <w:hideMark/>
          </w:tcPr>
          <w:p w14:paraId="020C3128" w14:textId="77777777" w:rsidR="00C16743" w:rsidRPr="008C0AD6" w:rsidRDefault="00C16743" w:rsidP="00C16743">
            <w:pPr>
              <w:jc w:val="right"/>
              <w:rPr>
                <w:sz w:val="16"/>
                <w:szCs w:val="16"/>
              </w:rPr>
            </w:pPr>
            <w:r w:rsidRPr="008C0AD6">
              <w:rPr>
                <w:sz w:val="16"/>
                <w:szCs w:val="16"/>
              </w:rPr>
              <w:t>68,00</w:t>
            </w:r>
          </w:p>
        </w:tc>
        <w:tc>
          <w:tcPr>
            <w:tcW w:w="370" w:type="pct"/>
            <w:tcBorders>
              <w:top w:val="nil"/>
              <w:left w:val="nil"/>
              <w:bottom w:val="single" w:sz="4" w:space="0" w:color="auto"/>
              <w:right w:val="single" w:sz="4" w:space="0" w:color="auto"/>
            </w:tcBorders>
            <w:shd w:val="clear" w:color="auto" w:fill="auto"/>
            <w:noWrap/>
            <w:vAlign w:val="bottom"/>
            <w:hideMark/>
          </w:tcPr>
          <w:p w14:paraId="28C681B5"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626ABCBE" w14:textId="6E1C9620" w:rsidR="00C16743" w:rsidRPr="008C0AD6" w:rsidRDefault="00C16743" w:rsidP="00C16743">
            <w:pPr>
              <w:jc w:val="right"/>
              <w:rPr>
                <w:sz w:val="16"/>
                <w:szCs w:val="16"/>
              </w:rPr>
            </w:pPr>
            <w:r w:rsidRPr="008C0AD6">
              <w:rPr>
                <w:sz w:val="16"/>
                <w:szCs w:val="16"/>
              </w:rPr>
              <w:t>1</w:t>
            </w:r>
          </w:p>
        </w:tc>
        <w:tc>
          <w:tcPr>
            <w:tcW w:w="304" w:type="pct"/>
            <w:tcBorders>
              <w:top w:val="nil"/>
              <w:left w:val="nil"/>
              <w:bottom w:val="single" w:sz="4" w:space="0" w:color="auto"/>
              <w:right w:val="single" w:sz="4" w:space="0" w:color="auto"/>
            </w:tcBorders>
            <w:shd w:val="clear" w:color="auto" w:fill="auto"/>
            <w:noWrap/>
            <w:vAlign w:val="bottom"/>
            <w:hideMark/>
          </w:tcPr>
          <w:p w14:paraId="33D7BA83" w14:textId="77777777" w:rsidR="00C16743" w:rsidRPr="008C0AD6" w:rsidRDefault="00C16743" w:rsidP="00C16743">
            <w:pPr>
              <w:jc w:val="right"/>
              <w:rPr>
                <w:sz w:val="16"/>
                <w:szCs w:val="16"/>
              </w:rPr>
            </w:pPr>
            <w:r w:rsidRPr="008C0AD6">
              <w:rPr>
                <w:sz w:val="16"/>
                <w:szCs w:val="16"/>
              </w:rPr>
              <w:t>0,00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761B063C"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05CB130D" w14:textId="65118BF7"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5AA698E3" w14:textId="77777777" w:rsidR="00C16743" w:rsidRPr="008C0AD6" w:rsidRDefault="00C16743" w:rsidP="00C16743">
            <w:pPr>
              <w:jc w:val="right"/>
              <w:rPr>
                <w:sz w:val="16"/>
                <w:szCs w:val="16"/>
              </w:rPr>
            </w:pPr>
            <w:r w:rsidRPr="008C0AD6">
              <w:rPr>
                <w:sz w:val="16"/>
                <w:szCs w:val="16"/>
              </w:rPr>
              <w:t>0,00</w:t>
            </w:r>
          </w:p>
        </w:tc>
      </w:tr>
      <w:tr w:rsidR="00C16743" w:rsidRPr="008C0AD6" w14:paraId="594AA8CE"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03CD97DD" w14:textId="77777777" w:rsidR="00C16743" w:rsidRPr="008C0AD6" w:rsidRDefault="00C16743" w:rsidP="00C16743">
            <w:pPr>
              <w:rPr>
                <w:sz w:val="16"/>
                <w:szCs w:val="16"/>
              </w:rPr>
            </w:pPr>
            <w:r w:rsidRPr="008C0AD6">
              <w:rPr>
                <w:sz w:val="16"/>
                <w:szCs w:val="16"/>
              </w:rPr>
              <w:t>София-област</w:t>
            </w:r>
          </w:p>
        </w:tc>
        <w:tc>
          <w:tcPr>
            <w:tcW w:w="370" w:type="pct"/>
            <w:tcBorders>
              <w:top w:val="nil"/>
              <w:left w:val="nil"/>
              <w:bottom w:val="single" w:sz="4" w:space="0" w:color="auto"/>
              <w:right w:val="single" w:sz="4" w:space="0" w:color="auto"/>
            </w:tcBorders>
            <w:shd w:val="clear" w:color="auto" w:fill="auto"/>
            <w:noWrap/>
            <w:vAlign w:val="bottom"/>
            <w:hideMark/>
          </w:tcPr>
          <w:p w14:paraId="0147B53B"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370057E6" w14:textId="21A909B5" w:rsidR="00C16743" w:rsidRPr="008C0AD6" w:rsidRDefault="00C16743" w:rsidP="00C16743">
            <w:pPr>
              <w:jc w:val="right"/>
              <w:rPr>
                <w:sz w:val="16"/>
                <w:szCs w:val="16"/>
              </w:rPr>
            </w:pPr>
            <w:r w:rsidRPr="008C0AD6">
              <w:rPr>
                <w:sz w:val="16"/>
                <w:szCs w:val="16"/>
              </w:rPr>
              <w:t>1</w:t>
            </w:r>
          </w:p>
        </w:tc>
        <w:tc>
          <w:tcPr>
            <w:tcW w:w="287" w:type="pct"/>
            <w:tcBorders>
              <w:top w:val="nil"/>
              <w:left w:val="nil"/>
              <w:bottom w:val="single" w:sz="4" w:space="0" w:color="auto"/>
              <w:right w:val="single" w:sz="4" w:space="0" w:color="auto"/>
            </w:tcBorders>
            <w:shd w:val="clear" w:color="auto" w:fill="auto"/>
            <w:noWrap/>
            <w:vAlign w:val="center"/>
            <w:hideMark/>
          </w:tcPr>
          <w:p w14:paraId="2338E6A1" w14:textId="77777777" w:rsidR="00C16743" w:rsidRPr="008C0AD6" w:rsidRDefault="00C16743" w:rsidP="00C16743">
            <w:pPr>
              <w:jc w:val="right"/>
              <w:rPr>
                <w:sz w:val="16"/>
                <w:szCs w:val="16"/>
              </w:rPr>
            </w:pPr>
            <w:r w:rsidRPr="008C0AD6">
              <w:rPr>
                <w:sz w:val="16"/>
                <w:szCs w:val="16"/>
              </w:rPr>
              <w:t>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58F465C9"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32F1ABCF" w14:textId="5E7159DC"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7C58EB3A" w14:textId="77777777" w:rsidR="00C16743" w:rsidRPr="008C0AD6" w:rsidRDefault="00C16743" w:rsidP="00C16743">
            <w:pPr>
              <w:jc w:val="right"/>
              <w:rPr>
                <w:sz w:val="16"/>
                <w:szCs w:val="16"/>
              </w:rPr>
            </w:pPr>
            <w:r w:rsidRPr="008C0AD6">
              <w:rPr>
                <w:sz w:val="16"/>
                <w:szCs w:val="16"/>
              </w:rPr>
              <w:t>31,00</w:t>
            </w:r>
          </w:p>
        </w:tc>
        <w:tc>
          <w:tcPr>
            <w:tcW w:w="370" w:type="pct"/>
            <w:tcBorders>
              <w:top w:val="nil"/>
              <w:left w:val="nil"/>
              <w:bottom w:val="single" w:sz="4" w:space="0" w:color="auto"/>
              <w:right w:val="single" w:sz="4" w:space="0" w:color="auto"/>
            </w:tcBorders>
            <w:shd w:val="clear" w:color="auto" w:fill="auto"/>
            <w:noWrap/>
            <w:vAlign w:val="bottom"/>
            <w:hideMark/>
          </w:tcPr>
          <w:p w14:paraId="7A4517C3"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47AD923E" w14:textId="0CDB6871" w:rsidR="00C16743" w:rsidRPr="008C0AD6" w:rsidRDefault="00C16743" w:rsidP="00C16743">
            <w:pPr>
              <w:jc w:val="right"/>
              <w:rPr>
                <w:sz w:val="16"/>
                <w:szCs w:val="16"/>
              </w:rPr>
            </w:pPr>
            <w:r w:rsidRPr="008C0AD6">
              <w:rPr>
                <w:sz w:val="16"/>
                <w:szCs w:val="16"/>
              </w:rPr>
              <w:t>10</w:t>
            </w:r>
          </w:p>
        </w:tc>
        <w:tc>
          <w:tcPr>
            <w:tcW w:w="304" w:type="pct"/>
            <w:tcBorders>
              <w:top w:val="nil"/>
              <w:left w:val="nil"/>
              <w:bottom w:val="single" w:sz="4" w:space="0" w:color="auto"/>
              <w:right w:val="single" w:sz="4" w:space="0" w:color="auto"/>
            </w:tcBorders>
            <w:shd w:val="clear" w:color="auto" w:fill="auto"/>
            <w:noWrap/>
            <w:vAlign w:val="bottom"/>
            <w:hideMark/>
          </w:tcPr>
          <w:p w14:paraId="68D03ED8" w14:textId="77777777" w:rsidR="00C16743" w:rsidRPr="008C0AD6" w:rsidRDefault="00C16743" w:rsidP="00C16743">
            <w:pPr>
              <w:jc w:val="right"/>
              <w:rPr>
                <w:sz w:val="16"/>
                <w:szCs w:val="16"/>
              </w:rPr>
            </w:pPr>
            <w:r w:rsidRPr="008C0AD6">
              <w:rPr>
                <w:sz w:val="16"/>
                <w:szCs w:val="16"/>
              </w:rPr>
              <w:t>1,00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1807DB02"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00699CD8" w14:textId="6802ACBC"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6EB2B806" w14:textId="77777777" w:rsidR="00C16743" w:rsidRPr="008C0AD6" w:rsidRDefault="00C16743" w:rsidP="00C16743">
            <w:pPr>
              <w:jc w:val="right"/>
              <w:rPr>
                <w:sz w:val="16"/>
                <w:szCs w:val="16"/>
              </w:rPr>
            </w:pPr>
            <w:r w:rsidRPr="008C0AD6">
              <w:rPr>
                <w:sz w:val="16"/>
                <w:szCs w:val="16"/>
              </w:rPr>
              <w:t>50,00</w:t>
            </w:r>
          </w:p>
        </w:tc>
      </w:tr>
      <w:tr w:rsidR="00C16743" w:rsidRPr="008C0AD6" w14:paraId="74C526C0"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203ABAFC" w14:textId="77777777" w:rsidR="00C16743" w:rsidRPr="008C0AD6" w:rsidRDefault="00C16743" w:rsidP="00C16743">
            <w:pPr>
              <w:rPr>
                <w:sz w:val="16"/>
                <w:szCs w:val="16"/>
              </w:rPr>
            </w:pPr>
            <w:r w:rsidRPr="008C0AD6">
              <w:rPr>
                <w:sz w:val="16"/>
                <w:szCs w:val="16"/>
              </w:rPr>
              <w:t>Стара Загора</w:t>
            </w:r>
          </w:p>
        </w:tc>
        <w:tc>
          <w:tcPr>
            <w:tcW w:w="370" w:type="pct"/>
            <w:tcBorders>
              <w:top w:val="nil"/>
              <w:left w:val="nil"/>
              <w:bottom w:val="single" w:sz="4" w:space="0" w:color="auto"/>
              <w:right w:val="single" w:sz="4" w:space="0" w:color="auto"/>
            </w:tcBorders>
            <w:shd w:val="clear" w:color="auto" w:fill="auto"/>
            <w:noWrap/>
            <w:vAlign w:val="bottom"/>
            <w:hideMark/>
          </w:tcPr>
          <w:p w14:paraId="0824085A"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69611E03" w14:textId="57722519" w:rsidR="00C16743" w:rsidRPr="008C0AD6" w:rsidRDefault="00C16743" w:rsidP="00C16743">
            <w:pPr>
              <w:jc w:val="right"/>
              <w:rPr>
                <w:sz w:val="16"/>
                <w:szCs w:val="16"/>
              </w:rPr>
            </w:pPr>
            <w:r w:rsidRPr="008C0AD6">
              <w:rPr>
                <w:sz w:val="16"/>
                <w:szCs w:val="16"/>
              </w:rPr>
              <w:t>2</w:t>
            </w:r>
          </w:p>
        </w:tc>
        <w:tc>
          <w:tcPr>
            <w:tcW w:w="287" w:type="pct"/>
            <w:tcBorders>
              <w:top w:val="nil"/>
              <w:left w:val="nil"/>
              <w:bottom w:val="single" w:sz="4" w:space="0" w:color="auto"/>
              <w:right w:val="single" w:sz="4" w:space="0" w:color="auto"/>
            </w:tcBorders>
            <w:shd w:val="clear" w:color="auto" w:fill="auto"/>
            <w:noWrap/>
            <w:vAlign w:val="center"/>
            <w:hideMark/>
          </w:tcPr>
          <w:p w14:paraId="4DC95791" w14:textId="77777777" w:rsidR="00C16743" w:rsidRPr="008C0AD6" w:rsidRDefault="00C16743" w:rsidP="00C16743">
            <w:pPr>
              <w:jc w:val="right"/>
              <w:rPr>
                <w:sz w:val="16"/>
                <w:szCs w:val="16"/>
              </w:rPr>
            </w:pPr>
            <w:r w:rsidRPr="008C0AD6">
              <w:rPr>
                <w:sz w:val="16"/>
                <w:szCs w:val="16"/>
              </w:rPr>
              <w:t>2</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403146E5"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3D798447" w14:textId="088B0A59"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4" w:space="0" w:color="auto"/>
              <w:right w:val="single" w:sz="8" w:space="0" w:color="auto"/>
            </w:tcBorders>
            <w:shd w:val="clear" w:color="auto" w:fill="auto"/>
            <w:noWrap/>
            <w:vAlign w:val="bottom"/>
            <w:hideMark/>
          </w:tcPr>
          <w:p w14:paraId="79D45D66" w14:textId="77777777" w:rsidR="00C16743" w:rsidRPr="008C0AD6" w:rsidRDefault="00C16743" w:rsidP="00C16743">
            <w:pPr>
              <w:jc w:val="right"/>
              <w:rPr>
                <w:sz w:val="16"/>
                <w:szCs w:val="16"/>
              </w:rPr>
            </w:pPr>
            <w:r w:rsidRPr="008C0AD6">
              <w:rPr>
                <w:sz w:val="16"/>
                <w:szCs w:val="16"/>
              </w:rPr>
              <w:t>100,00</w:t>
            </w:r>
          </w:p>
        </w:tc>
        <w:tc>
          <w:tcPr>
            <w:tcW w:w="370" w:type="pct"/>
            <w:tcBorders>
              <w:top w:val="nil"/>
              <w:left w:val="nil"/>
              <w:bottom w:val="single" w:sz="4" w:space="0" w:color="auto"/>
              <w:right w:val="single" w:sz="4" w:space="0" w:color="auto"/>
            </w:tcBorders>
            <w:shd w:val="clear" w:color="auto" w:fill="auto"/>
            <w:noWrap/>
            <w:vAlign w:val="bottom"/>
            <w:hideMark/>
          </w:tcPr>
          <w:p w14:paraId="63100871"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7920B096" w14:textId="054002C4" w:rsidR="00C16743" w:rsidRPr="008C0AD6" w:rsidRDefault="00C16743" w:rsidP="00C16743">
            <w:pPr>
              <w:jc w:val="right"/>
              <w:rPr>
                <w:sz w:val="16"/>
                <w:szCs w:val="16"/>
              </w:rPr>
            </w:pPr>
            <w:r w:rsidRPr="008C0AD6">
              <w:rPr>
                <w:sz w:val="16"/>
                <w:szCs w:val="16"/>
              </w:rPr>
              <w:t>0,01</w:t>
            </w:r>
          </w:p>
        </w:tc>
        <w:tc>
          <w:tcPr>
            <w:tcW w:w="304" w:type="pct"/>
            <w:tcBorders>
              <w:top w:val="nil"/>
              <w:left w:val="nil"/>
              <w:bottom w:val="single" w:sz="4" w:space="0" w:color="auto"/>
              <w:right w:val="single" w:sz="4" w:space="0" w:color="auto"/>
            </w:tcBorders>
            <w:shd w:val="clear" w:color="auto" w:fill="auto"/>
            <w:noWrap/>
            <w:vAlign w:val="bottom"/>
            <w:hideMark/>
          </w:tcPr>
          <w:p w14:paraId="76236D04" w14:textId="77777777" w:rsidR="00C16743" w:rsidRPr="008C0AD6" w:rsidRDefault="00C16743" w:rsidP="00C16743">
            <w:pPr>
              <w:jc w:val="right"/>
              <w:rPr>
                <w:sz w:val="16"/>
                <w:szCs w:val="16"/>
              </w:rPr>
            </w:pPr>
            <w:r w:rsidRPr="008C0AD6">
              <w:rPr>
                <w:sz w:val="16"/>
                <w:szCs w:val="16"/>
              </w:rPr>
              <w:t>0,02</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481A1C7A"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2CC34F0F" w14:textId="07488683" w:rsidR="00C16743" w:rsidRPr="008C0AD6" w:rsidRDefault="00C16743" w:rsidP="00C16743">
            <w:pPr>
              <w:jc w:val="right"/>
              <w:rPr>
                <w:sz w:val="16"/>
                <w:szCs w:val="16"/>
              </w:rPr>
            </w:pPr>
            <w:r w:rsidRPr="008C0AD6">
              <w:rPr>
                <w:sz w:val="16"/>
                <w:szCs w:val="16"/>
              </w:rPr>
              <w:t>60</w:t>
            </w:r>
          </w:p>
        </w:tc>
        <w:tc>
          <w:tcPr>
            <w:tcW w:w="304" w:type="pct"/>
            <w:tcBorders>
              <w:top w:val="nil"/>
              <w:left w:val="nil"/>
              <w:bottom w:val="single" w:sz="4" w:space="0" w:color="auto"/>
              <w:right w:val="single" w:sz="8" w:space="0" w:color="auto"/>
            </w:tcBorders>
            <w:shd w:val="clear" w:color="auto" w:fill="auto"/>
            <w:noWrap/>
            <w:vAlign w:val="bottom"/>
            <w:hideMark/>
          </w:tcPr>
          <w:p w14:paraId="5BBCCB03" w14:textId="77777777" w:rsidR="00C16743" w:rsidRPr="008C0AD6" w:rsidRDefault="00C16743" w:rsidP="00C16743">
            <w:pPr>
              <w:jc w:val="right"/>
              <w:rPr>
                <w:sz w:val="16"/>
                <w:szCs w:val="16"/>
              </w:rPr>
            </w:pPr>
            <w:r w:rsidRPr="008C0AD6">
              <w:rPr>
                <w:sz w:val="16"/>
                <w:szCs w:val="16"/>
              </w:rPr>
              <w:t>25,00</w:t>
            </w:r>
          </w:p>
        </w:tc>
      </w:tr>
      <w:tr w:rsidR="00C16743" w:rsidRPr="008C0AD6" w14:paraId="3C60AE5E"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4A6C8CD5" w14:textId="77777777" w:rsidR="00C16743" w:rsidRPr="008C0AD6" w:rsidRDefault="00C16743" w:rsidP="00C16743">
            <w:pPr>
              <w:rPr>
                <w:sz w:val="16"/>
                <w:szCs w:val="16"/>
              </w:rPr>
            </w:pPr>
            <w:r w:rsidRPr="008C0AD6">
              <w:rPr>
                <w:sz w:val="16"/>
                <w:szCs w:val="16"/>
              </w:rPr>
              <w:t>Търговище</w:t>
            </w:r>
          </w:p>
        </w:tc>
        <w:tc>
          <w:tcPr>
            <w:tcW w:w="370" w:type="pct"/>
            <w:tcBorders>
              <w:top w:val="nil"/>
              <w:left w:val="nil"/>
              <w:bottom w:val="single" w:sz="4" w:space="0" w:color="auto"/>
              <w:right w:val="single" w:sz="4" w:space="0" w:color="auto"/>
            </w:tcBorders>
            <w:shd w:val="clear" w:color="auto" w:fill="auto"/>
            <w:noWrap/>
            <w:vAlign w:val="bottom"/>
            <w:hideMark/>
          </w:tcPr>
          <w:p w14:paraId="4163B599"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293A8FD7" w14:textId="7091EA93" w:rsidR="00C16743" w:rsidRPr="008C0AD6" w:rsidRDefault="00C16743" w:rsidP="00C16743">
            <w:pPr>
              <w:jc w:val="right"/>
              <w:rPr>
                <w:sz w:val="16"/>
                <w:szCs w:val="16"/>
              </w:rPr>
            </w:pPr>
            <w:r w:rsidRPr="008C0AD6">
              <w:rPr>
                <w:sz w:val="16"/>
                <w:szCs w:val="16"/>
              </w:rPr>
              <w:t>1</w:t>
            </w:r>
          </w:p>
        </w:tc>
        <w:tc>
          <w:tcPr>
            <w:tcW w:w="287" w:type="pct"/>
            <w:tcBorders>
              <w:top w:val="nil"/>
              <w:left w:val="nil"/>
              <w:bottom w:val="single" w:sz="4" w:space="0" w:color="auto"/>
              <w:right w:val="single" w:sz="4" w:space="0" w:color="auto"/>
            </w:tcBorders>
            <w:shd w:val="clear" w:color="auto" w:fill="auto"/>
            <w:noWrap/>
            <w:vAlign w:val="center"/>
            <w:hideMark/>
          </w:tcPr>
          <w:p w14:paraId="46ACFC1A" w14:textId="77777777" w:rsidR="00C16743" w:rsidRPr="008C0AD6" w:rsidRDefault="00C16743" w:rsidP="00C16743">
            <w:pPr>
              <w:jc w:val="right"/>
              <w:rPr>
                <w:sz w:val="16"/>
                <w:szCs w:val="16"/>
              </w:rPr>
            </w:pPr>
            <w:r w:rsidRPr="008C0AD6">
              <w:rPr>
                <w:sz w:val="16"/>
                <w:szCs w:val="16"/>
              </w:rPr>
              <w:t>2</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755058D8"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266D49C9" w14:textId="20702DCC" w:rsidR="00C16743" w:rsidRPr="008C0AD6" w:rsidRDefault="00C16743" w:rsidP="00C16743">
            <w:pPr>
              <w:jc w:val="right"/>
              <w:rPr>
                <w:sz w:val="16"/>
                <w:szCs w:val="16"/>
              </w:rPr>
            </w:pPr>
            <w:r w:rsidRPr="008C0AD6">
              <w:rPr>
                <w:sz w:val="16"/>
                <w:szCs w:val="16"/>
              </w:rPr>
              <w:t>90</w:t>
            </w:r>
          </w:p>
        </w:tc>
        <w:tc>
          <w:tcPr>
            <w:tcW w:w="304" w:type="pct"/>
            <w:tcBorders>
              <w:top w:val="nil"/>
              <w:left w:val="nil"/>
              <w:bottom w:val="single" w:sz="4" w:space="0" w:color="auto"/>
              <w:right w:val="single" w:sz="8" w:space="0" w:color="auto"/>
            </w:tcBorders>
            <w:shd w:val="clear" w:color="auto" w:fill="auto"/>
            <w:noWrap/>
            <w:vAlign w:val="bottom"/>
            <w:hideMark/>
          </w:tcPr>
          <w:p w14:paraId="49B46C7A" w14:textId="77777777" w:rsidR="00C16743" w:rsidRPr="008C0AD6" w:rsidRDefault="00C16743" w:rsidP="00C16743">
            <w:pPr>
              <w:jc w:val="right"/>
              <w:rPr>
                <w:sz w:val="16"/>
                <w:szCs w:val="16"/>
              </w:rPr>
            </w:pPr>
            <w:r w:rsidRPr="008C0AD6">
              <w:rPr>
                <w:sz w:val="16"/>
                <w:szCs w:val="16"/>
              </w:rPr>
              <w:t>100,00</w:t>
            </w:r>
          </w:p>
        </w:tc>
        <w:tc>
          <w:tcPr>
            <w:tcW w:w="370" w:type="pct"/>
            <w:tcBorders>
              <w:top w:val="nil"/>
              <w:left w:val="nil"/>
              <w:bottom w:val="single" w:sz="4" w:space="0" w:color="auto"/>
              <w:right w:val="single" w:sz="4" w:space="0" w:color="auto"/>
            </w:tcBorders>
            <w:shd w:val="clear" w:color="auto" w:fill="auto"/>
            <w:noWrap/>
            <w:vAlign w:val="bottom"/>
            <w:hideMark/>
          </w:tcPr>
          <w:p w14:paraId="29B25099"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38CAD3FA" w14:textId="14C338D0" w:rsidR="00C16743" w:rsidRPr="008C0AD6" w:rsidRDefault="00C16743" w:rsidP="00C16743">
            <w:pPr>
              <w:jc w:val="right"/>
              <w:rPr>
                <w:sz w:val="16"/>
                <w:szCs w:val="16"/>
              </w:rPr>
            </w:pPr>
            <w:r w:rsidRPr="008C0AD6">
              <w:rPr>
                <w:sz w:val="16"/>
                <w:szCs w:val="16"/>
              </w:rPr>
              <w:t>0,46</w:t>
            </w:r>
          </w:p>
        </w:tc>
        <w:tc>
          <w:tcPr>
            <w:tcW w:w="304" w:type="pct"/>
            <w:tcBorders>
              <w:top w:val="nil"/>
              <w:left w:val="nil"/>
              <w:bottom w:val="single" w:sz="4" w:space="0" w:color="auto"/>
              <w:right w:val="single" w:sz="4" w:space="0" w:color="auto"/>
            </w:tcBorders>
            <w:shd w:val="clear" w:color="auto" w:fill="auto"/>
            <w:noWrap/>
            <w:vAlign w:val="bottom"/>
            <w:hideMark/>
          </w:tcPr>
          <w:p w14:paraId="5832E1DB" w14:textId="77777777" w:rsidR="00C16743" w:rsidRPr="008C0AD6" w:rsidRDefault="00C16743" w:rsidP="00C16743">
            <w:pPr>
              <w:jc w:val="right"/>
              <w:rPr>
                <w:sz w:val="16"/>
                <w:szCs w:val="16"/>
              </w:rPr>
            </w:pPr>
            <w:r w:rsidRPr="008C0AD6">
              <w:rPr>
                <w:sz w:val="16"/>
                <w:szCs w:val="16"/>
              </w:rPr>
              <w:t>3,02</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330F65B4"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70BD6761" w14:textId="7DF2845D" w:rsidR="00C16743" w:rsidRPr="008C0AD6" w:rsidRDefault="00C16743" w:rsidP="00C16743">
            <w:pPr>
              <w:jc w:val="right"/>
              <w:rPr>
                <w:sz w:val="16"/>
                <w:szCs w:val="16"/>
              </w:rPr>
            </w:pPr>
            <w:r w:rsidRPr="008C0AD6">
              <w:rPr>
                <w:sz w:val="16"/>
                <w:szCs w:val="16"/>
              </w:rPr>
              <w:t>33,33</w:t>
            </w:r>
          </w:p>
        </w:tc>
        <w:tc>
          <w:tcPr>
            <w:tcW w:w="304" w:type="pct"/>
            <w:tcBorders>
              <w:top w:val="nil"/>
              <w:left w:val="nil"/>
              <w:bottom w:val="single" w:sz="4" w:space="0" w:color="auto"/>
              <w:right w:val="single" w:sz="8" w:space="0" w:color="auto"/>
            </w:tcBorders>
            <w:shd w:val="clear" w:color="auto" w:fill="auto"/>
            <w:noWrap/>
            <w:vAlign w:val="bottom"/>
            <w:hideMark/>
          </w:tcPr>
          <w:p w14:paraId="2D33EEE6" w14:textId="77777777" w:rsidR="00C16743" w:rsidRPr="008C0AD6" w:rsidRDefault="00C16743" w:rsidP="00C16743">
            <w:pPr>
              <w:jc w:val="right"/>
              <w:rPr>
                <w:sz w:val="16"/>
                <w:szCs w:val="16"/>
              </w:rPr>
            </w:pPr>
            <w:r w:rsidRPr="008C0AD6">
              <w:rPr>
                <w:sz w:val="16"/>
                <w:szCs w:val="16"/>
              </w:rPr>
              <w:t>0,00</w:t>
            </w:r>
          </w:p>
        </w:tc>
      </w:tr>
      <w:tr w:rsidR="00C16743" w:rsidRPr="008C0AD6" w14:paraId="137DB88D"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640E2A8E" w14:textId="77777777" w:rsidR="00C16743" w:rsidRPr="008C0AD6" w:rsidRDefault="00C16743" w:rsidP="00C16743">
            <w:pPr>
              <w:rPr>
                <w:sz w:val="16"/>
                <w:szCs w:val="16"/>
              </w:rPr>
            </w:pPr>
            <w:r w:rsidRPr="008C0AD6">
              <w:rPr>
                <w:sz w:val="16"/>
                <w:szCs w:val="16"/>
              </w:rPr>
              <w:t>Хасково</w:t>
            </w:r>
          </w:p>
        </w:tc>
        <w:tc>
          <w:tcPr>
            <w:tcW w:w="370" w:type="pct"/>
            <w:tcBorders>
              <w:top w:val="nil"/>
              <w:left w:val="nil"/>
              <w:bottom w:val="single" w:sz="4" w:space="0" w:color="auto"/>
              <w:right w:val="single" w:sz="4" w:space="0" w:color="auto"/>
            </w:tcBorders>
            <w:shd w:val="clear" w:color="auto" w:fill="auto"/>
            <w:noWrap/>
            <w:vAlign w:val="bottom"/>
            <w:hideMark/>
          </w:tcPr>
          <w:p w14:paraId="0E8384B2"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668664D9" w14:textId="5B379CB1" w:rsidR="00C16743" w:rsidRPr="008C0AD6" w:rsidRDefault="00C16743" w:rsidP="00C16743">
            <w:pPr>
              <w:jc w:val="right"/>
              <w:rPr>
                <w:sz w:val="16"/>
                <w:szCs w:val="16"/>
              </w:rPr>
            </w:pPr>
            <w:r w:rsidRPr="008C0AD6">
              <w:rPr>
                <w:sz w:val="16"/>
                <w:szCs w:val="16"/>
              </w:rPr>
              <w:t>1</w:t>
            </w:r>
          </w:p>
        </w:tc>
        <w:tc>
          <w:tcPr>
            <w:tcW w:w="287" w:type="pct"/>
            <w:tcBorders>
              <w:top w:val="nil"/>
              <w:left w:val="nil"/>
              <w:bottom w:val="single" w:sz="4" w:space="0" w:color="auto"/>
              <w:right w:val="single" w:sz="4" w:space="0" w:color="auto"/>
            </w:tcBorders>
            <w:shd w:val="clear" w:color="auto" w:fill="auto"/>
            <w:noWrap/>
            <w:vAlign w:val="center"/>
            <w:hideMark/>
          </w:tcPr>
          <w:p w14:paraId="4CD7BDE9" w14:textId="77777777" w:rsidR="00C16743" w:rsidRPr="008C0AD6" w:rsidRDefault="00C16743" w:rsidP="00C16743">
            <w:pPr>
              <w:jc w:val="right"/>
              <w:rPr>
                <w:sz w:val="16"/>
                <w:szCs w:val="16"/>
              </w:rPr>
            </w:pPr>
            <w:r w:rsidRPr="008C0AD6">
              <w:rPr>
                <w:sz w:val="16"/>
                <w:szCs w:val="16"/>
              </w:rPr>
              <w:t>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0B9D6EC3"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31AEDD85" w14:textId="47595922" w:rsidR="00C16743" w:rsidRPr="008C0AD6" w:rsidRDefault="00C16743" w:rsidP="00C16743">
            <w:pPr>
              <w:jc w:val="right"/>
              <w:rPr>
                <w:sz w:val="16"/>
                <w:szCs w:val="16"/>
              </w:rPr>
            </w:pPr>
            <w:r w:rsidRPr="008C0AD6">
              <w:rPr>
                <w:sz w:val="16"/>
                <w:szCs w:val="16"/>
              </w:rPr>
              <w:t>80</w:t>
            </w:r>
          </w:p>
        </w:tc>
        <w:tc>
          <w:tcPr>
            <w:tcW w:w="304" w:type="pct"/>
            <w:tcBorders>
              <w:top w:val="nil"/>
              <w:left w:val="nil"/>
              <w:bottom w:val="single" w:sz="4" w:space="0" w:color="auto"/>
              <w:right w:val="single" w:sz="8" w:space="0" w:color="auto"/>
            </w:tcBorders>
            <w:shd w:val="clear" w:color="auto" w:fill="auto"/>
            <w:noWrap/>
            <w:vAlign w:val="bottom"/>
            <w:hideMark/>
          </w:tcPr>
          <w:p w14:paraId="1C751761" w14:textId="77777777" w:rsidR="00C16743" w:rsidRPr="008C0AD6" w:rsidRDefault="00C16743" w:rsidP="00C16743">
            <w:pPr>
              <w:jc w:val="right"/>
              <w:rPr>
                <w:sz w:val="16"/>
                <w:szCs w:val="16"/>
              </w:rPr>
            </w:pPr>
            <w:r w:rsidRPr="008C0AD6">
              <w:rPr>
                <w:sz w:val="16"/>
                <w:szCs w:val="16"/>
              </w:rPr>
              <w:t>92,00</w:t>
            </w:r>
          </w:p>
        </w:tc>
        <w:tc>
          <w:tcPr>
            <w:tcW w:w="370" w:type="pct"/>
            <w:tcBorders>
              <w:top w:val="nil"/>
              <w:left w:val="nil"/>
              <w:bottom w:val="single" w:sz="4" w:space="0" w:color="auto"/>
              <w:right w:val="single" w:sz="4" w:space="0" w:color="auto"/>
            </w:tcBorders>
            <w:shd w:val="clear" w:color="auto" w:fill="auto"/>
            <w:noWrap/>
            <w:vAlign w:val="bottom"/>
            <w:hideMark/>
          </w:tcPr>
          <w:p w14:paraId="530E9278"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7115E234" w14:textId="31EB357D" w:rsidR="00C16743" w:rsidRPr="008C0AD6" w:rsidRDefault="00C16743" w:rsidP="00C16743">
            <w:pPr>
              <w:jc w:val="right"/>
              <w:rPr>
                <w:sz w:val="16"/>
                <w:szCs w:val="16"/>
              </w:rPr>
            </w:pPr>
            <w:r w:rsidRPr="008C0AD6">
              <w:rPr>
                <w:sz w:val="16"/>
                <w:szCs w:val="16"/>
              </w:rPr>
              <w:t>0,5</w:t>
            </w:r>
          </w:p>
        </w:tc>
        <w:tc>
          <w:tcPr>
            <w:tcW w:w="304" w:type="pct"/>
            <w:tcBorders>
              <w:top w:val="nil"/>
              <w:left w:val="nil"/>
              <w:bottom w:val="single" w:sz="4" w:space="0" w:color="auto"/>
              <w:right w:val="single" w:sz="4" w:space="0" w:color="auto"/>
            </w:tcBorders>
            <w:shd w:val="clear" w:color="auto" w:fill="auto"/>
            <w:noWrap/>
            <w:vAlign w:val="bottom"/>
            <w:hideMark/>
          </w:tcPr>
          <w:p w14:paraId="6F93D235" w14:textId="77777777" w:rsidR="00C16743" w:rsidRPr="008C0AD6" w:rsidRDefault="00C16743" w:rsidP="00C16743">
            <w:pPr>
              <w:jc w:val="right"/>
              <w:rPr>
                <w:sz w:val="16"/>
                <w:szCs w:val="16"/>
              </w:rPr>
            </w:pPr>
            <w:r w:rsidRPr="008C0AD6">
              <w:rPr>
                <w:sz w:val="16"/>
                <w:szCs w:val="16"/>
              </w:rPr>
              <w:t>3,26</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14F43C0F"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78B0C837" w14:textId="5DA0FAAC" w:rsidR="00C16743" w:rsidRPr="008C0AD6" w:rsidRDefault="00C16743" w:rsidP="00C16743">
            <w:pPr>
              <w:jc w:val="right"/>
              <w:rPr>
                <w:sz w:val="16"/>
                <w:szCs w:val="16"/>
              </w:rPr>
            </w:pPr>
            <w:r w:rsidRPr="008C0AD6">
              <w:rPr>
                <w:sz w:val="16"/>
                <w:szCs w:val="16"/>
              </w:rPr>
              <w:t>50</w:t>
            </w:r>
          </w:p>
        </w:tc>
        <w:tc>
          <w:tcPr>
            <w:tcW w:w="304" w:type="pct"/>
            <w:tcBorders>
              <w:top w:val="nil"/>
              <w:left w:val="nil"/>
              <w:bottom w:val="single" w:sz="4" w:space="0" w:color="auto"/>
              <w:right w:val="single" w:sz="8" w:space="0" w:color="auto"/>
            </w:tcBorders>
            <w:shd w:val="clear" w:color="auto" w:fill="auto"/>
            <w:noWrap/>
            <w:vAlign w:val="bottom"/>
            <w:hideMark/>
          </w:tcPr>
          <w:p w14:paraId="30FDCBBC" w14:textId="77777777" w:rsidR="00C16743" w:rsidRPr="008C0AD6" w:rsidRDefault="00C16743" w:rsidP="00C16743">
            <w:pPr>
              <w:jc w:val="right"/>
              <w:rPr>
                <w:sz w:val="16"/>
                <w:szCs w:val="16"/>
              </w:rPr>
            </w:pPr>
            <w:r w:rsidRPr="008C0AD6">
              <w:rPr>
                <w:sz w:val="16"/>
                <w:szCs w:val="16"/>
              </w:rPr>
              <w:t>0,00</w:t>
            </w:r>
          </w:p>
        </w:tc>
      </w:tr>
      <w:tr w:rsidR="00C16743" w:rsidRPr="008C0AD6" w14:paraId="1905E92B" w14:textId="77777777" w:rsidTr="00204296">
        <w:trPr>
          <w:trHeight w:val="264"/>
          <w:jc w:val="center"/>
        </w:trPr>
        <w:tc>
          <w:tcPr>
            <w:tcW w:w="886" w:type="pct"/>
            <w:tcBorders>
              <w:top w:val="nil"/>
              <w:left w:val="single" w:sz="8" w:space="0" w:color="auto"/>
              <w:bottom w:val="single" w:sz="4" w:space="0" w:color="auto"/>
              <w:right w:val="nil"/>
            </w:tcBorders>
            <w:shd w:val="clear" w:color="auto" w:fill="D1D1D1" w:themeFill="background2" w:themeFillShade="E6"/>
            <w:noWrap/>
            <w:vAlign w:val="bottom"/>
            <w:hideMark/>
          </w:tcPr>
          <w:p w14:paraId="591DB71D" w14:textId="77777777" w:rsidR="00C16743" w:rsidRPr="008C0AD6" w:rsidRDefault="00C16743" w:rsidP="00C16743">
            <w:pPr>
              <w:rPr>
                <w:sz w:val="16"/>
                <w:szCs w:val="16"/>
              </w:rPr>
            </w:pPr>
            <w:r w:rsidRPr="008C0AD6">
              <w:rPr>
                <w:sz w:val="16"/>
                <w:szCs w:val="16"/>
              </w:rPr>
              <w:t>Шумен</w:t>
            </w:r>
          </w:p>
        </w:tc>
        <w:tc>
          <w:tcPr>
            <w:tcW w:w="370" w:type="pct"/>
            <w:tcBorders>
              <w:top w:val="nil"/>
              <w:left w:val="nil"/>
              <w:bottom w:val="single" w:sz="4" w:space="0" w:color="auto"/>
              <w:right w:val="single" w:sz="4" w:space="0" w:color="auto"/>
            </w:tcBorders>
            <w:shd w:val="clear" w:color="auto" w:fill="auto"/>
            <w:noWrap/>
            <w:vAlign w:val="bottom"/>
            <w:hideMark/>
          </w:tcPr>
          <w:p w14:paraId="6406AEB9"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4" w:space="0" w:color="auto"/>
              <w:right w:val="single" w:sz="4" w:space="0" w:color="auto"/>
            </w:tcBorders>
            <w:shd w:val="clear" w:color="auto" w:fill="auto"/>
            <w:noWrap/>
            <w:vAlign w:val="center"/>
            <w:hideMark/>
          </w:tcPr>
          <w:p w14:paraId="6F69CB37" w14:textId="6646BB44" w:rsidR="00C16743" w:rsidRPr="008C0AD6" w:rsidRDefault="00C16743" w:rsidP="00C16743">
            <w:pPr>
              <w:jc w:val="right"/>
              <w:rPr>
                <w:sz w:val="16"/>
                <w:szCs w:val="16"/>
              </w:rPr>
            </w:pPr>
            <w:r w:rsidRPr="008C0AD6">
              <w:rPr>
                <w:sz w:val="16"/>
                <w:szCs w:val="16"/>
              </w:rPr>
              <w:t>2</w:t>
            </w:r>
          </w:p>
        </w:tc>
        <w:tc>
          <w:tcPr>
            <w:tcW w:w="287" w:type="pct"/>
            <w:tcBorders>
              <w:top w:val="nil"/>
              <w:left w:val="nil"/>
              <w:bottom w:val="single" w:sz="4" w:space="0" w:color="auto"/>
              <w:right w:val="single" w:sz="4" w:space="0" w:color="auto"/>
            </w:tcBorders>
            <w:shd w:val="clear" w:color="auto" w:fill="auto"/>
            <w:noWrap/>
            <w:vAlign w:val="center"/>
            <w:hideMark/>
          </w:tcPr>
          <w:p w14:paraId="48A5FF48" w14:textId="77777777" w:rsidR="00C16743" w:rsidRPr="008C0AD6" w:rsidRDefault="00C16743" w:rsidP="00C16743">
            <w:pPr>
              <w:jc w:val="right"/>
              <w:rPr>
                <w:sz w:val="16"/>
                <w:szCs w:val="16"/>
              </w:rPr>
            </w:pPr>
            <w:r w:rsidRPr="008C0AD6">
              <w:rPr>
                <w:sz w:val="16"/>
                <w:szCs w:val="16"/>
              </w:rPr>
              <w:t>0</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233F4234"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4CDB7E96" w14:textId="7B2AADF2" w:rsidR="00C16743" w:rsidRPr="008C0AD6" w:rsidRDefault="00C16743" w:rsidP="00C16743">
            <w:pPr>
              <w:jc w:val="right"/>
              <w:rPr>
                <w:sz w:val="16"/>
                <w:szCs w:val="16"/>
              </w:rPr>
            </w:pPr>
            <w:r w:rsidRPr="008C0AD6">
              <w:rPr>
                <w:sz w:val="16"/>
                <w:szCs w:val="16"/>
              </w:rPr>
              <w:t>99</w:t>
            </w:r>
          </w:p>
        </w:tc>
        <w:tc>
          <w:tcPr>
            <w:tcW w:w="304" w:type="pct"/>
            <w:tcBorders>
              <w:top w:val="nil"/>
              <w:left w:val="nil"/>
              <w:bottom w:val="single" w:sz="4" w:space="0" w:color="auto"/>
              <w:right w:val="single" w:sz="8" w:space="0" w:color="auto"/>
            </w:tcBorders>
            <w:shd w:val="clear" w:color="auto" w:fill="auto"/>
            <w:noWrap/>
            <w:vAlign w:val="bottom"/>
            <w:hideMark/>
          </w:tcPr>
          <w:p w14:paraId="1B941517" w14:textId="77777777" w:rsidR="00C16743" w:rsidRPr="008C0AD6" w:rsidRDefault="00C16743" w:rsidP="00C16743">
            <w:pPr>
              <w:jc w:val="right"/>
              <w:rPr>
                <w:sz w:val="16"/>
                <w:szCs w:val="16"/>
              </w:rPr>
            </w:pPr>
            <w:r w:rsidRPr="008C0AD6">
              <w:rPr>
                <w:sz w:val="16"/>
                <w:szCs w:val="16"/>
              </w:rPr>
              <w:t>40,00</w:t>
            </w:r>
          </w:p>
        </w:tc>
        <w:tc>
          <w:tcPr>
            <w:tcW w:w="370" w:type="pct"/>
            <w:tcBorders>
              <w:top w:val="nil"/>
              <w:left w:val="nil"/>
              <w:bottom w:val="single" w:sz="4" w:space="0" w:color="auto"/>
              <w:right w:val="single" w:sz="4" w:space="0" w:color="auto"/>
            </w:tcBorders>
            <w:shd w:val="clear" w:color="auto" w:fill="auto"/>
            <w:noWrap/>
            <w:vAlign w:val="bottom"/>
            <w:hideMark/>
          </w:tcPr>
          <w:p w14:paraId="1AF9C99B"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7BB80643" w14:textId="0644E067" w:rsidR="00C16743" w:rsidRPr="008C0AD6" w:rsidRDefault="00C16743" w:rsidP="00C16743">
            <w:pPr>
              <w:jc w:val="right"/>
              <w:rPr>
                <w:sz w:val="16"/>
                <w:szCs w:val="16"/>
              </w:rPr>
            </w:pPr>
            <w:r w:rsidRPr="008C0AD6">
              <w:rPr>
                <w:sz w:val="16"/>
                <w:szCs w:val="16"/>
              </w:rPr>
              <w:t>0,1</w:t>
            </w:r>
          </w:p>
        </w:tc>
        <w:tc>
          <w:tcPr>
            <w:tcW w:w="304" w:type="pct"/>
            <w:tcBorders>
              <w:top w:val="nil"/>
              <w:left w:val="nil"/>
              <w:bottom w:val="single" w:sz="4" w:space="0" w:color="auto"/>
              <w:right w:val="single" w:sz="4" w:space="0" w:color="auto"/>
            </w:tcBorders>
            <w:shd w:val="clear" w:color="auto" w:fill="auto"/>
            <w:noWrap/>
            <w:vAlign w:val="bottom"/>
            <w:hideMark/>
          </w:tcPr>
          <w:p w14:paraId="5DD53911" w14:textId="77777777" w:rsidR="00C16743" w:rsidRPr="008C0AD6" w:rsidRDefault="00C16743" w:rsidP="00C16743">
            <w:pPr>
              <w:jc w:val="right"/>
              <w:rPr>
                <w:sz w:val="16"/>
                <w:szCs w:val="16"/>
              </w:rPr>
            </w:pPr>
            <w:r w:rsidRPr="008C0AD6">
              <w:rPr>
                <w:sz w:val="16"/>
                <w:szCs w:val="16"/>
              </w:rPr>
              <w:t>0,67</w:t>
            </w:r>
          </w:p>
        </w:tc>
        <w:tc>
          <w:tcPr>
            <w:tcW w:w="370" w:type="pct"/>
            <w:tcBorders>
              <w:top w:val="nil"/>
              <w:left w:val="single" w:sz="8" w:space="0" w:color="auto"/>
              <w:bottom w:val="single" w:sz="4" w:space="0" w:color="auto"/>
              <w:right w:val="single" w:sz="4" w:space="0" w:color="auto"/>
            </w:tcBorders>
            <w:shd w:val="clear" w:color="auto" w:fill="auto"/>
            <w:noWrap/>
            <w:vAlign w:val="bottom"/>
            <w:hideMark/>
          </w:tcPr>
          <w:p w14:paraId="57FB1D69"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4" w:space="0" w:color="auto"/>
              <w:right w:val="single" w:sz="4" w:space="0" w:color="auto"/>
            </w:tcBorders>
            <w:shd w:val="clear" w:color="auto" w:fill="auto"/>
            <w:noWrap/>
            <w:vAlign w:val="bottom"/>
            <w:hideMark/>
          </w:tcPr>
          <w:p w14:paraId="57A435FC" w14:textId="1A9D54DD" w:rsidR="00C16743" w:rsidRPr="008C0AD6" w:rsidRDefault="00C16743" w:rsidP="00C16743">
            <w:pPr>
              <w:jc w:val="right"/>
              <w:rPr>
                <w:sz w:val="16"/>
                <w:szCs w:val="16"/>
              </w:rPr>
            </w:pPr>
            <w:r w:rsidRPr="008C0AD6">
              <w:rPr>
                <w:sz w:val="16"/>
                <w:szCs w:val="16"/>
              </w:rPr>
              <w:t>99</w:t>
            </w:r>
          </w:p>
        </w:tc>
        <w:tc>
          <w:tcPr>
            <w:tcW w:w="304" w:type="pct"/>
            <w:tcBorders>
              <w:top w:val="nil"/>
              <w:left w:val="nil"/>
              <w:bottom w:val="single" w:sz="4" w:space="0" w:color="auto"/>
              <w:right w:val="single" w:sz="8" w:space="0" w:color="auto"/>
            </w:tcBorders>
            <w:shd w:val="clear" w:color="auto" w:fill="auto"/>
            <w:noWrap/>
            <w:vAlign w:val="bottom"/>
            <w:hideMark/>
          </w:tcPr>
          <w:p w14:paraId="51B7F384" w14:textId="77777777" w:rsidR="00C16743" w:rsidRPr="008C0AD6" w:rsidRDefault="00C16743" w:rsidP="00C16743">
            <w:pPr>
              <w:jc w:val="right"/>
              <w:rPr>
                <w:sz w:val="16"/>
                <w:szCs w:val="16"/>
              </w:rPr>
            </w:pPr>
            <w:r w:rsidRPr="008C0AD6">
              <w:rPr>
                <w:sz w:val="16"/>
                <w:szCs w:val="16"/>
              </w:rPr>
              <w:t>0,00</w:t>
            </w:r>
          </w:p>
        </w:tc>
      </w:tr>
      <w:tr w:rsidR="00C16743" w:rsidRPr="008C0AD6" w14:paraId="0FC12BF6" w14:textId="77777777" w:rsidTr="00204296">
        <w:trPr>
          <w:trHeight w:val="276"/>
          <w:jc w:val="center"/>
        </w:trPr>
        <w:tc>
          <w:tcPr>
            <w:tcW w:w="886" w:type="pct"/>
            <w:tcBorders>
              <w:top w:val="nil"/>
              <w:left w:val="single" w:sz="8" w:space="0" w:color="auto"/>
              <w:bottom w:val="single" w:sz="8" w:space="0" w:color="auto"/>
              <w:right w:val="nil"/>
            </w:tcBorders>
            <w:shd w:val="clear" w:color="auto" w:fill="D1D1D1" w:themeFill="background2" w:themeFillShade="E6"/>
            <w:noWrap/>
            <w:vAlign w:val="bottom"/>
            <w:hideMark/>
          </w:tcPr>
          <w:p w14:paraId="12CEE4C6" w14:textId="77777777" w:rsidR="00C16743" w:rsidRPr="008C0AD6" w:rsidRDefault="00C16743" w:rsidP="00C16743">
            <w:pPr>
              <w:rPr>
                <w:sz w:val="16"/>
                <w:szCs w:val="16"/>
              </w:rPr>
            </w:pPr>
            <w:r w:rsidRPr="008C0AD6">
              <w:rPr>
                <w:sz w:val="16"/>
                <w:szCs w:val="16"/>
              </w:rPr>
              <w:t>Ямбол</w:t>
            </w:r>
          </w:p>
        </w:tc>
        <w:tc>
          <w:tcPr>
            <w:tcW w:w="370" w:type="pct"/>
            <w:tcBorders>
              <w:top w:val="nil"/>
              <w:left w:val="nil"/>
              <w:bottom w:val="single" w:sz="8" w:space="0" w:color="auto"/>
              <w:right w:val="single" w:sz="4" w:space="0" w:color="auto"/>
            </w:tcBorders>
            <w:shd w:val="clear" w:color="auto" w:fill="auto"/>
            <w:noWrap/>
            <w:vAlign w:val="bottom"/>
            <w:hideMark/>
          </w:tcPr>
          <w:p w14:paraId="262B44B7" w14:textId="77777777" w:rsidR="00C16743" w:rsidRPr="008C0AD6" w:rsidRDefault="00C16743" w:rsidP="00C16743">
            <w:pPr>
              <w:jc w:val="right"/>
              <w:rPr>
                <w:sz w:val="16"/>
                <w:szCs w:val="16"/>
              </w:rPr>
            </w:pPr>
            <w:r w:rsidRPr="008C0AD6">
              <w:rPr>
                <w:sz w:val="16"/>
                <w:szCs w:val="16"/>
              </w:rPr>
              <w:t>брой</w:t>
            </w:r>
          </w:p>
        </w:tc>
        <w:tc>
          <w:tcPr>
            <w:tcW w:w="359" w:type="pct"/>
            <w:tcBorders>
              <w:top w:val="nil"/>
              <w:left w:val="nil"/>
              <w:bottom w:val="single" w:sz="8" w:space="0" w:color="auto"/>
              <w:right w:val="single" w:sz="4" w:space="0" w:color="auto"/>
            </w:tcBorders>
            <w:shd w:val="clear" w:color="auto" w:fill="auto"/>
            <w:noWrap/>
            <w:vAlign w:val="center"/>
            <w:hideMark/>
          </w:tcPr>
          <w:p w14:paraId="64F7F094" w14:textId="6DC9DF29" w:rsidR="00C16743" w:rsidRPr="008C0AD6" w:rsidRDefault="00C16743" w:rsidP="00C16743">
            <w:pPr>
              <w:jc w:val="right"/>
              <w:rPr>
                <w:sz w:val="16"/>
                <w:szCs w:val="16"/>
              </w:rPr>
            </w:pPr>
            <w:r w:rsidRPr="008C0AD6">
              <w:rPr>
                <w:sz w:val="16"/>
                <w:szCs w:val="16"/>
              </w:rPr>
              <w:t>1</w:t>
            </w:r>
          </w:p>
        </w:tc>
        <w:tc>
          <w:tcPr>
            <w:tcW w:w="287" w:type="pct"/>
            <w:tcBorders>
              <w:top w:val="nil"/>
              <w:left w:val="nil"/>
              <w:bottom w:val="single" w:sz="8" w:space="0" w:color="auto"/>
              <w:right w:val="single" w:sz="4" w:space="0" w:color="auto"/>
            </w:tcBorders>
            <w:shd w:val="clear" w:color="auto" w:fill="auto"/>
            <w:noWrap/>
            <w:vAlign w:val="center"/>
            <w:hideMark/>
          </w:tcPr>
          <w:p w14:paraId="16D53E47" w14:textId="77777777" w:rsidR="00C16743" w:rsidRPr="008C0AD6" w:rsidRDefault="00C16743" w:rsidP="00C16743">
            <w:pPr>
              <w:jc w:val="right"/>
              <w:rPr>
                <w:sz w:val="16"/>
                <w:szCs w:val="16"/>
              </w:rPr>
            </w:pPr>
            <w:r w:rsidRPr="008C0AD6">
              <w:rPr>
                <w:sz w:val="16"/>
                <w:szCs w:val="16"/>
              </w:rPr>
              <w:t>0</w:t>
            </w:r>
          </w:p>
        </w:tc>
        <w:tc>
          <w:tcPr>
            <w:tcW w:w="370" w:type="pct"/>
            <w:tcBorders>
              <w:top w:val="nil"/>
              <w:left w:val="single" w:sz="8" w:space="0" w:color="auto"/>
              <w:bottom w:val="single" w:sz="8" w:space="0" w:color="auto"/>
              <w:right w:val="single" w:sz="4" w:space="0" w:color="auto"/>
            </w:tcBorders>
            <w:shd w:val="clear" w:color="auto" w:fill="auto"/>
            <w:noWrap/>
            <w:vAlign w:val="bottom"/>
            <w:hideMark/>
          </w:tcPr>
          <w:p w14:paraId="0DC2DB79"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8" w:space="0" w:color="auto"/>
              <w:right w:val="single" w:sz="4" w:space="0" w:color="auto"/>
            </w:tcBorders>
            <w:shd w:val="clear" w:color="auto" w:fill="auto"/>
            <w:noWrap/>
            <w:vAlign w:val="bottom"/>
            <w:hideMark/>
          </w:tcPr>
          <w:p w14:paraId="076A74D9" w14:textId="16272F9D"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8" w:space="0" w:color="auto"/>
              <w:right w:val="single" w:sz="8" w:space="0" w:color="auto"/>
            </w:tcBorders>
            <w:shd w:val="clear" w:color="auto" w:fill="auto"/>
            <w:noWrap/>
            <w:vAlign w:val="bottom"/>
            <w:hideMark/>
          </w:tcPr>
          <w:p w14:paraId="1A114BAD" w14:textId="77777777" w:rsidR="00C16743" w:rsidRPr="008C0AD6" w:rsidRDefault="00C16743" w:rsidP="00C16743">
            <w:pPr>
              <w:jc w:val="right"/>
              <w:rPr>
                <w:sz w:val="16"/>
                <w:szCs w:val="16"/>
              </w:rPr>
            </w:pPr>
            <w:r w:rsidRPr="008C0AD6">
              <w:rPr>
                <w:sz w:val="16"/>
                <w:szCs w:val="16"/>
              </w:rPr>
              <w:t>100,00</w:t>
            </w:r>
          </w:p>
        </w:tc>
        <w:tc>
          <w:tcPr>
            <w:tcW w:w="370" w:type="pct"/>
            <w:tcBorders>
              <w:top w:val="nil"/>
              <w:left w:val="nil"/>
              <w:bottom w:val="single" w:sz="8" w:space="0" w:color="auto"/>
              <w:right w:val="single" w:sz="4" w:space="0" w:color="auto"/>
            </w:tcBorders>
            <w:shd w:val="clear" w:color="auto" w:fill="auto"/>
            <w:noWrap/>
            <w:vAlign w:val="bottom"/>
            <w:hideMark/>
          </w:tcPr>
          <w:p w14:paraId="2490F115"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8" w:space="0" w:color="auto"/>
              <w:right w:val="single" w:sz="4" w:space="0" w:color="auto"/>
            </w:tcBorders>
            <w:shd w:val="clear" w:color="auto" w:fill="auto"/>
            <w:noWrap/>
            <w:vAlign w:val="bottom"/>
            <w:hideMark/>
          </w:tcPr>
          <w:p w14:paraId="677D862C" w14:textId="07C4B2E9" w:rsidR="00C16743" w:rsidRPr="008C0AD6" w:rsidRDefault="00C16743" w:rsidP="00C16743">
            <w:pPr>
              <w:jc w:val="right"/>
              <w:rPr>
                <w:sz w:val="16"/>
                <w:szCs w:val="16"/>
              </w:rPr>
            </w:pPr>
            <w:r w:rsidRPr="008C0AD6">
              <w:rPr>
                <w:sz w:val="16"/>
                <w:szCs w:val="16"/>
              </w:rPr>
              <w:t>0</w:t>
            </w:r>
          </w:p>
        </w:tc>
        <w:tc>
          <w:tcPr>
            <w:tcW w:w="304" w:type="pct"/>
            <w:tcBorders>
              <w:top w:val="nil"/>
              <w:left w:val="nil"/>
              <w:bottom w:val="single" w:sz="8" w:space="0" w:color="auto"/>
              <w:right w:val="single" w:sz="4" w:space="0" w:color="auto"/>
            </w:tcBorders>
            <w:shd w:val="clear" w:color="auto" w:fill="auto"/>
            <w:noWrap/>
            <w:vAlign w:val="bottom"/>
            <w:hideMark/>
          </w:tcPr>
          <w:p w14:paraId="55913421" w14:textId="77777777" w:rsidR="00C16743" w:rsidRPr="008C0AD6" w:rsidRDefault="00C16743" w:rsidP="00C16743">
            <w:pPr>
              <w:jc w:val="right"/>
              <w:rPr>
                <w:sz w:val="16"/>
                <w:szCs w:val="16"/>
              </w:rPr>
            </w:pPr>
            <w:r w:rsidRPr="008C0AD6">
              <w:rPr>
                <w:sz w:val="16"/>
                <w:szCs w:val="16"/>
              </w:rPr>
              <w:t>0,00</w:t>
            </w:r>
          </w:p>
        </w:tc>
        <w:tc>
          <w:tcPr>
            <w:tcW w:w="370" w:type="pct"/>
            <w:tcBorders>
              <w:top w:val="nil"/>
              <w:left w:val="single" w:sz="8" w:space="0" w:color="auto"/>
              <w:bottom w:val="single" w:sz="8" w:space="0" w:color="auto"/>
              <w:right w:val="single" w:sz="4" w:space="0" w:color="auto"/>
            </w:tcBorders>
            <w:shd w:val="clear" w:color="auto" w:fill="auto"/>
            <w:noWrap/>
            <w:vAlign w:val="bottom"/>
            <w:hideMark/>
          </w:tcPr>
          <w:p w14:paraId="3E89B047" w14:textId="77777777" w:rsidR="00C16743" w:rsidRPr="008C0AD6" w:rsidRDefault="00C16743" w:rsidP="00C16743">
            <w:pPr>
              <w:jc w:val="right"/>
              <w:rPr>
                <w:sz w:val="16"/>
                <w:szCs w:val="16"/>
              </w:rPr>
            </w:pPr>
            <w:r w:rsidRPr="008C0AD6">
              <w:rPr>
                <w:sz w:val="16"/>
                <w:szCs w:val="16"/>
              </w:rPr>
              <w:t>%</w:t>
            </w:r>
          </w:p>
        </w:tc>
        <w:tc>
          <w:tcPr>
            <w:tcW w:w="359" w:type="pct"/>
            <w:tcBorders>
              <w:top w:val="nil"/>
              <w:left w:val="nil"/>
              <w:bottom w:val="single" w:sz="8" w:space="0" w:color="auto"/>
              <w:right w:val="single" w:sz="4" w:space="0" w:color="auto"/>
            </w:tcBorders>
            <w:shd w:val="clear" w:color="auto" w:fill="auto"/>
            <w:noWrap/>
            <w:vAlign w:val="bottom"/>
            <w:hideMark/>
          </w:tcPr>
          <w:p w14:paraId="433C68E9" w14:textId="024B7567" w:rsidR="00C16743" w:rsidRPr="008C0AD6" w:rsidRDefault="00C16743" w:rsidP="00C16743">
            <w:pPr>
              <w:jc w:val="right"/>
              <w:rPr>
                <w:sz w:val="16"/>
                <w:szCs w:val="16"/>
              </w:rPr>
            </w:pPr>
            <w:r w:rsidRPr="008C0AD6">
              <w:rPr>
                <w:sz w:val="16"/>
                <w:szCs w:val="16"/>
              </w:rPr>
              <w:t>100</w:t>
            </w:r>
          </w:p>
        </w:tc>
        <w:tc>
          <w:tcPr>
            <w:tcW w:w="304" w:type="pct"/>
            <w:tcBorders>
              <w:top w:val="nil"/>
              <w:left w:val="nil"/>
              <w:bottom w:val="single" w:sz="8" w:space="0" w:color="auto"/>
              <w:right w:val="single" w:sz="8" w:space="0" w:color="auto"/>
            </w:tcBorders>
            <w:shd w:val="clear" w:color="auto" w:fill="auto"/>
            <w:noWrap/>
            <w:vAlign w:val="bottom"/>
            <w:hideMark/>
          </w:tcPr>
          <w:p w14:paraId="7F9199AB" w14:textId="77777777" w:rsidR="00C16743" w:rsidRPr="008C0AD6" w:rsidRDefault="00C16743" w:rsidP="00C16743">
            <w:pPr>
              <w:jc w:val="right"/>
              <w:rPr>
                <w:sz w:val="16"/>
                <w:szCs w:val="16"/>
              </w:rPr>
            </w:pPr>
            <w:r w:rsidRPr="008C0AD6">
              <w:rPr>
                <w:sz w:val="16"/>
                <w:szCs w:val="16"/>
              </w:rPr>
              <w:t>100,00</w:t>
            </w:r>
          </w:p>
        </w:tc>
      </w:tr>
    </w:tbl>
    <w:p w14:paraId="738F3D40" w14:textId="47B454E5" w:rsidR="006940DE" w:rsidRPr="00BB1C05" w:rsidRDefault="006940DE" w:rsidP="00641163">
      <w:pPr>
        <w:shd w:val="clear" w:color="auto" w:fill="FFFFFF"/>
        <w:spacing w:before="240" w:after="120"/>
        <w:jc w:val="both"/>
        <w:rPr>
          <w:sz w:val="2"/>
          <w:szCs w:val="2"/>
        </w:rPr>
      </w:pPr>
    </w:p>
    <w:tbl>
      <w:tblPr>
        <w:tblW w:w="5081" w:type="pct"/>
        <w:jc w:val="center"/>
        <w:tblCellMar>
          <w:left w:w="70" w:type="dxa"/>
          <w:right w:w="70" w:type="dxa"/>
        </w:tblCellMar>
        <w:tblLook w:val="04A0" w:firstRow="1" w:lastRow="0" w:firstColumn="1" w:lastColumn="0" w:noHBand="0" w:noVBand="1"/>
      </w:tblPr>
      <w:tblGrid>
        <w:gridCol w:w="1690"/>
        <w:gridCol w:w="706"/>
        <w:gridCol w:w="685"/>
        <w:gridCol w:w="580"/>
        <w:gridCol w:w="706"/>
        <w:gridCol w:w="685"/>
        <w:gridCol w:w="547"/>
        <w:gridCol w:w="706"/>
        <w:gridCol w:w="685"/>
        <w:gridCol w:w="547"/>
        <w:gridCol w:w="706"/>
        <w:gridCol w:w="685"/>
        <w:gridCol w:w="559"/>
      </w:tblGrid>
      <w:tr w:rsidR="001A1186" w:rsidRPr="00375189" w14:paraId="481677ED" w14:textId="77777777" w:rsidTr="008B11A6">
        <w:trPr>
          <w:trHeight w:val="855"/>
          <w:jc w:val="center"/>
        </w:trPr>
        <w:tc>
          <w:tcPr>
            <w:tcW w:w="891" w:type="pct"/>
            <w:tcBorders>
              <w:top w:val="single" w:sz="8" w:space="0" w:color="auto"/>
              <w:left w:val="single" w:sz="8" w:space="0" w:color="auto"/>
              <w:bottom w:val="nil"/>
              <w:right w:val="single" w:sz="8" w:space="0" w:color="auto"/>
            </w:tcBorders>
            <w:shd w:val="clear" w:color="000000" w:fill="E3E3E3"/>
            <w:vAlign w:val="center"/>
            <w:hideMark/>
          </w:tcPr>
          <w:p w14:paraId="0B9C790B" w14:textId="77777777" w:rsidR="001A1186" w:rsidRPr="00375189" w:rsidRDefault="001A1186" w:rsidP="008156A3">
            <w:pPr>
              <w:jc w:val="center"/>
              <w:rPr>
                <w:b/>
                <w:bCs/>
                <w:sz w:val="16"/>
                <w:szCs w:val="16"/>
              </w:rPr>
            </w:pPr>
            <w:r w:rsidRPr="00375189">
              <w:rPr>
                <w:b/>
                <w:bCs/>
                <w:sz w:val="16"/>
                <w:szCs w:val="16"/>
              </w:rPr>
              <w:t xml:space="preserve">ПОКАЗАТЕЛИ ЗА ИЗПЪЛНЕНИЕ </w:t>
            </w:r>
            <w:r w:rsidRPr="00D62271">
              <w:rPr>
                <w:b/>
                <w:bCs/>
                <w:sz w:val="12"/>
                <w:szCs w:val="12"/>
              </w:rPr>
              <w:t>→</w:t>
            </w:r>
          </w:p>
        </w:tc>
        <w:tc>
          <w:tcPr>
            <w:tcW w:w="1039" w:type="pct"/>
            <w:gridSpan w:val="3"/>
            <w:tcBorders>
              <w:top w:val="single" w:sz="8" w:space="0" w:color="auto"/>
              <w:left w:val="nil"/>
              <w:bottom w:val="single" w:sz="8" w:space="0" w:color="auto"/>
              <w:right w:val="single" w:sz="8" w:space="0" w:color="000000"/>
            </w:tcBorders>
            <w:shd w:val="clear" w:color="auto" w:fill="D1D1D1" w:themeFill="background2" w:themeFillShade="E6"/>
            <w:hideMark/>
          </w:tcPr>
          <w:p w14:paraId="0CDC4A81" w14:textId="77777777" w:rsidR="001A1186" w:rsidRPr="00375189" w:rsidRDefault="001A1186" w:rsidP="008156A3">
            <w:pPr>
              <w:rPr>
                <w:sz w:val="16"/>
                <w:szCs w:val="16"/>
              </w:rPr>
            </w:pPr>
            <w:r w:rsidRPr="00375189">
              <w:rPr>
                <w:sz w:val="16"/>
                <w:szCs w:val="16"/>
              </w:rPr>
              <w:t>5. Относителен дял на върнатите от ОУ и преразгледани в срок решения на ОС спрямо общия брой върнати от ОУ решения на ОС.</w:t>
            </w:r>
          </w:p>
        </w:tc>
        <w:tc>
          <w:tcPr>
            <w:tcW w:w="1021" w:type="pct"/>
            <w:gridSpan w:val="3"/>
            <w:tcBorders>
              <w:top w:val="single" w:sz="8" w:space="0" w:color="auto"/>
              <w:left w:val="nil"/>
              <w:bottom w:val="single" w:sz="8" w:space="0" w:color="auto"/>
              <w:right w:val="single" w:sz="8" w:space="0" w:color="000000"/>
            </w:tcBorders>
            <w:shd w:val="clear" w:color="auto" w:fill="D1D1D1" w:themeFill="background2" w:themeFillShade="E6"/>
            <w:hideMark/>
          </w:tcPr>
          <w:p w14:paraId="7A22F07B" w14:textId="77777777" w:rsidR="001A1186" w:rsidRPr="00375189" w:rsidRDefault="001A1186" w:rsidP="008156A3">
            <w:pPr>
              <w:rPr>
                <w:sz w:val="16"/>
                <w:szCs w:val="16"/>
              </w:rPr>
            </w:pPr>
            <w:r w:rsidRPr="00375189">
              <w:rPr>
                <w:sz w:val="16"/>
                <w:szCs w:val="16"/>
              </w:rPr>
              <w:t>6. Брой национални проекти и програми, в които участва областната администрация.</w:t>
            </w:r>
          </w:p>
        </w:tc>
        <w:tc>
          <w:tcPr>
            <w:tcW w:w="1021" w:type="pct"/>
            <w:gridSpan w:val="3"/>
            <w:tcBorders>
              <w:top w:val="single" w:sz="8" w:space="0" w:color="auto"/>
              <w:left w:val="nil"/>
              <w:bottom w:val="single" w:sz="8" w:space="0" w:color="auto"/>
              <w:right w:val="single" w:sz="8" w:space="0" w:color="000000"/>
            </w:tcBorders>
            <w:shd w:val="clear" w:color="auto" w:fill="D1D1D1" w:themeFill="background2" w:themeFillShade="E6"/>
            <w:hideMark/>
          </w:tcPr>
          <w:p w14:paraId="297092AD" w14:textId="77777777" w:rsidR="001A1186" w:rsidRPr="00375189" w:rsidRDefault="001A1186" w:rsidP="008156A3">
            <w:pPr>
              <w:rPr>
                <w:sz w:val="16"/>
                <w:szCs w:val="16"/>
              </w:rPr>
            </w:pPr>
            <w:r w:rsidRPr="00375189">
              <w:rPr>
                <w:sz w:val="16"/>
                <w:szCs w:val="16"/>
              </w:rPr>
              <w:t>7. Обща площ на земите за които е необходимо изработване на планове по §4 от ЗСПЗЗ.</w:t>
            </w:r>
          </w:p>
        </w:tc>
        <w:tc>
          <w:tcPr>
            <w:tcW w:w="1028" w:type="pct"/>
            <w:gridSpan w:val="3"/>
            <w:tcBorders>
              <w:top w:val="single" w:sz="8" w:space="0" w:color="auto"/>
              <w:left w:val="nil"/>
              <w:bottom w:val="single" w:sz="8" w:space="0" w:color="auto"/>
              <w:right w:val="single" w:sz="8" w:space="0" w:color="000000"/>
            </w:tcBorders>
            <w:shd w:val="clear" w:color="auto" w:fill="D1D1D1" w:themeFill="background2" w:themeFillShade="E6"/>
            <w:hideMark/>
          </w:tcPr>
          <w:p w14:paraId="5EB7B137" w14:textId="77777777" w:rsidR="001A1186" w:rsidRPr="00375189" w:rsidRDefault="001A1186" w:rsidP="008156A3">
            <w:pPr>
              <w:rPr>
                <w:sz w:val="16"/>
                <w:szCs w:val="16"/>
              </w:rPr>
            </w:pPr>
            <w:r w:rsidRPr="00375189">
              <w:rPr>
                <w:sz w:val="16"/>
                <w:szCs w:val="16"/>
              </w:rPr>
              <w:t>8.Брой областни съвети и комисии към ОУ.</w:t>
            </w:r>
          </w:p>
        </w:tc>
      </w:tr>
      <w:tr w:rsidR="002023E5" w:rsidRPr="00375189" w14:paraId="47D755DD" w14:textId="77777777" w:rsidTr="008626F4">
        <w:trPr>
          <w:trHeight w:val="276"/>
          <w:jc w:val="center"/>
        </w:trPr>
        <w:tc>
          <w:tcPr>
            <w:tcW w:w="891" w:type="pct"/>
            <w:vMerge w:val="restart"/>
            <w:tcBorders>
              <w:top w:val="nil"/>
              <w:left w:val="single" w:sz="8" w:space="0" w:color="auto"/>
              <w:bottom w:val="single" w:sz="8" w:space="0" w:color="000000"/>
              <w:right w:val="single" w:sz="8" w:space="0" w:color="auto"/>
            </w:tcBorders>
            <w:shd w:val="clear" w:color="000000" w:fill="E3E3E3"/>
            <w:vAlign w:val="center"/>
            <w:hideMark/>
          </w:tcPr>
          <w:p w14:paraId="21039CFC" w14:textId="77777777" w:rsidR="001A1186" w:rsidRPr="00375189" w:rsidRDefault="001A1186" w:rsidP="008156A3">
            <w:pPr>
              <w:jc w:val="center"/>
              <w:rPr>
                <w:b/>
                <w:bCs/>
                <w:sz w:val="16"/>
                <w:szCs w:val="16"/>
              </w:rPr>
            </w:pPr>
            <w:r w:rsidRPr="00375189">
              <w:rPr>
                <w:b/>
                <w:bCs/>
                <w:sz w:val="16"/>
                <w:szCs w:val="16"/>
              </w:rPr>
              <w:t xml:space="preserve">ОБЛАСТНА АДМИНИСТРАЦИЯ </w:t>
            </w:r>
            <w:r w:rsidRPr="00D62271">
              <w:rPr>
                <w:b/>
                <w:bCs/>
                <w:sz w:val="12"/>
                <w:szCs w:val="12"/>
              </w:rPr>
              <w:t>↓</w:t>
            </w:r>
          </w:p>
        </w:tc>
        <w:tc>
          <w:tcPr>
            <w:tcW w:w="372" w:type="pct"/>
            <w:vMerge w:val="restart"/>
            <w:tcBorders>
              <w:top w:val="nil"/>
              <w:left w:val="single" w:sz="8" w:space="0" w:color="auto"/>
              <w:bottom w:val="single" w:sz="8" w:space="0" w:color="000000"/>
              <w:right w:val="single" w:sz="4" w:space="0" w:color="auto"/>
            </w:tcBorders>
            <w:shd w:val="clear" w:color="auto" w:fill="D1D1D1" w:themeFill="background2" w:themeFillShade="E6"/>
            <w:vAlign w:val="center"/>
            <w:hideMark/>
          </w:tcPr>
          <w:p w14:paraId="22AA39E1" w14:textId="77777777" w:rsidR="001A1186" w:rsidRPr="00375189" w:rsidRDefault="001A1186" w:rsidP="008156A3">
            <w:pPr>
              <w:jc w:val="center"/>
              <w:rPr>
                <w:sz w:val="16"/>
                <w:szCs w:val="16"/>
              </w:rPr>
            </w:pPr>
            <w:r w:rsidRPr="00375189">
              <w:rPr>
                <w:sz w:val="16"/>
                <w:szCs w:val="16"/>
              </w:rPr>
              <w:t>Мерна единица</w:t>
            </w:r>
          </w:p>
        </w:tc>
        <w:tc>
          <w:tcPr>
            <w:tcW w:w="361" w:type="pct"/>
            <w:vMerge w:val="restart"/>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777B2767" w14:textId="77777777" w:rsidR="001A1186" w:rsidRPr="00375189" w:rsidRDefault="001A1186" w:rsidP="008156A3">
            <w:pPr>
              <w:jc w:val="center"/>
              <w:rPr>
                <w:sz w:val="16"/>
                <w:szCs w:val="16"/>
              </w:rPr>
            </w:pPr>
            <w:r w:rsidRPr="00375189">
              <w:rPr>
                <w:sz w:val="16"/>
                <w:szCs w:val="16"/>
              </w:rPr>
              <w:t>Бюджет 2025</w:t>
            </w:r>
          </w:p>
        </w:tc>
        <w:tc>
          <w:tcPr>
            <w:tcW w:w="306" w:type="pct"/>
            <w:vMerge w:val="restart"/>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4AA3A33D" w14:textId="77777777" w:rsidR="001A1186" w:rsidRPr="00375189" w:rsidRDefault="001A1186" w:rsidP="008156A3">
            <w:pPr>
              <w:jc w:val="center"/>
              <w:rPr>
                <w:sz w:val="16"/>
                <w:szCs w:val="16"/>
              </w:rPr>
            </w:pPr>
            <w:r w:rsidRPr="00375189">
              <w:rPr>
                <w:sz w:val="16"/>
                <w:szCs w:val="16"/>
              </w:rPr>
              <w:t>Отчет 2025</w:t>
            </w:r>
          </w:p>
        </w:tc>
        <w:tc>
          <w:tcPr>
            <w:tcW w:w="372" w:type="pct"/>
            <w:vMerge w:val="restart"/>
            <w:tcBorders>
              <w:top w:val="nil"/>
              <w:left w:val="single" w:sz="8" w:space="0" w:color="auto"/>
              <w:bottom w:val="single" w:sz="8" w:space="0" w:color="000000"/>
              <w:right w:val="single" w:sz="4" w:space="0" w:color="auto"/>
            </w:tcBorders>
            <w:shd w:val="clear" w:color="auto" w:fill="D1D1D1" w:themeFill="background2" w:themeFillShade="E6"/>
            <w:vAlign w:val="center"/>
            <w:hideMark/>
          </w:tcPr>
          <w:p w14:paraId="02BA28B7" w14:textId="77777777" w:rsidR="001A1186" w:rsidRPr="00375189" w:rsidRDefault="001A1186" w:rsidP="008156A3">
            <w:pPr>
              <w:jc w:val="center"/>
              <w:rPr>
                <w:sz w:val="16"/>
                <w:szCs w:val="16"/>
              </w:rPr>
            </w:pPr>
            <w:r w:rsidRPr="00375189">
              <w:rPr>
                <w:sz w:val="16"/>
                <w:szCs w:val="16"/>
              </w:rPr>
              <w:t>Мерна единица</w:t>
            </w:r>
          </w:p>
        </w:tc>
        <w:tc>
          <w:tcPr>
            <w:tcW w:w="361" w:type="pct"/>
            <w:vMerge w:val="restart"/>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3AB8A7E2" w14:textId="77777777" w:rsidR="001A1186" w:rsidRPr="00375189" w:rsidRDefault="001A1186" w:rsidP="008156A3">
            <w:pPr>
              <w:jc w:val="center"/>
              <w:rPr>
                <w:sz w:val="16"/>
                <w:szCs w:val="16"/>
              </w:rPr>
            </w:pPr>
            <w:r w:rsidRPr="00375189">
              <w:rPr>
                <w:sz w:val="16"/>
                <w:szCs w:val="16"/>
              </w:rPr>
              <w:t>Бюджет 2025</w:t>
            </w:r>
          </w:p>
        </w:tc>
        <w:tc>
          <w:tcPr>
            <w:tcW w:w="288" w:type="pct"/>
            <w:vMerge w:val="restart"/>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590D53CE" w14:textId="77777777" w:rsidR="001A1186" w:rsidRPr="00375189" w:rsidRDefault="001A1186" w:rsidP="008156A3">
            <w:pPr>
              <w:jc w:val="center"/>
              <w:rPr>
                <w:sz w:val="16"/>
                <w:szCs w:val="16"/>
              </w:rPr>
            </w:pPr>
            <w:r w:rsidRPr="00375189">
              <w:rPr>
                <w:sz w:val="16"/>
                <w:szCs w:val="16"/>
              </w:rPr>
              <w:t>Отчет 2025</w:t>
            </w:r>
          </w:p>
        </w:tc>
        <w:tc>
          <w:tcPr>
            <w:tcW w:w="372" w:type="pct"/>
            <w:vMerge w:val="restart"/>
            <w:tcBorders>
              <w:top w:val="nil"/>
              <w:left w:val="single" w:sz="8" w:space="0" w:color="auto"/>
              <w:bottom w:val="single" w:sz="8" w:space="0" w:color="000000"/>
              <w:right w:val="single" w:sz="4" w:space="0" w:color="auto"/>
            </w:tcBorders>
            <w:shd w:val="clear" w:color="auto" w:fill="D1D1D1" w:themeFill="background2" w:themeFillShade="E6"/>
            <w:vAlign w:val="center"/>
            <w:hideMark/>
          </w:tcPr>
          <w:p w14:paraId="6F54FA59" w14:textId="77777777" w:rsidR="001A1186" w:rsidRPr="00375189" w:rsidRDefault="001A1186" w:rsidP="008156A3">
            <w:pPr>
              <w:jc w:val="center"/>
              <w:rPr>
                <w:sz w:val="16"/>
                <w:szCs w:val="16"/>
              </w:rPr>
            </w:pPr>
            <w:r w:rsidRPr="00375189">
              <w:rPr>
                <w:sz w:val="16"/>
                <w:szCs w:val="16"/>
              </w:rPr>
              <w:t>Мерна единица</w:t>
            </w:r>
          </w:p>
        </w:tc>
        <w:tc>
          <w:tcPr>
            <w:tcW w:w="361" w:type="pct"/>
            <w:vMerge w:val="restart"/>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2A15137B" w14:textId="77777777" w:rsidR="001A1186" w:rsidRPr="00375189" w:rsidRDefault="001A1186" w:rsidP="008156A3">
            <w:pPr>
              <w:jc w:val="center"/>
              <w:rPr>
                <w:sz w:val="16"/>
                <w:szCs w:val="16"/>
              </w:rPr>
            </w:pPr>
            <w:r w:rsidRPr="00375189">
              <w:rPr>
                <w:sz w:val="16"/>
                <w:szCs w:val="16"/>
              </w:rPr>
              <w:t>Бюджет 2025</w:t>
            </w:r>
          </w:p>
        </w:tc>
        <w:tc>
          <w:tcPr>
            <w:tcW w:w="288" w:type="pct"/>
            <w:vMerge w:val="restart"/>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059925F0" w14:textId="77777777" w:rsidR="001A1186" w:rsidRPr="00375189" w:rsidRDefault="001A1186" w:rsidP="008156A3">
            <w:pPr>
              <w:jc w:val="center"/>
              <w:rPr>
                <w:sz w:val="16"/>
                <w:szCs w:val="16"/>
              </w:rPr>
            </w:pPr>
            <w:r w:rsidRPr="00375189">
              <w:rPr>
                <w:sz w:val="16"/>
                <w:szCs w:val="16"/>
              </w:rPr>
              <w:t>Отчет 2025</w:t>
            </w:r>
          </w:p>
        </w:tc>
        <w:tc>
          <w:tcPr>
            <w:tcW w:w="372" w:type="pct"/>
            <w:vMerge w:val="restart"/>
            <w:tcBorders>
              <w:top w:val="nil"/>
              <w:left w:val="single" w:sz="8" w:space="0" w:color="auto"/>
              <w:bottom w:val="single" w:sz="8" w:space="0" w:color="000000"/>
              <w:right w:val="single" w:sz="4" w:space="0" w:color="auto"/>
            </w:tcBorders>
            <w:shd w:val="clear" w:color="auto" w:fill="D1D1D1" w:themeFill="background2" w:themeFillShade="E6"/>
            <w:vAlign w:val="center"/>
            <w:hideMark/>
          </w:tcPr>
          <w:p w14:paraId="5F5109E7" w14:textId="77777777" w:rsidR="001A1186" w:rsidRPr="00375189" w:rsidRDefault="001A1186" w:rsidP="008156A3">
            <w:pPr>
              <w:jc w:val="center"/>
              <w:rPr>
                <w:sz w:val="16"/>
                <w:szCs w:val="16"/>
              </w:rPr>
            </w:pPr>
            <w:r w:rsidRPr="00375189">
              <w:rPr>
                <w:sz w:val="16"/>
                <w:szCs w:val="16"/>
              </w:rPr>
              <w:t>Мерна единица</w:t>
            </w:r>
          </w:p>
        </w:tc>
        <w:tc>
          <w:tcPr>
            <w:tcW w:w="361" w:type="pct"/>
            <w:vMerge w:val="restart"/>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42F5D914" w14:textId="77777777" w:rsidR="001A1186" w:rsidRPr="00375189" w:rsidRDefault="001A1186" w:rsidP="008156A3">
            <w:pPr>
              <w:jc w:val="center"/>
              <w:rPr>
                <w:sz w:val="16"/>
                <w:szCs w:val="16"/>
              </w:rPr>
            </w:pPr>
            <w:r w:rsidRPr="00375189">
              <w:rPr>
                <w:sz w:val="16"/>
                <w:szCs w:val="16"/>
              </w:rPr>
              <w:t>Бюджет 2025</w:t>
            </w:r>
          </w:p>
        </w:tc>
        <w:tc>
          <w:tcPr>
            <w:tcW w:w="295" w:type="pct"/>
            <w:vMerge w:val="restart"/>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6C95BF43" w14:textId="77777777" w:rsidR="001A1186" w:rsidRPr="00375189" w:rsidRDefault="001A1186" w:rsidP="008156A3">
            <w:pPr>
              <w:jc w:val="center"/>
              <w:rPr>
                <w:sz w:val="16"/>
                <w:szCs w:val="16"/>
              </w:rPr>
            </w:pPr>
            <w:r w:rsidRPr="00375189">
              <w:rPr>
                <w:sz w:val="16"/>
                <w:szCs w:val="16"/>
              </w:rPr>
              <w:t>Отчет 2025</w:t>
            </w:r>
          </w:p>
        </w:tc>
      </w:tr>
      <w:tr w:rsidR="002023E5" w:rsidRPr="00375189" w14:paraId="4E12B092" w14:textId="77777777" w:rsidTr="00BB1C05">
        <w:trPr>
          <w:trHeight w:val="276"/>
          <w:jc w:val="center"/>
        </w:trPr>
        <w:tc>
          <w:tcPr>
            <w:tcW w:w="891" w:type="pct"/>
            <w:vMerge/>
            <w:tcBorders>
              <w:top w:val="nil"/>
              <w:left w:val="single" w:sz="8" w:space="0" w:color="auto"/>
              <w:bottom w:val="single" w:sz="8" w:space="0" w:color="000000"/>
              <w:right w:val="single" w:sz="8" w:space="0" w:color="auto"/>
            </w:tcBorders>
            <w:vAlign w:val="center"/>
            <w:hideMark/>
          </w:tcPr>
          <w:p w14:paraId="2B05E81D" w14:textId="77777777" w:rsidR="001A1186" w:rsidRPr="00375189" w:rsidRDefault="001A1186" w:rsidP="008156A3">
            <w:pPr>
              <w:rPr>
                <w:b/>
                <w:bCs/>
                <w:sz w:val="16"/>
                <w:szCs w:val="16"/>
              </w:rPr>
            </w:pPr>
          </w:p>
        </w:tc>
        <w:tc>
          <w:tcPr>
            <w:tcW w:w="372" w:type="pct"/>
            <w:vMerge/>
            <w:tcBorders>
              <w:top w:val="nil"/>
              <w:left w:val="single" w:sz="8" w:space="0" w:color="auto"/>
              <w:bottom w:val="single" w:sz="8" w:space="0" w:color="000000"/>
              <w:right w:val="single" w:sz="4" w:space="0" w:color="auto"/>
            </w:tcBorders>
            <w:shd w:val="clear" w:color="auto" w:fill="D1D1D1" w:themeFill="background2" w:themeFillShade="E6"/>
            <w:vAlign w:val="center"/>
            <w:hideMark/>
          </w:tcPr>
          <w:p w14:paraId="1CA6586F" w14:textId="77777777" w:rsidR="001A1186" w:rsidRPr="00375189" w:rsidRDefault="001A1186" w:rsidP="008156A3">
            <w:pPr>
              <w:rPr>
                <w:sz w:val="16"/>
                <w:szCs w:val="16"/>
              </w:rPr>
            </w:pPr>
          </w:p>
        </w:tc>
        <w:tc>
          <w:tcPr>
            <w:tcW w:w="361" w:type="pct"/>
            <w:vMerge/>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349B6122" w14:textId="77777777" w:rsidR="001A1186" w:rsidRPr="00375189" w:rsidRDefault="001A1186" w:rsidP="008156A3">
            <w:pPr>
              <w:rPr>
                <w:sz w:val="16"/>
                <w:szCs w:val="16"/>
              </w:rPr>
            </w:pPr>
          </w:p>
        </w:tc>
        <w:tc>
          <w:tcPr>
            <w:tcW w:w="306" w:type="pct"/>
            <w:vMerge/>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47EA21C7" w14:textId="77777777" w:rsidR="001A1186" w:rsidRPr="00375189" w:rsidRDefault="001A1186" w:rsidP="008156A3">
            <w:pPr>
              <w:rPr>
                <w:sz w:val="16"/>
                <w:szCs w:val="16"/>
              </w:rPr>
            </w:pPr>
          </w:p>
        </w:tc>
        <w:tc>
          <w:tcPr>
            <w:tcW w:w="372" w:type="pct"/>
            <w:vMerge/>
            <w:tcBorders>
              <w:top w:val="nil"/>
              <w:left w:val="single" w:sz="8" w:space="0" w:color="auto"/>
              <w:bottom w:val="single" w:sz="8" w:space="0" w:color="000000"/>
              <w:right w:val="single" w:sz="4" w:space="0" w:color="auto"/>
            </w:tcBorders>
            <w:shd w:val="clear" w:color="auto" w:fill="D1D1D1" w:themeFill="background2" w:themeFillShade="E6"/>
            <w:vAlign w:val="center"/>
            <w:hideMark/>
          </w:tcPr>
          <w:p w14:paraId="7C1EB39E" w14:textId="77777777" w:rsidR="001A1186" w:rsidRPr="00375189" w:rsidRDefault="001A1186" w:rsidP="008156A3">
            <w:pPr>
              <w:rPr>
                <w:sz w:val="16"/>
                <w:szCs w:val="16"/>
              </w:rPr>
            </w:pPr>
          </w:p>
        </w:tc>
        <w:tc>
          <w:tcPr>
            <w:tcW w:w="361" w:type="pct"/>
            <w:vMerge/>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40DDBCEB" w14:textId="77777777" w:rsidR="001A1186" w:rsidRPr="00375189" w:rsidRDefault="001A1186" w:rsidP="008156A3">
            <w:pPr>
              <w:rPr>
                <w:sz w:val="16"/>
                <w:szCs w:val="16"/>
              </w:rPr>
            </w:pPr>
          </w:p>
        </w:tc>
        <w:tc>
          <w:tcPr>
            <w:tcW w:w="288" w:type="pct"/>
            <w:vMerge/>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15A55B6A" w14:textId="77777777" w:rsidR="001A1186" w:rsidRPr="00375189" w:rsidRDefault="001A1186" w:rsidP="008156A3">
            <w:pPr>
              <w:rPr>
                <w:sz w:val="16"/>
                <w:szCs w:val="16"/>
              </w:rPr>
            </w:pPr>
          </w:p>
        </w:tc>
        <w:tc>
          <w:tcPr>
            <w:tcW w:w="372" w:type="pct"/>
            <w:vMerge/>
            <w:tcBorders>
              <w:top w:val="nil"/>
              <w:left w:val="single" w:sz="8" w:space="0" w:color="auto"/>
              <w:bottom w:val="single" w:sz="8" w:space="0" w:color="000000"/>
              <w:right w:val="single" w:sz="4" w:space="0" w:color="auto"/>
            </w:tcBorders>
            <w:shd w:val="clear" w:color="auto" w:fill="D1D1D1" w:themeFill="background2" w:themeFillShade="E6"/>
            <w:vAlign w:val="center"/>
            <w:hideMark/>
          </w:tcPr>
          <w:p w14:paraId="03B0B566" w14:textId="77777777" w:rsidR="001A1186" w:rsidRPr="00375189" w:rsidRDefault="001A1186" w:rsidP="008156A3">
            <w:pPr>
              <w:rPr>
                <w:sz w:val="16"/>
                <w:szCs w:val="16"/>
              </w:rPr>
            </w:pPr>
          </w:p>
        </w:tc>
        <w:tc>
          <w:tcPr>
            <w:tcW w:w="361" w:type="pct"/>
            <w:vMerge/>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2D2BACE6" w14:textId="77777777" w:rsidR="001A1186" w:rsidRPr="00375189" w:rsidRDefault="001A1186" w:rsidP="008156A3">
            <w:pPr>
              <w:rPr>
                <w:sz w:val="16"/>
                <w:szCs w:val="16"/>
              </w:rPr>
            </w:pPr>
          </w:p>
        </w:tc>
        <w:tc>
          <w:tcPr>
            <w:tcW w:w="288" w:type="pct"/>
            <w:vMerge/>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7F94B8C9" w14:textId="77777777" w:rsidR="001A1186" w:rsidRPr="00375189" w:rsidRDefault="001A1186" w:rsidP="008156A3">
            <w:pPr>
              <w:rPr>
                <w:sz w:val="16"/>
                <w:szCs w:val="16"/>
              </w:rPr>
            </w:pPr>
          </w:p>
        </w:tc>
        <w:tc>
          <w:tcPr>
            <w:tcW w:w="372" w:type="pct"/>
            <w:vMerge/>
            <w:tcBorders>
              <w:top w:val="nil"/>
              <w:left w:val="single" w:sz="8" w:space="0" w:color="auto"/>
              <w:bottom w:val="single" w:sz="8" w:space="0" w:color="000000"/>
              <w:right w:val="single" w:sz="4" w:space="0" w:color="auto"/>
            </w:tcBorders>
            <w:shd w:val="clear" w:color="auto" w:fill="D1D1D1" w:themeFill="background2" w:themeFillShade="E6"/>
            <w:vAlign w:val="center"/>
            <w:hideMark/>
          </w:tcPr>
          <w:p w14:paraId="0781F0EE" w14:textId="77777777" w:rsidR="001A1186" w:rsidRPr="00375189" w:rsidRDefault="001A1186" w:rsidP="008156A3">
            <w:pPr>
              <w:rPr>
                <w:sz w:val="16"/>
                <w:szCs w:val="16"/>
              </w:rPr>
            </w:pPr>
          </w:p>
        </w:tc>
        <w:tc>
          <w:tcPr>
            <w:tcW w:w="361" w:type="pct"/>
            <w:vMerge/>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1F04A252" w14:textId="77777777" w:rsidR="001A1186" w:rsidRPr="00375189" w:rsidRDefault="001A1186" w:rsidP="008156A3">
            <w:pPr>
              <w:rPr>
                <w:sz w:val="16"/>
                <w:szCs w:val="16"/>
              </w:rPr>
            </w:pPr>
          </w:p>
        </w:tc>
        <w:tc>
          <w:tcPr>
            <w:tcW w:w="295" w:type="pct"/>
            <w:vMerge/>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0FD3DEB0" w14:textId="77777777" w:rsidR="001A1186" w:rsidRPr="00375189" w:rsidRDefault="001A1186" w:rsidP="008156A3">
            <w:pPr>
              <w:rPr>
                <w:sz w:val="16"/>
                <w:szCs w:val="16"/>
              </w:rPr>
            </w:pPr>
          </w:p>
        </w:tc>
      </w:tr>
      <w:tr w:rsidR="008626F4" w:rsidRPr="00375189" w14:paraId="3B669EC2" w14:textId="77777777" w:rsidTr="0046314D">
        <w:trPr>
          <w:trHeight w:val="257"/>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3E0CB871" w14:textId="78556B83" w:rsidR="008626F4" w:rsidRPr="00375189" w:rsidRDefault="008626F4" w:rsidP="008626F4">
            <w:pPr>
              <w:rPr>
                <w:sz w:val="16"/>
                <w:szCs w:val="16"/>
              </w:rPr>
            </w:pPr>
            <w:r w:rsidRPr="00375189">
              <w:rPr>
                <w:sz w:val="16"/>
                <w:szCs w:val="16"/>
              </w:rPr>
              <w:t xml:space="preserve">Благоевград </w:t>
            </w:r>
          </w:p>
        </w:tc>
        <w:tc>
          <w:tcPr>
            <w:tcW w:w="372" w:type="pct"/>
            <w:tcBorders>
              <w:top w:val="nil"/>
              <w:left w:val="nil"/>
              <w:bottom w:val="single" w:sz="4" w:space="0" w:color="auto"/>
              <w:right w:val="single" w:sz="4" w:space="0" w:color="auto"/>
            </w:tcBorders>
            <w:shd w:val="clear" w:color="auto" w:fill="auto"/>
            <w:noWrap/>
            <w:vAlign w:val="bottom"/>
            <w:hideMark/>
          </w:tcPr>
          <w:p w14:paraId="090C9401"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4296B2BF" w14:textId="2C737EB5" w:rsidR="008626F4" w:rsidRPr="008C0AD6" w:rsidRDefault="008626F4" w:rsidP="008626F4">
            <w:pPr>
              <w:jc w:val="right"/>
              <w:rPr>
                <w:sz w:val="16"/>
                <w:szCs w:val="16"/>
              </w:rPr>
            </w:pPr>
            <w:r w:rsidRPr="008C0AD6">
              <w:rPr>
                <w:sz w:val="16"/>
                <w:szCs w:val="16"/>
              </w:rPr>
              <w:t>4</w:t>
            </w:r>
          </w:p>
        </w:tc>
        <w:tc>
          <w:tcPr>
            <w:tcW w:w="306" w:type="pct"/>
            <w:tcBorders>
              <w:top w:val="nil"/>
              <w:left w:val="nil"/>
              <w:bottom w:val="single" w:sz="4" w:space="0" w:color="auto"/>
              <w:right w:val="single" w:sz="4" w:space="0" w:color="auto"/>
            </w:tcBorders>
            <w:shd w:val="clear" w:color="auto" w:fill="auto"/>
            <w:noWrap/>
            <w:vAlign w:val="bottom"/>
            <w:hideMark/>
          </w:tcPr>
          <w:p w14:paraId="2A540EB2" w14:textId="77777777" w:rsidR="008626F4" w:rsidRPr="008C0AD6" w:rsidRDefault="008626F4" w:rsidP="008626F4">
            <w:pPr>
              <w:jc w:val="right"/>
              <w:rPr>
                <w:sz w:val="16"/>
                <w:szCs w:val="16"/>
              </w:rPr>
            </w:pPr>
            <w:r w:rsidRPr="008C0AD6">
              <w:rPr>
                <w:sz w:val="16"/>
                <w:szCs w:val="16"/>
              </w:rPr>
              <w:t>80,80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75C49D2D"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12CEB160" w14:textId="067B2C70" w:rsidR="008626F4" w:rsidRPr="008C0AD6" w:rsidRDefault="008626F4" w:rsidP="008626F4">
            <w:pPr>
              <w:jc w:val="right"/>
              <w:rPr>
                <w:sz w:val="16"/>
                <w:szCs w:val="16"/>
              </w:rPr>
            </w:pPr>
            <w:r w:rsidRPr="008C0AD6">
              <w:rPr>
                <w:sz w:val="16"/>
                <w:szCs w:val="16"/>
              </w:rPr>
              <w:t>3</w:t>
            </w:r>
          </w:p>
        </w:tc>
        <w:tc>
          <w:tcPr>
            <w:tcW w:w="288" w:type="pct"/>
            <w:tcBorders>
              <w:top w:val="nil"/>
              <w:left w:val="nil"/>
              <w:bottom w:val="single" w:sz="4" w:space="0" w:color="auto"/>
              <w:right w:val="single" w:sz="8" w:space="0" w:color="auto"/>
            </w:tcBorders>
            <w:shd w:val="clear" w:color="auto" w:fill="auto"/>
            <w:noWrap/>
            <w:vAlign w:val="bottom"/>
            <w:hideMark/>
          </w:tcPr>
          <w:p w14:paraId="1E776441" w14:textId="77777777" w:rsidR="008626F4" w:rsidRPr="008C0AD6" w:rsidRDefault="008626F4" w:rsidP="008626F4">
            <w:pPr>
              <w:jc w:val="right"/>
              <w:rPr>
                <w:sz w:val="16"/>
                <w:szCs w:val="16"/>
              </w:rPr>
            </w:pPr>
            <w:r w:rsidRPr="008C0AD6">
              <w:rPr>
                <w:sz w:val="16"/>
                <w:szCs w:val="16"/>
              </w:rPr>
              <w:t>3</w:t>
            </w:r>
          </w:p>
        </w:tc>
        <w:tc>
          <w:tcPr>
            <w:tcW w:w="372" w:type="pct"/>
            <w:tcBorders>
              <w:top w:val="nil"/>
              <w:left w:val="nil"/>
              <w:bottom w:val="single" w:sz="4" w:space="0" w:color="auto"/>
              <w:right w:val="single" w:sz="4" w:space="0" w:color="auto"/>
            </w:tcBorders>
            <w:shd w:val="clear" w:color="auto" w:fill="auto"/>
            <w:noWrap/>
            <w:vAlign w:val="bottom"/>
            <w:hideMark/>
          </w:tcPr>
          <w:p w14:paraId="654DC3D0"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735DF739" w14:textId="497A8923" w:rsidR="008626F4" w:rsidRPr="008C0AD6" w:rsidRDefault="008626F4" w:rsidP="008626F4">
            <w:pPr>
              <w:jc w:val="right"/>
              <w:rPr>
                <w:sz w:val="16"/>
                <w:szCs w:val="16"/>
              </w:rPr>
            </w:pPr>
            <w:r w:rsidRPr="008C0AD6">
              <w:rPr>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14:paraId="76E23ECA"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608FB99A"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04D02A48" w14:textId="0CCBC1F2" w:rsidR="008626F4" w:rsidRPr="008C0AD6" w:rsidRDefault="008626F4" w:rsidP="008626F4">
            <w:pPr>
              <w:jc w:val="right"/>
              <w:rPr>
                <w:sz w:val="16"/>
                <w:szCs w:val="16"/>
              </w:rPr>
            </w:pPr>
            <w:r w:rsidRPr="008C0AD6">
              <w:rPr>
                <w:sz w:val="16"/>
                <w:szCs w:val="16"/>
              </w:rPr>
              <w:t>15</w:t>
            </w:r>
          </w:p>
        </w:tc>
        <w:tc>
          <w:tcPr>
            <w:tcW w:w="295" w:type="pct"/>
            <w:tcBorders>
              <w:top w:val="nil"/>
              <w:left w:val="nil"/>
              <w:bottom w:val="single" w:sz="4" w:space="0" w:color="auto"/>
              <w:right w:val="single" w:sz="8" w:space="0" w:color="auto"/>
            </w:tcBorders>
            <w:shd w:val="clear" w:color="auto" w:fill="auto"/>
            <w:noWrap/>
            <w:vAlign w:val="bottom"/>
            <w:hideMark/>
          </w:tcPr>
          <w:p w14:paraId="40F2BDC2" w14:textId="77777777" w:rsidR="008626F4" w:rsidRPr="00375189" w:rsidRDefault="008626F4" w:rsidP="008626F4">
            <w:pPr>
              <w:jc w:val="right"/>
              <w:rPr>
                <w:sz w:val="16"/>
                <w:szCs w:val="16"/>
              </w:rPr>
            </w:pPr>
            <w:r w:rsidRPr="00375189">
              <w:rPr>
                <w:sz w:val="16"/>
                <w:szCs w:val="16"/>
              </w:rPr>
              <w:t>15</w:t>
            </w:r>
          </w:p>
        </w:tc>
      </w:tr>
      <w:tr w:rsidR="008626F4" w:rsidRPr="00375189" w14:paraId="1CBB07E5" w14:textId="77777777" w:rsidTr="0046314D">
        <w:trPr>
          <w:trHeight w:val="272"/>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6AE545CD" w14:textId="77777777" w:rsidR="008626F4" w:rsidRPr="00375189" w:rsidRDefault="008626F4" w:rsidP="008626F4">
            <w:pPr>
              <w:rPr>
                <w:sz w:val="16"/>
                <w:szCs w:val="16"/>
              </w:rPr>
            </w:pPr>
            <w:r w:rsidRPr="00375189">
              <w:rPr>
                <w:sz w:val="16"/>
                <w:szCs w:val="16"/>
              </w:rPr>
              <w:t>Бургас</w:t>
            </w:r>
          </w:p>
        </w:tc>
        <w:tc>
          <w:tcPr>
            <w:tcW w:w="372" w:type="pct"/>
            <w:tcBorders>
              <w:top w:val="nil"/>
              <w:left w:val="nil"/>
              <w:bottom w:val="single" w:sz="4" w:space="0" w:color="auto"/>
              <w:right w:val="single" w:sz="4" w:space="0" w:color="auto"/>
            </w:tcBorders>
            <w:shd w:val="clear" w:color="auto" w:fill="auto"/>
            <w:noWrap/>
            <w:vAlign w:val="bottom"/>
            <w:hideMark/>
          </w:tcPr>
          <w:p w14:paraId="78B3B4B1"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2127E7CF" w14:textId="0FA731B2" w:rsidR="008626F4" w:rsidRPr="008C0AD6" w:rsidRDefault="008626F4" w:rsidP="008626F4">
            <w:pPr>
              <w:jc w:val="right"/>
              <w:rPr>
                <w:sz w:val="16"/>
                <w:szCs w:val="16"/>
              </w:rPr>
            </w:pPr>
            <w:r w:rsidRPr="008C0AD6">
              <w:rPr>
                <w:sz w:val="16"/>
                <w:szCs w:val="16"/>
              </w:rPr>
              <w:t>100</w:t>
            </w:r>
          </w:p>
        </w:tc>
        <w:tc>
          <w:tcPr>
            <w:tcW w:w="306" w:type="pct"/>
            <w:tcBorders>
              <w:top w:val="nil"/>
              <w:left w:val="nil"/>
              <w:bottom w:val="single" w:sz="4" w:space="0" w:color="auto"/>
              <w:right w:val="single" w:sz="4" w:space="0" w:color="auto"/>
            </w:tcBorders>
            <w:shd w:val="clear" w:color="auto" w:fill="auto"/>
            <w:noWrap/>
            <w:vAlign w:val="bottom"/>
            <w:hideMark/>
          </w:tcPr>
          <w:p w14:paraId="12F4AD45" w14:textId="77777777" w:rsidR="008626F4" w:rsidRPr="008C0AD6" w:rsidRDefault="008626F4" w:rsidP="008626F4">
            <w:pPr>
              <w:jc w:val="right"/>
              <w:rPr>
                <w:sz w:val="16"/>
                <w:szCs w:val="16"/>
              </w:rPr>
            </w:pPr>
            <w:r w:rsidRPr="008C0AD6">
              <w:rPr>
                <w:sz w:val="16"/>
                <w:szCs w:val="16"/>
              </w:rPr>
              <w:t>80,00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4FA7E4F7"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7707BAB5" w14:textId="2F5CF531" w:rsidR="008626F4" w:rsidRPr="008C0AD6" w:rsidRDefault="008626F4" w:rsidP="008626F4">
            <w:pPr>
              <w:jc w:val="right"/>
              <w:rPr>
                <w:sz w:val="16"/>
                <w:szCs w:val="16"/>
              </w:rPr>
            </w:pPr>
            <w:r w:rsidRPr="008C0AD6">
              <w:rPr>
                <w:sz w:val="16"/>
                <w:szCs w:val="16"/>
              </w:rPr>
              <w:t>3</w:t>
            </w:r>
          </w:p>
        </w:tc>
        <w:tc>
          <w:tcPr>
            <w:tcW w:w="288" w:type="pct"/>
            <w:tcBorders>
              <w:top w:val="nil"/>
              <w:left w:val="nil"/>
              <w:bottom w:val="single" w:sz="4" w:space="0" w:color="auto"/>
              <w:right w:val="single" w:sz="8" w:space="0" w:color="auto"/>
            </w:tcBorders>
            <w:shd w:val="clear" w:color="auto" w:fill="auto"/>
            <w:noWrap/>
            <w:vAlign w:val="bottom"/>
            <w:hideMark/>
          </w:tcPr>
          <w:p w14:paraId="7E92AFEE" w14:textId="77777777" w:rsidR="008626F4" w:rsidRPr="008C0AD6" w:rsidRDefault="008626F4" w:rsidP="008626F4">
            <w:pPr>
              <w:jc w:val="right"/>
              <w:rPr>
                <w:sz w:val="16"/>
                <w:szCs w:val="16"/>
              </w:rPr>
            </w:pPr>
            <w:r w:rsidRPr="008C0AD6">
              <w:rPr>
                <w:sz w:val="16"/>
                <w:szCs w:val="16"/>
              </w:rPr>
              <w:t>1</w:t>
            </w:r>
          </w:p>
        </w:tc>
        <w:tc>
          <w:tcPr>
            <w:tcW w:w="372" w:type="pct"/>
            <w:tcBorders>
              <w:top w:val="nil"/>
              <w:left w:val="nil"/>
              <w:bottom w:val="single" w:sz="4" w:space="0" w:color="auto"/>
              <w:right w:val="single" w:sz="4" w:space="0" w:color="auto"/>
            </w:tcBorders>
            <w:shd w:val="clear" w:color="auto" w:fill="auto"/>
            <w:noWrap/>
            <w:vAlign w:val="bottom"/>
            <w:hideMark/>
          </w:tcPr>
          <w:p w14:paraId="5C74392B"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71C1FC43" w14:textId="7E940E48" w:rsidR="008626F4" w:rsidRPr="008C0AD6" w:rsidRDefault="008626F4" w:rsidP="008626F4">
            <w:pPr>
              <w:jc w:val="right"/>
              <w:rPr>
                <w:sz w:val="16"/>
                <w:szCs w:val="16"/>
              </w:rPr>
            </w:pPr>
            <w:r w:rsidRPr="008C0AD6">
              <w:rPr>
                <w:sz w:val="16"/>
                <w:szCs w:val="16"/>
              </w:rPr>
              <w:t>307</w:t>
            </w:r>
          </w:p>
        </w:tc>
        <w:tc>
          <w:tcPr>
            <w:tcW w:w="288" w:type="pct"/>
            <w:tcBorders>
              <w:top w:val="nil"/>
              <w:left w:val="nil"/>
              <w:bottom w:val="single" w:sz="4" w:space="0" w:color="auto"/>
              <w:right w:val="single" w:sz="4" w:space="0" w:color="auto"/>
            </w:tcBorders>
            <w:shd w:val="clear" w:color="auto" w:fill="auto"/>
            <w:noWrap/>
            <w:vAlign w:val="bottom"/>
            <w:hideMark/>
          </w:tcPr>
          <w:p w14:paraId="39F787C8"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6820DDCB"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4FE9A24A" w14:textId="3A8B208B" w:rsidR="008626F4" w:rsidRPr="008C0AD6" w:rsidRDefault="008626F4" w:rsidP="008626F4">
            <w:pPr>
              <w:jc w:val="right"/>
              <w:rPr>
                <w:sz w:val="16"/>
                <w:szCs w:val="16"/>
              </w:rPr>
            </w:pPr>
            <w:r w:rsidRPr="008C0AD6">
              <w:rPr>
                <w:sz w:val="16"/>
                <w:szCs w:val="16"/>
              </w:rPr>
              <w:t>20</w:t>
            </w:r>
          </w:p>
        </w:tc>
        <w:tc>
          <w:tcPr>
            <w:tcW w:w="295" w:type="pct"/>
            <w:tcBorders>
              <w:top w:val="nil"/>
              <w:left w:val="nil"/>
              <w:bottom w:val="single" w:sz="4" w:space="0" w:color="auto"/>
              <w:right w:val="single" w:sz="8" w:space="0" w:color="auto"/>
            </w:tcBorders>
            <w:shd w:val="clear" w:color="auto" w:fill="auto"/>
            <w:noWrap/>
            <w:vAlign w:val="bottom"/>
            <w:hideMark/>
          </w:tcPr>
          <w:p w14:paraId="5103E027" w14:textId="77777777" w:rsidR="008626F4" w:rsidRPr="00375189" w:rsidRDefault="008626F4" w:rsidP="008626F4">
            <w:pPr>
              <w:jc w:val="right"/>
              <w:rPr>
                <w:sz w:val="16"/>
                <w:szCs w:val="16"/>
              </w:rPr>
            </w:pPr>
            <w:r w:rsidRPr="00375189">
              <w:rPr>
                <w:sz w:val="16"/>
                <w:szCs w:val="16"/>
              </w:rPr>
              <w:t>20</w:t>
            </w:r>
          </w:p>
        </w:tc>
      </w:tr>
      <w:tr w:rsidR="008626F4" w:rsidRPr="00375189" w14:paraId="7AAB6D4B"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4E2A99DB" w14:textId="77777777" w:rsidR="008626F4" w:rsidRPr="00375189" w:rsidRDefault="008626F4" w:rsidP="008626F4">
            <w:pPr>
              <w:rPr>
                <w:sz w:val="16"/>
                <w:szCs w:val="16"/>
              </w:rPr>
            </w:pPr>
            <w:r w:rsidRPr="00375189">
              <w:rPr>
                <w:sz w:val="16"/>
                <w:szCs w:val="16"/>
              </w:rPr>
              <w:t>Варна</w:t>
            </w:r>
          </w:p>
        </w:tc>
        <w:tc>
          <w:tcPr>
            <w:tcW w:w="372" w:type="pct"/>
            <w:tcBorders>
              <w:top w:val="nil"/>
              <w:left w:val="nil"/>
              <w:bottom w:val="single" w:sz="4" w:space="0" w:color="auto"/>
              <w:right w:val="single" w:sz="4" w:space="0" w:color="auto"/>
            </w:tcBorders>
            <w:shd w:val="clear" w:color="auto" w:fill="auto"/>
            <w:noWrap/>
            <w:vAlign w:val="bottom"/>
            <w:hideMark/>
          </w:tcPr>
          <w:p w14:paraId="535D5334"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3E4DDA44" w14:textId="17356539" w:rsidR="008626F4" w:rsidRPr="008C0AD6" w:rsidRDefault="008626F4" w:rsidP="008626F4">
            <w:pPr>
              <w:jc w:val="right"/>
              <w:rPr>
                <w:sz w:val="16"/>
                <w:szCs w:val="16"/>
              </w:rPr>
            </w:pPr>
            <w:r w:rsidRPr="008C0AD6">
              <w:rPr>
                <w:sz w:val="16"/>
                <w:szCs w:val="16"/>
              </w:rPr>
              <w:t>100</w:t>
            </w:r>
          </w:p>
        </w:tc>
        <w:tc>
          <w:tcPr>
            <w:tcW w:w="306" w:type="pct"/>
            <w:tcBorders>
              <w:top w:val="nil"/>
              <w:left w:val="nil"/>
              <w:bottom w:val="single" w:sz="4" w:space="0" w:color="auto"/>
              <w:right w:val="single" w:sz="4" w:space="0" w:color="auto"/>
            </w:tcBorders>
            <w:shd w:val="clear" w:color="auto" w:fill="auto"/>
            <w:noWrap/>
            <w:vAlign w:val="bottom"/>
            <w:hideMark/>
          </w:tcPr>
          <w:p w14:paraId="4BBB3D84" w14:textId="77777777" w:rsidR="008626F4" w:rsidRPr="008C0AD6" w:rsidRDefault="008626F4" w:rsidP="008626F4">
            <w:pPr>
              <w:jc w:val="right"/>
              <w:rPr>
                <w:sz w:val="16"/>
                <w:szCs w:val="16"/>
              </w:rPr>
            </w:pPr>
            <w:r w:rsidRPr="008C0AD6">
              <w:rPr>
                <w:sz w:val="16"/>
                <w:szCs w:val="16"/>
              </w:rPr>
              <w:t>100,00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6933D07C"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03D21598" w14:textId="0809C405" w:rsidR="008626F4" w:rsidRPr="008C0AD6" w:rsidRDefault="008626F4" w:rsidP="008626F4">
            <w:pPr>
              <w:jc w:val="right"/>
              <w:rPr>
                <w:sz w:val="16"/>
                <w:szCs w:val="16"/>
              </w:rPr>
            </w:pPr>
            <w:r w:rsidRPr="008C0AD6">
              <w:rPr>
                <w:sz w:val="16"/>
                <w:szCs w:val="16"/>
              </w:rPr>
              <w:t>4</w:t>
            </w:r>
          </w:p>
        </w:tc>
        <w:tc>
          <w:tcPr>
            <w:tcW w:w="288" w:type="pct"/>
            <w:tcBorders>
              <w:top w:val="nil"/>
              <w:left w:val="nil"/>
              <w:bottom w:val="single" w:sz="4" w:space="0" w:color="auto"/>
              <w:right w:val="single" w:sz="8" w:space="0" w:color="auto"/>
            </w:tcBorders>
            <w:shd w:val="clear" w:color="auto" w:fill="auto"/>
            <w:noWrap/>
            <w:vAlign w:val="bottom"/>
            <w:hideMark/>
          </w:tcPr>
          <w:p w14:paraId="2D9314F4" w14:textId="77777777" w:rsidR="008626F4" w:rsidRPr="008C0AD6" w:rsidRDefault="008626F4" w:rsidP="008626F4">
            <w:pPr>
              <w:jc w:val="right"/>
              <w:rPr>
                <w:sz w:val="16"/>
                <w:szCs w:val="16"/>
              </w:rPr>
            </w:pPr>
            <w:r w:rsidRPr="008C0AD6">
              <w:rPr>
                <w:sz w:val="16"/>
                <w:szCs w:val="16"/>
              </w:rPr>
              <w:t>3</w:t>
            </w:r>
          </w:p>
        </w:tc>
        <w:tc>
          <w:tcPr>
            <w:tcW w:w="372" w:type="pct"/>
            <w:tcBorders>
              <w:top w:val="nil"/>
              <w:left w:val="nil"/>
              <w:bottom w:val="single" w:sz="4" w:space="0" w:color="auto"/>
              <w:right w:val="single" w:sz="4" w:space="0" w:color="auto"/>
            </w:tcBorders>
            <w:shd w:val="clear" w:color="auto" w:fill="auto"/>
            <w:noWrap/>
            <w:vAlign w:val="bottom"/>
            <w:hideMark/>
          </w:tcPr>
          <w:p w14:paraId="7E9798F9"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18D47B7A" w14:textId="1D333C77" w:rsidR="008626F4" w:rsidRPr="008C0AD6" w:rsidRDefault="008626F4" w:rsidP="008626F4">
            <w:pPr>
              <w:jc w:val="right"/>
              <w:rPr>
                <w:sz w:val="16"/>
                <w:szCs w:val="16"/>
              </w:rPr>
            </w:pPr>
            <w:r w:rsidRPr="008C0AD6">
              <w:rPr>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14:paraId="2A91A3E7"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3049B1AE"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1632351C" w14:textId="0114ECCD" w:rsidR="008626F4" w:rsidRPr="008C0AD6" w:rsidRDefault="008626F4" w:rsidP="008626F4">
            <w:pPr>
              <w:jc w:val="right"/>
              <w:rPr>
                <w:sz w:val="16"/>
                <w:szCs w:val="16"/>
              </w:rPr>
            </w:pPr>
            <w:r w:rsidRPr="008C0AD6">
              <w:rPr>
                <w:sz w:val="16"/>
                <w:szCs w:val="16"/>
              </w:rPr>
              <w:t>30</w:t>
            </w:r>
          </w:p>
        </w:tc>
        <w:tc>
          <w:tcPr>
            <w:tcW w:w="295" w:type="pct"/>
            <w:tcBorders>
              <w:top w:val="nil"/>
              <w:left w:val="nil"/>
              <w:bottom w:val="single" w:sz="4" w:space="0" w:color="auto"/>
              <w:right w:val="single" w:sz="8" w:space="0" w:color="auto"/>
            </w:tcBorders>
            <w:shd w:val="clear" w:color="auto" w:fill="auto"/>
            <w:noWrap/>
            <w:vAlign w:val="bottom"/>
            <w:hideMark/>
          </w:tcPr>
          <w:p w14:paraId="1F2C1EEF" w14:textId="77777777" w:rsidR="008626F4" w:rsidRPr="00375189" w:rsidRDefault="008626F4" w:rsidP="008626F4">
            <w:pPr>
              <w:jc w:val="right"/>
              <w:rPr>
                <w:sz w:val="16"/>
                <w:szCs w:val="16"/>
              </w:rPr>
            </w:pPr>
            <w:r w:rsidRPr="00375189">
              <w:rPr>
                <w:sz w:val="16"/>
                <w:szCs w:val="16"/>
              </w:rPr>
              <w:t>30</w:t>
            </w:r>
          </w:p>
        </w:tc>
      </w:tr>
      <w:tr w:rsidR="008626F4" w:rsidRPr="00375189" w14:paraId="5E4DAB8E" w14:textId="77777777" w:rsidTr="0046314D">
        <w:trPr>
          <w:trHeight w:val="277"/>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1D8CD879" w14:textId="77777777" w:rsidR="008626F4" w:rsidRPr="00375189" w:rsidRDefault="008626F4" w:rsidP="008626F4">
            <w:pPr>
              <w:rPr>
                <w:sz w:val="16"/>
                <w:szCs w:val="16"/>
              </w:rPr>
            </w:pPr>
            <w:r w:rsidRPr="00375189">
              <w:rPr>
                <w:sz w:val="16"/>
                <w:szCs w:val="16"/>
              </w:rPr>
              <w:t>Велико Търново</w:t>
            </w:r>
          </w:p>
        </w:tc>
        <w:tc>
          <w:tcPr>
            <w:tcW w:w="372" w:type="pct"/>
            <w:tcBorders>
              <w:top w:val="nil"/>
              <w:left w:val="nil"/>
              <w:bottom w:val="single" w:sz="4" w:space="0" w:color="auto"/>
              <w:right w:val="single" w:sz="4" w:space="0" w:color="auto"/>
            </w:tcBorders>
            <w:shd w:val="clear" w:color="auto" w:fill="auto"/>
            <w:noWrap/>
            <w:vAlign w:val="bottom"/>
            <w:hideMark/>
          </w:tcPr>
          <w:p w14:paraId="3F59681C"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63FBBEF4" w14:textId="17743BA6" w:rsidR="008626F4" w:rsidRPr="008C0AD6" w:rsidRDefault="008626F4" w:rsidP="008626F4">
            <w:pPr>
              <w:jc w:val="right"/>
              <w:rPr>
                <w:sz w:val="16"/>
                <w:szCs w:val="16"/>
              </w:rPr>
            </w:pPr>
            <w:r w:rsidRPr="008C0AD6">
              <w:rPr>
                <w:sz w:val="16"/>
                <w:szCs w:val="16"/>
              </w:rPr>
              <w:t>90</w:t>
            </w:r>
          </w:p>
        </w:tc>
        <w:tc>
          <w:tcPr>
            <w:tcW w:w="306" w:type="pct"/>
            <w:tcBorders>
              <w:top w:val="nil"/>
              <w:left w:val="nil"/>
              <w:bottom w:val="single" w:sz="4" w:space="0" w:color="auto"/>
              <w:right w:val="single" w:sz="4" w:space="0" w:color="auto"/>
            </w:tcBorders>
            <w:shd w:val="clear" w:color="auto" w:fill="auto"/>
            <w:noWrap/>
            <w:vAlign w:val="bottom"/>
            <w:hideMark/>
          </w:tcPr>
          <w:p w14:paraId="4BD98D1A" w14:textId="77777777" w:rsidR="008626F4" w:rsidRPr="008C0AD6" w:rsidRDefault="008626F4" w:rsidP="008626F4">
            <w:pPr>
              <w:jc w:val="right"/>
              <w:rPr>
                <w:sz w:val="16"/>
                <w:szCs w:val="16"/>
              </w:rPr>
            </w:pPr>
            <w:r w:rsidRPr="008C0AD6">
              <w:rPr>
                <w:sz w:val="16"/>
                <w:szCs w:val="16"/>
              </w:rPr>
              <w:t>100,00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7406FEF3"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4B6FAEAE" w14:textId="2E5D8613" w:rsidR="008626F4" w:rsidRPr="008C0AD6" w:rsidRDefault="008626F4" w:rsidP="008626F4">
            <w:pPr>
              <w:jc w:val="right"/>
              <w:rPr>
                <w:sz w:val="16"/>
                <w:szCs w:val="16"/>
              </w:rPr>
            </w:pPr>
            <w:r w:rsidRPr="008C0AD6">
              <w:rPr>
                <w:sz w:val="16"/>
                <w:szCs w:val="16"/>
              </w:rPr>
              <w:t>2</w:t>
            </w:r>
          </w:p>
        </w:tc>
        <w:tc>
          <w:tcPr>
            <w:tcW w:w="288" w:type="pct"/>
            <w:tcBorders>
              <w:top w:val="nil"/>
              <w:left w:val="nil"/>
              <w:bottom w:val="single" w:sz="4" w:space="0" w:color="auto"/>
              <w:right w:val="single" w:sz="8" w:space="0" w:color="auto"/>
            </w:tcBorders>
            <w:shd w:val="clear" w:color="auto" w:fill="auto"/>
            <w:noWrap/>
            <w:vAlign w:val="bottom"/>
            <w:hideMark/>
          </w:tcPr>
          <w:p w14:paraId="168D3389" w14:textId="77777777" w:rsidR="008626F4" w:rsidRPr="008C0AD6" w:rsidRDefault="008626F4" w:rsidP="008626F4">
            <w:pPr>
              <w:jc w:val="right"/>
              <w:rPr>
                <w:sz w:val="16"/>
                <w:szCs w:val="16"/>
              </w:rPr>
            </w:pPr>
            <w:r w:rsidRPr="008C0AD6">
              <w:rPr>
                <w:sz w:val="16"/>
                <w:szCs w:val="16"/>
              </w:rPr>
              <w:t>2</w:t>
            </w:r>
          </w:p>
        </w:tc>
        <w:tc>
          <w:tcPr>
            <w:tcW w:w="372" w:type="pct"/>
            <w:tcBorders>
              <w:top w:val="nil"/>
              <w:left w:val="nil"/>
              <w:bottom w:val="single" w:sz="4" w:space="0" w:color="auto"/>
              <w:right w:val="single" w:sz="4" w:space="0" w:color="auto"/>
            </w:tcBorders>
            <w:shd w:val="clear" w:color="auto" w:fill="auto"/>
            <w:noWrap/>
            <w:vAlign w:val="bottom"/>
            <w:hideMark/>
          </w:tcPr>
          <w:p w14:paraId="41FEDEF1"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69BBAB06" w14:textId="035CC544" w:rsidR="008626F4" w:rsidRPr="008C0AD6" w:rsidRDefault="008626F4" w:rsidP="008626F4">
            <w:pPr>
              <w:jc w:val="right"/>
              <w:rPr>
                <w:sz w:val="16"/>
                <w:szCs w:val="16"/>
              </w:rPr>
            </w:pPr>
            <w:r w:rsidRPr="008C0AD6">
              <w:rPr>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14:paraId="5F9CFF76"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25013C7E"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3B7A7375" w14:textId="4C45DE28" w:rsidR="008626F4" w:rsidRPr="008C0AD6" w:rsidRDefault="008626F4" w:rsidP="008626F4">
            <w:pPr>
              <w:jc w:val="right"/>
              <w:rPr>
                <w:sz w:val="16"/>
                <w:szCs w:val="16"/>
              </w:rPr>
            </w:pPr>
            <w:r w:rsidRPr="008C0AD6">
              <w:rPr>
                <w:sz w:val="16"/>
                <w:szCs w:val="16"/>
              </w:rPr>
              <w:t>25</w:t>
            </w:r>
          </w:p>
        </w:tc>
        <w:tc>
          <w:tcPr>
            <w:tcW w:w="295" w:type="pct"/>
            <w:tcBorders>
              <w:top w:val="nil"/>
              <w:left w:val="nil"/>
              <w:bottom w:val="single" w:sz="4" w:space="0" w:color="auto"/>
              <w:right w:val="single" w:sz="8" w:space="0" w:color="auto"/>
            </w:tcBorders>
            <w:shd w:val="clear" w:color="auto" w:fill="auto"/>
            <w:noWrap/>
            <w:vAlign w:val="bottom"/>
            <w:hideMark/>
          </w:tcPr>
          <w:p w14:paraId="63AC267E" w14:textId="77777777" w:rsidR="008626F4" w:rsidRPr="00375189" w:rsidRDefault="008626F4" w:rsidP="008626F4">
            <w:pPr>
              <w:jc w:val="right"/>
              <w:rPr>
                <w:sz w:val="16"/>
                <w:szCs w:val="16"/>
              </w:rPr>
            </w:pPr>
            <w:r w:rsidRPr="00375189">
              <w:rPr>
                <w:sz w:val="16"/>
                <w:szCs w:val="16"/>
              </w:rPr>
              <w:t>25</w:t>
            </w:r>
          </w:p>
        </w:tc>
      </w:tr>
      <w:tr w:rsidR="008626F4" w:rsidRPr="00375189" w14:paraId="70DA942E"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64BB431F" w14:textId="77777777" w:rsidR="008626F4" w:rsidRPr="00375189" w:rsidRDefault="008626F4" w:rsidP="008626F4">
            <w:pPr>
              <w:rPr>
                <w:sz w:val="16"/>
                <w:szCs w:val="16"/>
              </w:rPr>
            </w:pPr>
            <w:r w:rsidRPr="00375189">
              <w:rPr>
                <w:sz w:val="16"/>
                <w:szCs w:val="16"/>
              </w:rPr>
              <w:t>Видин</w:t>
            </w:r>
          </w:p>
        </w:tc>
        <w:tc>
          <w:tcPr>
            <w:tcW w:w="372" w:type="pct"/>
            <w:tcBorders>
              <w:top w:val="nil"/>
              <w:left w:val="nil"/>
              <w:bottom w:val="single" w:sz="4" w:space="0" w:color="auto"/>
              <w:right w:val="single" w:sz="4" w:space="0" w:color="auto"/>
            </w:tcBorders>
            <w:shd w:val="clear" w:color="auto" w:fill="auto"/>
            <w:noWrap/>
            <w:vAlign w:val="bottom"/>
            <w:hideMark/>
          </w:tcPr>
          <w:p w14:paraId="7F0AE29C"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5FA47F85" w14:textId="49BC8C9B" w:rsidR="008626F4" w:rsidRPr="008C0AD6" w:rsidRDefault="008626F4" w:rsidP="008626F4">
            <w:pPr>
              <w:jc w:val="right"/>
              <w:rPr>
                <w:sz w:val="16"/>
                <w:szCs w:val="16"/>
              </w:rPr>
            </w:pPr>
            <w:r w:rsidRPr="008C0AD6">
              <w:rPr>
                <w:sz w:val="16"/>
                <w:szCs w:val="16"/>
              </w:rPr>
              <w:t>100</w:t>
            </w:r>
          </w:p>
        </w:tc>
        <w:tc>
          <w:tcPr>
            <w:tcW w:w="306" w:type="pct"/>
            <w:tcBorders>
              <w:top w:val="nil"/>
              <w:left w:val="nil"/>
              <w:bottom w:val="single" w:sz="4" w:space="0" w:color="auto"/>
              <w:right w:val="single" w:sz="4" w:space="0" w:color="auto"/>
            </w:tcBorders>
            <w:shd w:val="clear" w:color="auto" w:fill="auto"/>
            <w:noWrap/>
            <w:vAlign w:val="bottom"/>
            <w:hideMark/>
          </w:tcPr>
          <w:p w14:paraId="44BCED1B" w14:textId="77777777" w:rsidR="008626F4" w:rsidRPr="008C0AD6" w:rsidRDefault="008626F4" w:rsidP="008626F4">
            <w:pPr>
              <w:jc w:val="right"/>
              <w:rPr>
                <w:sz w:val="16"/>
                <w:szCs w:val="16"/>
              </w:rPr>
            </w:pPr>
            <w:r w:rsidRPr="008C0AD6">
              <w:rPr>
                <w:sz w:val="16"/>
                <w:szCs w:val="16"/>
              </w:rPr>
              <w:t>85,71</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1EE0EBD8"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35C47870" w14:textId="3223A502" w:rsidR="008626F4" w:rsidRPr="008C0AD6" w:rsidRDefault="008626F4" w:rsidP="008626F4">
            <w:pPr>
              <w:jc w:val="right"/>
              <w:rPr>
                <w:sz w:val="16"/>
                <w:szCs w:val="16"/>
              </w:rPr>
            </w:pPr>
            <w:r w:rsidRPr="008C0AD6">
              <w:rPr>
                <w:sz w:val="16"/>
                <w:szCs w:val="16"/>
              </w:rPr>
              <w:t>4</w:t>
            </w:r>
          </w:p>
        </w:tc>
        <w:tc>
          <w:tcPr>
            <w:tcW w:w="288" w:type="pct"/>
            <w:tcBorders>
              <w:top w:val="nil"/>
              <w:left w:val="nil"/>
              <w:bottom w:val="single" w:sz="4" w:space="0" w:color="auto"/>
              <w:right w:val="single" w:sz="8" w:space="0" w:color="auto"/>
            </w:tcBorders>
            <w:shd w:val="clear" w:color="auto" w:fill="auto"/>
            <w:noWrap/>
            <w:vAlign w:val="bottom"/>
            <w:hideMark/>
          </w:tcPr>
          <w:p w14:paraId="4D4D38A7" w14:textId="77777777" w:rsidR="008626F4" w:rsidRPr="008C0AD6" w:rsidRDefault="008626F4" w:rsidP="008626F4">
            <w:pPr>
              <w:jc w:val="right"/>
              <w:rPr>
                <w:sz w:val="16"/>
                <w:szCs w:val="16"/>
              </w:rPr>
            </w:pPr>
            <w:r w:rsidRPr="008C0AD6">
              <w:rPr>
                <w:sz w:val="16"/>
                <w:szCs w:val="16"/>
              </w:rPr>
              <w:t>7</w:t>
            </w:r>
          </w:p>
        </w:tc>
        <w:tc>
          <w:tcPr>
            <w:tcW w:w="372" w:type="pct"/>
            <w:tcBorders>
              <w:top w:val="nil"/>
              <w:left w:val="nil"/>
              <w:bottom w:val="single" w:sz="4" w:space="0" w:color="auto"/>
              <w:right w:val="single" w:sz="4" w:space="0" w:color="auto"/>
            </w:tcBorders>
            <w:shd w:val="clear" w:color="auto" w:fill="auto"/>
            <w:noWrap/>
            <w:vAlign w:val="bottom"/>
            <w:hideMark/>
          </w:tcPr>
          <w:p w14:paraId="268341F3"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1485D49B" w14:textId="71FD747A" w:rsidR="008626F4" w:rsidRPr="008C0AD6" w:rsidRDefault="008626F4" w:rsidP="008626F4">
            <w:pPr>
              <w:jc w:val="right"/>
              <w:rPr>
                <w:sz w:val="16"/>
                <w:szCs w:val="16"/>
              </w:rPr>
            </w:pPr>
            <w:r w:rsidRPr="008C0AD6">
              <w:rPr>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14:paraId="6D3A032A"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65985FB0"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219BBF7A" w14:textId="56AC6552" w:rsidR="008626F4" w:rsidRPr="008C0AD6" w:rsidRDefault="008626F4" w:rsidP="008626F4">
            <w:pPr>
              <w:jc w:val="right"/>
              <w:rPr>
                <w:sz w:val="16"/>
                <w:szCs w:val="16"/>
              </w:rPr>
            </w:pPr>
            <w:r w:rsidRPr="008C0AD6">
              <w:rPr>
                <w:sz w:val="16"/>
                <w:szCs w:val="16"/>
              </w:rPr>
              <w:t>21</w:t>
            </w:r>
          </w:p>
        </w:tc>
        <w:tc>
          <w:tcPr>
            <w:tcW w:w="295" w:type="pct"/>
            <w:tcBorders>
              <w:top w:val="nil"/>
              <w:left w:val="nil"/>
              <w:bottom w:val="single" w:sz="4" w:space="0" w:color="auto"/>
              <w:right w:val="single" w:sz="8" w:space="0" w:color="auto"/>
            </w:tcBorders>
            <w:shd w:val="clear" w:color="auto" w:fill="auto"/>
            <w:noWrap/>
            <w:vAlign w:val="bottom"/>
            <w:hideMark/>
          </w:tcPr>
          <w:p w14:paraId="6F0D6B4E" w14:textId="77777777" w:rsidR="008626F4" w:rsidRPr="00375189" w:rsidRDefault="008626F4" w:rsidP="008626F4">
            <w:pPr>
              <w:jc w:val="right"/>
              <w:rPr>
                <w:sz w:val="16"/>
                <w:szCs w:val="16"/>
              </w:rPr>
            </w:pPr>
            <w:r w:rsidRPr="00375189">
              <w:rPr>
                <w:sz w:val="16"/>
                <w:szCs w:val="16"/>
              </w:rPr>
              <w:t>21</w:t>
            </w:r>
          </w:p>
        </w:tc>
      </w:tr>
      <w:tr w:rsidR="008626F4" w:rsidRPr="00375189" w14:paraId="3D7C6DBF"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0C73AADD" w14:textId="77777777" w:rsidR="008626F4" w:rsidRPr="00375189" w:rsidRDefault="008626F4" w:rsidP="008626F4">
            <w:pPr>
              <w:rPr>
                <w:sz w:val="16"/>
                <w:szCs w:val="16"/>
              </w:rPr>
            </w:pPr>
            <w:r w:rsidRPr="00375189">
              <w:rPr>
                <w:sz w:val="16"/>
                <w:szCs w:val="16"/>
              </w:rPr>
              <w:t>Враца</w:t>
            </w:r>
          </w:p>
        </w:tc>
        <w:tc>
          <w:tcPr>
            <w:tcW w:w="372" w:type="pct"/>
            <w:tcBorders>
              <w:top w:val="nil"/>
              <w:left w:val="nil"/>
              <w:bottom w:val="single" w:sz="4" w:space="0" w:color="auto"/>
              <w:right w:val="single" w:sz="4" w:space="0" w:color="auto"/>
            </w:tcBorders>
            <w:shd w:val="clear" w:color="auto" w:fill="auto"/>
            <w:noWrap/>
            <w:vAlign w:val="bottom"/>
            <w:hideMark/>
          </w:tcPr>
          <w:p w14:paraId="4C6EA764"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4C188FA1" w14:textId="5DC27C87" w:rsidR="008626F4" w:rsidRPr="008C0AD6" w:rsidRDefault="008626F4" w:rsidP="008626F4">
            <w:pPr>
              <w:jc w:val="right"/>
              <w:rPr>
                <w:sz w:val="16"/>
                <w:szCs w:val="16"/>
              </w:rPr>
            </w:pPr>
            <w:r w:rsidRPr="008C0AD6">
              <w:rPr>
                <w:sz w:val="16"/>
                <w:szCs w:val="16"/>
              </w:rPr>
              <w:t>100</w:t>
            </w:r>
          </w:p>
        </w:tc>
        <w:tc>
          <w:tcPr>
            <w:tcW w:w="306" w:type="pct"/>
            <w:tcBorders>
              <w:top w:val="nil"/>
              <w:left w:val="nil"/>
              <w:bottom w:val="single" w:sz="4" w:space="0" w:color="auto"/>
              <w:right w:val="single" w:sz="4" w:space="0" w:color="auto"/>
            </w:tcBorders>
            <w:shd w:val="clear" w:color="auto" w:fill="auto"/>
            <w:noWrap/>
            <w:vAlign w:val="bottom"/>
            <w:hideMark/>
          </w:tcPr>
          <w:p w14:paraId="654AE755" w14:textId="77777777" w:rsidR="008626F4" w:rsidRPr="008C0AD6" w:rsidRDefault="008626F4" w:rsidP="008626F4">
            <w:pPr>
              <w:jc w:val="right"/>
              <w:rPr>
                <w:sz w:val="16"/>
                <w:szCs w:val="16"/>
              </w:rPr>
            </w:pPr>
            <w:r w:rsidRPr="008C0AD6">
              <w:rPr>
                <w:sz w:val="16"/>
                <w:szCs w:val="16"/>
              </w:rPr>
              <w:t>100,00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05998B8A"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6E8AD092" w14:textId="281C583C" w:rsidR="008626F4" w:rsidRPr="008C0AD6" w:rsidRDefault="008626F4" w:rsidP="008626F4">
            <w:pPr>
              <w:jc w:val="right"/>
              <w:rPr>
                <w:sz w:val="16"/>
                <w:szCs w:val="16"/>
              </w:rPr>
            </w:pPr>
            <w:r w:rsidRPr="008C0AD6">
              <w:rPr>
                <w:sz w:val="16"/>
                <w:szCs w:val="16"/>
              </w:rPr>
              <w:t>2</w:t>
            </w:r>
          </w:p>
        </w:tc>
        <w:tc>
          <w:tcPr>
            <w:tcW w:w="288" w:type="pct"/>
            <w:tcBorders>
              <w:top w:val="nil"/>
              <w:left w:val="nil"/>
              <w:bottom w:val="single" w:sz="4" w:space="0" w:color="auto"/>
              <w:right w:val="single" w:sz="8" w:space="0" w:color="auto"/>
            </w:tcBorders>
            <w:shd w:val="clear" w:color="auto" w:fill="auto"/>
            <w:noWrap/>
            <w:vAlign w:val="bottom"/>
            <w:hideMark/>
          </w:tcPr>
          <w:p w14:paraId="5E706E05" w14:textId="77777777" w:rsidR="008626F4" w:rsidRPr="008C0AD6" w:rsidRDefault="008626F4" w:rsidP="008626F4">
            <w:pPr>
              <w:jc w:val="right"/>
              <w:rPr>
                <w:sz w:val="16"/>
                <w:szCs w:val="16"/>
              </w:rPr>
            </w:pPr>
            <w:r w:rsidRPr="008C0AD6">
              <w:rPr>
                <w:sz w:val="16"/>
                <w:szCs w:val="16"/>
              </w:rPr>
              <w:t>2</w:t>
            </w:r>
          </w:p>
        </w:tc>
        <w:tc>
          <w:tcPr>
            <w:tcW w:w="372" w:type="pct"/>
            <w:tcBorders>
              <w:top w:val="nil"/>
              <w:left w:val="nil"/>
              <w:bottom w:val="single" w:sz="4" w:space="0" w:color="auto"/>
              <w:right w:val="single" w:sz="4" w:space="0" w:color="auto"/>
            </w:tcBorders>
            <w:shd w:val="clear" w:color="auto" w:fill="auto"/>
            <w:noWrap/>
            <w:vAlign w:val="bottom"/>
            <w:hideMark/>
          </w:tcPr>
          <w:p w14:paraId="1A398EC2"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2D267342" w14:textId="45BAF7E0" w:rsidR="008626F4" w:rsidRPr="008C0AD6" w:rsidRDefault="008626F4" w:rsidP="008626F4">
            <w:pPr>
              <w:jc w:val="right"/>
              <w:rPr>
                <w:sz w:val="16"/>
                <w:szCs w:val="16"/>
              </w:rPr>
            </w:pPr>
            <w:r w:rsidRPr="008C0AD6">
              <w:rPr>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14:paraId="37206918"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716C8772"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6B95166C" w14:textId="5D5976AD" w:rsidR="008626F4" w:rsidRPr="008C0AD6" w:rsidRDefault="008626F4" w:rsidP="008626F4">
            <w:pPr>
              <w:jc w:val="right"/>
              <w:rPr>
                <w:sz w:val="16"/>
                <w:szCs w:val="16"/>
              </w:rPr>
            </w:pPr>
            <w:r w:rsidRPr="008C0AD6">
              <w:rPr>
                <w:sz w:val="16"/>
                <w:szCs w:val="16"/>
              </w:rPr>
              <w:t>20</w:t>
            </w:r>
          </w:p>
        </w:tc>
        <w:tc>
          <w:tcPr>
            <w:tcW w:w="295" w:type="pct"/>
            <w:tcBorders>
              <w:top w:val="nil"/>
              <w:left w:val="nil"/>
              <w:bottom w:val="single" w:sz="4" w:space="0" w:color="auto"/>
              <w:right w:val="single" w:sz="8" w:space="0" w:color="auto"/>
            </w:tcBorders>
            <w:shd w:val="clear" w:color="auto" w:fill="auto"/>
            <w:noWrap/>
            <w:vAlign w:val="bottom"/>
            <w:hideMark/>
          </w:tcPr>
          <w:p w14:paraId="518A30BC" w14:textId="77777777" w:rsidR="008626F4" w:rsidRPr="00375189" w:rsidRDefault="008626F4" w:rsidP="008626F4">
            <w:pPr>
              <w:jc w:val="right"/>
              <w:rPr>
                <w:sz w:val="16"/>
                <w:szCs w:val="16"/>
              </w:rPr>
            </w:pPr>
            <w:r w:rsidRPr="00375189">
              <w:rPr>
                <w:sz w:val="16"/>
                <w:szCs w:val="16"/>
              </w:rPr>
              <w:t>20</w:t>
            </w:r>
          </w:p>
        </w:tc>
      </w:tr>
      <w:tr w:rsidR="008626F4" w:rsidRPr="00375189" w14:paraId="488691FF"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698AFCDE" w14:textId="77777777" w:rsidR="008626F4" w:rsidRPr="00375189" w:rsidRDefault="008626F4" w:rsidP="008626F4">
            <w:pPr>
              <w:rPr>
                <w:sz w:val="16"/>
                <w:szCs w:val="16"/>
              </w:rPr>
            </w:pPr>
            <w:r w:rsidRPr="00375189">
              <w:rPr>
                <w:sz w:val="16"/>
                <w:szCs w:val="16"/>
              </w:rPr>
              <w:t>Габрово</w:t>
            </w:r>
          </w:p>
        </w:tc>
        <w:tc>
          <w:tcPr>
            <w:tcW w:w="372" w:type="pct"/>
            <w:tcBorders>
              <w:top w:val="nil"/>
              <w:left w:val="nil"/>
              <w:bottom w:val="single" w:sz="4" w:space="0" w:color="auto"/>
              <w:right w:val="single" w:sz="4" w:space="0" w:color="auto"/>
            </w:tcBorders>
            <w:shd w:val="clear" w:color="auto" w:fill="auto"/>
            <w:noWrap/>
            <w:vAlign w:val="bottom"/>
            <w:hideMark/>
          </w:tcPr>
          <w:p w14:paraId="1413D19A"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575CCB93" w14:textId="1955AE27" w:rsidR="008626F4" w:rsidRPr="008C0AD6" w:rsidRDefault="008626F4" w:rsidP="008626F4">
            <w:pPr>
              <w:jc w:val="right"/>
              <w:rPr>
                <w:sz w:val="16"/>
                <w:szCs w:val="16"/>
              </w:rPr>
            </w:pPr>
            <w:r w:rsidRPr="008C0AD6">
              <w:rPr>
                <w:sz w:val="16"/>
                <w:szCs w:val="16"/>
              </w:rPr>
              <w:t>100</w:t>
            </w:r>
          </w:p>
        </w:tc>
        <w:tc>
          <w:tcPr>
            <w:tcW w:w="306" w:type="pct"/>
            <w:tcBorders>
              <w:top w:val="nil"/>
              <w:left w:val="nil"/>
              <w:bottom w:val="single" w:sz="4" w:space="0" w:color="auto"/>
              <w:right w:val="single" w:sz="4" w:space="0" w:color="auto"/>
            </w:tcBorders>
            <w:shd w:val="clear" w:color="auto" w:fill="auto"/>
            <w:noWrap/>
            <w:vAlign w:val="bottom"/>
            <w:hideMark/>
          </w:tcPr>
          <w:p w14:paraId="1DFA9CF2" w14:textId="77777777" w:rsidR="008626F4" w:rsidRPr="008C0AD6" w:rsidRDefault="008626F4" w:rsidP="008626F4">
            <w:pPr>
              <w:jc w:val="right"/>
              <w:rPr>
                <w:sz w:val="16"/>
                <w:szCs w:val="16"/>
              </w:rPr>
            </w:pPr>
            <w:r w:rsidRPr="008C0AD6">
              <w:rPr>
                <w:sz w:val="16"/>
                <w:szCs w:val="16"/>
              </w:rPr>
              <w:t>0,00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3263C1E3"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3811F05D" w14:textId="40E18CC9" w:rsidR="008626F4" w:rsidRPr="008C0AD6" w:rsidRDefault="008626F4" w:rsidP="008626F4">
            <w:pPr>
              <w:jc w:val="right"/>
              <w:rPr>
                <w:sz w:val="16"/>
                <w:szCs w:val="16"/>
              </w:rPr>
            </w:pPr>
            <w:r w:rsidRPr="008C0AD6">
              <w:rPr>
                <w:sz w:val="16"/>
                <w:szCs w:val="16"/>
              </w:rPr>
              <w:t>1</w:t>
            </w:r>
          </w:p>
        </w:tc>
        <w:tc>
          <w:tcPr>
            <w:tcW w:w="288" w:type="pct"/>
            <w:tcBorders>
              <w:top w:val="nil"/>
              <w:left w:val="nil"/>
              <w:bottom w:val="single" w:sz="4" w:space="0" w:color="auto"/>
              <w:right w:val="single" w:sz="8" w:space="0" w:color="auto"/>
            </w:tcBorders>
            <w:shd w:val="clear" w:color="auto" w:fill="auto"/>
            <w:noWrap/>
            <w:vAlign w:val="bottom"/>
            <w:hideMark/>
          </w:tcPr>
          <w:p w14:paraId="233F03E4"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nil"/>
              <w:bottom w:val="single" w:sz="4" w:space="0" w:color="auto"/>
              <w:right w:val="single" w:sz="4" w:space="0" w:color="auto"/>
            </w:tcBorders>
            <w:shd w:val="clear" w:color="auto" w:fill="auto"/>
            <w:noWrap/>
            <w:vAlign w:val="bottom"/>
            <w:hideMark/>
          </w:tcPr>
          <w:p w14:paraId="43850F14"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62A05685" w14:textId="71A16AA4" w:rsidR="008626F4" w:rsidRPr="008C0AD6" w:rsidRDefault="008626F4" w:rsidP="008626F4">
            <w:pPr>
              <w:jc w:val="right"/>
              <w:rPr>
                <w:sz w:val="16"/>
                <w:szCs w:val="16"/>
              </w:rPr>
            </w:pPr>
            <w:r w:rsidRPr="008C0AD6">
              <w:rPr>
                <w:sz w:val="16"/>
                <w:szCs w:val="16"/>
              </w:rPr>
              <w:t>10</w:t>
            </w:r>
          </w:p>
        </w:tc>
        <w:tc>
          <w:tcPr>
            <w:tcW w:w="288" w:type="pct"/>
            <w:tcBorders>
              <w:top w:val="nil"/>
              <w:left w:val="nil"/>
              <w:bottom w:val="single" w:sz="4" w:space="0" w:color="auto"/>
              <w:right w:val="single" w:sz="4" w:space="0" w:color="auto"/>
            </w:tcBorders>
            <w:shd w:val="clear" w:color="auto" w:fill="auto"/>
            <w:noWrap/>
            <w:vAlign w:val="bottom"/>
            <w:hideMark/>
          </w:tcPr>
          <w:p w14:paraId="3C240781" w14:textId="77777777" w:rsidR="008626F4" w:rsidRPr="008C0AD6" w:rsidRDefault="008626F4" w:rsidP="008626F4">
            <w:pPr>
              <w:jc w:val="right"/>
              <w:rPr>
                <w:sz w:val="16"/>
                <w:szCs w:val="16"/>
              </w:rPr>
            </w:pPr>
            <w:r w:rsidRPr="008C0AD6">
              <w:rPr>
                <w:sz w:val="16"/>
                <w:szCs w:val="16"/>
              </w:rPr>
              <w:t>10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4D40BBE0"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47745C50" w14:textId="1D63E9F0" w:rsidR="008626F4" w:rsidRPr="008C0AD6" w:rsidRDefault="008626F4" w:rsidP="008626F4">
            <w:pPr>
              <w:jc w:val="right"/>
              <w:rPr>
                <w:sz w:val="16"/>
                <w:szCs w:val="16"/>
              </w:rPr>
            </w:pPr>
            <w:r w:rsidRPr="008C0AD6">
              <w:rPr>
                <w:sz w:val="16"/>
                <w:szCs w:val="16"/>
              </w:rPr>
              <w:t>17</w:t>
            </w:r>
          </w:p>
        </w:tc>
        <w:tc>
          <w:tcPr>
            <w:tcW w:w="295" w:type="pct"/>
            <w:tcBorders>
              <w:top w:val="nil"/>
              <w:left w:val="nil"/>
              <w:bottom w:val="single" w:sz="4" w:space="0" w:color="auto"/>
              <w:right w:val="single" w:sz="8" w:space="0" w:color="auto"/>
            </w:tcBorders>
            <w:shd w:val="clear" w:color="auto" w:fill="auto"/>
            <w:noWrap/>
            <w:vAlign w:val="bottom"/>
            <w:hideMark/>
          </w:tcPr>
          <w:p w14:paraId="56063E08" w14:textId="77777777" w:rsidR="008626F4" w:rsidRPr="00375189" w:rsidRDefault="008626F4" w:rsidP="008626F4">
            <w:pPr>
              <w:jc w:val="right"/>
              <w:rPr>
                <w:sz w:val="16"/>
                <w:szCs w:val="16"/>
              </w:rPr>
            </w:pPr>
            <w:r w:rsidRPr="00375189">
              <w:rPr>
                <w:sz w:val="16"/>
                <w:szCs w:val="16"/>
              </w:rPr>
              <w:t>17</w:t>
            </w:r>
          </w:p>
        </w:tc>
      </w:tr>
      <w:tr w:rsidR="008626F4" w:rsidRPr="00375189" w14:paraId="0AFD1334"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6D9BBC59" w14:textId="77777777" w:rsidR="008626F4" w:rsidRPr="00375189" w:rsidRDefault="008626F4" w:rsidP="008626F4">
            <w:pPr>
              <w:rPr>
                <w:sz w:val="16"/>
                <w:szCs w:val="16"/>
              </w:rPr>
            </w:pPr>
            <w:r w:rsidRPr="00375189">
              <w:rPr>
                <w:sz w:val="16"/>
                <w:szCs w:val="16"/>
              </w:rPr>
              <w:t>Добрич</w:t>
            </w:r>
          </w:p>
        </w:tc>
        <w:tc>
          <w:tcPr>
            <w:tcW w:w="372" w:type="pct"/>
            <w:tcBorders>
              <w:top w:val="nil"/>
              <w:left w:val="nil"/>
              <w:bottom w:val="single" w:sz="4" w:space="0" w:color="auto"/>
              <w:right w:val="single" w:sz="4" w:space="0" w:color="auto"/>
            </w:tcBorders>
            <w:shd w:val="clear" w:color="auto" w:fill="auto"/>
            <w:noWrap/>
            <w:vAlign w:val="bottom"/>
            <w:hideMark/>
          </w:tcPr>
          <w:p w14:paraId="0A95A4F0"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29E52F61" w14:textId="2995E4BC" w:rsidR="008626F4" w:rsidRPr="008C0AD6" w:rsidRDefault="008626F4" w:rsidP="008626F4">
            <w:pPr>
              <w:jc w:val="right"/>
              <w:rPr>
                <w:sz w:val="16"/>
                <w:szCs w:val="16"/>
              </w:rPr>
            </w:pPr>
            <w:r w:rsidRPr="008C0AD6">
              <w:rPr>
                <w:sz w:val="16"/>
                <w:szCs w:val="16"/>
              </w:rPr>
              <w:t>60</w:t>
            </w:r>
          </w:p>
        </w:tc>
        <w:tc>
          <w:tcPr>
            <w:tcW w:w="306" w:type="pct"/>
            <w:tcBorders>
              <w:top w:val="nil"/>
              <w:left w:val="nil"/>
              <w:bottom w:val="single" w:sz="4" w:space="0" w:color="auto"/>
              <w:right w:val="single" w:sz="4" w:space="0" w:color="auto"/>
            </w:tcBorders>
            <w:shd w:val="clear" w:color="auto" w:fill="auto"/>
            <w:noWrap/>
            <w:vAlign w:val="bottom"/>
            <w:hideMark/>
          </w:tcPr>
          <w:p w14:paraId="58576BD0" w14:textId="77777777" w:rsidR="008626F4" w:rsidRPr="008C0AD6" w:rsidRDefault="008626F4" w:rsidP="008626F4">
            <w:pPr>
              <w:jc w:val="right"/>
              <w:rPr>
                <w:sz w:val="16"/>
                <w:szCs w:val="16"/>
              </w:rPr>
            </w:pPr>
            <w:r w:rsidRPr="008C0AD6">
              <w:rPr>
                <w:sz w:val="16"/>
                <w:szCs w:val="16"/>
              </w:rPr>
              <w:t>67,00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2CCFE0A8"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3DEA5B8E" w14:textId="45F5779C" w:rsidR="008626F4" w:rsidRPr="008C0AD6" w:rsidRDefault="008626F4" w:rsidP="008626F4">
            <w:pPr>
              <w:jc w:val="right"/>
              <w:rPr>
                <w:sz w:val="16"/>
                <w:szCs w:val="16"/>
              </w:rPr>
            </w:pPr>
            <w:r w:rsidRPr="008C0AD6">
              <w:rPr>
                <w:sz w:val="16"/>
                <w:szCs w:val="16"/>
              </w:rPr>
              <w:t>1</w:t>
            </w:r>
          </w:p>
        </w:tc>
        <w:tc>
          <w:tcPr>
            <w:tcW w:w="288" w:type="pct"/>
            <w:tcBorders>
              <w:top w:val="nil"/>
              <w:left w:val="nil"/>
              <w:bottom w:val="single" w:sz="4" w:space="0" w:color="auto"/>
              <w:right w:val="single" w:sz="8" w:space="0" w:color="auto"/>
            </w:tcBorders>
            <w:shd w:val="clear" w:color="auto" w:fill="auto"/>
            <w:noWrap/>
            <w:vAlign w:val="bottom"/>
            <w:hideMark/>
          </w:tcPr>
          <w:p w14:paraId="62C73E36"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nil"/>
              <w:bottom w:val="single" w:sz="4" w:space="0" w:color="auto"/>
              <w:right w:val="single" w:sz="4" w:space="0" w:color="auto"/>
            </w:tcBorders>
            <w:shd w:val="clear" w:color="auto" w:fill="auto"/>
            <w:noWrap/>
            <w:vAlign w:val="bottom"/>
            <w:hideMark/>
          </w:tcPr>
          <w:p w14:paraId="10AA7F7A"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77E92756" w14:textId="0004007C" w:rsidR="008626F4" w:rsidRPr="008C0AD6" w:rsidRDefault="008626F4" w:rsidP="008626F4">
            <w:pPr>
              <w:jc w:val="right"/>
              <w:rPr>
                <w:sz w:val="16"/>
                <w:szCs w:val="16"/>
              </w:rPr>
            </w:pPr>
            <w:r w:rsidRPr="008C0AD6">
              <w:rPr>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14:paraId="4696FB0A"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29297E95"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37E9ECB3" w14:textId="6286FE6E" w:rsidR="008626F4" w:rsidRPr="008C0AD6" w:rsidRDefault="008626F4" w:rsidP="008626F4">
            <w:pPr>
              <w:jc w:val="right"/>
              <w:rPr>
                <w:sz w:val="16"/>
                <w:szCs w:val="16"/>
              </w:rPr>
            </w:pPr>
            <w:r w:rsidRPr="008C0AD6">
              <w:rPr>
                <w:sz w:val="16"/>
                <w:szCs w:val="16"/>
              </w:rPr>
              <w:t>16</w:t>
            </w:r>
          </w:p>
        </w:tc>
        <w:tc>
          <w:tcPr>
            <w:tcW w:w="295" w:type="pct"/>
            <w:tcBorders>
              <w:top w:val="nil"/>
              <w:left w:val="nil"/>
              <w:bottom w:val="single" w:sz="4" w:space="0" w:color="auto"/>
              <w:right w:val="single" w:sz="8" w:space="0" w:color="auto"/>
            </w:tcBorders>
            <w:shd w:val="clear" w:color="auto" w:fill="auto"/>
            <w:noWrap/>
            <w:vAlign w:val="bottom"/>
            <w:hideMark/>
          </w:tcPr>
          <w:p w14:paraId="242A6F50" w14:textId="77777777" w:rsidR="008626F4" w:rsidRPr="00375189" w:rsidRDefault="008626F4" w:rsidP="008626F4">
            <w:pPr>
              <w:jc w:val="right"/>
              <w:rPr>
                <w:sz w:val="16"/>
                <w:szCs w:val="16"/>
              </w:rPr>
            </w:pPr>
            <w:r w:rsidRPr="00375189">
              <w:rPr>
                <w:sz w:val="16"/>
                <w:szCs w:val="16"/>
              </w:rPr>
              <w:t>17</w:t>
            </w:r>
          </w:p>
        </w:tc>
      </w:tr>
      <w:tr w:rsidR="008626F4" w:rsidRPr="00375189" w14:paraId="61BF6FFD"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29D65BC7" w14:textId="77777777" w:rsidR="008626F4" w:rsidRPr="00375189" w:rsidRDefault="008626F4" w:rsidP="008626F4">
            <w:pPr>
              <w:rPr>
                <w:sz w:val="16"/>
                <w:szCs w:val="16"/>
              </w:rPr>
            </w:pPr>
            <w:r w:rsidRPr="00375189">
              <w:rPr>
                <w:sz w:val="16"/>
                <w:szCs w:val="16"/>
              </w:rPr>
              <w:t>Кърджали</w:t>
            </w:r>
          </w:p>
        </w:tc>
        <w:tc>
          <w:tcPr>
            <w:tcW w:w="372" w:type="pct"/>
            <w:tcBorders>
              <w:top w:val="nil"/>
              <w:left w:val="nil"/>
              <w:bottom w:val="single" w:sz="4" w:space="0" w:color="auto"/>
              <w:right w:val="single" w:sz="4" w:space="0" w:color="auto"/>
            </w:tcBorders>
            <w:shd w:val="clear" w:color="auto" w:fill="auto"/>
            <w:noWrap/>
            <w:vAlign w:val="bottom"/>
            <w:hideMark/>
          </w:tcPr>
          <w:p w14:paraId="1F8BA960"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4BED97AC" w14:textId="7A8851E7" w:rsidR="008626F4" w:rsidRPr="008C0AD6" w:rsidRDefault="008626F4" w:rsidP="008626F4">
            <w:pPr>
              <w:jc w:val="right"/>
              <w:rPr>
                <w:sz w:val="16"/>
                <w:szCs w:val="16"/>
              </w:rPr>
            </w:pPr>
            <w:r w:rsidRPr="008C0AD6">
              <w:rPr>
                <w:sz w:val="16"/>
                <w:szCs w:val="16"/>
              </w:rPr>
              <w:t>90</w:t>
            </w:r>
          </w:p>
        </w:tc>
        <w:tc>
          <w:tcPr>
            <w:tcW w:w="306" w:type="pct"/>
            <w:tcBorders>
              <w:top w:val="nil"/>
              <w:left w:val="nil"/>
              <w:bottom w:val="single" w:sz="4" w:space="0" w:color="auto"/>
              <w:right w:val="single" w:sz="4" w:space="0" w:color="auto"/>
            </w:tcBorders>
            <w:shd w:val="clear" w:color="auto" w:fill="auto"/>
            <w:noWrap/>
            <w:vAlign w:val="bottom"/>
            <w:hideMark/>
          </w:tcPr>
          <w:p w14:paraId="74E08C7B" w14:textId="77777777" w:rsidR="008626F4" w:rsidRPr="008C0AD6" w:rsidRDefault="008626F4" w:rsidP="008626F4">
            <w:pPr>
              <w:jc w:val="right"/>
              <w:rPr>
                <w:sz w:val="16"/>
                <w:szCs w:val="16"/>
              </w:rPr>
            </w:pPr>
            <w:r w:rsidRPr="008C0AD6">
              <w:rPr>
                <w:sz w:val="16"/>
                <w:szCs w:val="16"/>
              </w:rPr>
              <w:t>100,00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657A3335"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1C0B6115" w14:textId="45E8865E" w:rsidR="008626F4" w:rsidRPr="008C0AD6" w:rsidRDefault="008626F4" w:rsidP="008626F4">
            <w:pPr>
              <w:jc w:val="right"/>
              <w:rPr>
                <w:sz w:val="16"/>
                <w:szCs w:val="16"/>
              </w:rPr>
            </w:pPr>
            <w:r w:rsidRPr="008C0AD6">
              <w:rPr>
                <w:sz w:val="16"/>
                <w:szCs w:val="16"/>
              </w:rPr>
              <w:t>3</w:t>
            </w:r>
          </w:p>
        </w:tc>
        <w:tc>
          <w:tcPr>
            <w:tcW w:w="288" w:type="pct"/>
            <w:tcBorders>
              <w:top w:val="nil"/>
              <w:left w:val="nil"/>
              <w:bottom w:val="single" w:sz="4" w:space="0" w:color="auto"/>
              <w:right w:val="single" w:sz="8" w:space="0" w:color="auto"/>
            </w:tcBorders>
            <w:shd w:val="clear" w:color="auto" w:fill="auto"/>
            <w:noWrap/>
            <w:vAlign w:val="bottom"/>
            <w:hideMark/>
          </w:tcPr>
          <w:p w14:paraId="7B981A86" w14:textId="77777777" w:rsidR="008626F4" w:rsidRPr="008C0AD6" w:rsidRDefault="008626F4" w:rsidP="008626F4">
            <w:pPr>
              <w:jc w:val="right"/>
              <w:rPr>
                <w:sz w:val="16"/>
                <w:szCs w:val="16"/>
              </w:rPr>
            </w:pPr>
            <w:r w:rsidRPr="008C0AD6">
              <w:rPr>
                <w:sz w:val="16"/>
                <w:szCs w:val="16"/>
              </w:rPr>
              <w:t>2</w:t>
            </w:r>
          </w:p>
        </w:tc>
        <w:tc>
          <w:tcPr>
            <w:tcW w:w="372" w:type="pct"/>
            <w:tcBorders>
              <w:top w:val="nil"/>
              <w:left w:val="nil"/>
              <w:bottom w:val="single" w:sz="4" w:space="0" w:color="auto"/>
              <w:right w:val="single" w:sz="4" w:space="0" w:color="auto"/>
            </w:tcBorders>
            <w:shd w:val="clear" w:color="auto" w:fill="auto"/>
            <w:noWrap/>
            <w:vAlign w:val="bottom"/>
            <w:hideMark/>
          </w:tcPr>
          <w:p w14:paraId="153E73DA"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17EF3EB3" w14:textId="121E252D" w:rsidR="008626F4" w:rsidRPr="008C0AD6" w:rsidRDefault="008626F4" w:rsidP="008626F4">
            <w:pPr>
              <w:jc w:val="right"/>
              <w:rPr>
                <w:sz w:val="16"/>
                <w:szCs w:val="16"/>
              </w:rPr>
            </w:pPr>
            <w:r w:rsidRPr="008C0AD6">
              <w:rPr>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14:paraId="50451DF6"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069B4468"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0D9BFBB0" w14:textId="56E399EB" w:rsidR="008626F4" w:rsidRPr="008C0AD6" w:rsidRDefault="008626F4" w:rsidP="008626F4">
            <w:pPr>
              <w:jc w:val="right"/>
              <w:rPr>
                <w:sz w:val="16"/>
                <w:szCs w:val="16"/>
              </w:rPr>
            </w:pPr>
            <w:r w:rsidRPr="008C0AD6">
              <w:rPr>
                <w:sz w:val="16"/>
                <w:szCs w:val="16"/>
              </w:rPr>
              <w:t>22</w:t>
            </w:r>
          </w:p>
        </w:tc>
        <w:tc>
          <w:tcPr>
            <w:tcW w:w="295" w:type="pct"/>
            <w:tcBorders>
              <w:top w:val="nil"/>
              <w:left w:val="nil"/>
              <w:bottom w:val="single" w:sz="4" w:space="0" w:color="auto"/>
              <w:right w:val="single" w:sz="8" w:space="0" w:color="auto"/>
            </w:tcBorders>
            <w:shd w:val="clear" w:color="auto" w:fill="auto"/>
            <w:noWrap/>
            <w:vAlign w:val="bottom"/>
            <w:hideMark/>
          </w:tcPr>
          <w:p w14:paraId="3413415E" w14:textId="77777777" w:rsidR="008626F4" w:rsidRPr="00375189" w:rsidRDefault="008626F4" w:rsidP="008626F4">
            <w:pPr>
              <w:jc w:val="right"/>
              <w:rPr>
                <w:sz w:val="16"/>
                <w:szCs w:val="16"/>
              </w:rPr>
            </w:pPr>
            <w:r w:rsidRPr="00375189">
              <w:rPr>
                <w:sz w:val="16"/>
                <w:szCs w:val="16"/>
              </w:rPr>
              <w:t>22</w:t>
            </w:r>
          </w:p>
        </w:tc>
      </w:tr>
      <w:tr w:rsidR="008626F4" w:rsidRPr="00375189" w14:paraId="4C99847D"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083829A3" w14:textId="77777777" w:rsidR="008626F4" w:rsidRPr="00375189" w:rsidRDefault="008626F4" w:rsidP="008626F4">
            <w:pPr>
              <w:rPr>
                <w:sz w:val="16"/>
                <w:szCs w:val="16"/>
              </w:rPr>
            </w:pPr>
            <w:r w:rsidRPr="00375189">
              <w:rPr>
                <w:sz w:val="16"/>
                <w:szCs w:val="16"/>
              </w:rPr>
              <w:t>Кюстендил</w:t>
            </w:r>
          </w:p>
        </w:tc>
        <w:tc>
          <w:tcPr>
            <w:tcW w:w="372" w:type="pct"/>
            <w:tcBorders>
              <w:top w:val="nil"/>
              <w:left w:val="nil"/>
              <w:bottom w:val="single" w:sz="4" w:space="0" w:color="auto"/>
              <w:right w:val="single" w:sz="4" w:space="0" w:color="auto"/>
            </w:tcBorders>
            <w:shd w:val="clear" w:color="auto" w:fill="auto"/>
            <w:noWrap/>
            <w:vAlign w:val="bottom"/>
            <w:hideMark/>
          </w:tcPr>
          <w:p w14:paraId="6DA1F4D4"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793A6611" w14:textId="53F9FDC4" w:rsidR="008626F4" w:rsidRPr="008C0AD6" w:rsidRDefault="008626F4" w:rsidP="008626F4">
            <w:pPr>
              <w:jc w:val="right"/>
              <w:rPr>
                <w:sz w:val="16"/>
                <w:szCs w:val="16"/>
              </w:rPr>
            </w:pPr>
            <w:r w:rsidRPr="008C0AD6">
              <w:rPr>
                <w:sz w:val="16"/>
                <w:szCs w:val="16"/>
              </w:rPr>
              <w:t>80</w:t>
            </w:r>
          </w:p>
        </w:tc>
        <w:tc>
          <w:tcPr>
            <w:tcW w:w="306" w:type="pct"/>
            <w:tcBorders>
              <w:top w:val="nil"/>
              <w:left w:val="nil"/>
              <w:bottom w:val="single" w:sz="4" w:space="0" w:color="auto"/>
              <w:right w:val="single" w:sz="4" w:space="0" w:color="auto"/>
            </w:tcBorders>
            <w:shd w:val="clear" w:color="auto" w:fill="auto"/>
            <w:noWrap/>
            <w:vAlign w:val="bottom"/>
            <w:hideMark/>
          </w:tcPr>
          <w:p w14:paraId="506AA086" w14:textId="77777777" w:rsidR="008626F4" w:rsidRPr="008C0AD6" w:rsidRDefault="008626F4" w:rsidP="008626F4">
            <w:pPr>
              <w:jc w:val="right"/>
              <w:rPr>
                <w:sz w:val="16"/>
                <w:szCs w:val="16"/>
              </w:rPr>
            </w:pPr>
            <w:r w:rsidRPr="008C0AD6">
              <w:rPr>
                <w:sz w:val="16"/>
                <w:szCs w:val="16"/>
              </w:rPr>
              <w:t>93,33</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259D0262"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13712AF1" w14:textId="7C22C282" w:rsidR="008626F4" w:rsidRPr="008C0AD6" w:rsidRDefault="008626F4" w:rsidP="008626F4">
            <w:pPr>
              <w:jc w:val="right"/>
              <w:rPr>
                <w:sz w:val="16"/>
                <w:szCs w:val="16"/>
              </w:rPr>
            </w:pPr>
            <w:r w:rsidRPr="008C0AD6">
              <w:rPr>
                <w:sz w:val="16"/>
                <w:szCs w:val="16"/>
              </w:rPr>
              <w:t>3</w:t>
            </w:r>
          </w:p>
        </w:tc>
        <w:tc>
          <w:tcPr>
            <w:tcW w:w="288" w:type="pct"/>
            <w:tcBorders>
              <w:top w:val="nil"/>
              <w:left w:val="nil"/>
              <w:bottom w:val="single" w:sz="4" w:space="0" w:color="auto"/>
              <w:right w:val="single" w:sz="8" w:space="0" w:color="auto"/>
            </w:tcBorders>
            <w:shd w:val="clear" w:color="auto" w:fill="auto"/>
            <w:noWrap/>
            <w:vAlign w:val="bottom"/>
            <w:hideMark/>
          </w:tcPr>
          <w:p w14:paraId="77892202" w14:textId="77777777" w:rsidR="008626F4" w:rsidRPr="008C0AD6" w:rsidRDefault="008626F4" w:rsidP="008626F4">
            <w:pPr>
              <w:jc w:val="right"/>
              <w:rPr>
                <w:sz w:val="16"/>
                <w:szCs w:val="16"/>
              </w:rPr>
            </w:pPr>
            <w:r w:rsidRPr="008C0AD6">
              <w:rPr>
                <w:sz w:val="16"/>
                <w:szCs w:val="16"/>
              </w:rPr>
              <w:t>2</w:t>
            </w:r>
          </w:p>
        </w:tc>
        <w:tc>
          <w:tcPr>
            <w:tcW w:w="372" w:type="pct"/>
            <w:tcBorders>
              <w:top w:val="nil"/>
              <w:left w:val="nil"/>
              <w:bottom w:val="single" w:sz="4" w:space="0" w:color="auto"/>
              <w:right w:val="single" w:sz="4" w:space="0" w:color="auto"/>
            </w:tcBorders>
            <w:shd w:val="clear" w:color="auto" w:fill="auto"/>
            <w:noWrap/>
            <w:vAlign w:val="bottom"/>
            <w:hideMark/>
          </w:tcPr>
          <w:p w14:paraId="62EAAB59"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5FBC62A7" w14:textId="6864ECC0" w:rsidR="008626F4" w:rsidRPr="008C0AD6" w:rsidRDefault="008626F4" w:rsidP="008626F4">
            <w:pPr>
              <w:jc w:val="right"/>
              <w:rPr>
                <w:sz w:val="16"/>
                <w:szCs w:val="16"/>
              </w:rPr>
            </w:pPr>
            <w:r w:rsidRPr="008C0AD6">
              <w:rPr>
                <w:sz w:val="16"/>
                <w:szCs w:val="16"/>
              </w:rPr>
              <w:t>20</w:t>
            </w:r>
          </w:p>
        </w:tc>
        <w:tc>
          <w:tcPr>
            <w:tcW w:w="288" w:type="pct"/>
            <w:tcBorders>
              <w:top w:val="nil"/>
              <w:left w:val="nil"/>
              <w:bottom w:val="single" w:sz="4" w:space="0" w:color="auto"/>
              <w:right w:val="single" w:sz="4" w:space="0" w:color="auto"/>
            </w:tcBorders>
            <w:shd w:val="clear" w:color="auto" w:fill="auto"/>
            <w:noWrap/>
            <w:vAlign w:val="bottom"/>
            <w:hideMark/>
          </w:tcPr>
          <w:p w14:paraId="59217B08" w14:textId="77777777" w:rsidR="008626F4" w:rsidRPr="008C0AD6" w:rsidRDefault="008626F4" w:rsidP="008626F4">
            <w:pPr>
              <w:jc w:val="right"/>
              <w:rPr>
                <w:sz w:val="16"/>
                <w:szCs w:val="16"/>
              </w:rPr>
            </w:pPr>
            <w:r w:rsidRPr="008C0AD6">
              <w:rPr>
                <w:sz w:val="16"/>
                <w:szCs w:val="16"/>
              </w:rPr>
              <w:t>20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7479BDFE"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7D7A9C2D" w14:textId="095C8D64" w:rsidR="008626F4" w:rsidRPr="008C0AD6" w:rsidRDefault="008626F4" w:rsidP="008626F4">
            <w:pPr>
              <w:jc w:val="right"/>
              <w:rPr>
                <w:sz w:val="16"/>
                <w:szCs w:val="16"/>
              </w:rPr>
            </w:pPr>
            <w:r w:rsidRPr="008C0AD6">
              <w:rPr>
                <w:sz w:val="16"/>
                <w:szCs w:val="16"/>
              </w:rPr>
              <w:t>16</w:t>
            </w:r>
          </w:p>
        </w:tc>
        <w:tc>
          <w:tcPr>
            <w:tcW w:w="295" w:type="pct"/>
            <w:tcBorders>
              <w:top w:val="nil"/>
              <w:left w:val="nil"/>
              <w:bottom w:val="single" w:sz="4" w:space="0" w:color="auto"/>
              <w:right w:val="single" w:sz="8" w:space="0" w:color="auto"/>
            </w:tcBorders>
            <w:shd w:val="clear" w:color="auto" w:fill="auto"/>
            <w:noWrap/>
            <w:vAlign w:val="bottom"/>
            <w:hideMark/>
          </w:tcPr>
          <w:p w14:paraId="63C6618F" w14:textId="77777777" w:rsidR="008626F4" w:rsidRPr="00375189" w:rsidRDefault="008626F4" w:rsidP="008626F4">
            <w:pPr>
              <w:jc w:val="right"/>
              <w:rPr>
                <w:sz w:val="16"/>
                <w:szCs w:val="16"/>
              </w:rPr>
            </w:pPr>
            <w:r w:rsidRPr="00375189">
              <w:rPr>
                <w:sz w:val="16"/>
                <w:szCs w:val="16"/>
              </w:rPr>
              <w:t>16</w:t>
            </w:r>
          </w:p>
        </w:tc>
      </w:tr>
      <w:tr w:rsidR="008626F4" w:rsidRPr="00375189" w14:paraId="1D5D9F46"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387C8B93" w14:textId="77777777" w:rsidR="008626F4" w:rsidRPr="00375189" w:rsidRDefault="008626F4" w:rsidP="008626F4">
            <w:pPr>
              <w:rPr>
                <w:sz w:val="16"/>
                <w:szCs w:val="16"/>
              </w:rPr>
            </w:pPr>
            <w:r w:rsidRPr="00375189">
              <w:rPr>
                <w:sz w:val="16"/>
                <w:szCs w:val="16"/>
              </w:rPr>
              <w:t>Ловеч</w:t>
            </w:r>
          </w:p>
        </w:tc>
        <w:tc>
          <w:tcPr>
            <w:tcW w:w="372" w:type="pct"/>
            <w:tcBorders>
              <w:top w:val="nil"/>
              <w:left w:val="nil"/>
              <w:bottom w:val="single" w:sz="4" w:space="0" w:color="auto"/>
              <w:right w:val="single" w:sz="4" w:space="0" w:color="auto"/>
            </w:tcBorders>
            <w:shd w:val="clear" w:color="auto" w:fill="auto"/>
            <w:noWrap/>
            <w:vAlign w:val="bottom"/>
            <w:hideMark/>
          </w:tcPr>
          <w:p w14:paraId="1D0349EA"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223762BD" w14:textId="037548EF" w:rsidR="008626F4" w:rsidRPr="008C0AD6" w:rsidRDefault="008626F4" w:rsidP="008626F4">
            <w:pPr>
              <w:jc w:val="right"/>
              <w:rPr>
                <w:sz w:val="16"/>
                <w:szCs w:val="16"/>
              </w:rPr>
            </w:pPr>
            <w:r w:rsidRPr="008C0AD6">
              <w:rPr>
                <w:sz w:val="16"/>
                <w:szCs w:val="16"/>
              </w:rPr>
              <w:t>100</w:t>
            </w:r>
          </w:p>
        </w:tc>
        <w:tc>
          <w:tcPr>
            <w:tcW w:w="306" w:type="pct"/>
            <w:tcBorders>
              <w:top w:val="nil"/>
              <w:left w:val="nil"/>
              <w:bottom w:val="single" w:sz="4" w:space="0" w:color="auto"/>
              <w:right w:val="single" w:sz="4" w:space="0" w:color="auto"/>
            </w:tcBorders>
            <w:shd w:val="clear" w:color="auto" w:fill="auto"/>
            <w:noWrap/>
            <w:vAlign w:val="bottom"/>
            <w:hideMark/>
          </w:tcPr>
          <w:p w14:paraId="41D3A023" w14:textId="77777777" w:rsidR="008626F4" w:rsidRPr="008C0AD6" w:rsidRDefault="008626F4" w:rsidP="008626F4">
            <w:pPr>
              <w:jc w:val="right"/>
              <w:rPr>
                <w:sz w:val="16"/>
                <w:szCs w:val="16"/>
              </w:rPr>
            </w:pPr>
            <w:r w:rsidRPr="008C0AD6">
              <w:rPr>
                <w:sz w:val="16"/>
                <w:szCs w:val="16"/>
              </w:rPr>
              <w:t>100,00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6EB33062"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6B541F5A" w14:textId="283CFCDD" w:rsidR="008626F4" w:rsidRPr="008C0AD6" w:rsidRDefault="008626F4" w:rsidP="008626F4">
            <w:pPr>
              <w:jc w:val="right"/>
              <w:rPr>
                <w:sz w:val="16"/>
                <w:szCs w:val="16"/>
              </w:rPr>
            </w:pPr>
            <w:r w:rsidRPr="008C0AD6">
              <w:rPr>
                <w:sz w:val="16"/>
                <w:szCs w:val="16"/>
              </w:rPr>
              <w:t>3</w:t>
            </w:r>
          </w:p>
        </w:tc>
        <w:tc>
          <w:tcPr>
            <w:tcW w:w="288" w:type="pct"/>
            <w:tcBorders>
              <w:top w:val="nil"/>
              <w:left w:val="nil"/>
              <w:bottom w:val="single" w:sz="4" w:space="0" w:color="auto"/>
              <w:right w:val="single" w:sz="8" w:space="0" w:color="auto"/>
            </w:tcBorders>
            <w:shd w:val="clear" w:color="auto" w:fill="auto"/>
            <w:noWrap/>
            <w:vAlign w:val="bottom"/>
            <w:hideMark/>
          </w:tcPr>
          <w:p w14:paraId="1543B45D" w14:textId="77777777" w:rsidR="008626F4" w:rsidRPr="008C0AD6" w:rsidRDefault="008626F4" w:rsidP="008626F4">
            <w:pPr>
              <w:jc w:val="right"/>
              <w:rPr>
                <w:sz w:val="16"/>
                <w:szCs w:val="16"/>
              </w:rPr>
            </w:pPr>
            <w:r w:rsidRPr="008C0AD6">
              <w:rPr>
                <w:sz w:val="16"/>
                <w:szCs w:val="16"/>
              </w:rPr>
              <w:t>2</w:t>
            </w:r>
          </w:p>
        </w:tc>
        <w:tc>
          <w:tcPr>
            <w:tcW w:w="372" w:type="pct"/>
            <w:tcBorders>
              <w:top w:val="nil"/>
              <w:left w:val="nil"/>
              <w:bottom w:val="single" w:sz="4" w:space="0" w:color="auto"/>
              <w:right w:val="single" w:sz="4" w:space="0" w:color="auto"/>
            </w:tcBorders>
            <w:shd w:val="clear" w:color="auto" w:fill="auto"/>
            <w:noWrap/>
            <w:vAlign w:val="bottom"/>
            <w:hideMark/>
          </w:tcPr>
          <w:p w14:paraId="616B0037"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60F4332B" w14:textId="38E8DCDE" w:rsidR="008626F4" w:rsidRPr="008C0AD6" w:rsidRDefault="008626F4" w:rsidP="008626F4">
            <w:pPr>
              <w:jc w:val="right"/>
              <w:rPr>
                <w:sz w:val="16"/>
                <w:szCs w:val="16"/>
              </w:rPr>
            </w:pPr>
            <w:r w:rsidRPr="008C0AD6">
              <w:rPr>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14:paraId="135BD5C3"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452444D9"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1B721CB7" w14:textId="720BEC17" w:rsidR="008626F4" w:rsidRPr="008C0AD6" w:rsidRDefault="008626F4" w:rsidP="008626F4">
            <w:pPr>
              <w:jc w:val="right"/>
              <w:rPr>
                <w:sz w:val="16"/>
                <w:szCs w:val="16"/>
              </w:rPr>
            </w:pPr>
            <w:r w:rsidRPr="008C0AD6">
              <w:rPr>
                <w:sz w:val="16"/>
                <w:szCs w:val="16"/>
              </w:rPr>
              <w:t>21</w:t>
            </w:r>
          </w:p>
        </w:tc>
        <w:tc>
          <w:tcPr>
            <w:tcW w:w="295" w:type="pct"/>
            <w:tcBorders>
              <w:top w:val="nil"/>
              <w:left w:val="nil"/>
              <w:bottom w:val="single" w:sz="4" w:space="0" w:color="auto"/>
              <w:right w:val="single" w:sz="8" w:space="0" w:color="auto"/>
            </w:tcBorders>
            <w:shd w:val="clear" w:color="auto" w:fill="auto"/>
            <w:noWrap/>
            <w:vAlign w:val="bottom"/>
            <w:hideMark/>
          </w:tcPr>
          <w:p w14:paraId="03C450D5" w14:textId="77777777" w:rsidR="008626F4" w:rsidRPr="00375189" w:rsidRDefault="008626F4" w:rsidP="008626F4">
            <w:pPr>
              <w:jc w:val="right"/>
              <w:rPr>
                <w:sz w:val="16"/>
                <w:szCs w:val="16"/>
              </w:rPr>
            </w:pPr>
            <w:r w:rsidRPr="00375189">
              <w:rPr>
                <w:sz w:val="16"/>
                <w:szCs w:val="16"/>
              </w:rPr>
              <w:t>21</w:t>
            </w:r>
          </w:p>
        </w:tc>
      </w:tr>
      <w:tr w:rsidR="008626F4" w:rsidRPr="00375189" w14:paraId="763DF8FB"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2BB3F422" w14:textId="77777777" w:rsidR="008626F4" w:rsidRPr="00375189" w:rsidRDefault="008626F4" w:rsidP="008626F4">
            <w:pPr>
              <w:rPr>
                <w:sz w:val="16"/>
                <w:szCs w:val="16"/>
              </w:rPr>
            </w:pPr>
            <w:r w:rsidRPr="00375189">
              <w:rPr>
                <w:sz w:val="16"/>
                <w:szCs w:val="16"/>
              </w:rPr>
              <w:t>Монтана</w:t>
            </w:r>
          </w:p>
        </w:tc>
        <w:tc>
          <w:tcPr>
            <w:tcW w:w="372" w:type="pct"/>
            <w:tcBorders>
              <w:top w:val="nil"/>
              <w:left w:val="nil"/>
              <w:bottom w:val="single" w:sz="4" w:space="0" w:color="auto"/>
              <w:right w:val="single" w:sz="4" w:space="0" w:color="auto"/>
            </w:tcBorders>
            <w:shd w:val="clear" w:color="auto" w:fill="auto"/>
            <w:noWrap/>
            <w:vAlign w:val="bottom"/>
            <w:hideMark/>
          </w:tcPr>
          <w:p w14:paraId="31A97C91"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4E1C93B4" w14:textId="356B2DB0" w:rsidR="008626F4" w:rsidRPr="008C0AD6" w:rsidRDefault="008626F4" w:rsidP="008626F4">
            <w:pPr>
              <w:jc w:val="right"/>
              <w:rPr>
                <w:sz w:val="16"/>
                <w:szCs w:val="16"/>
              </w:rPr>
            </w:pPr>
            <w:r w:rsidRPr="008C0AD6">
              <w:rPr>
                <w:sz w:val="16"/>
                <w:szCs w:val="16"/>
              </w:rPr>
              <w:t>80</w:t>
            </w:r>
          </w:p>
        </w:tc>
        <w:tc>
          <w:tcPr>
            <w:tcW w:w="306" w:type="pct"/>
            <w:tcBorders>
              <w:top w:val="nil"/>
              <w:left w:val="nil"/>
              <w:bottom w:val="single" w:sz="4" w:space="0" w:color="auto"/>
              <w:right w:val="single" w:sz="4" w:space="0" w:color="auto"/>
            </w:tcBorders>
            <w:shd w:val="clear" w:color="auto" w:fill="auto"/>
            <w:noWrap/>
            <w:vAlign w:val="bottom"/>
            <w:hideMark/>
          </w:tcPr>
          <w:p w14:paraId="395B2FBE" w14:textId="77777777" w:rsidR="008626F4" w:rsidRPr="008C0AD6" w:rsidRDefault="008626F4" w:rsidP="008626F4">
            <w:pPr>
              <w:jc w:val="right"/>
              <w:rPr>
                <w:sz w:val="16"/>
                <w:szCs w:val="16"/>
              </w:rPr>
            </w:pPr>
            <w:r w:rsidRPr="008C0AD6">
              <w:rPr>
                <w:sz w:val="16"/>
                <w:szCs w:val="16"/>
              </w:rPr>
              <w:t>100,00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7A434D35"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02F5EB82" w14:textId="6BBF9C9E" w:rsidR="008626F4" w:rsidRPr="008C0AD6" w:rsidRDefault="008626F4" w:rsidP="008626F4">
            <w:pPr>
              <w:jc w:val="right"/>
              <w:rPr>
                <w:sz w:val="16"/>
                <w:szCs w:val="16"/>
              </w:rPr>
            </w:pPr>
            <w:r w:rsidRPr="008C0AD6">
              <w:rPr>
                <w:sz w:val="16"/>
                <w:szCs w:val="16"/>
              </w:rPr>
              <w:t>2</w:t>
            </w:r>
          </w:p>
        </w:tc>
        <w:tc>
          <w:tcPr>
            <w:tcW w:w="288" w:type="pct"/>
            <w:tcBorders>
              <w:top w:val="nil"/>
              <w:left w:val="nil"/>
              <w:bottom w:val="single" w:sz="4" w:space="0" w:color="auto"/>
              <w:right w:val="single" w:sz="8" w:space="0" w:color="auto"/>
            </w:tcBorders>
            <w:shd w:val="clear" w:color="auto" w:fill="auto"/>
            <w:noWrap/>
            <w:vAlign w:val="bottom"/>
            <w:hideMark/>
          </w:tcPr>
          <w:p w14:paraId="2F589A71" w14:textId="77777777" w:rsidR="008626F4" w:rsidRPr="008C0AD6" w:rsidRDefault="008626F4" w:rsidP="008626F4">
            <w:pPr>
              <w:jc w:val="right"/>
              <w:rPr>
                <w:sz w:val="16"/>
                <w:szCs w:val="16"/>
              </w:rPr>
            </w:pPr>
            <w:r w:rsidRPr="008C0AD6">
              <w:rPr>
                <w:sz w:val="16"/>
                <w:szCs w:val="16"/>
              </w:rPr>
              <w:t>1</w:t>
            </w:r>
          </w:p>
        </w:tc>
        <w:tc>
          <w:tcPr>
            <w:tcW w:w="372" w:type="pct"/>
            <w:tcBorders>
              <w:top w:val="nil"/>
              <w:left w:val="nil"/>
              <w:bottom w:val="single" w:sz="4" w:space="0" w:color="auto"/>
              <w:right w:val="single" w:sz="4" w:space="0" w:color="auto"/>
            </w:tcBorders>
            <w:shd w:val="clear" w:color="auto" w:fill="auto"/>
            <w:noWrap/>
            <w:vAlign w:val="bottom"/>
            <w:hideMark/>
          </w:tcPr>
          <w:p w14:paraId="7529AE14"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5B081B9E" w14:textId="0C95F421" w:rsidR="008626F4" w:rsidRPr="008C0AD6" w:rsidRDefault="008626F4" w:rsidP="008626F4">
            <w:pPr>
              <w:jc w:val="right"/>
              <w:rPr>
                <w:sz w:val="16"/>
                <w:szCs w:val="16"/>
              </w:rPr>
            </w:pPr>
            <w:r w:rsidRPr="008C0AD6">
              <w:rPr>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14:paraId="61185B08"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7E692B8D"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23B8C4C6" w14:textId="4BC2CB2A" w:rsidR="008626F4" w:rsidRPr="008C0AD6" w:rsidRDefault="008626F4" w:rsidP="008626F4">
            <w:pPr>
              <w:jc w:val="right"/>
              <w:rPr>
                <w:sz w:val="16"/>
                <w:szCs w:val="16"/>
              </w:rPr>
            </w:pPr>
            <w:r w:rsidRPr="008C0AD6">
              <w:rPr>
                <w:sz w:val="16"/>
                <w:szCs w:val="16"/>
              </w:rPr>
              <w:t>17</w:t>
            </w:r>
          </w:p>
        </w:tc>
        <w:tc>
          <w:tcPr>
            <w:tcW w:w="295" w:type="pct"/>
            <w:tcBorders>
              <w:top w:val="nil"/>
              <w:left w:val="nil"/>
              <w:bottom w:val="single" w:sz="4" w:space="0" w:color="auto"/>
              <w:right w:val="single" w:sz="8" w:space="0" w:color="auto"/>
            </w:tcBorders>
            <w:shd w:val="clear" w:color="auto" w:fill="auto"/>
            <w:noWrap/>
            <w:vAlign w:val="bottom"/>
            <w:hideMark/>
          </w:tcPr>
          <w:p w14:paraId="02619FD9" w14:textId="77777777" w:rsidR="008626F4" w:rsidRPr="00375189" w:rsidRDefault="008626F4" w:rsidP="008626F4">
            <w:pPr>
              <w:jc w:val="right"/>
              <w:rPr>
                <w:sz w:val="16"/>
                <w:szCs w:val="16"/>
              </w:rPr>
            </w:pPr>
            <w:r w:rsidRPr="00375189">
              <w:rPr>
                <w:sz w:val="16"/>
                <w:szCs w:val="16"/>
              </w:rPr>
              <w:t>17</w:t>
            </w:r>
          </w:p>
        </w:tc>
      </w:tr>
      <w:tr w:rsidR="008626F4" w:rsidRPr="00375189" w14:paraId="3F320B3B"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4285BB62" w14:textId="77777777" w:rsidR="008626F4" w:rsidRPr="00375189" w:rsidRDefault="008626F4" w:rsidP="008626F4">
            <w:pPr>
              <w:rPr>
                <w:sz w:val="16"/>
                <w:szCs w:val="16"/>
              </w:rPr>
            </w:pPr>
            <w:r w:rsidRPr="00375189">
              <w:rPr>
                <w:sz w:val="16"/>
                <w:szCs w:val="16"/>
              </w:rPr>
              <w:t>Пазарджик</w:t>
            </w:r>
          </w:p>
        </w:tc>
        <w:tc>
          <w:tcPr>
            <w:tcW w:w="372" w:type="pct"/>
            <w:tcBorders>
              <w:top w:val="nil"/>
              <w:left w:val="nil"/>
              <w:bottom w:val="single" w:sz="4" w:space="0" w:color="auto"/>
              <w:right w:val="single" w:sz="4" w:space="0" w:color="auto"/>
            </w:tcBorders>
            <w:shd w:val="clear" w:color="auto" w:fill="auto"/>
            <w:noWrap/>
            <w:vAlign w:val="bottom"/>
            <w:hideMark/>
          </w:tcPr>
          <w:p w14:paraId="1F72754C"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050A9E29" w14:textId="6D9EE0B7" w:rsidR="008626F4" w:rsidRPr="008C0AD6" w:rsidRDefault="008626F4" w:rsidP="008626F4">
            <w:pPr>
              <w:jc w:val="right"/>
              <w:rPr>
                <w:sz w:val="16"/>
                <w:szCs w:val="16"/>
              </w:rPr>
            </w:pPr>
            <w:r w:rsidRPr="008C0AD6">
              <w:rPr>
                <w:sz w:val="16"/>
                <w:szCs w:val="16"/>
              </w:rPr>
              <w:t>90</w:t>
            </w:r>
          </w:p>
        </w:tc>
        <w:tc>
          <w:tcPr>
            <w:tcW w:w="306" w:type="pct"/>
            <w:tcBorders>
              <w:top w:val="nil"/>
              <w:left w:val="nil"/>
              <w:bottom w:val="single" w:sz="4" w:space="0" w:color="auto"/>
              <w:right w:val="single" w:sz="4" w:space="0" w:color="auto"/>
            </w:tcBorders>
            <w:shd w:val="clear" w:color="auto" w:fill="auto"/>
            <w:noWrap/>
            <w:vAlign w:val="bottom"/>
            <w:hideMark/>
          </w:tcPr>
          <w:p w14:paraId="03622B31" w14:textId="77777777" w:rsidR="008626F4" w:rsidRPr="008C0AD6" w:rsidRDefault="008626F4" w:rsidP="008626F4">
            <w:pPr>
              <w:jc w:val="right"/>
              <w:rPr>
                <w:sz w:val="16"/>
                <w:szCs w:val="16"/>
              </w:rPr>
            </w:pPr>
            <w:r w:rsidRPr="008C0AD6">
              <w:rPr>
                <w:sz w:val="16"/>
                <w:szCs w:val="16"/>
              </w:rPr>
              <w:t>0,00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681FB54A"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237AC475" w14:textId="5C9CDC72" w:rsidR="008626F4" w:rsidRPr="008C0AD6" w:rsidRDefault="008626F4" w:rsidP="008626F4">
            <w:pPr>
              <w:jc w:val="right"/>
              <w:rPr>
                <w:sz w:val="16"/>
                <w:szCs w:val="16"/>
              </w:rPr>
            </w:pPr>
            <w:r w:rsidRPr="008C0AD6">
              <w:rPr>
                <w:sz w:val="16"/>
                <w:szCs w:val="16"/>
              </w:rPr>
              <w:t>3</w:t>
            </w:r>
          </w:p>
        </w:tc>
        <w:tc>
          <w:tcPr>
            <w:tcW w:w="288" w:type="pct"/>
            <w:tcBorders>
              <w:top w:val="nil"/>
              <w:left w:val="nil"/>
              <w:bottom w:val="single" w:sz="4" w:space="0" w:color="auto"/>
              <w:right w:val="single" w:sz="8" w:space="0" w:color="auto"/>
            </w:tcBorders>
            <w:shd w:val="clear" w:color="auto" w:fill="auto"/>
            <w:noWrap/>
            <w:vAlign w:val="bottom"/>
            <w:hideMark/>
          </w:tcPr>
          <w:p w14:paraId="37CF778C" w14:textId="77777777" w:rsidR="008626F4" w:rsidRPr="008C0AD6" w:rsidRDefault="008626F4" w:rsidP="008626F4">
            <w:pPr>
              <w:jc w:val="right"/>
              <w:rPr>
                <w:sz w:val="16"/>
                <w:szCs w:val="16"/>
              </w:rPr>
            </w:pPr>
            <w:r w:rsidRPr="008C0AD6">
              <w:rPr>
                <w:sz w:val="16"/>
                <w:szCs w:val="16"/>
              </w:rPr>
              <w:t>2</w:t>
            </w:r>
          </w:p>
        </w:tc>
        <w:tc>
          <w:tcPr>
            <w:tcW w:w="372" w:type="pct"/>
            <w:tcBorders>
              <w:top w:val="nil"/>
              <w:left w:val="nil"/>
              <w:bottom w:val="single" w:sz="4" w:space="0" w:color="auto"/>
              <w:right w:val="single" w:sz="4" w:space="0" w:color="auto"/>
            </w:tcBorders>
            <w:shd w:val="clear" w:color="auto" w:fill="auto"/>
            <w:noWrap/>
            <w:vAlign w:val="bottom"/>
            <w:hideMark/>
          </w:tcPr>
          <w:p w14:paraId="2D2A14CC"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426C8EE8" w14:textId="31DD8C4B" w:rsidR="008626F4" w:rsidRPr="008C0AD6" w:rsidRDefault="008626F4" w:rsidP="008626F4">
            <w:pPr>
              <w:jc w:val="right"/>
              <w:rPr>
                <w:sz w:val="16"/>
                <w:szCs w:val="16"/>
              </w:rPr>
            </w:pPr>
            <w:r w:rsidRPr="008C0AD6">
              <w:rPr>
                <w:sz w:val="16"/>
                <w:szCs w:val="16"/>
              </w:rPr>
              <w:t>1000</w:t>
            </w:r>
          </w:p>
        </w:tc>
        <w:tc>
          <w:tcPr>
            <w:tcW w:w="288" w:type="pct"/>
            <w:tcBorders>
              <w:top w:val="nil"/>
              <w:left w:val="nil"/>
              <w:bottom w:val="single" w:sz="4" w:space="0" w:color="auto"/>
              <w:right w:val="single" w:sz="4" w:space="0" w:color="auto"/>
            </w:tcBorders>
            <w:shd w:val="clear" w:color="auto" w:fill="auto"/>
            <w:noWrap/>
            <w:vAlign w:val="bottom"/>
            <w:hideMark/>
          </w:tcPr>
          <w:p w14:paraId="59B327FB"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4911AFE2"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469559ED" w14:textId="095644A1" w:rsidR="008626F4" w:rsidRPr="008C0AD6" w:rsidRDefault="008626F4" w:rsidP="008626F4">
            <w:pPr>
              <w:jc w:val="right"/>
              <w:rPr>
                <w:sz w:val="16"/>
                <w:szCs w:val="16"/>
              </w:rPr>
            </w:pPr>
            <w:r w:rsidRPr="008C0AD6">
              <w:rPr>
                <w:sz w:val="16"/>
                <w:szCs w:val="16"/>
              </w:rPr>
              <w:t>20</w:t>
            </w:r>
          </w:p>
        </w:tc>
        <w:tc>
          <w:tcPr>
            <w:tcW w:w="295" w:type="pct"/>
            <w:tcBorders>
              <w:top w:val="nil"/>
              <w:left w:val="nil"/>
              <w:bottom w:val="single" w:sz="4" w:space="0" w:color="auto"/>
              <w:right w:val="single" w:sz="8" w:space="0" w:color="auto"/>
            </w:tcBorders>
            <w:shd w:val="clear" w:color="auto" w:fill="auto"/>
            <w:noWrap/>
            <w:vAlign w:val="bottom"/>
            <w:hideMark/>
          </w:tcPr>
          <w:p w14:paraId="6AA7B75B" w14:textId="77777777" w:rsidR="008626F4" w:rsidRPr="00375189" w:rsidRDefault="008626F4" w:rsidP="008626F4">
            <w:pPr>
              <w:jc w:val="right"/>
              <w:rPr>
                <w:sz w:val="16"/>
                <w:szCs w:val="16"/>
              </w:rPr>
            </w:pPr>
            <w:r w:rsidRPr="00375189">
              <w:rPr>
                <w:sz w:val="16"/>
                <w:szCs w:val="16"/>
              </w:rPr>
              <w:t>20</w:t>
            </w:r>
          </w:p>
        </w:tc>
      </w:tr>
      <w:tr w:rsidR="008626F4" w:rsidRPr="00375189" w14:paraId="165D233D"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7DE5A2DB" w14:textId="77777777" w:rsidR="008626F4" w:rsidRPr="00375189" w:rsidRDefault="008626F4" w:rsidP="008626F4">
            <w:pPr>
              <w:rPr>
                <w:sz w:val="16"/>
                <w:szCs w:val="16"/>
              </w:rPr>
            </w:pPr>
            <w:r w:rsidRPr="00375189">
              <w:rPr>
                <w:sz w:val="16"/>
                <w:szCs w:val="16"/>
              </w:rPr>
              <w:t>Перник</w:t>
            </w:r>
          </w:p>
        </w:tc>
        <w:tc>
          <w:tcPr>
            <w:tcW w:w="372" w:type="pct"/>
            <w:tcBorders>
              <w:top w:val="nil"/>
              <w:left w:val="nil"/>
              <w:bottom w:val="single" w:sz="4" w:space="0" w:color="auto"/>
              <w:right w:val="single" w:sz="4" w:space="0" w:color="auto"/>
            </w:tcBorders>
            <w:shd w:val="clear" w:color="auto" w:fill="auto"/>
            <w:noWrap/>
            <w:vAlign w:val="bottom"/>
            <w:hideMark/>
          </w:tcPr>
          <w:p w14:paraId="6DA5B640"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094D977C" w14:textId="737E0407" w:rsidR="008626F4" w:rsidRPr="008C0AD6" w:rsidRDefault="008626F4" w:rsidP="008626F4">
            <w:pPr>
              <w:jc w:val="right"/>
              <w:rPr>
                <w:sz w:val="16"/>
                <w:szCs w:val="16"/>
              </w:rPr>
            </w:pPr>
            <w:r w:rsidRPr="008C0AD6">
              <w:rPr>
                <w:sz w:val="16"/>
                <w:szCs w:val="16"/>
              </w:rPr>
              <w:t>100</w:t>
            </w:r>
          </w:p>
        </w:tc>
        <w:tc>
          <w:tcPr>
            <w:tcW w:w="306" w:type="pct"/>
            <w:tcBorders>
              <w:top w:val="nil"/>
              <w:left w:val="nil"/>
              <w:bottom w:val="single" w:sz="4" w:space="0" w:color="auto"/>
              <w:right w:val="single" w:sz="4" w:space="0" w:color="auto"/>
            </w:tcBorders>
            <w:shd w:val="clear" w:color="auto" w:fill="auto"/>
            <w:noWrap/>
            <w:vAlign w:val="bottom"/>
            <w:hideMark/>
          </w:tcPr>
          <w:p w14:paraId="00B9289F" w14:textId="77777777" w:rsidR="008626F4" w:rsidRPr="008C0AD6" w:rsidRDefault="008626F4" w:rsidP="008626F4">
            <w:pPr>
              <w:jc w:val="right"/>
              <w:rPr>
                <w:sz w:val="16"/>
                <w:szCs w:val="16"/>
              </w:rPr>
            </w:pPr>
            <w:r w:rsidRPr="008C0AD6">
              <w:rPr>
                <w:sz w:val="16"/>
                <w:szCs w:val="16"/>
              </w:rPr>
              <w:t>100,00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5A58148E"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00197FA8" w14:textId="14520CC2" w:rsidR="008626F4" w:rsidRPr="008C0AD6" w:rsidRDefault="008626F4" w:rsidP="008626F4">
            <w:pPr>
              <w:jc w:val="right"/>
              <w:rPr>
                <w:sz w:val="16"/>
                <w:szCs w:val="16"/>
              </w:rPr>
            </w:pPr>
            <w:r w:rsidRPr="008C0AD6">
              <w:rPr>
                <w:sz w:val="16"/>
                <w:szCs w:val="16"/>
              </w:rPr>
              <w:t>3</w:t>
            </w:r>
          </w:p>
        </w:tc>
        <w:tc>
          <w:tcPr>
            <w:tcW w:w="288" w:type="pct"/>
            <w:tcBorders>
              <w:top w:val="nil"/>
              <w:left w:val="nil"/>
              <w:bottom w:val="single" w:sz="4" w:space="0" w:color="auto"/>
              <w:right w:val="single" w:sz="8" w:space="0" w:color="auto"/>
            </w:tcBorders>
            <w:shd w:val="clear" w:color="auto" w:fill="auto"/>
            <w:noWrap/>
            <w:vAlign w:val="bottom"/>
            <w:hideMark/>
          </w:tcPr>
          <w:p w14:paraId="6D42F678" w14:textId="77777777" w:rsidR="008626F4" w:rsidRPr="008C0AD6" w:rsidRDefault="008626F4" w:rsidP="008626F4">
            <w:pPr>
              <w:jc w:val="right"/>
              <w:rPr>
                <w:sz w:val="16"/>
                <w:szCs w:val="16"/>
              </w:rPr>
            </w:pPr>
            <w:r w:rsidRPr="008C0AD6">
              <w:rPr>
                <w:sz w:val="16"/>
                <w:szCs w:val="16"/>
              </w:rPr>
              <w:t>4</w:t>
            </w:r>
          </w:p>
        </w:tc>
        <w:tc>
          <w:tcPr>
            <w:tcW w:w="372" w:type="pct"/>
            <w:tcBorders>
              <w:top w:val="nil"/>
              <w:left w:val="nil"/>
              <w:bottom w:val="single" w:sz="4" w:space="0" w:color="auto"/>
              <w:right w:val="single" w:sz="4" w:space="0" w:color="auto"/>
            </w:tcBorders>
            <w:shd w:val="clear" w:color="auto" w:fill="auto"/>
            <w:noWrap/>
            <w:vAlign w:val="bottom"/>
            <w:hideMark/>
          </w:tcPr>
          <w:p w14:paraId="3CF63A67"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4D2B5CC1" w14:textId="2D959230" w:rsidR="008626F4" w:rsidRPr="008C0AD6" w:rsidRDefault="008626F4" w:rsidP="008626F4">
            <w:pPr>
              <w:jc w:val="right"/>
              <w:rPr>
                <w:sz w:val="16"/>
                <w:szCs w:val="16"/>
              </w:rPr>
            </w:pPr>
            <w:r w:rsidRPr="008C0AD6">
              <w:rPr>
                <w:sz w:val="16"/>
                <w:szCs w:val="16"/>
              </w:rPr>
              <w:t>50</w:t>
            </w:r>
          </w:p>
        </w:tc>
        <w:tc>
          <w:tcPr>
            <w:tcW w:w="288" w:type="pct"/>
            <w:tcBorders>
              <w:top w:val="nil"/>
              <w:left w:val="nil"/>
              <w:bottom w:val="single" w:sz="4" w:space="0" w:color="auto"/>
              <w:right w:val="single" w:sz="4" w:space="0" w:color="auto"/>
            </w:tcBorders>
            <w:shd w:val="clear" w:color="auto" w:fill="auto"/>
            <w:noWrap/>
            <w:vAlign w:val="bottom"/>
            <w:hideMark/>
          </w:tcPr>
          <w:p w14:paraId="13924211" w14:textId="77777777" w:rsidR="008626F4" w:rsidRPr="008C0AD6" w:rsidRDefault="008626F4" w:rsidP="008626F4">
            <w:pPr>
              <w:jc w:val="right"/>
              <w:rPr>
                <w:sz w:val="16"/>
                <w:szCs w:val="16"/>
              </w:rPr>
            </w:pPr>
            <w:r w:rsidRPr="008C0AD6">
              <w:rPr>
                <w:sz w:val="16"/>
                <w:szCs w:val="16"/>
              </w:rPr>
              <w:t>32</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6CFD3381"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48ADD7F2" w14:textId="2F24884B" w:rsidR="008626F4" w:rsidRPr="008C0AD6" w:rsidRDefault="008626F4" w:rsidP="008626F4">
            <w:pPr>
              <w:jc w:val="right"/>
              <w:rPr>
                <w:sz w:val="16"/>
                <w:szCs w:val="16"/>
              </w:rPr>
            </w:pPr>
            <w:r w:rsidRPr="008C0AD6">
              <w:rPr>
                <w:sz w:val="16"/>
                <w:szCs w:val="16"/>
              </w:rPr>
              <w:t>22</w:t>
            </w:r>
          </w:p>
        </w:tc>
        <w:tc>
          <w:tcPr>
            <w:tcW w:w="295" w:type="pct"/>
            <w:tcBorders>
              <w:top w:val="nil"/>
              <w:left w:val="nil"/>
              <w:bottom w:val="single" w:sz="4" w:space="0" w:color="auto"/>
              <w:right w:val="single" w:sz="8" w:space="0" w:color="auto"/>
            </w:tcBorders>
            <w:shd w:val="clear" w:color="auto" w:fill="auto"/>
            <w:noWrap/>
            <w:vAlign w:val="bottom"/>
            <w:hideMark/>
          </w:tcPr>
          <w:p w14:paraId="504230F6" w14:textId="77777777" w:rsidR="008626F4" w:rsidRPr="00375189" w:rsidRDefault="008626F4" w:rsidP="008626F4">
            <w:pPr>
              <w:jc w:val="right"/>
              <w:rPr>
                <w:sz w:val="16"/>
                <w:szCs w:val="16"/>
              </w:rPr>
            </w:pPr>
            <w:r w:rsidRPr="00375189">
              <w:rPr>
                <w:sz w:val="16"/>
                <w:szCs w:val="16"/>
              </w:rPr>
              <w:t>22</w:t>
            </w:r>
          </w:p>
        </w:tc>
      </w:tr>
      <w:tr w:rsidR="008626F4" w:rsidRPr="00375189" w14:paraId="3264D01A"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0E1D94C9" w14:textId="77777777" w:rsidR="008626F4" w:rsidRPr="00375189" w:rsidRDefault="008626F4" w:rsidP="008626F4">
            <w:pPr>
              <w:rPr>
                <w:sz w:val="16"/>
                <w:szCs w:val="16"/>
              </w:rPr>
            </w:pPr>
            <w:r w:rsidRPr="00375189">
              <w:rPr>
                <w:sz w:val="16"/>
                <w:szCs w:val="16"/>
              </w:rPr>
              <w:t>Плевен</w:t>
            </w:r>
          </w:p>
        </w:tc>
        <w:tc>
          <w:tcPr>
            <w:tcW w:w="372" w:type="pct"/>
            <w:tcBorders>
              <w:top w:val="nil"/>
              <w:left w:val="nil"/>
              <w:bottom w:val="single" w:sz="4" w:space="0" w:color="auto"/>
              <w:right w:val="single" w:sz="4" w:space="0" w:color="auto"/>
            </w:tcBorders>
            <w:shd w:val="clear" w:color="auto" w:fill="auto"/>
            <w:noWrap/>
            <w:vAlign w:val="bottom"/>
            <w:hideMark/>
          </w:tcPr>
          <w:p w14:paraId="1FE18A49"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2A82CCE4" w14:textId="380AE6F9" w:rsidR="008626F4" w:rsidRPr="008C0AD6" w:rsidRDefault="008626F4" w:rsidP="008626F4">
            <w:pPr>
              <w:jc w:val="right"/>
              <w:rPr>
                <w:sz w:val="16"/>
                <w:szCs w:val="16"/>
              </w:rPr>
            </w:pPr>
            <w:r w:rsidRPr="008C0AD6">
              <w:rPr>
                <w:sz w:val="16"/>
                <w:szCs w:val="16"/>
              </w:rPr>
              <w:t>100</w:t>
            </w:r>
          </w:p>
        </w:tc>
        <w:tc>
          <w:tcPr>
            <w:tcW w:w="306" w:type="pct"/>
            <w:tcBorders>
              <w:top w:val="nil"/>
              <w:left w:val="nil"/>
              <w:bottom w:val="single" w:sz="4" w:space="0" w:color="auto"/>
              <w:right w:val="nil"/>
            </w:tcBorders>
            <w:shd w:val="clear" w:color="auto" w:fill="auto"/>
            <w:noWrap/>
            <w:vAlign w:val="bottom"/>
            <w:hideMark/>
          </w:tcPr>
          <w:p w14:paraId="76FB0D68" w14:textId="77777777" w:rsidR="008626F4" w:rsidRPr="008C0AD6" w:rsidRDefault="008626F4" w:rsidP="008626F4">
            <w:pPr>
              <w:jc w:val="right"/>
              <w:rPr>
                <w:sz w:val="16"/>
                <w:szCs w:val="16"/>
              </w:rPr>
            </w:pPr>
            <w:r w:rsidRPr="008C0AD6">
              <w:rPr>
                <w:sz w:val="16"/>
                <w:szCs w:val="16"/>
              </w:rPr>
              <w:t>100,00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183E5308"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2A042450" w14:textId="27004988" w:rsidR="008626F4" w:rsidRPr="008C0AD6" w:rsidRDefault="008626F4" w:rsidP="008626F4">
            <w:pPr>
              <w:jc w:val="right"/>
              <w:rPr>
                <w:sz w:val="16"/>
                <w:szCs w:val="16"/>
              </w:rPr>
            </w:pPr>
            <w:r w:rsidRPr="008C0AD6">
              <w:rPr>
                <w:sz w:val="16"/>
                <w:szCs w:val="16"/>
              </w:rPr>
              <w:t>3</w:t>
            </w:r>
          </w:p>
        </w:tc>
        <w:tc>
          <w:tcPr>
            <w:tcW w:w="288" w:type="pct"/>
            <w:tcBorders>
              <w:top w:val="nil"/>
              <w:left w:val="nil"/>
              <w:bottom w:val="single" w:sz="4" w:space="0" w:color="auto"/>
              <w:right w:val="single" w:sz="8" w:space="0" w:color="auto"/>
            </w:tcBorders>
            <w:shd w:val="clear" w:color="auto" w:fill="auto"/>
            <w:noWrap/>
            <w:vAlign w:val="bottom"/>
            <w:hideMark/>
          </w:tcPr>
          <w:p w14:paraId="7BF1D2B2" w14:textId="77777777" w:rsidR="008626F4" w:rsidRPr="008C0AD6" w:rsidRDefault="008626F4" w:rsidP="008626F4">
            <w:pPr>
              <w:jc w:val="right"/>
              <w:rPr>
                <w:sz w:val="16"/>
                <w:szCs w:val="16"/>
              </w:rPr>
            </w:pPr>
            <w:r w:rsidRPr="008C0AD6">
              <w:rPr>
                <w:sz w:val="16"/>
                <w:szCs w:val="16"/>
              </w:rPr>
              <w:t>3</w:t>
            </w:r>
          </w:p>
        </w:tc>
        <w:tc>
          <w:tcPr>
            <w:tcW w:w="372" w:type="pct"/>
            <w:tcBorders>
              <w:top w:val="nil"/>
              <w:left w:val="nil"/>
              <w:bottom w:val="single" w:sz="4" w:space="0" w:color="auto"/>
              <w:right w:val="single" w:sz="4" w:space="0" w:color="auto"/>
            </w:tcBorders>
            <w:shd w:val="clear" w:color="auto" w:fill="auto"/>
            <w:noWrap/>
            <w:vAlign w:val="bottom"/>
            <w:hideMark/>
          </w:tcPr>
          <w:p w14:paraId="072CFB5E"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63B3ECA2" w14:textId="0F15E3A9" w:rsidR="008626F4" w:rsidRPr="008C0AD6" w:rsidRDefault="008626F4" w:rsidP="008626F4">
            <w:pPr>
              <w:jc w:val="right"/>
              <w:rPr>
                <w:sz w:val="16"/>
                <w:szCs w:val="16"/>
              </w:rPr>
            </w:pPr>
            <w:r w:rsidRPr="008C0AD6">
              <w:rPr>
                <w:sz w:val="16"/>
                <w:szCs w:val="16"/>
              </w:rPr>
              <w:t>0</w:t>
            </w:r>
          </w:p>
        </w:tc>
        <w:tc>
          <w:tcPr>
            <w:tcW w:w="288" w:type="pct"/>
            <w:tcBorders>
              <w:top w:val="nil"/>
              <w:left w:val="nil"/>
              <w:bottom w:val="single" w:sz="4" w:space="0" w:color="auto"/>
              <w:right w:val="nil"/>
            </w:tcBorders>
            <w:shd w:val="clear" w:color="auto" w:fill="auto"/>
            <w:noWrap/>
            <w:vAlign w:val="bottom"/>
            <w:hideMark/>
          </w:tcPr>
          <w:p w14:paraId="0889F87E"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300EB3FE"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3F1BF648" w14:textId="77ADBF0D" w:rsidR="008626F4" w:rsidRPr="008C0AD6" w:rsidRDefault="008626F4" w:rsidP="008626F4">
            <w:pPr>
              <w:jc w:val="right"/>
              <w:rPr>
                <w:sz w:val="16"/>
                <w:szCs w:val="16"/>
              </w:rPr>
            </w:pPr>
            <w:r w:rsidRPr="008C0AD6">
              <w:rPr>
                <w:sz w:val="16"/>
                <w:szCs w:val="16"/>
              </w:rPr>
              <w:t>25</w:t>
            </w:r>
          </w:p>
        </w:tc>
        <w:tc>
          <w:tcPr>
            <w:tcW w:w="295" w:type="pct"/>
            <w:tcBorders>
              <w:top w:val="nil"/>
              <w:left w:val="nil"/>
              <w:bottom w:val="single" w:sz="4" w:space="0" w:color="auto"/>
              <w:right w:val="single" w:sz="8" w:space="0" w:color="auto"/>
            </w:tcBorders>
            <w:shd w:val="clear" w:color="auto" w:fill="auto"/>
            <w:noWrap/>
            <w:vAlign w:val="bottom"/>
            <w:hideMark/>
          </w:tcPr>
          <w:p w14:paraId="2EC40E49" w14:textId="77777777" w:rsidR="008626F4" w:rsidRPr="00375189" w:rsidRDefault="008626F4" w:rsidP="008626F4">
            <w:pPr>
              <w:jc w:val="right"/>
              <w:rPr>
                <w:sz w:val="16"/>
                <w:szCs w:val="16"/>
              </w:rPr>
            </w:pPr>
            <w:r w:rsidRPr="00375189">
              <w:rPr>
                <w:sz w:val="16"/>
                <w:szCs w:val="16"/>
              </w:rPr>
              <w:t>25</w:t>
            </w:r>
          </w:p>
        </w:tc>
      </w:tr>
      <w:tr w:rsidR="008626F4" w:rsidRPr="00375189" w14:paraId="7AE1005A"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60903728" w14:textId="77777777" w:rsidR="008626F4" w:rsidRPr="00375189" w:rsidRDefault="008626F4" w:rsidP="008626F4">
            <w:pPr>
              <w:rPr>
                <w:sz w:val="16"/>
                <w:szCs w:val="16"/>
              </w:rPr>
            </w:pPr>
            <w:r w:rsidRPr="00375189">
              <w:rPr>
                <w:sz w:val="16"/>
                <w:szCs w:val="16"/>
              </w:rPr>
              <w:t>Пловдив</w:t>
            </w:r>
          </w:p>
        </w:tc>
        <w:tc>
          <w:tcPr>
            <w:tcW w:w="372" w:type="pct"/>
            <w:tcBorders>
              <w:top w:val="nil"/>
              <w:left w:val="nil"/>
              <w:bottom w:val="single" w:sz="4" w:space="0" w:color="auto"/>
              <w:right w:val="single" w:sz="4" w:space="0" w:color="auto"/>
            </w:tcBorders>
            <w:shd w:val="clear" w:color="auto" w:fill="auto"/>
            <w:noWrap/>
            <w:vAlign w:val="bottom"/>
            <w:hideMark/>
          </w:tcPr>
          <w:p w14:paraId="17A0DED6"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11918166" w14:textId="14B92F7C" w:rsidR="008626F4" w:rsidRPr="008C0AD6" w:rsidRDefault="008626F4" w:rsidP="008626F4">
            <w:pPr>
              <w:jc w:val="right"/>
              <w:rPr>
                <w:sz w:val="16"/>
                <w:szCs w:val="16"/>
              </w:rPr>
            </w:pPr>
            <w:r w:rsidRPr="008C0AD6">
              <w:rPr>
                <w:sz w:val="16"/>
                <w:szCs w:val="16"/>
              </w:rPr>
              <w:t>0,91</w:t>
            </w:r>
          </w:p>
        </w:tc>
        <w:tc>
          <w:tcPr>
            <w:tcW w:w="306" w:type="pct"/>
            <w:tcBorders>
              <w:top w:val="nil"/>
              <w:left w:val="nil"/>
              <w:bottom w:val="single" w:sz="4" w:space="0" w:color="auto"/>
              <w:right w:val="single" w:sz="4" w:space="0" w:color="auto"/>
            </w:tcBorders>
            <w:shd w:val="clear" w:color="auto" w:fill="auto"/>
            <w:noWrap/>
            <w:vAlign w:val="bottom"/>
            <w:hideMark/>
          </w:tcPr>
          <w:p w14:paraId="161DEEBD" w14:textId="77777777" w:rsidR="008626F4" w:rsidRPr="008C0AD6" w:rsidRDefault="008626F4" w:rsidP="008626F4">
            <w:pPr>
              <w:jc w:val="right"/>
              <w:rPr>
                <w:sz w:val="16"/>
                <w:szCs w:val="16"/>
              </w:rPr>
            </w:pPr>
            <w:r w:rsidRPr="008C0AD6">
              <w:rPr>
                <w:sz w:val="16"/>
                <w:szCs w:val="16"/>
              </w:rPr>
              <w:t>0,89</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155C837B"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192CCFB7" w14:textId="2E03C559" w:rsidR="008626F4" w:rsidRPr="008C0AD6" w:rsidRDefault="008626F4" w:rsidP="008626F4">
            <w:pPr>
              <w:jc w:val="right"/>
              <w:rPr>
                <w:sz w:val="16"/>
                <w:szCs w:val="16"/>
              </w:rPr>
            </w:pPr>
            <w:r w:rsidRPr="008C0AD6">
              <w:rPr>
                <w:sz w:val="16"/>
                <w:szCs w:val="16"/>
              </w:rPr>
              <w:t>1</w:t>
            </w:r>
          </w:p>
        </w:tc>
        <w:tc>
          <w:tcPr>
            <w:tcW w:w="288" w:type="pct"/>
            <w:tcBorders>
              <w:top w:val="nil"/>
              <w:left w:val="nil"/>
              <w:bottom w:val="single" w:sz="4" w:space="0" w:color="auto"/>
              <w:right w:val="single" w:sz="8" w:space="0" w:color="auto"/>
            </w:tcBorders>
            <w:shd w:val="clear" w:color="auto" w:fill="auto"/>
            <w:noWrap/>
            <w:vAlign w:val="bottom"/>
            <w:hideMark/>
          </w:tcPr>
          <w:p w14:paraId="672964A3" w14:textId="77777777" w:rsidR="008626F4" w:rsidRPr="008C0AD6" w:rsidRDefault="008626F4" w:rsidP="008626F4">
            <w:pPr>
              <w:jc w:val="right"/>
              <w:rPr>
                <w:sz w:val="16"/>
                <w:szCs w:val="16"/>
              </w:rPr>
            </w:pPr>
            <w:r w:rsidRPr="008C0AD6">
              <w:rPr>
                <w:sz w:val="16"/>
                <w:szCs w:val="16"/>
              </w:rPr>
              <w:t>1</w:t>
            </w:r>
          </w:p>
        </w:tc>
        <w:tc>
          <w:tcPr>
            <w:tcW w:w="372" w:type="pct"/>
            <w:tcBorders>
              <w:top w:val="nil"/>
              <w:left w:val="nil"/>
              <w:bottom w:val="single" w:sz="4" w:space="0" w:color="auto"/>
              <w:right w:val="single" w:sz="4" w:space="0" w:color="auto"/>
            </w:tcBorders>
            <w:shd w:val="clear" w:color="auto" w:fill="auto"/>
            <w:noWrap/>
            <w:vAlign w:val="bottom"/>
            <w:hideMark/>
          </w:tcPr>
          <w:p w14:paraId="3A06B428"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2E3A2E6F" w14:textId="7A58294D" w:rsidR="008626F4" w:rsidRPr="008C0AD6" w:rsidRDefault="008626F4" w:rsidP="008626F4">
            <w:pPr>
              <w:jc w:val="right"/>
              <w:rPr>
                <w:sz w:val="16"/>
                <w:szCs w:val="16"/>
              </w:rPr>
            </w:pPr>
            <w:r w:rsidRPr="008C0AD6">
              <w:rPr>
                <w:sz w:val="16"/>
                <w:szCs w:val="16"/>
              </w:rPr>
              <w:t>783</w:t>
            </w:r>
          </w:p>
        </w:tc>
        <w:tc>
          <w:tcPr>
            <w:tcW w:w="288" w:type="pct"/>
            <w:tcBorders>
              <w:top w:val="nil"/>
              <w:left w:val="nil"/>
              <w:bottom w:val="single" w:sz="4" w:space="0" w:color="auto"/>
              <w:right w:val="single" w:sz="4" w:space="0" w:color="auto"/>
            </w:tcBorders>
            <w:shd w:val="clear" w:color="auto" w:fill="auto"/>
            <w:noWrap/>
            <w:vAlign w:val="bottom"/>
            <w:hideMark/>
          </w:tcPr>
          <w:p w14:paraId="0914323E"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66D826CC"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0D555BBF" w14:textId="674E4787" w:rsidR="008626F4" w:rsidRPr="008C0AD6" w:rsidRDefault="008626F4" w:rsidP="008626F4">
            <w:pPr>
              <w:jc w:val="right"/>
              <w:rPr>
                <w:sz w:val="16"/>
                <w:szCs w:val="16"/>
              </w:rPr>
            </w:pPr>
            <w:r w:rsidRPr="008C0AD6">
              <w:rPr>
                <w:sz w:val="16"/>
                <w:szCs w:val="16"/>
              </w:rPr>
              <w:t>20</w:t>
            </w:r>
          </w:p>
        </w:tc>
        <w:tc>
          <w:tcPr>
            <w:tcW w:w="295" w:type="pct"/>
            <w:tcBorders>
              <w:top w:val="nil"/>
              <w:left w:val="nil"/>
              <w:bottom w:val="single" w:sz="4" w:space="0" w:color="auto"/>
              <w:right w:val="single" w:sz="8" w:space="0" w:color="auto"/>
            </w:tcBorders>
            <w:shd w:val="clear" w:color="auto" w:fill="auto"/>
            <w:noWrap/>
            <w:vAlign w:val="bottom"/>
            <w:hideMark/>
          </w:tcPr>
          <w:p w14:paraId="1EAD56A0" w14:textId="77777777" w:rsidR="008626F4" w:rsidRPr="00375189" w:rsidRDefault="008626F4" w:rsidP="008626F4">
            <w:pPr>
              <w:jc w:val="right"/>
              <w:rPr>
                <w:sz w:val="16"/>
                <w:szCs w:val="16"/>
              </w:rPr>
            </w:pPr>
            <w:r w:rsidRPr="00375189">
              <w:rPr>
                <w:sz w:val="16"/>
                <w:szCs w:val="16"/>
              </w:rPr>
              <w:t>15</w:t>
            </w:r>
          </w:p>
        </w:tc>
      </w:tr>
      <w:tr w:rsidR="008626F4" w:rsidRPr="00375189" w14:paraId="4568ECD0"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24D780CC" w14:textId="77777777" w:rsidR="008626F4" w:rsidRPr="00375189" w:rsidRDefault="008626F4" w:rsidP="008626F4">
            <w:pPr>
              <w:rPr>
                <w:sz w:val="16"/>
                <w:szCs w:val="16"/>
              </w:rPr>
            </w:pPr>
            <w:r w:rsidRPr="00375189">
              <w:rPr>
                <w:sz w:val="16"/>
                <w:szCs w:val="16"/>
              </w:rPr>
              <w:t>Разград</w:t>
            </w:r>
          </w:p>
        </w:tc>
        <w:tc>
          <w:tcPr>
            <w:tcW w:w="372" w:type="pct"/>
            <w:tcBorders>
              <w:top w:val="nil"/>
              <w:left w:val="nil"/>
              <w:bottom w:val="single" w:sz="4" w:space="0" w:color="auto"/>
              <w:right w:val="single" w:sz="4" w:space="0" w:color="auto"/>
            </w:tcBorders>
            <w:shd w:val="clear" w:color="auto" w:fill="auto"/>
            <w:noWrap/>
            <w:vAlign w:val="bottom"/>
            <w:hideMark/>
          </w:tcPr>
          <w:p w14:paraId="7A74CE93"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6E25CDA4" w14:textId="2735E1A4" w:rsidR="008626F4" w:rsidRPr="008C0AD6" w:rsidRDefault="008626F4" w:rsidP="008626F4">
            <w:pPr>
              <w:jc w:val="right"/>
              <w:rPr>
                <w:sz w:val="16"/>
                <w:szCs w:val="16"/>
              </w:rPr>
            </w:pPr>
            <w:r w:rsidRPr="008C0AD6">
              <w:rPr>
                <w:sz w:val="16"/>
                <w:szCs w:val="16"/>
              </w:rPr>
              <w:t>100</w:t>
            </w:r>
          </w:p>
        </w:tc>
        <w:tc>
          <w:tcPr>
            <w:tcW w:w="306" w:type="pct"/>
            <w:tcBorders>
              <w:top w:val="nil"/>
              <w:left w:val="nil"/>
              <w:bottom w:val="single" w:sz="4" w:space="0" w:color="auto"/>
              <w:right w:val="single" w:sz="4" w:space="0" w:color="auto"/>
            </w:tcBorders>
            <w:shd w:val="clear" w:color="auto" w:fill="auto"/>
            <w:noWrap/>
            <w:vAlign w:val="bottom"/>
            <w:hideMark/>
          </w:tcPr>
          <w:p w14:paraId="3B4F10AD" w14:textId="77777777" w:rsidR="008626F4" w:rsidRPr="008C0AD6" w:rsidRDefault="008626F4" w:rsidP="008626F4">
            <w:pPr>
              <w:jc w:val="right"/>
              <w:rPr>
                <w:sz w:val="16"/>
                <w:szCs w:val="16"/>
              </w:rPr>
            </w:pPr>
            <w:r w:rsidRPr="008C0AD6">
              <w:rPr>
                <w:sz w:val="16"/>
                <w:szCs w:val="16"/>
              </w:rPr>
              <w:t>100,00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633F9FAD"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1ADDA018" w14:textId="3A73EE49" w:rsidR="008626F4" w:rsidRPr="008C0AD6" w:rsidRDefault="008626F4" w:rsidP="008626F4">
            <w:pPr>
              <w:jc w:val="right"/>
              <w:rPr>
                <w:sz w:val="16"/>
                <w:szCs w:val="16"/>
              </w:rPr>
            </w:pPr>
            <w:r w:rsidRPr="008C0AD6">
              <w:rPr>
                <w:sz w:val="16"/>
                <w:szCs w:val="16"/>
              </w:rPr>
              <w:t>5</w:t>
            </w:r>
          </w:p>
        </w:tc>
        <w:tc>
          <w:tcPr>
            <w:tcW w:w="288" w:type="pct"/>
            <w:tcBorders>
              <w:top w:val="nil"/>
              <w:left w:val="nil"/>
              <w:bottom w:val="single" w:sz="4" w:space="0" w:color="auto"/>
              <w:right w:val="single" w:sz="8" w:space="0" w:color="auto"/>
            </w:tcBorders>
            <w:shd w:val="clear" w:color="auto" w:fill="auto"/>
            <w:noWrap/>
            <w:vAlign w:val="bottom"/>
            <w:hideMark/>
          </w:tcPr>
          <w:p w14:paraId="43536FF1" w14:textId="77777777" w:rsidR="008626F4" w:rsidRPr="008C0AD6" w:rsidRDefault="008626F4" w:rsidP="008626F4">
            <w:pPr>
              <w:jc w:val="right"/>
              <w:rPr>
                <w:sz w:val="16"/>
                <w:szCs w:val="16"/>
              </w:rPr>
            </w:pPr>
            <w:r w:rsidRPr="008C0AD6">
              <w:rPr>
                <w:sz w:val="16"/>
                <w:szCs w:val="16"/>
              </w:rPr>
              <w:t>2</w:t>
            </w:r>
          </w:p>
        </w:tc>
        <w:tc>
          <w:tcPr>
            <w:tcW w:w="372" w:type="pct"/>
            <w:tcBorders>
              <w:top w:val="nil"/>
              <w:left w:val="nil"/>
              <w:bottom w:val="single" w:sz="4" w:space="0" w:color="auto"/>
              <w:right w:val="single" w:sz="4" w:space="0" w:color="auto"/>
            </w:tcBorders>
            <w:shd w:val="clear" w:color="auto" w:fill="auto"/>
            <w:noWrap/>
            <w:vAlign w:val="bottom"/>
            <w:hideMark/>
          </w:tcPr>
          <w:p w14:paraId="72FA455E"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064418AB" w14:textId="53F1235A" w:rsidR="008626F4" w:rsidRPr="008C0AD6" w:rsidRDefault="008626F4" w:rsidP="008626F4">
            <w:pPr>
              <w:jc w:val="right"/>
              <w:rPr>
                <w:sz w:val="16"/>
                <w:szCs w:val="16"/>
              </w:rPr>
            </w:pPr>
            <w:r w:rsidRPr="008C0AD6">
              <w:rPr>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14:paraId="7D7312C9"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42A4B1D7"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434752A8" w14:textId="42502D24" w:rsidR="008626F4" w:rsidRPr="008C0AD6" w:rsidRDefault="008626F4" w:rsidP="008626F4">
            <w:pPr>
              <w:jc w:val="right"/>
              <w:rPr>
                <w:sz w:val="16"/>
                <w:szCs w:val="16"/>
              </w:rPr>
            </w:pPr>
            <w:r w:rsidRPr="008C0AD6">
              <w:rPr>
                <w:sz w:val="16"/>
                <w:szCs w:val="16"/>
              </w:rPr>
              <w:t>22</w:t>
            </w:r>
          </w:p>
        </w:tc>
        <w:tc>
          <w:tcPr>
            <w:tcW w:w="295" w:type="pct"/>
            <w:tcBorders>
              <w:top w:val="nil"/>
              <w:left w:val="nil"/>
              <w:bottom w:val="single" w:sz="4" w:space="0" w:color="auto"/>
              <w:right w:val="single" w:sz="8" w:space="0" w:color="auto"/>
            </w:tcBorders>
            <w:shd w:val="clear" w:color="auto" w:fill="auto"/>
            <w:noWrap/>
            <w:vAlign w:val="bottom"/>
            <w:hideMark/>
          </w:tcPr>
          <w:p w14:paraId="223AD0CC" w14:textId="77777777" w:rsidR="008626F4" w:rsidRPr="00375189" w:rsidRDefault="008626F4" w:rsidP="008626F4">
            <w:pPr>
              <w:jc w:val="right"/>
              <w:rPr>
                <w:sz w:val="16"/>
                <w:szCs w:val="16"/>
              </w:rPr>
            </w:pPr>
            <w:r w:rsidRPr="00375189">
              <w:rPr>
                <w:sz w:val="16"/>
                <w:szCs w:val="16"/>
              </w:rPr>
              <w:t>22</w:t>
            </w:r>
          </w:p>
        </w:tc>
      </w:tr>
      <w:tr w:rsidR="008626F4" w:rsidRPr="00375189" w14:paraId="7A5891E4"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6551C512" w14:textId="77777777" w:rsidR="008626F4" w:rsidRPr="00375189" w:rsidRDefault="008626F4" w:rsidP="008626F4">
            <w:pPr>
              <w:rPr>
                <w:sz w:val="16"/>
                <w:szCs w:val="16"/>
              </w:rPr>
            </w:pPr>
            <w:r w:rsidRPr="00375189">
              <w:rPr>
                <w:sz w:val="16"/>
                <w:szCs w:val="16"/>
              </w:rPr>
              <w:t>Русе</w:t>
            </w:r>
          </w:p>
        </w:tc>
        <w:tc>
          <w:tcPr>
            <w:tcW w:w="372" w:type="pct"/>
            <w:tcBorders>
              <w:top w:val="nil"/>
              <w:left w:val="nil"/>
              <w:bottom w:val="single" w:sz="4" w:space="0" w:color="auto"/>
              <w:right w:val="single" w:sz="4" w:space="0" w:color="auto"/>
            </w:tcBorders>
            <w:shd w:val="clear" w:color="auto" w:fill="auto"/>
            <w:noWrap/>
            <w:vAlign w:val="bottom"/>
            <w:hideMark/>
          </w:tcPr>
          <w:p w14:paraId="0D0237C2"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2921B664" w14:textId="70AAF1F4" w:rsidR="008626F4" w:rsidRPr="008C0AD6" w:rsidRDefault="008626F4" w:rsidP="008626F4">
            <w:pPr>
              <w:jc w:val="right"/>
              <w:rPr>
                <w:sz w:val="16"/>
                <w:szCs w:val="16"/>
              </w:rPr>
            </w:pPr>
            <w:r w:rsidRPr="008C0AD6">
              <w:rPr>
                <w:sz w:val="16"/>
                <w:szCs w:val="16"/>
              </w:rPr>
              <w:t>90</w:t>
            </w:r>
          </w:p>
        </w:tc>
        <w:tc>
          <w:tcPr>
            <w:tcW w:w="306" w:type="pct"/>
            <w:tcBorders>
              <w:top w:val="nil"/>
              <w:left w:val="nil"/>
              <w:bottom w:val="single" w:sz="4" w:space="0" w:color="auto"/>
              <w:right w:val="single" w:sz="4" w:space="0" w:color="auto"/>
            </w:tcBorders>
            <w:shd w:val="clear" w:color="auto" w:fill="auto"/>
            <w:noWrap/>
            <w:vAlign w:val="bottom"/>
            <w:hideMark/>
          </w:tcPr>
          <w:p w14:paraId="0D5ED48D" w14:textId="77777777" w:rsidR="008626F4" w:rsidRPr="008C0AD6" w:rsidRDefault="008626F4" w:rsidP="008626F4">
            <w:pPr>
              <w:jc w:val="right"/>
              <w:rPr>
                <w:sz w:val="16"/>
                <w:szCs w:val="16"/>
              </w:rPr>
            </w:pPr>
            <w:r w:rsidRPr="008C0AD6">
              <w:rPr>
                <w:sz w:val="16"/>
                <w:szCs w:val="16"/>
              </w:rPr>
              <w:t>75,00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0A0CDDDF"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2AA873C7" w14:textId="0A56E580" w:rsidR="008626F4" w:rsidRPr="008C0AD6" w:rsidRDefault="008626F4" w:rsidP="008626F4">
            <w:pPr>
              <w:jc w:val="right"/>
              <w:rPr>
                <w:sz w:val="16"/>
                <w:szCs w:val="16"/>
              </w:rPr>
            </w:pPr>
            <w:r w:rsidRPr="008C0AD6">
              <w:rPr>
                <w:sz w:val="16"/>
                <w:szCs w:val="16"/>
              </w:rPr>
              <w:t>3</w:t>
            </w:r>
          </w:p>
        </w:tc>
        <w:tc>
          <w:tcPr>
            <w:tcW w:w="288" w:type="pct"/>
            <w:tcBorders>
              <w:top w:val="nil"/>
              <w:left w:val="nil"/>
              <w:bottom w:val="single" w:sz="4" w:space="0" w:color="auto"/>
              <w:right w:val="single" w:sz="4" w:space="0" w:color="auto"/>
            </w:tcBorders>
            <w:shd w:val="clear" w:color="000000" w:fill="FFFFFF"/>
            <w:noWrap/>
            <w:vAlign w:val="bottom"/>
            <w:hideMark/>
          </w:tcPr>
          <w:p w14:paraId="1B6E62E0" w14:textId="77777777" w:rsidR="008626F4" w:rsidRPr="008C0AD6" w:rsidRDefault="008626F4" w:rsidP="008626F4">
            <w:pPr>
              <w:jc w:val="right"/>
              <w:rPr>
                <w:sz w:val="16"/>
                <w:szCs w:val="16"/>
              </w:rPr>
            </w:pPr>
            <w:r w:rsidRPr="008C0AD6">
              <w:rPr>
                <w:sz w:val="16"/>
                <w:szCs w:val="16"/>
              </w:rPr>
              <w:t>2</w:t>
            </w:r>
          </w:p>
        </w:tc>
        <w:tc>
          <w:tcPr>
            <w:tcW w:w="372" w:type="pct"/>
            <w:tcBorders>
              <w:top w:val="nil"/>
              <w:left w:val="nil"/>
              <w:bottom w:val="single" w:sz="4" w:space="0" w:color="auto"/>
              <w:right w:val="single" w:sz="4" w:space="0" w:color="auto"/>
            </w:tcBorders>
            <w:shd w:val="clear" w:color="auto" w:fill="auto"/>
            <w:noWrap/>
            <w:vAlign w:val="bottom"/>
            <w:hideMark/>
          </w:tcPr>
          <w:p w14:paraId="74D3ED16"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013B4A4D" w14:textId="6AD858F6" w:rsidR="008626F4" w:rsidRPr="008C0AD6" w:rsidRDefault="008626F4" w:rsidP="008626F4">
            <w:pPr>
              <w:jc w:val="right"/>
              <w:rPr>
                <w:sz w:val="16"/>
                <w:szCs w:val="16"/>
              </w:rPr>
            </w:pPr>
            <w:r w:rsidRPr="008C0AD6">
              <w:rPr>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14:paraId="5A9E0F43"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7CBC6C62"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6396D83F" w14:textId="79A15604" w:rsidR="008626F4" w:rsidRPr="008C0AD6" w:rsidRDefault="008626F4" w:rsidP="008626F4">
            <w:pPr>
              <w:jc w:val="right"/>
              <w:rPr>
                <w:sz w:val="16"/>
                <w:szCs w:val="16"/>
              </w:rPr>
            </w:pPr>
            <w:r w:rsidRPr="008C0AD6">
              <w:rPr>
                <w:sz w:val="16"/>
                <w:szCs w:val="16"/>
              </w:rPr>
              <w:t>28</w:t>
            </w:r>
          </w:p>
        </w:tc>
        <w:tc>
          <w:tcPr>
            <w:tcW w:w="295" w:type="pct"/>
            <w:tcBorders>
              <w:top w:val="nil"/>
              <w:left w:val="nil"/>
              <w:bottom w:val="single" w:sz="4" w:space="0" w:color="auto"/>
              <w:right w:val="single" w:sz="4" w:space="0" w:color="auto"/>
            </w:tcBorders>
            <w:shd w:val="clear" w:color="auto" w:fill="auto"/>
            <w:noWrap/>
            <w:vAlign w:val="bottom"/>
            <w:hideMark/>
          </w:tcPr>
          <w:p w14:paraId="2CF2D16A" w14:textId="77777777" w:rsidR="008626F4" w:rsidRPr="00375189" w:rsidRDefault="008626F4" w:rsidP="008626F4">
            <w:pPr>
              <w:jc w:val="right"/>
              <w:rPr>
                <w:sz w:val="16"/>
                <w:szCs w:val="16"/>
              </w:rPr>
            </w:pPr>
            <w:r w:rsidRPr="00375189">
              <w:rPr>
                <w:sz w:val="16"/>
                <w:szCs w:val="16"/>
              </w:rPr>
              <w:t>28</w:t>
            </w:r>
          </w:p>
        </w:tc>
      </w:tr>
      <w:tr w:rsidR="008626F4" w:rsidRPr="00375189" w14:paraId="37BF4A4A"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32E1D57C" w14:textId="77777777" w:rsidR="008626F4" w:rsidRPr="00375189" w:rsidRDefault="008626F4" w:rsidP="008626F4">
            <w:pPr>
              <w:rPr>
                <w:sz w:val="16"/>
                <w:szCs w:val="16"/>
              </w:rPr>
            </w:pPr>
            <w:r w:rsidRPr="00375189">
              <w:rPr>
                <w:sz w:val="16"/>
                <w:szCs w:val="16"/>
              </w:rPr>
              <w:t>Силистра</w:t>
            </w:r>
          </w:p>
        </w:tc>
        <w:tc>
          <w:tcPr>
            <w:tcW w:w="372" w:type="pct"/>
            <w:tcBorders>
              <w:top w:val="nil"/>
              <w:left w:val="nil"/>
              <w:bottom w:val="single" w:sz="4" w:space="0" w:color="auto"/>
              <w:right w:val="single" w:sz="4" w:space="0" w:color="auto"/>
            </w:tcBorders>
            <w:shd w:val="clear" w:color="auto" w:fill="auto"/>
            <w:noWrap/>
            <w:vAlign w:val="bottom"/>
            <w:hideMark/>
          </w:tcPr>
          <w:p w14:paraId="1CC7C10D"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3645E2BE" w14:textId="4CFB43F2" w:rsidR="008626F4" w:rsidRPr="008C0AD6" w:rsidRDefault="008626F4" w:rsidP="008626F4">
            <w:pPr>
              <w:jc w:val="right"/>
              <w:rPr>
                <w:sz w:val="16"/>
                <w:szCs w:val="16"/>
              </w:rPr>
            </w:pPr>
            <w:r w:rsidRPr="008C0AD6">
              <w:rPr>
                <w:sz w:val="16"/>
                <w:szCs w:val="16"/>
              </w:rPr>
              <w:t>100</w:t>
            </w:r>
          </w:p>
        </w:tc>
        <w:tc>
          <w:tcPr>
            <w:tcW w:w="306" w:type="pct"/>
            <w:tcBorders>
              <w:top w:val="nil"/>
              <w:left w:val="nil"/>
              <w:bottom w:val="single" w:sz="4" w:space="0" w:color="auto"/>
              <w:right w:val="single" w:sz="4" w:space="0" w:color="auto"/>
            </w:tcBorders>
            <w:shd w:val="clear" w:color="auto" w:fill="auto"/>
            <w:noWrap/>
            <w:vAlign w:val="bottom"/>
            <w:hideMark/>
          </w:tcPr>
          <w:p w14:paraId="321876C1" w14:textId="77777777" w:rsidR="008626F4" w:rsidRPr="008C0AD6" w:rsidRDefault="008626F4" w:rsidP="008626F4">
            <w:pPr>
              <w:jc w:val="right"/>
              <w:rPr>
                <w:sz w:val="16"/>
                <w:szCs w:val="16"/>
              </w:rPr>
            </w:pPr>
            <w:r w:rsidRPr="008C0AD6">
              <w:rPr>
                <w:sz w:val="16"/>
                <w:szCs w:val="16"/>
              </w:rPr>
              <w:t>0,00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6F909AE2"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1992C8F7" w14:textId="51BFAF42" w:rsidR="008626F4" w:rsidRPr="008C0AD6" w:rsidRDefault="008626F4" w:rsidP="008626F4">
            <w:pPr>
              <w:jc w:val="right"/>
              <w:rPr>
                <w:sz w:val="16"/>
                <w:szCs w:val="16"/>
              </w:rPr>
            </w:pPr>
            <w:r w:rsidRPr="008C0AD6">
              <w:rPr>
                <w:sz w:val="16"/>
                <w:szCs w:val="16"/>
              </w:rPr>
              <w:t>6</w:t>
            </w:r>
          </w:p>
        </w:tc>
        <w:tc>
          <w:tcPr>
            <w:tcW w:w="288" w:type="pct"/>
            <w:tcBorders>
              <w:top w:val="nil"/>
              <w:left w:val="nil"/>
              <w:bottom w:val="single" w:sz="4" w:space="0" w:color="auto"/>
              <w:right w:val="single" w:sz="8" w:space="0" w:color="auto"/>
            </w:tcBorders>
            <w:shd w:val="clear" w:color="auto" w:fill="auto"/>
            <w:noWrap/>
            <w:vAlign w:val="bottom"/>
            <w:hideMark/>
          </w:tcPr>
          <w:p w14:paraId="2F345EC2"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nil"/>
              <w:bottom w:val="single" w:sz="4" w:space="0" w:color="auto"/>
              <w:right w:val="single" w:sz="4" w:space="0" w:color="auto"/>
            </w:tcBorders>
            <w:shd w:val="clear" w:color="auto" w:fill="auto"/>
            <w:noWrap/>
            <w:vAlign w:val="bottom"/>
            <w:hideMark/>
          </w:tcPr>
          <w:p w14:paraId="072406B5"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0C21F326" w14:textId="26E33F5F" w:rsidR="008626F4" w:rsidRPr="008C0AD6" w:rsidRDefault="008626F4" w:rsidP="008626F4">
            <w:pPr>
              <w:jc w:val="right"/>
              <w:rPr>
                <w:sz w:val="16"/>
                <w:szCs w:val="16"/>
              </w:rPr>
            </w:pPr>
            <w:r w:rsidRPr="008C0AD6">
              <w:rPr>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14:paraId="0D799E6C"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0DBF4FC2"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7F6373A1" w14:textId="39813F28" w:rsidR="008626F4" w:rsidRPr="008C0AD6" w:rsidRDefault="008626F4" w:rsidP="008626F4">
            <w:pPr>
              <w:jc w:val="right"/>
              <w:rPr>
                <w:sz w:val="16"/>
                <w:szCs w:val="16"/>
              </w:rPr>
            </w:pPr>
            <w:r w:rsidRPr="008C0AD6">
              <w:rPr>
                <w:sz w:val="16"/>
                <w:szCs w:val="16"/>
              </w:rPr>
              <w:t>22</w:t>
            </w:r>
          </w:p>
        </w:tc>
        <w:tc>
          <w:tcPr>
            <w:tcW w:w="295" w:type="pct"/>
            <w:tcBorders>
              <w:top w:val="nil"/>
              <w:left w:val="nil"/>
              <w:bottom w:val="single" w:sz="4" w:space="0" w:color="auto"/>
              <w:right w:val="single" w:sz="8" w:space="0" w:color="auto"/>
            </w:tcBorders>
            <w:shd w:val="clear" w:color="auto" w:fill="auto"/>
            <w:noWrap/>
            <w:vAlign w:val="bottom"/>
            <w:hideMark/>
          </w:tcPr>
          <w:p w14:paraId="2557E37F" w14:textId="77777777" w:rsidR="008626F4" w:rsidRPr="00375189" w:rsidRDefault="008626F4" w:rsidP="008626F4">
            <w:pPr>
              <w:jc w:val="right"/>
              <w:rPr>
                <w:sz w:val="16"/>
                <w:szCs w:val="16"/>
              </w:rPr>
            </w:pPr>
            <w:r w:rsidRPr="00375189">
              <w:rPr>
                <w:sz w:val="16"/>
                <w:szCs w:val="16"/>
              </w:rPr>
              <w:t>22</w:t>
            </w:r>
          </w:p>
        </w:tc>
      </w:tr>
      <w:tr w:rsidR="008626F4" w:rsidRPr="00375189" w14:paraId="040C68CE"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4091D9D7" w14:textId="77777777" w:rsidR="008626F4" w:rsidRPr="00375189" w:rsidRDefault="008626F4" w:rsidP="008626F4">
            <w:pPr>
              <w:rPr>
                <w:sz w:val="16"/>
                <w:szCs w:val="16"/>
              </w:rPr>
            </w:pPr>
            <w:r w:rsidRPr="00375189">
              <w:rPr>
                <w:sz w:val="16"/>
                <w:szCs w:val="16"/>
              </w:rPr>
              <w:t>Сливен</w:t>
            </w:r>
          </w:p>
        </w:tc>
        <w:tc>
          <w:tcPr>
            <w:tcW w:w="372" w:type="pct"/>
            <w:tcBorders>
              <w:top w:val="nil"/>
              <w:left w:val="nil"/>
              <w:bottom w:val="single" w:sz="4" w:space="0" w:color="auto"/>
              <w:right w:val="single" w:sz="4" w:space="0" w:color="auto"/>
            </w:tcBorders>
            <w:shd w:val="clear" w:color="auto" w:fill="auto"/>
            <w:noWrap/>
            <w:vAlign w:val="bottom"/>
            <w:hideMark/>
          </w:tcPr>
          <w:p w14:paraId="365EE898"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720DE0BD" w14:textId="382FDDB4" w:rsidR="008626F4" w:rsidRPr="008C0AD6" w:rsidRDefault="008626F4" w:rsidP="008626F4">
            <w:pPr>
              <w:jc w:val="right"/>
              <w:rPr>
                <w:sz w:val="16"/>
                <w:szCs w:val="16"/>
              </w:rPr>
            </w:pPr>
            <w:r w:rsidRPr="008C0AD6">
              <w:rPr>
                <w:sz w:val="16"/>
                <w:szCs w:val="16"/>
              </w:rPr>
              <w:t>100</w:t>
            </w:r>
          </w:p>
        </w:tc>
        <w:tc>
          <w:tcPr>
            <w:tcW w:w="306" w:type="pct"/>
            <w:tcBorders>
              <w:top w:val="nil"/>
              <w:left w:val="nil"/>
              <w:bottom w:val="single" w:sz="4" w:space="0" w:color="auto"/>
              <w:right w:val="single" w:sz="4" w:space="0" w:color="auto"/>
            </w:tcBorders>
            <w:shd w:val="clear" w:color="auto" w:fill="auto"/>
            <w:noWrap/>
            <w:vAlign w:val="bottom"/>
            <w:hideMark/>
          </w:tcPr>
          <w:p w14:paraId="1973A47B" w14:textId="77777777" w:rsidR="008626F4" w:rsidRPr="008C0AD6" w:rsidRDefault="008626F4" w:rsidP="008626F4">
            <w:pPr>
              <w:jc w:val="right"/>
              <w:rPr>
                <w:sz w:val="16"/>
                <w:szCs w:val="16"/>
              </w:rPr>
            </w:pPr>
            <w:r w:rsidRPr="008C0AD6">
              <w:rPr>
                <w:sz w:val="16"/>
                <w:szCs w:val="16"/>
              </w:rPr>
              <w:t>0,00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0479B2DE"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4BCF9A42" w14:textId="18EDBF8E" w:rsidR="008626F4" w:rsidRPr="008C0AD6" w:rsidRDefault="008626F4" w:rsidP="008626F4">
            <w:pPr>
              <w:jc w:val="right"/>
              <w:rPr>
                <w:sz w:val="16"/>
                <w:szCs w:val="16"/>
              </w:rPr>
            </w:pPr>
            <w:r w:rsidRPr="008C0AD6">
              <w:rPr>
                <w:sz w:val="16"/>
                <w:szCs w:val="16"/>
              </w:rPr>
              <w:t>3</w:t>
            </w:r>
          </w:p>
        </w:tc>
        <w:tc>
          <w:tcPr>
            <w:tcW w:w="288" w:type="pct"/>
            <w:tcBorders>
              <w:top w:val="nil"/>
              <w:left w:val="nil"/>
              <w:bottom w:val="single" w:sz="4" w:space="0" w:color="auto"/>
              <w:right w:val="single" w:sz="8" w:space="0" w:color="auto"/>
            </w:tcBorders>
            <w:shd w:val="clear" w:color="auto" w:fill="auto"/>
            <w:noWrap/>
            <w:vAlign w:val="bottom"/>
            <w:hideMark/>
          </w:tcPr>
          <w:p w14:paraId="765DA4E0" w14:textId="77777777" w:rsidR="008626F4" w:rsidRPr="008C0AD6" w:rsidRDefault="008626F4" w:rsidP="008626F4">
            <w:pPr>
              <w:jc w:val="right"/>
              <w:rPr>
                <w:sz w:val="16"/>
                <w:szCs w:val="16"/>
              </w:rPr>
            </w:pPr>
            <w:r w:rsidRPr="008C0AD6">
              <w:rPr>
                <w:sz w:val="16"/>
                <w:szCs w:val="16"/>
              </w:rPr>
              <w:t>3</w:t>
            </w:r>
          </w:p>
        </w:tc>
        <w:tc>
          <w:tcPr>
            <w:tcW w:w="372" w:type="pct"/>
            <w:tcBorders>
              <w:top w:val="nil"/>
              <w:left w:val="nil"/>
              <w:bottom w:val="single" w:sz="4" w:space="0" w:color="auto"/>
              <w:right w:val="single" w:sz="4" w:space="0" w:color="auto"/>
            </w:tcBorders>
            <w:shd w:val="clear" w:color="auto" w:fill="auto"/>
            <w:noWrap/>
            <w:vAlign w:val="bottom"/>
            <w:hideMark/>
          </w:tcPr>
          <w:p w14:paraId="018B097C"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4DF780EF" w14:textId="47A36930" w:rsidR="008626F4" w:rsidRPr="008C0AD6" w:rsidRDefault="008626F4" w:rsidP="008626F4">
            <w:pPr>
              <w:jc w:val="right"/>
              <w:rPr>
                <w:sz w:val="16"/>
                <w:szCs w:val="16"/>
              </w:rPr>
            </w:pPr>
            <w:r w:rsidRPr="008C0AD6">
              <w:rPr>
                <w:sz w:val="16"/>
                <w:szCs w:val="16"/>
              </w:rPr>
              <w:t>400</w:t>
            </w:r>
          </w:p>
        </w:tc>
        <w:tc>
          <w:tcPr>
            <w:tcW w:w="288" w:type="pct"/>
            <w:tcBorders>
              <w:top w:val="nil"/>
              <w:left w:val="nil"/>
              <w:bottom w:val="single" w:sz="4" w:space="0" w:color="auto"/>
              <w:right w:val="single" w:sz="4" w:space="0" w:color="auto"/>
            </w:tcBorders>
            <w:shd w:val="clear" w:color="auto" w:fill="auto"/>
            <w:noWrap/>
            <w:vAlign w:val="bottom"/>
            <w:hideMark/>
          </w:tcPr>
          <w:p w14:paraId="2B1A3515" w14:textId="77777777" w:rsidR="008626F4" w:rsidRPr="008C0AD6" w:rsidRDefault="008626F4" w:rsidP="008626F4">
            <w:pPr>
              <w:jc w:val="right"/>
              <w:rPr>
                <w:sz w:val="16"/>
                <w:szCs w:val="16"/>
              </w:rPr>
            </w:pPr>
            <w:r w:rsidRPr="008C0AD6">
              <w:rPr>
                <w:sz w:val="16"/>
                <w:szCs w:val="16"/>
              </w:rPr>
              <w:t>400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277326EB"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07A8D95F" w14:textId="4E99AD59" w:rsidR="008626F4" w:rsidRPr="008C0AD6" w:rsidRDefault="008626F4" w:rsidP="008626F4">
            <w:pPr>
              <w:jc w:val="right"/>
              <w:rPr>
                <w:sz w:val="16"/>
                <w:szCs w:val="16"/>
              </w:rPr>
            </w:pPr>
            <w:r w:rsidRPr="008C0AD6">
              <w:rPr>
                <w:sz w:val="16"/>
                <w:szCs w:val="16"/>
              </w:rPr>
              <w:t>16</w:t>
            </w:r>
          </w:p>
        </w:tc>
        <w:tc>
          <w:tcPr>
            <w:tcW w:w="295" w:type="pct"/>
            <w:tcBorders>
              <w:top w:val="nil"/>
              <w:left w:val="nil"/>
              <w:bottom w:val="single" w:sz="4" w:space="0" w:color="auto"/>
              <w:right w:val="single" w:sz="8" w:space="0" w:color="auto"/>
            </w:tcBorders>
            <w:shd w:val="clear" w:color="auto" w:fill="auto"/>
            <w:noWrap/>
            <w:vAlign w:val="bottom"/>
            <w:hideMark/>
          </w:tcPr>
          <w:p w14:paraId="73A7B660" w14:textId="77777777" w:rsidR="008626F4" w:rsidRPr="00375189" w:rsidRDefault="008626F4" w:rsidP="008626F4">
            <w:pPr>
              <w:jc w:val="right"/>
              <w:rPr>
                <w:sz w:val="16"/>
                <w:szCs w:val="16"/>
              </w:rPr>
            </w:pPr>
            <w:r w:rsidRPr="00375189">
              <w:rPr>
                <w:sz w:val="16"/>
                <w:szCs w:val="16"/>
              </w:rPr>
              <w:t>16</w:t>
            </w:r>
          </w:p>
        </w:tc>
      </w:tr>
      <w:tr w:rsidR="008626F4" w:rsidRPr="00375189" w14:paraId="54A0E48C"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6B1D57E9" w14:textId="77777777" w:rsidR="008626F4" w:rsidRPr="00375189" w:rsidRDefault="008626F4" w:rsidP="008626F4">
            <w:pPr>
              <w:rPr>
                <w:sz w:val="16"/>
                <w:szCs w:val="16"/>
              </w:rPr>
            </w:pPr>
            <w:r w:rsidRPr="00375189">
              <w:rPr>
                <w:sz w:val="16"/>
                <w:szCs w:val="16"/>
              </w:rPr>
              <w:t>Смолян</w:t>
            </w:r>
          </w:p>
        </w:tc>
        <w:tc>
          <w:tcPr>
            <w:tcW w:w="372" w:type="pct"/>
            <w:tcBorders>
              <w:top w:val="nil"/>
              <w:left w:val="nil"/>
              <w:bottom w:val="single" w:sz="4" w:space="0" w:color="auto"/>
              <w:right w:val="single" w:sz="4" w:space="0" w:color="auto"/>
            </w:tcBorders>
            <w:shd w:val="clear" w:color="auto" w:fill="auto"/>
            <w:noWrap/>
            <w:vAlign w:val="bottom"/>
            <w:hideMark/>
          </w:tcPr>
          <w:p w14:paraId="5FC284DF"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44704956" w14:textId="38B6B3F1" w:rsidR="008626F4" w:rsidRPr="008C0AD6" w:rsidRDefault="008626F4" w:rsidP="008626F4">
            <w:pPr>
              <w:jc w:val="right"/>
              <w:rPr>
                <w:sz w:val="16"/>
                <w:szCs w:val="16"/>
              </w:rPr>
            </w:pPr>
            <w:r w:rsidRPr="008C0AD6">
              <w:rPr>
                <w:sz w:val="16"/>
                <w:szCs w:val="16"/>
              </w:rPr>
              <w:t>99</w:t>
            </w:r>
          </w:p>
        </w:tc>
        <w:tc>
          <w:tcPr>
            <w:tcW w:w="306" w:type="pct"/>
            <w:tcBorders>
              <w:top w:val="nil"/>
              <w:left w:val="nil"/>
              <w:bottom w:val="single" w:sz="4" w:space="0" w:color="auto"/>
              <w:right w:val="single" w:sz="4" w:space="0" w:color="auto"/>
            </w:tcBorders>
            <w:shd w:val="clear" w:color="auto" w:fill="auto"/>
            <w:noWrap/>
            <w:vAlign w:val="bottom"/>
            <w:hideMark/>
          </w:tcPr>
          <w:p w14:paraId="22BA386B" w14:textId="77777777" w:rsidR="008626F4" w:rsidRPr="008C0AD6" w:rsidRDefault="008626F4" w:rsidP="008626F4">
            <w:pPr>
              <w:jc w:val="right"/>
              <w:rPr>
                <w:sz w:val="16"/>
                <w:szCs w:val="16"/>
              </w:rPr>
            </w:pPr>
            <w:r w:rsidRPr="008C0AD6">
              <w:rPr>
                <w:sz w:val="16"/>
                <w:szCs w:val="16"/>
              </w:rPr>
              <w:t>100,00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5D1321FB"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420B9477" w14:textId="1D48A71D" w:rsidR="008626F4" w:rsidRPr="008C0AD6" w:rsidRDefault="008626F4" w:rsidP="008626F4">
            <w:pPr>
              <w:jc w:val="right"/>
              <w:rPr>
                <w:sz w:val="16"/>
                <w:szCs w:val="16"/>
              </w:rPr>
            </w:pPr>
            <w:r w:rsidRPr="008C0AD6">
              <w:rPr>
                <w:sz w:val="16"/>
                <w:szCs w:val="16"/>
              </w:rPr>
              <w:t>6</w:t>
            </w:r>
          </w:p>
        </w:tc>
        <w:tc>
          <w:tcPr>
            <w:tcW w:w="288" w:type="pct"/>
            <w:tcBorders>
              <w:top w:val="nil"/>
              <w:left w:val="nil"/>
              <w:bottom w:val="single" w:sz="4" w:space="0" w:color="auto"/>
              <w:right w:val="single" w:sz="8" w:space="0" w:color="auto"/>
            </w:tcBorders>
            <w:shd w:val="clear" w:color="auto" w:fill="auto"/>
            <w:noWrap/>
            <w:vAlign w:val="bottom"/>
            <w:hideMark/>
          </w:tcPr>
          <w:p w14:paraId="514B83DA" w14:textId="77777777" w:rsidR="008626F4" w:rsidRPr="008C0AD6" w:rsidRDefault="008626F4" w:rsidP="008626F4">
            <w:pPr>
              <w:jc w:val="right"/>
              <w:rPr>
                <w:sz w:val="16"/>
                <w:szCs w:val="16"/>
              </w:rPr>
            </w:pPr>
            <w:r w:rsidRPr="008C0AD6">
              <w:rPr>
                <w:sz w:val="16"/>
                <w:szCs w:val="16"/>
              </w:rPr>
              <w:t>3</w:t>
            </w:r>
          </w:p>
        </w:tc>
        <w:tc>
          <w:tcPr>
            <w:tcW w:w="372" w:type="pct"/>
            <w:tcBorders>
              <w:top w:val="nil"/>
              <w:left w:val="nil"/>
              <w:bottom w:val="single" w:sz="4" w:space="0" w:color="auto"/>
              <w:right w:val="single" w:sz="4" w:space="0" w:color="auto"/>
            </w:tcBorders>
            <w:shd w:val="clear" w:color="auto" w:fill="auto"/>
            <w:noWrap/>
            <w:vAlign w:val="bottom"/>
            <w:hideMark/>
          </w:tcPr>
          <w:p w14:paraId="590E2E3E"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1010D785" w14:textId="24D1311B" w:rsidR="008626F4" w:rsidRPr="008C0AD6" w:rsidRDefault="008626F4" w:rsidP="008626F4">
            <w:pPr>
              <w:jc w:val="right"/>
              <w:rPr>
                <w:sz w:val="16"/>
                <w:szCs w:val="16"/>
              </w:rPr>
            </w:pPr>
            <w:r w:rsidRPr="008C0AD6">
              <w:rPr>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14:paraId="7128B85E"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4235F10C"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2A6D3FCA" w14:textId="177CF31D" w:rsidR="008626F4" w:rsidRPr="008C0AD6" w:rsidRDefault="008626F4" w:rsidP="008626F4">
            <w:pPr>
              <w:jc w:val="right"/>
              <w:rPr>
                <w:sz w:val="16"/>
                <w:szCs w:val="16"/>
              </w:rPr>
            </w:pPr>
            <w:r w:rsidRPr="008C0AD6">
              <w:rPr>
                <w:sz w:val="16"/>
                <w:szCs w:val="16"/>
              </w:rPr>
              <w:t>40</w:t>
            </w:r>
          </w:p>
        </w:tc>
        <w:tc>
          <w:tcPr>
            <w:tcW w:w="295" w:type="pct"/>
            <w:tcBorders>
              <w:top w:val="nil"/>
              <w:left w:val="nil"/>
              <w:bottom w:val="single" w:sz="4" w:space="0" w:color="auto"/>
              <w:right w:val="single" w:sz="8" w:space="0" w:color="auto"/>
            </w:tcBorders>
            <w:shd w:val="clear" w:color="auto" w:fill="auto"/>
            <w:noWrap/>
            <w:vAlign w:val="bottom"/>
            <w:hideMark/>
          </w:tcPr>
          <w:p w14:paraId="3C34E779" w14:textId="77777777" w:rsidR="008626F4" w:rsidRPr="00375189" w:rsidRDefault="008626F4" w:rsidP="008626F4">
            <w:pPr>
              <w:jc w:val="right"/>
              <w:rPr>
                <w:sz w:val="16"/>
                <w:szCs w:val="16"/>
              </w:rPr>
            </w:pPr>
            <w:r w:rsidRPr="00375189">
              <w:rPr>
                <w:sz w:val="16"/>
                <w:szCs w:val="16"/>
              </w:rPr>
              <w:t>40</w:t>
            </w:r>
          </w:p>
        </w:tc>
      </w:tr>
      <w:tr w:rsidR="008626F4" w:rsidRPr="00375189" w14:paraId="0CFA4AFE"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3B6CB5A9" w14:textId="77777777" w:rsidR="008626F4" w:rsidRPr="00375189" w:rsidRDefault="008626F4" w:rsidP="008626F4">
            <w:pPr>
              <w:rPr>
                <w:sz w:val="16"/>
                <w:szCs w:val="16"/>
              </w:rPr>
            </w:pPr>
            <w:r w:rsidRPr="00375189">
              <w:rPr>
                <w:sz w:val="16"/>
                <w:szCs w:val="16"/>
              </w:rPr>
              <w:t>София-град</w:t>
            </w:r>
          </w:p>
        </w:tc>
        <w:tc>
          <w:tcPr>
            <w:tcW w:w="372" w:type="pct"/>
            <w:tcBorders>
              <w:top w:val="nil"/>
              <w:left w:val="nil"/>
              <w:bottom w:val="single" w:sz="4" w:space="0" w:color="auto"/>
              <w:right w:val="single" w:sz="4" w:space="0" w:color="auto"/>
            </w:tcBorders>
            <w:shd w:val="clear" w:color="auto" w:fill="auto"/>
            <w:noWrap/>
            <w:vAlign w:val="bottom"/>
            <w:hideMark/>
          </w:tcPr>
          <w:p w14:paraId="5481F653"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18D3B781" w14:textId="3748B294" w:rsidR="008626F4" w:rsidRPr="008C0AD6" w:rsidRDefault="008626F4" w:rsidP="008626F4">
            <w:pPr>
              <w:jc w:val="right"/>
              <w:rPr>
                <w:sz w:val="16"/>
                <w:szCs w:val="16"/>
              </w:rPr>
            </w:pPr>
            <w:r w:rsidRPr="008C0AD6">
              <w:rPr>
                <w:sz w:val="16"/>
                <w:szCs w:val="16"/>
              </w:rPr>
              <w:t>100</w:t>
            </w:r>
          </w:p>
        </w:tc>
        <w:tc>
          <w:tcPr>
            <w:tcW w:w="306" w:type="pct"/>
            <w:tcBorders>
              <w:top w:val="nil"/>
              <w:left w:val="nil"/>
              <w:bottom w:val="single" w:sz="4" w:space="0" w:color="auto"/>
              <w:right w:val="single" w:sz="4" w:space="0" w:color="auto"/>
            </w:tcBorders>
            <w:shd w:val="clear" w:color="auto" w:fill="auto"/>
            <w:noWrap/>
            <w:vAlign w:val="bottom"/>
            <w:hideMark/>
          </w:tcPr>
          <w:p w14:paraId="0D33922E" w14:textId="77777777" w:rsidR="008626F4" w:rsidRPr="008C0AD6" w:rsidRDefault="008626F4" w:rsidP="008626F4">
            <w:pPr>
              <w:jc w:val="right"/>
              <w:rPr>
                <w:sz w:val="16"/>
                <w:szCs w:val="16"/>
              </w:rPr>
            </w:pPr>
            <w:r w:rsidRPr="008C0AD6">
              <w:rPr>
                <w:sz w:val="16"/>
                <w:szCs w:val="16"/>
              </w:rPr>
              <w:t>0,00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0E7B98AD"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369CCD89" w14:textId="34B2A4DD" w:rsidR="008626F4" w:rsidRPr="008C0AD6" w:rsidRDefault="008626F4" w:rsidP="008626F4">
            <w:pPr>
              <w:jc w:val="right"/>
              <w:rPr>
                <w:sz w:val="16"/>
                <w:szCs w:val="16"/>
              </w:rPr>
            </w:pPr>
            <w:r w:rsidRPr="008C0AD6">
              <w:rPr>
                <w:sz w:val="16"/>
                <w:szCs w:val="16"/>
              </w:rPr>
              <w:t>1</w:t>
            </w:r>
          </w:p>
        </w:tc>
        <w:tc>
          <w:tcPr>
            <w:tcW w:w="288" w:type="pct"/>
            <w:tcBorders>
              <w:top w:val="nil"/>
              <w:left w:val="nil"/>
              <w:bottom w:val="single" w:sz="4" w:space="0" w:color="auto"/>
              <w:right w:val="single" w:sz="8" w:space="0" w:color="auto"/>
            </w:tcBorders>
            <w:shd w:val="clear" w:color="auto" w:fill="auto"/>
            <w:noWrap/>
            <w:vAlign w:val="bottom"/>
            <w:hideMark/>
          </w:tcPr>
          <w:p w14:paraId="3885CC73"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nil"/>
              <w:bottom w:val="single" w:sz="4" w:space="0" w:color="auto"/>
              <w:right w:val="single" w:sz="4" w:space="0" w:color="auto"/>
            </w:tcBorders>
            <w:shd w:val="clear" w:color="auto" w:fill="auto"/>
            <w:noWrap/>
            <w:vAlign w:val="bottom"/>
            <w:hideMark/>
          </w:tcPr>
          <w:p w14:paraId="00011CCA"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45BA3006" w14:textId="58B972BD" w:rsidR="008626F4" w:rsidRPr="008C0AD6" w:rsidRDefault="008626F4" w:rsidP="008626F4">
            <w:pPr>
              <w:jc w:val="right"/>
              <w:rPr>
                <w:sz w:val="16"/>
                <w:szCs w:val="16"/>
              </w:rPr>
            </w:pPr>
            <w:r w:rsidRPr="008C0AD6">
              <w:rPr>
                <w:sz w:val="16"/>
                <w:szCs w:val="16"/>
              </w:rPr>
              <w:t>1000</w:t>
            </w:r>
          </w:p>
        </w:tc>
        <w:tc>
          <w:tcPr>
            <w:tcW w:w="288" w:type="pct"/>
            <w:tcBorders>
              <w:top w:val="nil"/>
              <w:left w:val="nil"/>
              <w:bottom w:val="single" w:sz="4" w:space="0" w:color="auto"/>
              <w:right w:val="single" w:sz="4" w:space="0" w:color="auto"/>
            </w:tcBorders>
            <w:shd w:val="clear" w:color="auto" w:fill="auto"/>
            <w:noWrap/>
            <w:vAlign w:val="bottom"/>
            <w:hideMark/>
          </w:tcPr>
          <w:p w14:paraId="12D12A54" w14:textId="77777777" w:rsidR="008626F4" w:rsidRPr="008C0AD6" w:rsidRDefault="008626F4" w:rsidP="008626F4">
            <w:pPr>
              <w:jc w:val="right"/>
              <w:rPr>
                <w:sz w:val="16"/>
                <w:szCs w:val="16"/>
              </w:rPr>
            </w:pPr>
            <w:r w:rsidRPr="008C0AD6">
              <w:rPr>
                <w:sz w:val="16"/>
                <w:szCs w:val="16"/>
              </w:rPr>
              <w:t>528</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7D51992D"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3E6E4A2F" w14:textId="76296484" w:rsidR="008626F4" w:rsidRPr="008C0AD6" w:rsidRDefault="008626F4" w:rsidP="008626F4">
            <w:pPr>
              <w:jc w:val="right"/>
              <w:rPr>
                <w:sz w:val="16"/>
                <w:szCs w:val="16"/>
              </w:rPr>
            </w:pPr>
            <w:r w:rsidRPr="008C0AD6">
              <w:rPr>
                <w:sz w:val="16"/>
                <w:szCs w:val="16"/>
              </w:rPr>
              <w:t>22</w:t>
            </w:r>
          </w:p>
        </w:tc>
        <w:tc>
          <w:tcPr>
            <w:tcW w:w="295" w:type="pct"/>
            <w:tcBorders>
              <w:top w:val="nil"/>
              <w:left w:val="nil"/>
              <w:bottom w:val="single" w:sz="4" w:space="0" w:color="auto"/>
              <w:right w:val="single" w:sz="8" w:space="0" w:color="auto"/>
            </w:tcBorders>
            <w:shd w:val="clear" w:color="auto" w:fill="auto"/>
            <w:noWrap/>
            <w:vAlign w:val="bottom"/>
            <w:hideMark/>
          </w:tcPr>
          <w:p w14:paraId="2820CA36" w14:textId="77777777" w:rsidR="008626F4" w:rsidRPr="00375189" w:rsidRDefault="008626F4" w:rsidP="008626F4">
            <w:pPr>
              <w:jc w:val="right"/>
              <w:rPr>
                <w:sz w:val="16"/>
                <w:szCs w:val="16"/>
              </w:rPr>
            </w:pPr>
            <w:r w:rsidRPr="00375189">
              <w:rPr>
                <w:sz w:val="16"/>
                <w:szCs w:val="16"/>
              </w:rPr>
              <w:t>22</w:t>
            </w:r>
          </w:p>
        </w:tc>
      </w:tr>
      <w:tr w:rsidR="008626F4" w:rsidRPr="00375189" w14:paraId="03F45CFB"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791BAFC9" w14:textId="77777777" w:rsidR="008626F4" w:rsidRPr="00375189" w:rsidRDefault="008626F4" w:rsidP="008626F4">
            <w:pPr>
              <w:rPr>
                <w:sz w:val="16"/>
                <w:szCs w:val="16"/>
              </w:rPr>
            </w:pPr>
            <w:r w:rsidRPr="00375189">
              <w:rPr>
                <w:sz w:val="16"/>
                <w:szCs w:val="16"/>
              </w:rPr>
              <w:t>София-област</w:t>
            </w:r>
          </w:p>
        </w:tc>
        <w:tc>
          <w:tcPr>
            <w:tcW w:w="372" w:type="pct"/>
            <w:tcBorders>
              <w:top w:val="nil"/>
              <w:left w:val="nil"/>
              <w:bottom w:val="single" w:sz="4" w:space="0" w:color="auto"/>
              <w:right w:val="single" w:sz="4" w:space="0" w:color="auto"/>
            </w:tcBorders>
            <w:shd w:val="clear" w:color="auto" w:fill="auto"/>
            <w:noWrap/>
            <w:vAlign w:val="bottom"/>
            <w:hideMark/>
          </w:tcPr>
          <w:p w14:paraId="3633B718"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7903DDF8" w14:textId="0A48C5CA" w:rsidR="008626F4" w:rsidRPr="008C0AD6" w:rsidRDefault="008626F4" w:rsidP="008626F4">
            <w:pPr>
              <w:jc w:val="right"/>
              <w:rPr>
                <w:sz w:val="16"/>
                <w:szCs w:val="16"/>
              </w:rPr>
            </w:pPr>
            <w:r w:rsidRPr="008C0AD6">
              <w:rPr>
                <w:sz w:val="16"/>
                <w:szCs w:val="16"/>
              </w:rPr>
              <w:t>100</w:t>
            </w:r>
          </w:p>
        </w:tc>
        <w:tc>
          <w:tcPr>
            <w:tcW w:w="306" w:type="pct"/>
            <w:tcBorders>
              <w:top w:val="nil"/>
              <w:left w:val="nil"/>
              <w:bottom w:val="single" w:sz="4" w:space="0" w:color="auto"/>
              <w:right w:val="single" w:sz="4" w:space="0" w:color="auto"/>
            </w:tcBorders>
            <w:shd w:val="clear" w:color="auto" w:fill="auto"/>
            <w:noWrap/>
            <w:vAlign w:val="bottom"/>
            <w:hideMark/>
          </w:tcPr>
          <w:p w14:paraId="24677386" w14:textId="77777777" w:rsidR="008626F4" w:rsidRPr="008C0AD6" w:rsidRDefault="008626F4" w:rsidP="008626F4">
            <w:pPr>
              <w:jc w:val="right"/>
              <w:rPr>
                <w:sz w:val="16"/>
                <w:szCs w:val="16"/>
              </w:rPr>
            </w:pPr>
            <w:r w:rsidRPr="008C0AD6">
              <w:rPr>
                <w:sz w:val="16"/>
                <w:szCs w:val="16"/>
              </w:rPr>
              <w:t>95,00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2FC79C0B"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17BA2CF6" w14:textId="6AE050D5" w:rsidR="008626F4" w:rsidRPr="008C0AD6" w:rsidRDefault="008626F4" w:rsidP="008626F4">
            <w:pPr>
              <w:jc w:val="right"/>
              <w:rPr>
                <w:sz w:val="16"/>
                <w:szCs w:val="16"/>
              </w:rPr>
            </w:pPr>
            <w:r w:rsidRPr="008C0AD6">
              <w:rPr>
                <w:sz w:val="16"/>
                <w:szCs w:val="16"/>
              </w:rPr>
              <w:t>2</w:t>
            </w:r>
          </w:p>
        </w:tc>
        <w:tc>
          <w:tcPr>
            <w:tcW w:w="288" w:type="pct"/>
            <w:tcBorders>
              <w:top w:val="nil"/>
              <w:left w:val="nil"/>
              <w:bottom w:val="single" w:sz="4" w:space="0" w:color="auto"/>
              <w:right w:val="single" w:sz="8" w:space="0" w:color="auto"/>
            </w:tcBorders>
            <w:shd w:val="clear" w:color="auto" w:fill="auto"/>
            <w:noWrap/>
            <w:vAlign w:val="bottom"/>
            <w:hideMark/>
          </w:tcPr>
          <w:p w14:paraId="5C5BA079" w14:textId="77777777" w:rsidR="008626F4" w:rsidRPr="008C0AD6" w:rsidRDefault="008626F4" w:rsidP="008626F4">
            <w:pPr>
              <w:jc w:val="right"/>
              <w:rPr>
                <w:sz w:val="16"/>
                <w:szCs w:val="16"/>
              </w:rPr>
            </w:pPr>
            <w:r w:rsidRPr="008C0AD6">
              <w:rPr>
                <w:sz w:val="16"/>
                <w:szCs w:val="16"/>
              </w:rPr>
              <w:t>1</w:t>
            </w:r>
          </w:p>
        </w:tc>
        <w:tc>
          <w:tcPr>
            <w:tcW w:w="372" w:type="pct"/>
            <w:tcBorders>
              <w:top w:val="nil"/>
              <w:left w:val="nil"/>
              <w:bottom w:val="single" w:sz="4" w:space="0" w:color="auto"/>
              <w:right w:val="single" w:sz="4" w:space="0" w:color="auto"/>
            </w:tcBorders>
            <w:shd w:val="clear" w:color="auto" w:fill="auto"/>
            <w:noWrap/>
            <w:vAlign w:val="bottom"/>
            <w:hideMark/>
          </w:tcPr>
          <w:p w14:paraId="42282A42"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19E9F9D3" w14:textId="35C64528" w:rsidR="008626F4" w:rsidRPr="008C0AD6" w:rsidRDefault="008626F4" w:rsidP="008626F4">
            <w:pPr>
              <w:jc w:val="right"/>
              <w:rPr>
                <w:sz w:val="16"/>
                <w:szCs w:val="16"/>
              </w:rPr>
            </w:pPr>
            <w:r w:rsidRPr="008C0AD6">
              <w:rPr>
                <w:sz w:val="16"/>
                <w:szCs w:val="16"/>
              </w:rPr>
              <w:t>105</w:t>
            </w:r>
          </w:p>
        </w:tc>
        <w:tc>
          <w:tcPr>
            <w:tcW w:w="288" w:type="pct"/>
            <w:tcBorders>
              <w:top w:val="nil"/>
              <w:left w:val="nil"/>
              <w:bottom w:val="single" w:sz="4" w:space="0" w:color="auto"/>
              <w:right w:val="single" w:sz="4" w:space="0" w:color="auto"/>
            </w:tcBorders>
            <w:shd w:val="clear" w:color="auto" w:fill="auto"/>
            <w:noWrap/>
            <w:vAlign w:val="bottom"/>
            <w:hideMark/>
          </w:tcPr>
          <w:p w14:paraId="4021D0F2"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6C599DB7"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45047276" w14:textId="44D6BE17" w:rsidR="008626F4" w:rsidRPr="008C0AD6" w:rsidRDefault="008626F4" w:rsidP="008626F4">
            <w:pPr>
              <w:jc w:val="right"/>
              <w:rPr>
                <w:sz w:val="16"/>
                <w:szCs w:val="16"/>
              </w:rPr>
            </w:pPr>
            <w:r w:rsidRPr="008C0AD6">
              <w:rPr>
                <w:sz w:val="16"/>
                <w:szCs w:val="16"/>
              </w:rPr>
              <w:t>16</w:t>
            </w:r>
          </w:p>
        </w:tc>
        <w:tc>
          <w:tcPr>
            <w:tcW w:w="295" w:type="pct"/>
            <w:tcBorders>
              <w:top w:val="nil"/>
              <w:left w:val="nil"/>
              <w:bottom w:val="single" w:sz="4" w:space="0" w:color="auto"/>
              <w:right w:val="single" w:sz="8" w:space="0" w:color="auto"/>
            </w:tcBorders>
            <w:shd w:val="clear" w:color="auto" w:fill="auto"/>
            <w:noWrap/>
            <w:vAlign w:val="bottom"/>
            <w:hideMark/>
          </w:tcPr>
          <w:p w14:paraId="56A7F1CE" w14:textId="77777777" w:rsidR="008626F4" w:rsidRPr="00375189" w:rsidRDefault="008626F4" w:rsidP="008626F4">
            <w:pPr>
              <w:jc w:val="right"/>
              <w:rPr>
                <w:sz w:val="16"/>
                <w:szCs w:val="16"/>
              </w:rPr>
            </w:pPr>
            <w:r w:rsidRPr="00375189">
              <w:rPr>
                <w:sz w:val="16"/>
                <w:szCs w:val="16"/>
              </w:rPr>
              <w:t>16</w:t>
            </w:r>
          </w:p>
        </w:tc>
      </w:tr>
      <w:tr w:rsidR="008626F4" w:rsidRPr="00375189" w14:paraId="0D4ECCBC"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509FC74C" w14:textId="77777777" w:rsidR="008626F4" w:rsidRPr="00375189" w:rsidRDefault="008626F4" w:rsidP="008626F4">
            <w:pPr>
              <w:rPr>
                <w:sz w:val="16"/>
                <w:szCs w:val="16"/>
              </w:rPr>
            </w:pPr>
            <w:r w:rsidRPr="00375189">
              <w:rPr>
                <w:sz w:val="16"/>
                <w:szCs w:val="16"/>
              </w:rPr>
              <w:t>Стара Загора</w:t>
            </w:r>
          </w:p>
        </w:tc>
        <w:tc>
          <w:tcPr>
            <w:tcW w:w="372" w:type="pct"/>
            <w:tcBorders>
              <w:top w:val="nil"/>
              <w:left w:val="nil"/>
              <w:bottom w:val="single" w:sz="4" w:space="0" w:color="auto"/>
              <w:right w:val="single" w:sz="4" w:space="0" w:color="auto"/>
            </w:tcBorders>
            <w:shd w:val="clear" w:color="auto" w:fill="auto"/>
            <w:noWrap/>
            <w:vAlign w:val="bottom"/>
            <w:hideMark/>
          </w:tcPr>
          <w:p w14:paraId="1CAD9EB4"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4BAE2F0A" w14:textId="2005A76D" w:rsidR="008626F4" w:rsidRPr="008C0AD6" w:rsidRDefault="008626F4" w:rsidP="008626F4">
            <w:pPr>
              <w:jc w:val="right"/>
              <w:rPr>
                <w:sz w:val="16"/>
                <w:szCs w:val="16"/>
              </w:rPr>
            </w:pPr>
            <w:r w:rsidRPr="008C0AD6">
              <w:rPr>
                <w:sz w:val="16"/>
                <w:szCs w:val="16"/>
              </w:rPr>
              <w:t>100</w:t>
            </w:r>
          </w:p>
        </w:tc>
        <w:tc>
          <w:tcPr>
            <w:tcW w:w="306" w:type="pct"/>
            <w:tcBorders>
              <w:top w:val="nil"/>
              <w:left w:val="nil"/>
              <w:bottom w:val="single" w:sz="4" w:space="0" w:color="auto"/>
              <w:right w:val="single" w:sz="4" w:space="0" w:color="auto"/>
            </w:tcBorders>
            <w:shd w:val="clear" w:color="auto" w:fill="auto"/>
            <w:noWrap/>
            <w:vAlign w:val="bottom"/>
            <w:hideMark/>
          </w:tcPr>
          <w:p w14:paraId="744F6FB1" w14:textId="77777777" w:rsidR="008626F4" w:rsidRPr="008C0AD6" w:rsidRDefault="008626F4" w:rsidP="008626F4">
            <w:pPr>
              <w:jc w:val="right"/>
              <w:rPr>
                <w:sz w:val="16"/>
                <w:szCs w:val="16"/>
              </w:rPr>
            </w:pPr>
            <w:r w:rsidRPr="008C0AD6">
              <w:rPr>
                <w:sz w:val="16"/>
                <w:szCs w:val="16"/>
              </w:rPr>
              <w:t>60,00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267CCA12"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1C60D641" w14:textId="57DEF365" w:rsidR="008626F4" w:rsidRPr="008C0AD6" w:rsidRDefault="008626F4" w:rsidP="008626F4">
            <w:pPr>
              <w:jc w:val="right"/>
              <w:rPr>
                <w:sz w:val="16"/>
                <w:szCs w:val="16"/>
              </w:rPr>
            </w:pPr>
            <w:r w:rsidRPr="008C0AD6">
              <w:rPr>
                <w:sz w:val="16"/>
                <w:szCs w:val="16"/>
              </w:rPr>
              <w:t>4</w:t>
            </w:r>
          </w:p>
        </w:tc>
        <w:tc>
          <w:tcPr>
            <w:tcW w:w="288" w:type="pct"/>
            <w:tcBorders>
              <w:top w:val="nil"/>
              <w:left w:val="nil"/>
              <w:bottom w:val="single" w:sz="4" w:space="0" w:color="auto"/>
              <w:right w:val="single" w:sz="8" w:space="0" w:color="auto"/>
            </w:tcBorders>
            <w:shd w:val="clear" w:color="auto" w:fill="auto"/>
            <w:noWrap/>
            <w:vAlign w:val="bottom"/>
            <w:hideMark/>
          </w:tcPr>
          <w:p w14:paraId="4A083A8E" w14:textId="77777777" w:rsidR="008626F4" w:rsidRPr="008C0AD6" w:rsidRDefault="008626F4" w:rsidP="008626F4">
            <w:pPr>
              <w:jc w:val="right"/>
              <w:rPr>
                <w:sz w:val="16"/>
                <w:szCs w:val="16"/>
              </w:rPr>
            </w:pPr>
            <w:r w:rsidRPr="008C0AD6">
              <w:rPr>
                <w:sz w:val="16"/>
                <w:szCs w:val="16"/>
              </w:rPr>
              <w:t>3</w:t>
            </w:r>
          </w:p>
        </w:tc>
        <w:tc>
          <w:tcPr>
            <w:tcW w:w="372" w:type="pct"/>
            <w:tcBorders>
              <w:top w:val="nil"/>
              <w:left w:val="nil"/>
              <w:bottom w:val="single" w:sz="4" w:space="0" w:color="auto"/>
              <w:right w:val="single" w:sz="4" w:space="0" w:color="auto"/>
            </w:tcBorders>
            <w:shd w:val="clear" w:color="auto" w:fill="auto"/>
            <w:noWrap/>
            <w:vAlign w:val="bottom"/>
            <w:hideMark/>
          </w:tcPr>
          <w:p w14:paraId="38BB233E"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7E43CA33" w14:textId="506A4126" w:rsidR="008626F4" w:rsidRPr="008C0AD6" w:rsidRDefault="008626F4" w:rsidP="008626F4">
            <w:pPr>
              <w:jc w:val="right"/>
              <w:rPr>
                <w:sz w:val="16"/>
                <w:szCs w:val="16"/>
              </w:rPr>
            </w:pPr>
            <w:r w:rsidRPr="008C0AD6">
              <w:rPr>
                <w:sz w:val="16"/>
                <w:szCs w:val="16"/>
              </w:rPr>
              <w:t>46</w:t>
            </w:r>
          </w:p>
        </w:tc>
        <w:tc>
          <w:tcPr>
            <w:tcW w:w="288" w:type="pct"/>
            <w:tcBorders>
              <w:top w:val="nil"/>
              <w:left w:val="nil"/>
              <w:bottom w:val="single" w:sz="4" w:space="0" w:color="auto"/>
              <w:right w:val="single" w:sz="4" w:space="0" w:color="auto"/>
            </w:tcBorders>
            <w:shd w:val="clear" w:color="auto" w:fill="auto"/>
            <w:noWrap/>
            <w:vAlign w:val="bottom"/>
            <w:hideMark/>
          </w:tcPr>
          <w:p w14:paraId="09B10E14"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6875B901"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07474DDC" w14:textId="32490F6F" w:rsidR="008626F4" w:rsidRPr="008C0AD6" w:rsidRDefault="008626F4" w:rsidP="008626F4">
            <w:pPr>
              <w:jc w:val="right"/>
              <w:rPr>
                <w:sz w:val="16"/>
                <w:szCs w:val="16"/>
              </w:rPr>
            </w:pPr>
            <w:r w:rsidRPr="008C0AD6">
              <w:rPr>
                <w:sz w:val="16"/>
                <w:szCs w:val="16"/>
              </w:rPr>
              <w:t>24</w:t>
            </w:r>
          </w:p>
        </w:tc>
        <w:tc>
          <w:tcPr>
            <w:tcW w:w="295" w:type="pct"/>
            <w:tcBorders>
              <w:top w:val="nil"/>
              <w:left w:val="nil"/>
              <w:bottom w:val="single" w:sz="4" w:space="0" w:color="auto"/>
              <w:right w:val="single" w:sz="8" w:space="0" w:color="auto"/>
            </w:tcBorders>
            <w:shd w:val="clear" w:color="auto" w:fill="auto"/>
            <w:noWrap/>
            <w:vAlign w:val="bottom"/>
            <w:hideMark/>
          </w:tcPr>
          <w:p w14:paraId="55829303" w14:textId="77777777" w:rsidR="008626F4" w:rsidRPr="00375189" w:rsidRDefault="008626F4" w:rsidP="008626F4">
            <w:pPr>
              <w:jc w:val="right"/>
              <w:rPr>
                <w:sz w:val="16"/>
                <w:szCs w:val="16"/>
              </w:rPr>
            </w:pPr>
            <w:r w:rsidRPr="00375189">
              <w:rPr>
                <w:sz w:val="16"/>
                <w:szCs w:val="16"/>
              </w:rPr>
              <w:t>24</w:t>
            </w:r>
          </w:p>
        </w:tc>
      </w:tr>
      <w:tr w:rsidR="008626F4" w:rsidRPr="00375189" w14:paraId="47E7434A"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2310F854" w14:textId="77777777" w:rsidR="008626F4" w:rsidRPr="00375189" w:rsidRDefault="008626F4" w:rsidP="008626F4">
            <w:pPr>
              <w:rPr>
                <w:sz w:val="16"/>
                <w:szCs w:val="16"/>
              </w:rPr>
            </w:pPr>
            <w:r w:rsidRPr="00375189">
              <w:rPr>
                <w:sz w:val="16"/>
                <w:szCs w:val="16"/>
              </w:rPr>
              <w:t>Търговище</w:t>
            </w:r>
          </w:p>
        </w:tc>
        <w:tc>
          <w:tcPr>
            <w:tcW w:w="372" w:type="pct"/>
            <w:tcBorders>
              <w:top w:val="nil"/>
              <w:left w:val="nil"/>
              <w:bottom w:val="single" w:sz="4" w:space="0" w:color="auto"/>
              <w:right w:val="single" w:sz="4" w:space="0" w:color="auto"/>
            </w:tcBorders>
            <w:shd w:val="clear" w:color="auto" w:fill="auto"/>
            <w:noWrap/>
            <w:vAlign w:val="bottom"/>
            <w:hideMark/>
          </w:tcPr>
          <w:p w14:paraId="5D13728D"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4E1E625D" w14:textId="3133A5F8" w:rsidR="008626F4" w:rsidRPr="008C0AD6" w:rsidRDefault="008626F4" w:rsidP="008626F4">
            <w:pPr>
              <w:jc w:val="right"/>
              <w:rPr>
                <w:sz w:val="16"/>
                <w:szCs w:val="16"/>
              </w:rPr>
            </w:pPr>
            <w:r w:rsidRPr="008C0AD6">
              <w:rPr>
                <w:sz w:val="16"/>
                <w:szCs w:val="16"/>
              </w:rPr>
              <w:t>66,67</w:t>
            </w:r>
          </w:p>
        </w:tc>
        <w:tc>
          <w:tcPr>
            <w:tcW w:w="306" w:type="pct"/>
            <w:tcBorders>
              <w:top w:val="nil"/>
              <w:left w:val="nil"/>
              <w:bottom w:val="single" w:sz="4" w:space="0" w:color="auto"/>
              <w:right w:val="single" w:sz="4" w:space="0" w:color="auto"/>
            </w:tcBorders>
            <w:shd w:val="clear" w:color="auto" w:fill="auto"/>
            <w:noWrap/>
            <w:vAlign w:val="bottom"/>
            <w:hideMark/>
          </w:tcPr>
          <w:p w14:paraId="7EB06D23" w14:textId="77777777" w:rsidR="008626F4" w:rsidRPr="008C0AD6" w:rsidRDefault="008626F4" w:rsidP="008626F4">
            <w:pPr>
              <w:jc w:val="right"/>
              <w:rPr>
                <w:sz w:val="16"/>
                <w:szCs w:val="16"/>
              </w:rPr>
            </w:pPr>
            <w:r w:rsidRPr="008C0AD6">
              <w:rPr>
                <w:sz w:val="16"/>
                <w:szCs w:val="16"/>
              </w:rPr>
              <w:t>3,02</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5157D25F"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312E6DB0" w14:textId="0327078D" w:rsidR="008626F4" w:rsidRPr="008C0AD6" w:rsidRDefault="008626F4" w:rsidP="008626F4">
            <w:pPr>
              <w:jc w:val="right"/>
              <w:rPr>
                <w:sz w:val="16"/>
                <w:szCs w:val="16"/>
              </w:rPr>
            </w:pPr>
            <w:r w:rsidRPr="008C0AD6">
              <w:rPr>
                <w:sz w:val="16"/>
                <w:szCs w:val="16"/>
              </w:rPr>
              <w:t>2</w:t>
            </w:r>
          </w:p>
        </w:tc>
        <w:tc>
          <w:tcPr>
            <w:tcW w:w="288" w:type="pct"/>
            <w:tcBorders>
              <w:top w:val="nil"/>
              <w:left w:val="nil"/>
              <w:bottom w:val="single" w:sz="4" w:space="0" w:color="auto"/>
              <w:right w:val="single" w:sz="8" w:space="0" w:color="auto"/>
            </w:tcBorders>
            <w:shd w:val="clear" w:color="auto" w:fill="auto"/>
            <w:noWrap/>
            <w:vAlign w:val="bottom"/>
            <w:hideMark/>
          </w:tcPr>
          <w:p w14:paraId="5D32D758" w14:textId="77777777" w:rsidR="008626F4" w:rsidRPr="008C0AD6" w:rsidRDefault="008626F4" w:rsidP="008626F4">
            <w:pPr>
              <w:jc w:val="right"/>
              <w:rPr>
                <w:sz w:val="16"/>
                <w:szCs w:val="16"/>
              </w:rPr>
            </w:pPr>
            <w:r w:rsidRPr="008C0AD6">
              <w:rPr>
                <w:sz w:val="16"/>
                <w:szCs w:val="16"/>
              </w:rPr>
              <w:t>2</w:t>
            </w:r>
          </w:p>
        </w:tc>
        <w:tc>
          <w:tcPr>
            <w:tcW w:w="372" w:type="pct"/>
            <w:tcBorders>
              <w:top w:val="nil"/>
              <w:left w:val="nil"/>
              <w:bottom w:val="single" w:sz="4" w:space="0" w:color="auto"/>
              <w:right w:val="single" w:sz="4" w:space="0" w:color="auto"/>
            </w:tcBorders>
            <w:shd w:val="clear" w:color="auto" w:fill="auto"/>
            <w:noWrap/>
            <w:vAlign w:val="bottom"/>
            <w:hideMark/>
          </w:tcPr>
          <w:p w14:paraId="027C4614"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74993173" w14:textId="49522C8E" w:rsidR="008626F4" w:rsidRPr="008C0AD6" w:rsidRDefault="008626F4" w:rsidP="008626F4">
            <w:pPr>
              <w:jc w:val="right"/>
              <w:rPr>
                <w:sz w:val="16"/>
                <w:szCs w:val="16"/>
              </w:rPr>
            </w:pPr>
            <w:r w:rsidRPr="008C0AD6">
              <w:rPr>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14:paraId="340AEDDC"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2253DCAD"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0645A4D4" w14:textId="71397495" w:rsidR="008626F4" w:rsidRPr="008C0AD6" w:rsidRDefault="008626F4" w:rsidP="008626F4">
            <w:pPr>
              <w:jc w:val="right"/>
              <w:rPr>
                <w:sz w:val="16"/>
                <w:szCs w:val="16"/>
              </w:rPr>
            </w:pPr>
            <w:r w:rsidRPr="008C0AD6">
              <w:rPr>
                <w:sz w:val="16"/>
                <w:szCs w:val="16"/>
              </w:rPr>
              <w:t>19</w:t>
            </w:r>
          </w:p>
        </w:tc>
        <w:tc>
          <w:tcPr>
            <w:tcW w:w="295" w:type="pct"/>
            <w:tcBorders>
              <w:top w:val="nil"/>
              <w:left w:val="nil"/>
              <w:bottom w:val="single" w:sz="4" w:space="0" w:color="auto"/>
              <w:right w:val="single" w:sz="8" w:space="0" w:color="auto"/>
            </w:tcBorders>
            <w:shd w:val="clear" w:color="auto" w:fill="auto"/>
            <w:noWrap/>
            <w:vAlign w:val="bottom"/>
            <w:hideMark/>
          </w:tcPr>
          <w:p w14:paraId="38D11389" w14:textId="77777777" w:rsidR="008626F4" w:rsidRPr="00375189" w:rsidRDefault="008626F4" w:rsidP="008626F4">
            <w:pPr>
              <w:jc w:val="right"/>
              <w:rPr>
                <w:sz w:val="16"/>
                <w:szCs w:val="16"/>
              </w:rPr>
            </w:pPr>
            <w:r w:rsidRPr="00375189">
              <w:rPr>
                <w:sz w:val="16"/>
                <w:szCs w:val="16"/>
              </w:rPr>
              <w:t>19</w:t>
            </w:r>
          </w:p>
        </w:tc>
      </w:tr>
      <w:tr w:rsidR="008626F4" w:rsidRPr="00375189" w14:paraId="07E43C3A"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0E0D4387" w14:textId="77777777" w:rsidR="008626F4" w:rsidRPr="00375189" w:rsidRDefault="008626F4" w:rsidP="008626F4">
            <w:pPr>
              <w:rPr>
                <w:sz w:val="16"/>
                <w:szCs w:val="16"/>
              </w:rPr>
            </w:pPr>
            <w:r w:rsidRPr="00375189">
              <w:rPr>
                <w:sz w:val="16"/>
                <w:szCs w:val="16"/>
              </w:rPr>
              <w:lastRenderedPageBreak/>
              <w:t>Хасково</w:t>
            </w:r>
          </w:p>
        </w:tc>
        <w:tc>
          <w:tcPr>
            <w:tcW w:w="372" w:type="pct"/>
            <w:tcBorders>
              <w:top w:val="nil"/>
              <w:left w:val="nil"/>
              <w:bottom w:val="single" w:sz="4" w:space="0" w:color="auto"/>
              <w:right w:val="single" w:sz="4" w:space="0" w:color="auto"/>
            </w:tcBorders>
            <w:shd w:val="clear" w:color="auto" w:fill="auto"/>
            <w:noWrap/>
            <w:vAlign w:val="bottom"/>
            <w:hideMark/>
          </w:tcPr>
          <w:p w14:paraId="2DE45D1F"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2CD54841" w14:textId="41E6F7A4" w:rsidR="008626F4" w:rsidRPr="008C0AD6" w:rsidRDefault="008626F4" w:rsidP="008626F4">
            <w:pPr>
              <w:jc w:val="right"/>
              <w:rPr>
                <w:sz w:val="16"/>
                <w:szCs w:val="16"/>
              </w:rPr>
            </w:pPr>
            <w:r w:rsidRPr="008C0AD6">
              <w:rPr>
                <w:sz w:val="16"/>
                <w:szCs w:val="16"/>
              </w:rPr>
              <w:t>50</w:t>
            </w:r>
          </w:p>
        </w:tc>
        <w:tc>
          <w:tcPr>
            <w:tcW w:w="306" w:type="pct"/>
            <w:tcBorders>
              <w:top w:val="nil"/>
              <w:left w:val="nil"/>
              <w:bottom w:val="single" w:sz="4" w:space="0" w:color="auto"/>
              <w:right w:val="single" w:sz="4" w:space="0" w:color="auto"/>
            </w:tcBorders>
            <w:shd w:val="clear" w:color="auto" w:fill="auto"/>
            <w:noWrap/>
            <w:vAlign w:val="bottom"/>
            <w:hideMark/>
          </w:tcPr>
          <w:p w14:paraId="0D419EDD" w14:textId="77777777" w:rsidR="008626F4" w:rsidRPr="008C0AD6" w:rsidRDefault="008626F4" w:rsidP="008626F4">
            <w:pPr>
              <w:jc w:val="right"/>
              <w:rPr>
                <w:sz w:val="16"/>
                <w:szCs w:val="16"/>
              </w:rPr>
            </w:pPr>
            <w:r w:rsidRPr="008C0AD6">
              <w:rPr>
                <w:sz w:val="16"/>
                <w:szCs w:val="16"/>
              </w:rPr>
              <w:t>6,25</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29782F12"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02B29484" w14:textId="007C7367" w:rsidR="008626F4" w:rsidRPr="008C0AD6" w:rsidRDefault="008626F4" w:rsidP="008626F4">
            <w:pPr>
              <w:jc w:val="right"/>
              <w:rPr>
                <w:sz w:val="16"/>
                <w:szCs w:val="16"/>
              </w:rPr>
            </w:pPr>
            <w:r w:rsidRPr="008C0AD6">
              <w:rPr>
                <w:sz w:val="16"/>
                <w:szCs w:val="16"/>
              </w:rPr>
              <w:t>1</w:t>
            </w:r>
          </w:p>
        </w:tc>
        <w:tc>
          <w:tcPr>
            <w:tcW w:w="288" w:type="pct"/>
            <w:tcBorders>
              <w:top w:val="nil"/>
              <w:left w:val="nil"/>
              <w:bottom w:val="single" w:sz="4" w:space="0" w:color="auto"/>
              <w:right w:val="single" w:sz="8" w:space="0" w:color="auto"/>
            </w:tcBorders>
            <w:shd w:val="clear" w:color="auto" w:fill="auto"/>
            <w:noWrap/>
            <w:vAlign w:val="bottom"/>
            <w:hideMark/>
          </w:tcPr>
          <w:p w14:paraId="17F850AA" w14:textId="77777777" w:rsidR="008626F4" w:rsidRPr="008C0AD6" w:rsidRDefault="008626F4" w:rsidP="008626F4">
            <w:pPr>
              <w:jc w:val="right"/>
              <w:rPr>
                <w:sz w:val="16"/>
                <w:szCs w:val="16"/>
              </w:rPr>
            </w:pPr>
            <w:r w:rsidRPr="008C0AD6">
              <w:rPr>
                <w:sz w:val="16"/>
                <w:szCs w:val="16"/>
              </w:rPr>
              <w:t>1</w:t>
            </w:r>
          </w:p>
        </w:tc>
        <w:tc>
          <w:tcPr>
            <w:tcW w:w="372" w:type="pct"/>
            <w:tcBorders>
              <w:top w:val="nil"/>
              <w:left w:val="nil"/>
              <w:bottom w:val="single" w:sz="4" w:space="0" w:color="auto"/>
              <w:right w:val="single" w:sz="4" w:space="0" w:color="auto"/>
            </w:tcBorders>
            <w:shd w:val="clear" w:color="auto" w:fill="auto"/>
            <w:noWrap/>
            <w:vAlign w:val="bottom"/>
            <w:hideMark/>
          </w:tcPr>
          <w:p w14:paraId="2C3B52E4"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7AE7CA18" w14:textId="1A8E8C10" w:rsidR="008626F4" w:rsidRPr="008C0AD6" w:rsidRDefault="008626F4" w:rsidP="008626F4">
            <w:pPr>
              <w:jc w:val="right"/>
              <w:rPr>
                <w:sz w:val="16"/>
                <w:szCs w:val="16"/>
              </w:rPr>
            </w:pPr>
            <w:r w:rsidRPr="008C0AD6">
              <w:rPr>
                <w:sz w:val="16"/>
                <w:szCs w:val="16"/>
              </w:rPr>
              <w:t>9</w:t>
            </w:r>
          </w:p>
        </w:tc>
        <w:tc>
          <w:tcPr>
            <w:tcW w:w="288" w:type="pct"/>
            <w:tcBorders>
              <w:top w:val="nil"/>
              <w:left w:val="nil"/>
              <w:bottom w:val="single" w:sz="4" w:space="0" w:color="auto"/>
              <w:right w:val="single" w:sz="4" w:space="0" w:color="auto"/>
            </w:tcBorders>
            <w:shd w:val="clear" w:color="auto" w:fill="auto"/>
            <w:noWrap/>
            <w:vAlign w:val="bottom"/>
            <w:hideMark/>
          </w:tcPr>
          <w:p w14:paraId="2940EFAF" w14:textId="77777777" w:rsidR="008626F4" w:rsidRPr="008C0AD6" w:rsidRDefault="008626F4" w:rsidP="008626F4">
            <w:pPr>
              <w:jc w:val="right"/>
              <w:rPr>
                <w:sz w:val="16"/>
                <w:szCs w:val="16"/>
              </w:rPr>
            </w:pPr>
            <w:r w:rsidRPr="008C0AD6">
              <w:rPr>
                <w:sz w:val="16"/>
                <w:szCs w:val="16"/>
              </w:rPr>
              <w:t>28</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3B37D4E1"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67EEA071" w14:textId="11527033" w:rsidR="008626F4" w:rsidRPr="008C0AD6" w:rsidRDefault="008626F4" w:rsidP="008626F4">
            <w:pPr>
              <w:jc w:val="right"/>
              <w:rPr>
                <w:sz w:val="16"/>
                <w:szCs w:val="16"/>
              </w:rPr>
            </w:pPr>
            <w:r w:rsidRPr="008C0AD6">
              <w:rPr>
                <w:sz w:val="16"/>
                <w:szCs w:val="16"/>
              </w:rPr>
              <w:t>15</w:t>
            </w:r>
          </w:p>
        </w:tc>
        <w:tc>
          <w:tcPr>
            <w:tcW w:w="295" w:type="pct"/>
            <w:tcBorders>
              <w:top w:val="nil"/>
              <w:left w:val="nil"/>
              <w:bottom w:val="single" w:sz="4" w:space="0" w:color="auto"/>
              <w:right w:val="single" w:sz="8" w:space="0" w:color="auto"/>
            </w:tcBorders>
            <w:shd w:val="clear" w:color="auto" w:fill="auto"/>
            <w:noWrap/>
            <w:vAlign w:val="bottom"/>
            <w:hideMark/>
          </w:tcPr>
          <w:p w14:paraId="488DEDAF" w14:textId="77777777" w:rsidR="008626F4" w:rsidRPr="00375189" w:rsidRDefault="008626F4" w:rsidP="008626F4">
            <w:pPr>
              <w:jc w:val="right"/>
              <w:rPr>
                <w:sz w:val="16"/>
                <w:szCs w:val="16"/>
              </w:rPr>
            </w:pPr>
            <w:r w:rsidRPr="00375189">
              <w:rPr>
                <w:sz w:val="16"/>
                <w:szCs w:val="16"/>
              </w:rPr>
              <w:t>15</w:t>
            </w:r>
          </w:p>
        </w:tc>
      </w:tr>
      <w:tr w:rsidR="008626F4" w:rsidRPr="00375189" w14:paraId="07875BF2" w14:textId="77777777" w:rsidTr="008626F4">
        <w:trPr>
          <w:trHeight w:val="264"/>
          <w:jc w:val="center"/>
        </w:trPr>
        <w:tc>
          <w:tcPr>
            <w:tcW w:w="891" w:type="pct"/>
            <w:tcBorders>
              <w:top w:val="nil"/>
              <w:left w:val="single" w:sz="8" w:space="0" w:color="auto"/>
              <w:bottom w:val="single" w:sz="4" w:space="0" w:color="auto"/>
              <w:right w:val="nil"/>
            </w:tcBorders>
            <w:shd w:val="clear" w:color="auto" w:fill="D1D1D1" w:themeFill="background2" w:themeFillShade="E6"/>
            <w:noWrap/>
            <w:vAlign w:val="bottom"/>
            <w:hideMark/>
          </w:tcPr>
          <w:p w14:paraId="59E734E4" w14:textId="77777777" w:rsidR="008626F4" w:rsidRPr="00375189" w:rsidRDefault="008626F4" w:rsidP="008626F4">
            <w:pPr>
              <w:rPr>
                <w:sz w:val="16"/>
                <w:szCs w:val="16"/>
              </w:rPr>
            </w:pPr>
            <w:r w:rsidRPr="00375189">
              <w:rPr>
                <w:sz w:val="16"/>
                <w:szCs w:val="16"/>
              </w:rPr>
              <w:t>Шумен</w:t>
            </w:r>
          </w:p>
        </w:tc>
        <w:tc>
          <w:tcPr>
            <w:tcW w:w="372" w:type="pct"/>
            <w:tcBorders>
              <w:top w:val="nil"/>
              <w:left w:val="nil"/>
              <w:bottom w:val="single" w:sz="4" w:space="0" w:color="auto"/>
              <w:right w:val="single" w:sz="4" w:space="0" w:color="auto"/>
            </w:tcBorders>
            <w:shd w:val="clear" w:color="auto" w:fill="auto"/>
            <w:noWrap/>
            <w:vAlign w:val="bottom"/>
            <w:hideMark/>
          </w:tcPr>
          <w:p w14:paraId="15E4F509"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4" w:space="0" w:color="auto"/>
              <w:right w:val="single" w:sz="4" w:space="0" w:color="auto"/>
            </w:tcBorders>
            <w:shd w:val="clear" w:color="auto" w:fill="auto"/>
            <w:noWrap/>
            <w:vAlign w:val="bottom"/>
            <w:hideMark/>
          </w:tcPr>
          <w:p w14:paraId="0B990475" w14:textId="107CAF38" w:rsidR="008626F4" w:rsidRPr="008C0AD6" w:rsidRDefault="008626F4" w:rsidP="008626F4">
            <w:pPr>
              <w:jc w:val="right"/>
              <w:rPr>
                <w:sz w:val="16"/>
                <w:szCs w:val="16"/>
              </w:rPr>
            </w:pPr>
            <w:r w:rsidRPr="008C0AD6">
              <w:rPr>
                <w:sz w:val="16"/>
                <w:szCs w:val="16"/>
              </w:rPr>
              <w:t>100</w:t>
            </w:r>
          </w:p>
        </w:tc>
        <w:tc>
          <w:tcPr>
            <w:tcW w:w="306" w:type="pct"/>
            <w:tcBorders>
              <w:top w:val="nil"/>
              <w:left w:val="nil"/>
              <w:bottom w:val="single" w:sz="4" w:space="0" w:color="auto"/>
              <w:right w:val="single" w:sz="4" w:space="0" w:color="auto"/>
            </w:tcBorders>
            <w:shd w:val="clear" w:color="auto" w:fill="auto"/>
            <w:noWrap/>
            <w:vAlign w:val="bottom"/>
            <w:hideMark/>
          </w:tcPr>
          <w:p w14:paraId="084CBA19" w14:textId="77777777" w:rsidR="008626F4" w:rsidRPr="008C0AD6" w:rsidRDefault="008626F4" w:rsidP="008626F4">
            <w:pPr>
              <w:jc w:val="right"/>
              <w:rPr>
                <w:sz w:val="16"/>
                <w:szCs w:val="16"/>
              </w:rPr>
            </w:pPr>
            <w:r w:rsidRPr="008C0AD6">
              <w:rPr>
                <w:sz w:val="16"/>
                <w:szCs w:val="16"/>
              </w:rPr>
              <w:t>0,56</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028C1067"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525DDF30" w14:textId="2F783E3F" w:rsidR="008626F4" w:rsidRPr="008C0AD6" w:rsidRDefault="008626F4" w:rsidP="008626F4">
            <w:pPr>
              <w:jc w:val="right"/>
              <w:rPr>
                <w:sz w:val="16"/>
                <w:szCs w:val="16"/>
              </w:rPr>
            </w:pPr>
            <w:r w:rsidRPr="008C0AD6">
              <w:rPr>
                <w:sz w:val="16"/>
                <w:szCs w:val="16"/>
              </w:rPr>
              <w:t>2</w:t>
            </w:r>
          </w:p>
        </w:tc>
        <w:tc>
          <w:tcPr>
            <w:tcW w:w="288" w:type="pct"/>
            <w:tcBorders>
              <w:top w:val="nil"/>
              <w:left w:val="nil"/>
              <w:bottom w:val="single" w:sz="4" w:space="0" w:color="auto"/>
              <w:right w:val="single" w:sz="8" w:space="0" w:color="auto"/>
            </w:tcBorders>
            <w:shd w:val="clear" w:color="auto" w:fill="auto"/>
            <w:noWrap/>
            <w:vAlign w:val="bottom"/>
            <w:hideMark/>
          </w:tcPr>
          <w:p w14:paraId="76480EE0" w14:textId="77777777" w:rsidR="008626F4" w:rsidRPr="008C0AD6" w:rsidRDefault="008626F4" w:rsidP="008626F4">
            <w:pPr>
              <w:jc w:val="right"/>
              <w:rPr>
                <w:sz w:val="16"/>
                <w:szCs w:val="16"/>
              </w:rPr>
            </w:pPr>
            <w:r w:rsidRPr="008C0AD6">
              <w:rPr>
                <w:sz w:val="16"/>
                <w:szCs w:val="16"/>
              </w:rPr>
              <w:t>3</w:t>
            </w:r>
          </w:p>
        </w:tc>
        <w:tc>
          <w:tcPr>
            <w:tcW w:w="372" w:type="pct"/>
            <w:tcBorders>
              <w:top w:val="nil"/>
              <w:left w:val="nil"/>
              <w:bottom w:val="single" w:sz="4" w:space="0" w:color="auto"/>
              <w:right w:val="single" w:sz="4" w:space="0" w:color="auto"/>
            </w:tcBorders>
            <w:shd w:val="clear" w:color="auto" w:fill="auto"/>
            <w:noWrap/>
            <w:vAlign w:val="bottom"/>
            <w:hideMark/>
          </w:tcPr>
          <w:p w14:paraId="456FA16F"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4" w:space="0" w:color="auto"/>
              <w:right w:val="single" w:sz="4" w:space="0" w:color="auto"/>
            </w:tcBorders>
            <w:shd w:val="clear" w:color="auto" w:fill="auto"/>
            <w:noWrap/>
            <w:vAlign w:val="bottom"/>
            <w:hideMark/>
          </w:tcPr>
          <w:p w14:paraId="6690F51D" w14:textId="38136F3F" w:rsidR="008626F4" w:rsidRPr="008C0AD6" w:rsidRDefault="008626F4" w:rsidP="008626F4">
            <w:pPr>
              <w:jc w:val="right"/>
              <w:rPr>
                <w:sz w:val="16"/>
                <w:szCs w:val="16"/>
              </w:rPr>
            </w:pPr>
            <w:r w:rsidRPr="008C0AD6">
              <w:rPr>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14:paraId="621858E9"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single" w:sz="8" w:space="0" w:color="auto"/>
              <w:bottom w:val="single" w:sz="4" w:space="0" w:color="auto"/>
              <w:right w:val="single" w:sz="4" w:space="0" w:color="auto"/>
            </w:tcBorders>
            <w:shd w:val="clear" w:color="auto" w:fill="auto"/>
            <w:noWrap/>
            <w:vAlign w:val="bottom"/>
            <w:hideMark/>
          </w:tcPr>
          <w:p w14:paraId="5B17DAC1"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4" w:space="0" w:color="auto"/>
              <w:right w:val="single" w:sz="4" w:space="0" w:color="auto"/>
            </w:tcBorders>
            <w:shd w:val="clear" w:color="auto" w:fill="auto"/>
            <w:noWrap/>
            <w:vAlign w:val="bottom"/>
            <w:hideMark/>
          </w:tcPr>
          <w:p w14:paraId="3D2FFE79" w14:textId="7D9A3825" w:rsidR="008626F4" w:rsidRPr="008C0AD6" w:rsidRDefault="008626F4" w:rsidP="008626F4">
            <w:pPr>
              <w:jc w:val="right"/>
              <w:rPr>
                <w:sz w:val="16"/>
                <w:szCs w:val="16"/>
              </w:rPr>
            </w:pPr>
            <w:r w:rsidRPr="008C0AD6">
              <w:rPr>
                <w:sz w:val="16"/>
                <w:szCs w:val="16"/>
              </w:rPr>
              <w:t>16</w:t>
            </w:r>
          </w:p>
        </w:tc>
        <w:tc>
          <w:tcPr>
            <w:tcW w:w="295" w:type="pct"/>
            <w:tcBorders>
              <w:top w:val="nil"/>
              <w:left w:val="nil"/>
              <w:bottom w:val="single" w:sz="4" w:space="0" w:color="auto"/>
              <w:right w:val="single" w:sz="8" w:space="0" w:color="auto"/>
            </w:tcBorders>
            <w:shd w:val="clear" w:color="auto" w:fill="auto"/>
            <w:noWrap/>
            <w:vAlign w:val="bottom"/>
            <w:hideMark/>
          </w:tcPr>
          <w:p w14:paraId="7542320F" w14:textId="77777777" w:rsidR="008626F4" w:rsidRPr="00375189" w:rsidRDefault="008626F4" w:rsidP="008626F4">
            <w:pPr>
              <w:jc w:val="right"/>
              <w:rPr>
                <w:sz w:val="16"/>
                <w:szCs w:val="16"/>
              </w:rPr>
            </w:pPr>
            <w:r w:rsidRPr="00375189">
              <w:rPr>
                <w:sz w:val="16"/>
                <w:szCs w:val="16"/>
              </w:rPr>
              <w:t>16</w:t>
            </w:r>
          </w:p>
        </w:tc>
      </w:tr>
      <w:tr w:rsidR="008626F4" w:rsidRPr="00375189" w14:paraId="3DEC4FEA" w14:textId="77777777" w:rsidTr="008626F4">
        <w:trPr>
          <w:trHeight w:val="276"/>
          <w:jc w:val="center"/>
        </w:trPr>
        <w:tc>
          <w:tcPr>
            <w:tcW w:w="891" w:type="pct"/>
            <w:tcBorders>
              <w:top w:val="nil"/>
              <w:left w:val="single" w:sz="8" w:space="0" w:color="auto"/>
              <w:bottom w:val="single" w:sz="8" w:space="0" w:color="auto"/>
              <w:right w:val="nil"/>
            </w:tcBorders>
            <w:shd w:val="clear" w:color="auto" w:fill="D1D1D1" w:themeFill="background2" w:themeFillShade="E6"/>
            <w:noWrap/>
            <w:vAlign w:val="bottom"/>
            <w:hideMark/>
          </w:tcPr>
          <w:p w14:paraId="6EDEF501" w14:textId="77777777" w:rsidR="008626F4" w:rsidRPr="00375189" w:rsidRDefault="008626F4" w:rsidP="008626F4">
            <w:pPr>
              <w:rPr>
                <w:sz w:val="16"/>
                <w:szCs w:val="16"/>
              </w:rPr>
            </w:pPr>
            <w:r w:rsidRPr="00375189">
              <w:rPr>
                <w:sz w:val="16"/>
                <w:szCs w:val="16"/>
              </w:rPr>
              <w:t>Ямбол</w:t>
            </w:r>
          </w:p>
        </w:tc>
        <w:tc>
          <w:tcPr>
            <w:tcW w:w="372" w:type="pct"/>
            <w:tcBorders>
              <w:top w:val="nil"/>
              <w:left w:val="nil"/>
              <w:bottom w:val="single" w:sz="8" w:space="0" w:color="auto"/>
              <w:right w:val="single" w:sz="4" w:space="0" w:color="auto"/>
            </w:tcBorders>
            <w:shd w:val="clear" w:color="auto" w:fill="auto"/>
            <w:noWrap/>
            <w:vAlign w:val="bottom"/>
            <w:hideMark/>
          </w:tcPr>
          <w:p w14:paraId="7A6A1A00" w14:textId="77777777" w:rsidR="008626F4" w:rsidRPr="008C0AD6" w:rsidRDefault="008626F4" w:rsidP="008626F4">
            <w:pPr>
              <w:jc w:val="right"/>
              <w:rPr>
                <w:sz w:val="16"/>
                <w:szCs w:val="16"/>
              </w:rPr>
            </w:pPr>
            <w:r w:rsidRPr="008C0AD6">
              <w:rPr>
                <w:sz w:val="16"/>
                <w:szCs w:val="16"/>
              </w:rPr>
              <w:t>%</w:t>
            </w:r>
          </w:p>
        </w:tc>
        <w:tc>
          <w:tcPr>
            <w:tcW w:w="361" w:type="pct"/>
            <w:tcBorders>
              <w:top w:val="nil"/>
              <w:left w:val="nil"/>
              <w:bottom w:val="single" w:sz="8" w:space="0" w:color="auto"/>
              <w:right w:val="single" w:sz="4" w:space="0" w:color="auto"/>
            </w:tcBorders>
            <w:shd w:val="clear" w:color="auto" w:fill="auto"/>
            <w:noWrap/>
            <w:vAlign w:val="bottom"/>
            <w:hideMark/>
          </w:tcPr>
          <w:p w14:paraId="53746EE8" w14:textId="264EE9D2" w:rsidR="008626F4" w:rsidRPr="008C0AD6" w:rsidRDefault="008626F4" w:rsidP="008626F4">
            <w:pPr>
              <w:jc w:val="right"/>
              <w:rPr>
                <w:sz w:val="16"/>
                <w:szCs w:val="16"/>
              </w:rPr>
            </w:pPr>
            <w:r w:rsidRPr="008C0AD6">
              <w:rPr>
                <w:sz w:val="16"/>
                <w:szCs w:val="16"/>
              </w:rPr>
              <w:t>100</w:t>
            </w:r>
          </w:p>
        </w:tc>
        <w:tc>
          <w:tcPr>
            <w:tcW w:w="306" w:type="pct"/>
            <w:tcBorders>
              <w:top w:val="nil"/>
              <w:left w:val="nil"/>
              <w:bottom w:val="single" w:sz="8" w:space="0" w:color="auto"/>
              <w:right w:val="single" w:sz="4" w:space="0" w:color="auto"/>
            </w:tcBorders>
            <w:shd w:val="clear" w:color="auto" w:fill="auto"/>
            <w:noWrap/>
            <w:vAlign w:val="bottom"/>
            <w:hideMark/>
          </w:tcPr>
          <w:p w14:paraId="34CF8C54" w14:textId="77777777" w:rsidR="008626F4" w:rsidRPr="008C0AD6" w:rsidRDefault="008626F4" w:rsidP="008626F4">
            <w:pPr>
              <w:jc w:val="right"/>
              <w:rPr>
                <w:sz w:val="16"/>
                <w:szCs w:val="16"/>
              </w:rPr>
            </w:pPr>
            <w:r w:rsidRPr="008C0AD6">
              <w:rPr>
                <w:sz w:val="16"/>
                <w:szCs w:val="16"/>
              </w:rPr>
              <w:t>100,00</w:t>
            </w:r>
          </w:p>
        </w:tc>
        <w:tc>
          <w:tcPr>
            <w:tcW w:w="372" w:type="pct"/>
            <w:tcBorders>
              <w:top w:val="nil"/>
              <w:left w:val="single" w:sz="8" w:space="0" w:color="auto"/>
              <w:bottom w:val="single" w:sz="8" w:space="0" w:color="auto"/>
              <w:right w:val="single" w:sz="4" w:space="0" w:color="auto"/>
            </w:tcBorders>
            <w:shd w:val="clear" w:color="auto" w:fill="auto"/>
            <w:noWrap/>
            <w:vAlign w:val="bottom"/>
            <w:hideMark/>
          </w:tcPr>
          <w:p w14:paraId="19474863"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8" w:space="0" w:color="auto"/>
              <w:right w:val="single" w:sz="4" w:space="0" w:color="auto"/>
            </w:tcBorders>
            <w:shd w:val="clear" w:color="auto" w:fill="auto"/>
            <w:noWrap/>
            <w:vAlign w:val="bottom"/>
            <w:hideMark/>
          </w:tcPr>
          <w:p w14:paraId="5EB0B795" w14:textId="0C94D674" w:rsidR="008626F4" w:rsidRPr="008C0AD6" w:rsidRDefault="008626F4" w:rsidP="008626F4">
            <w:pPr>
              <w:jc w:val="right"/>
              <w:rPr>
                <w:sz w:val="16"/>
                <w:szCs w:val="16"/>
              </w:rPr>
            </w:pPr>
            <w:r w:rsidRPr="008C0AD6">
              <w:rPr>
                <w:sz w:val="16"/>
                <w:szCs w:val="16"/>
              </w:rPr>
              <w:t>1</w:t>
            </w:r>
          </w:p>
        </w:tc>
        <w:tc>
          <w:tcPr>
            <w:tcW w:w="288" w:type="pct"/>
            <w:tcBorders>
              <w:top w:val="nil"/>
              <w:left w:val="nil"/>
              <w:bottom w:val="single" w:sz="8" w:space="0" w:color="auto"/>
              <w:right w:val="single" w:sz="8" w:space="0" w:color="auto"/>
            </w:tcBorders>
            <w:shd w:val="clear" w:color="auto" w:fill="auto"/>
            <w:noWrap/>
            <w:vAlign w:val="bottom"/>
            <w:hideMark/>
          </w:tcPr>
          <w:p w14:paraId="3C7FC31E" w14:textId="77777777" w:rsidR="008626F4" w:rsidRPr="008C0AD6" w:rsidRDefault="008626F4" w:rsidP="008626F4">
            <w:pPr>
              <w:jc w:val="right"/>
              <w:rPr>
                <w:sz w:val="16"/>
                <w:szCs w:val="16"/>
              </w:rPr>
            </w:pPr>
            <w:r w:rsidRPr="008C0AD6">
              <w:rPr>
                <w:sz w:val="16"/>
                <w:szCs w:val="16"/>
              </w:rPr>
              <w:t>1</w:t>
            </w:r>
          </w:p>
        </w:tc>
        <w:tc>
          <w:tcPr>
            <w:tcW w:w="372" w:type="pct"/>
            <w:tcBorders>
              <w:top w:val="nil"/>
              <w:left w:val="nil"/>
              <w:bottom w:val="single" w:sz="8" w:space="0" w:color="auto"/>
              <w:right w:val="single" w:sz="4" w:space="0" w:color="auto"/>
            </w:tcBorders>
            <w:shd w:val="clear" w:color="auto" w:fill="auto"/>
            <w:noWrap/>
            <w:vAlign w:val="bottom"/>
            <w:hideMark/>
          </w:tcPr>
          <w:p w14:paraId="0C6D36A2" w14:textId="77777777" w:rsidR="008626F4" w:rsidRPr="008C0AD6" w:rsidRDefault="008626F4" w:rsidP="008626F4">
            <w:pPr>
              <w:jc w:val="right"/>
              <w:rPr>
                <w:sz w:val="16"/>
                <w:szCs w:val="16"/>
              </w:rPr>
            </w:pPr>
            <w:r w:rsidRPr="008C0AD6">
              <w:rPr>
                <w:sz w:val="16"/>
                <w:szCs w:val="16"/>
              </w:rPr>
              <w:t>дка</w:t>
            </w:r>
          </w:p>
        </w:tc>
        <w:tc>
          <w:tcPr>
            <w:tcW w:w="361" w:type="pct"/>
            <w:tcBorders>
              <w:top w:val="nil"/>
              <w:left w:val="nil"/>
              <w:bottom w:val="single" w:sz="8" w:space="0" w:color="auto"/>
              <w:right w:val="single" w:sz="4" w:space="0" w:color="auto"/>
            </w:tcBorders>
            <w:shd w:val="clear" w:color="auto" w:fill="auto"/>
            <w:noWrap/>
            <w:vAlign w:val="bottom"/>
            <w:hideMark/>
          </w:tcPr>
          <w:p w14:paraId="54D5AB6F" w14:textId="70CF0D1F" w:rsidR="008626F4" w:rsidRPr="008C0AD6" w:rsidRDefault="008626F4" w:rsidP="008626F4">
            <w:pPr>
              <w:jc w:val="right"/>
              <w:rPr>
                <w:sz w:val="16"/>
                <w:szCs w:val="16"/>
              </w:rPr>
            </w:pPr>
            <w:r w:rsidRPr="008C0AD6">
              <w:rPr>
                <w:sz w:val="16"/>
                <w:szCs w:val="16"/>
              </w:rPr>
              <w:t>0</w:t>
            </w:r>
          </w:p>
        </w:tc>
        <w:tc>
          <w:tcPr>
            <w:tcW w:w="288" w:type="pct"/>
            <w:tcBorders>
              <w:top w:val="nil"/>
              <w:left w:val="nil"/>
              <w:bottom w:val="single" w:sz="8" w:space="0" w:color="auto"/>
              <w:right w:val="single" w:sz="4" w:space="0" w:color="auto"/>
            </w:tcBorders>
            <w:shd w:val="clear" w:color="auto" w:fill="auto"/>
            <w:noWrap/>
            <w:vAlign w:val="bottom"/>
            <w:hideMark/>
          </w:tcPr>
          <w:p w14:paraId="241E9F36" w14:textId="77777777" w:rsidR="008626F4" w:rsidRPr="008C0AD6" w:rsidRDefault="008626F4" w:rsidP="008626F4">
            <w:pPr>
              <w:jc w:val="right"/>
              <w:rPr>
                <w:sz w:val="16"/>
                <w:szCs w:val="16"/>
              </w:rPr>
            </w:pPr>
            <w:r w:rsidRPr="008C0AD6">
              <w:rPr>
                <w:sz w:val="16"/>
                <w:szCs w:val="16"/>
              </w:rPr>
              <w:t>0</w:t>
            </w:r>
          </w:p>
        </w:tc>
        <w:tc>
          <w:tcPr>
            <w:tcW w:w="372" w:type="pct"/>
            <w:tcBorders>
              <w:top w:val="nil"/>
              <w:left w:val="single" w:sz="8" w:space="0" w:color="auto"/>
              <w:bottom w:val="single" w:sz="8" w:space="0" w:color="auto"/>
              <w:right w:val="single" w:sz="4" w:space="0" w:color="auto"/>
            </w:tcBorders>
            <w:shd w:val="clear" w:color="auto" w:fill="auto"/>
            <w:noWrap/>
            <w:vAlign w:val="bottom"/>
            <w:hideMark/>
          </w:tcPr>
          <w:p w14:paraId="45CEA4F2" w14:textId="77777777" w:rsidR="008626F4" w:rsidRPr="008C0AD6" w:rsidRDefault="008626F4" w:rsidP="008626F4">
            <w:pPr>
              <w:jc w:val="right"/>
              <w:rPr>
                <w:sz w:val="16"/>
                <w:szCs w:val="16"/>
              </w:rPr>
            </w:pPr>
            <w:r w:rsidRPr="008C0AD6">
              <w:rPr>
                <w:sz w:val="16"/>
                <w:szCs w:val="16"/>
              </w:rPr>
              <w:t>брой</w:t>
            </w:r>
          </w:p>
        </w:tc>
        <w:tc>
          <w:tcPr>
            <w:tcW w:w="361" w:type="pct"/>
            <w:tcBorders>
              <w:top w:val="nil"/>
              <w:left w:val="nil"/>
              <w:bottom w:val="single" w:sz="8" w:space="0" w:color="auto"/>
              <w:right w:val="single" w:sz="4" w:space="0" w:color="auto"/>
            </w:tcBorders>
            <w:shd w:val="clear" w:color="auto" w:fill="auto"/>
            <w:noWrap/>
            <w:vAlign w:val="bottom"/>
            <w:hideMark/>
          </w:tcPr>
          <w:p w14:paraId="239AB8F3" w14:textId="6FB34823" w:rsidR="008626F4" w:rsidRPr="008C0AD6" w:rsidRDefault="008626F4" w:rsidP="008626F4">
            <w:pPr>
              <w:jc w:val="right"/>
              <w:rPr>
                <w:sz w:val="16"/>
                <w:szCs w:val="16"/>
              </w:rPr>
            </w:pPr>
            <w:r w:rsidRPr="008C0AD6">
              <w:rPr>
                <w:sz w:val="16"/>
                <w:szCs w:val="16"/>
              </w:rPr>
              <w:t>18</w:t>
            </w:r>
          </w:p>
        </w:tc>
        <w:tc>
          <w:tcPr>
            <w:tcW w:w="295" w:type="pct"/>
            <w:tcBorders>
              <w:top w:val="nil"/>
              <w:left w:val="nil"/>
              <w:bottom w:val="single" w:sz="8" w:space="0" w:color="auto"/>
              <w:right w:val="single" w:sz="8" w:space="0" w:color="auto"/>
            </w:tcBorders>
            <w:shd w:val="clear" w:color="auto" w:fill="auto"/>
            <w:noWrap/>
            <w:vAlign w:val="bottom"/>
            <w:hideMark/>
          </w:tcPr>
          <w:p w14:paraId="01B5FE60" w14:textId="77777777" w:rsidR="008626F4" w:rsidRPr="00375189" w:rsidRDefault="008626F4" w:rsidP="008626F4">
            <w:pPr>
              <w:jc w:val="right"/>
              <w:rPr>
                <w:sz w:val="16"/>
                <w:szCs w:val="16"/>
              </w:rPr>
            </w:pPr>
            <w:r w:rsidRPr="00375189">
              <w:rPr>
                <w:sz w:val="16"/>
                <w:szCs w:val="16"/>
              </w:rPr>
              <w:t>18</w:t>
            </w:r>
          </w:p>
        </w:tc>
      </w:tr>
    </w:tbl>
    <w:p w14:paraId="3B0CDAE5" w14:textId="33474992" w:rsidR="006940DE" w:rsidRDefault="006940DE" w:rsidP="00641163">
      <w:pPr>
        <w:shd w:val="clear" w:color="auto" w:fill="FFFFFF"/>
        <w:spacing w:before="240" w:after="120"/>
        <w:jc w:val="both"/>
        <w:rPr>
          <w:sz w:val="22"/>
          <w:szCs w:val="22"/>
        </w:rPr>
      </w:pPr>
    </w:p>
    <w:tbl>
      <w:tblPr>
        <w:tblW w:w="5367" w:type="pct"/>
        <w:jc w:val="center"/>
        <w:tblCellMar>
          <w:left w:w="70" w:type="dxa"/>
          <w:right w:w="70" w:type="dxa"/>
        </w:tblCellMar>
        <w:tblLook w:val="04A0" w:firstRow="1" w:lastRow="0" w:firstColumn="1" w:lastColumn="0" w:noHBand="0" w:noVBand="1"/>
      </w:tblPr>
      <w:tblGrid>
        <w:gridCol w:w="1690"/>
        <w:gridCol w:w="600"/>
        <w:gridCol w:w="583"/>
        <w:gridCol w:w="471"/>
        <w:gridCol w:w="600"/>
        <w:gridCol w:w="583"/>
        <w:gridCol w:w="471"/>
        <w:gridCol w:w="600"/>
        <w:gridCol w:w="583"/>
        <w:gridCol w:w="471"/>
        <w:gridCol w:w="600"/>
        <w:gridCol w:w="583"/>
        <w:gridCol w:w="471"/>
        <w:gridCol w:w="600"/>
        <w:gridCol w:w="630"/>
        <w:gridCol w:w="485"/>
      </w:tblGrid>
      <w:tr w:rsidR="008156A3" w:rsidRPr="00375189" w14:paraId="1001AA77" w14:textId="77777777" w:rsidTr="008626F4">
        <w:trPr>
          <w:trHeight w:val="1650"/>
          <w:jc w:val="center"/>
        </w:trPr>
        <w:tc>
          <w:tcPr>
            <w:tcW w:w="843" w:type="pct"/>
            <w:tcBorders>
              <w:top w:val="single" w:sz="8" w:space="0" w:color="auto"/>
              <w:left w:val="single" w:sz="8" w:space="0" w:color="auto"/>
              <w:bottom w:val="nil"/>
              <w:right w:val="single" w:sz="8" w:space="0" w:color="auto"/>
            </w:tcBorders>
            <w:shd w:val="clear" w:color="000000" w:fill="E3E3E3"/>
            <w:vAlign w:val="center"/>
            <w:hideMark/>
          </w:tcPr>
          <w:p w14:paraId="6C8A36DF" w14:textId="77777777" w:rsidR="008156A3" w:rsidRPr="00375189" w:rsidRDefault="008156A3" w:rsidP="008156A3">
            <w:pPr>
              <w:jc w:val="center"/>
              <w:rPr>
                <w:b/>
                <w:bCs/>
                <w:sz w:val="16"/>
                <w:szCs w:val="16"/>
              </w:rPr>
            </w:pPr>
            <w:r w:rsidRPr="00375189">
              <w:rPr>
                <w:b/>
                <w:bCs/>
                <w:sz w:val="16"/>
                <w:szCs w:val="16"/>
              </w:rPr>
              <w:t>ПОКАЗАТЕЛИ ЗА ИЗПЪЛНЕНИЕ →</w:t>
            </w:r>
          </w:p>
        </w:tc>
        <w:tc>
          <w:tcPr>
            <w:tcW w:w="825" w:type="pct"/>
            <w:gridSpan w:val="3"/>
            <w:tcBorders>
              <w:top w:val="single" w:sz="8" w:space="0" w:color="auto"/>
              <w:left w:val="nil"/>
              <w:bottom w:val="single" w:sz="8" w:space="0" w:color="auto"/>
              <w:right w:val="single" w:sz="8" w:space="0" w:color="000000"/>
            </w:tcBorders>
            <w:shd w:val="clear" w:color="auto" w:fill="D1D1D1" w:themeFill="background2" w:themeFillShade="E6"/>
            <w:hideMark/>
          </w:tcPr>
          <w:p w14:paraId="0D67F7C2" w14:textId="77777777" w:rsidR="008156A3" w:rsidRPr="003B58BC" w:rsidRDefault="008156A3" w:rsidP="008156A3">
            <w:pPr>
              <w:rPr>
                <w:sz w:val="15"/>
                <w:szCs w:val="15"/>
              </w:rPr>
            </w:pPr>
            <w:r w:rsidRPr="003B58BC">
              <w:rPr>
                <w:sz w:val="15"/>
                <w:szCs w:val="15"/>
              </w:rPr>
              <w:t xml:space="preserve"> 9. Брой териториални звена</w:t>
            </w:r>
          </w:p>
        </w:tc>
        <w:tc>
          <w:tcPr>
            <w:tcW w:w="825" w:type="pct"/>
            <w:gridSpan w:val="3"/>
            <w:tcBorders>
              <w:top w:val="single" w:sz="8" w:space="0" w:color="auto"/>
              <w:left w:val="nil"/>
              <w:bottom w:val="single" w:sz="8" w:space="0" w:color="auto"/>
              <w:right w:val="single" w:sz="8" w:space="0" w:color="000000"/>
            </w:tcBorders>
            <w:shd w:val="clear" w:color="auto" w:fill="D1D1D1" w:themeFill="background2" w:themeFillShade="E6"/>
            <w:hideMark/>
          </w:tcPr>
          <w:p w14:paraId="689892EF" w14:textId="77777777" w:rsidR="008156A3" w:rsidRPr="003B58BC" w:rsidRDefault="008156A3" w:rsidP="008156A3">
            <w:pPr>
              <w:rPr>
                <w:sz w:val="15"/>
                <w:szCs w:val="15"/>
              </w:rPr>
            </w:pPr>
            <w:r w:rsidRPr="003B58BC">
              <w:rPr>
                <w:sz w:val="15"/>
                <w:szCs w:val="15"/>
              </w:rPr>
              <w:t>10. Брой проведени мероприятия за повишаване на подготовката на органите за управление и дежурните (тренировки на дежурните, учебно-методически сборове и др.)</w:t>
            </w:r>
          </w:p>
        </w:tc>
        <w:tc>
          <w:tcPr>
            <w:tcW w:w="825" w:type="pct"/>
            <w:gridSpan w:val="3"/>
            <w:tcBorders>
              <w:top w:val="single" w:sz="8" w:space="0" w:color="auto"/>
              <w:left w:val="nil"/>
              <w:bottom w:val="single" w:sz="8" w:space="0" w:color="auto"/>
              <w:right w:val="single" w:sz="8" w:space="0" w:color="000000"/>
            </w:tcBorders>
            <w:shd w:val="clear" w:color="auto" w:fill="D1D1D1" w:themeFill="background2" w:themeFillShade="E6"/>
            <w:hideMark/>
          </w:tcPr>
          <w:p w14:paraId="4049C346" w14:textId="77777777" w:rsidR="008156A3" w:rsidRPr="003B58BC" w:rsidRDefault="008156A3" w:rsidP="008156A3">
            <w:pPr>
              <w:rPr>
                <w:sz w:val="15"/>
                <w:szCs w:val="15"/>
              </w:rPr>
            </w:pPr>
            <w:r w:rsidRPr="003B58BC">
              <w:rPr>
                <w:sz w:val="15"/>
                <w:szCs w:val="15"/>
              </w:rPr>
              <w:t>11. Брой служители преминали през обучение за служебно или професионално развитие.</w:t>
            </w:r>
          </w:p>
        </w:tc>
        <w:tc>
          <w:tcPr>
            <w:tcW w:w="825" w:type="pct"/>
            <w:gridSpan w:val="3"/>
            <w:tcBorders>
              <w:top w:val="single" w:sz="8" w:space="0" w:color="auto"/>
              <w:left w:val="nil"/>
              <w:bottom w:val="single" w:sz="8" w:space="0" w:color="auto"/>
              <w:right w:val="single" w:sz="8" w:space="0" w:color="000000"/>
            </w:tcBorders>
            <w:shd w:val="clear" w:color="auto" w:fill="D1D1D1" w:themeFill="background2" w:themeFillShade="E6"/>
            <w:hideMark/>
          </w:tcPr>
          <w:p w14:paraId="68D53635" w14:textId="77777777" w:rsidR="008156A3" w:rsidRPr="003B58BC" w:rsidRDefault="008156A3" w:rsidP="008156A3">
            <w:pPr>
              <w:rPr>
                <w:sz w:val="15"/>
                <w:szCs w:val="15"/>
              </w:rPr>
            </w:pPr>
            <w:r w:rsidRPr="003B58BC">
              <w:rPr>
                <w:sz w:val="15"/>
                <w:szCs w:val="15"/>
              </w:rPr>
              <w:t>12. Общ брой постъпили заявления за достъп до обществена информация по ЗДОИ през отчетния период.</w:t>
            </w:r>
          </w:p>
        </w:tc>
        <w:tc>
          <w:tcPr>
            <w:tcW w:w="856" w:type="pct"/>
            <w:gridSpan w:val="3"/>
            <w:tcBorders>
              <w:top w:val="single" w:sz="8" w:space="0" w:color="auto"/>
              <w:left w:val="nil"/>
              <w:bottom w:val="single" w:sz="8" w:space="0" w:color="auto"/>
              <w:right w:val="single" w:sz="8" w:space="0" w:color="000000"/>
            </w:tcBorders>
            <w:shd w:val="clear" w:color="auto" w:fill="D1D1D1" w:themeFill="background2" w:themeFillShade="E6"/>
            <w:hideMark/>
          </w:tcPr>
          <w:p w14:paraId="568D9107" w14:textId="77777777" w:rsidR="008156A3" w:rsidRPr="003B58BC" w:rsidRDefault="008156A3" w:rsidP="008156A3">
            <w:pPr>
              <w:rPr>
                <w:sz w:val="15"/>
                <w:szCs w:val="15"/>
              </w:rPr>
            </w:pPr>
            <w:r w:rsidRPr="003B58BC">
              <w:rPr>
                <w:sz w:val="15"/>
                <w:szCs w:val="15"/>
              </w:rPr>
              <w:t>13. Общ брой на издадените административни актове/заповеди на областния управител през отчетния период.</w:t>
            </w:r>
          </w:p>
        </w:tc>
      </w:tr>
      <w:tr w:rsidR="008626F4" w:rsidRPr="00375189" w14:paraId="5D7EA083" w14:textId="77777777" w:rsidTr="00641163">
        <w:trPr>
          <w:trHeight w:val="276"/>
          <w:jc w:val="center"/>
        </w:trPr>
        <w:tc>
          <w:tcPr>
            <w:tcW w:w="843" w:type="pct"/>
            <w:vMerge w:val="restart"/>
            <w:tcBorders>
              <w:top w:val="nil"/>
              <w:left w:val="single" w:sz="8" w:space="0" w:color="auto"/>
              <w:bottom w:val="single" w:sz="8" w:space="0" w:color="000000"/>
              <w:right w:val="single" w:sz="8" w:space="0" w:color="auto"/>
            </w:tcBorders>
            <w:shd w:val="clear" w:color="000000" w:fill="E3E3E3"/>
            <w:vAlign w:val="center"/>
            <w:hideMark/>
          </w:tcPr>
          <w:p w14:paraId="2AF54071" w14:textId="77777777" w:rsidR="008626F4" w:rsidRPr="00375189" w:rsidRDefault="008626F4" w:rsidP="008626F4">
            <w:pPr>
              <w:jc w:val="center"/>
              <w:rPr>
                <w:b/>
                <w:bCs/>
                <w:sz w:val="16"/>
                <w:szCs w:val="16"/>
              </w:rPr>
            </w:pPr>
            <w:r w:rsidRPr="00375189">
              <w:rPr>
                <w:b/>
                <w:bCs/>
                <w:sz w:val="16"/>
                <w:szCs w:val="16"/>
              </w:rPr>
              <w:t>ОБЛАСТНА АДМИНИСТРАЦИЯ ↓</w:t>
            </w:r>
          </w:p>
        </w:tc>
        <w:tc>
          <w:tcPr>
            <w:tcW w:w="299" w:type="pct"/>
            <w:vMerge w:val="restart"/>
            <w:tcBorders>
              <w:top w:val="nil"/>
              <w:left w:val="single" w:sz="8" w:space="0" w:color="auto"/>
              <w:bottom w:val="single" w:sz="8" w:space="0" w:color="000000"/>
              <w:right w:val="single" w:sz="4" w:space="0" w:color="auto"/>
            </w:tcBorders>
            <w:shd w:val="clear" w:color="auto" w:fill="D1D1D1" w:themeFill="background2" w:themeFillShade="E6"/>
            <w:vAlign w:val="center"/>
            <w:hideMark/>
          </w:tcPr>
          <w:p w14:paraId="1DB60525" w14:textId="77777777" w:rsidR="008626F4" w:rsidRPr="000741F2" w:rsidRDefault="008626F4" w:rsidP="008626F4">
            <w:pPr>
              <w:jc w:val="center"/>
              <w:rPr>
                <w:sz w:val="13"/>
                <w:szCs w:val="13"/>
              </w:rPr>
            </w:pPr>
            <w:r w:rsidRPr="000741F2">
              <w:rPr>
                <w:sz w:val="13"/>
                <w:szCs w:val="13"/>
              </w:rPr>
              <w:t>Мерна единица</w:t>
            </w:r>
          </w:p>
        </w:tc>
        <w:tc>
          <w:tcPr>
            <w:tcW w:w="291" w:type="pct"/>
            <w:vMerge w:val="restart"/>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6AF02AF7" w14:textId="77777777" w:rsidR="008626F4" w:rsidRPr="000741F2" w:rsidRDefault="008626F4" w:rsidP="008626F4">
            <w:pPr>
              <w:jc w:val="center"/>
              <w:rPr>
                <w:sz w:val="13"/>
                <w:szCs w:val="13"/>
              </w:rPr>
            </w:pPr>
            <w:r w:rsidRPr="000741F2">
              <w:rPr>
                <w:sz w:val="13"/>
                <w:szCs w:val="13"/>
              </w:rPr>
              <w:t>Бюджет 2025</w:t>
            </w:r>
          </w:p>
        </w:tc>
        <w:tc>
          <w:tcPr>
            <w:tcW w:w="235" w:type="pct"/>
            <w:vMerge w:val="restart"/>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1AAD2D5C" w14:textId="77777777" w:rsidR="008626F4" w:rsidRPr="000741F2" w:rsidRDefault="008626F4" w:rsidP="008626F4">
            <w:pPr>
              <w:jc w:val="center"/>
              <w:rPr>
                <w:sz w:val="13"/>
                <w:szCs w:val="13"/>
              </w:rPr>
            </w:pPr>
            <w:r w:rsidRPr="000741F2">
              <w:rPr>
                <w:sz w:val="13"/>
                <w:szCs w:val="13"/>
              </w:rPr>
              <w:t>Отчет 2025</w:t>
            </w:r>
          </w:p>
        </w:tc>
        <w:tc>
          <w:tcPr>
            <w:tcW w:w="299" w:type="pct"/>
            <w:vMerge w:val="restart"/>
            <w:tcBorders>
              <w:top w:val="nil"/>
              <w:left w:val="single" w:sz="8" w:space="0" w:color="auto"/>
              <w:bottom w:val="single" w:sz="8" w:space="0" w:color="000000"/>
              <w:right w:val="single" w:sz="4" w:space="0" w:color="auto"/>
            </w:tcBorders>
            <w:shd w:val="clear" w:color="auto" w:fill="D1D1D1" w:themeFill="background2" w:themeFillShade="E6"/>
            <w:vAlign w:val="center"/>
            <w:hideMark/>
          </w:tcPr>
          <w:p w14:paraId="00B1DDFE" w14:textId="77777777" w:rsidR="008626F4" w:rsidRPr="000741F2" w:rsidRDefault="008626F4" w:rsidP="008626F4">
            <w:pPr>
              <w:jc w:val="center"/>
              <w:rPr>
                <w:sz w:val="13"/>
                <w:szCs w:val="13"/>
              </w:rPr>
            </w:pPr>
            <w:r w:rsidRPr="000741F2">
              <w:rPr>
                <w:sz w:val="13"/>
                <w:szCs w:val="13"/>
              </w:rPr>
              <w:t>Мерна единица</w:t>
            </w:r>
          </w:p>
        </w:tc>
        <w:tc>
          <w:tcPr>
            <w:tcW w:w="291" w:type="pct"/>
            <w:vMerge w:val="restart"/>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429E1C42" w14:textId="77777777" w:rsidR="008626F4" w:rsidRPr="000741F2" w:rsidRDefault="008626F4" w:rsidP="008626F4">
            <w:pPr>
              <w:jc w:val="center"/>
              <w:rPr>
                <w:sz w:val="13"/>
                <w:szCs w:val="13"/>
              </w:rPr>
            </w:pPr>
            <w:r w:rsidRPr="000741F2">
              <w:rPr>
                <w:sz w:val="13"/>
                <w:szCs w:val="13"/>
              </w:rPr>
              <w:t>Бюджет 2025</w:t>
            </w:r>
          </w:p>
        </w:tc>
        <w:tc>
          <w:tcPr>
            <w:tcW w:w="235" w:type="pct"/>
            <w:vMerge w:val="restart"/>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46AEF8A7" w14:textId="77777777" w:rsidR="008626F4" w:rsidRPr="000741F2" w:rsidRDefault="008626F4" w:rsidP="008626F4">
            <w:pPr>
              <w:jc w:val="center"/>
              <w:rPr>
                <w:sz w:val="13"/>
                <w:szCs w:val="13"/>
              </w:rPr>
            </w:pPr>
            <w:r w:rsidRPr="000741F2">
              <w:rPr>
                <w:sz w:val="13"/>
                <w:szCs w:val="13"/>
              </w:rPr>
              <w:t>Отчет 2025</w:t>
            </w:r>
          </w:p>
        </w:tc>
        <w:tc>
          <w:tcPr>
            <w:tcW w:w="299" w:type="pct"/>
            <w:vMerge w:val="restart"/>
            <w:tcBorders>
              <w:top w:val="nil"/>
              <w:left w:val="single" w:sz="8" w:space="0" w:color="auto"/>
              <w:bottom w:val="single" w:sz="8" w:space="0" w:color="000000"/>
              <w:right w:val="single" w:sz="4" w:space="0" w:color="auto"/>
            </w:tcBorders>
            <w:shd w:val="clear" w:color="auto" w:fill="D1D1D1" w:themeFill="background2" w:themeFillShade="E6"/>
            <w:vAlign w:val="center"/>
            <w:hideMark/>
          </w:tcPr>
          <w:p w14:paraId="4185FA75" w14:textId="77777777" w:rsidR="008626F4" w:rsidRPr="000741F2" w:rsidRDefault="008626F4" w:rsidP="008626F4">
            <w:pPr>
              <w:jc w:val="center"/>
              <w:rPr>
                <w:sz w:val="13"/>
                <w:szCs w:val="13"/>
              </w:rPr>
            </w:pPr>
            <w:r w:rsidRPr="000741F2">
              <w:rPr>
                <w:sz w:val="13"/>
                <w:szCs w:val="13"/>
              </w:rPr>
              <w:t>Мерна единица</w:t>
            </w:r>
          </w:p>
        </w:tc>
        <w:tc>
          <w:tcPr>
            <w:tcW w:w="291" w:type="pct"/>
            <w:vMerge w:val="restart"/>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4BE62189" w14:textId="77777777" w:rsidR="008626F4" w:rsidRPr="000741F2" w:rsidRDefault="008626F4" w:rsidP="008626F4">
            <w:pPr>
              <w:jc w:val="center"/>
              <w:rPr>
                <w:sz w:val="13"/>
                <w:szCs w:val="13"/>
              </w:rPr>
            </w:pPr>
            <w:r w:rsidRPr="000741F2">
              <w:rPr>
                <w:sz w:val="13"/>
                <w:szCs w:val="13"/>
              </w:rPr>
              <w:t>Бюджет 2025</w:t>
            </w:r>
          </w:p>
        </w:tc>
        <w:tc>
          <w:tcPr>
            <w:tcW w:w="235" w:type="pct"/>
            <w:vMerge w:val="restart"/>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56A1661A" w14:textId="77777777" w:rsidR="008626F4" w:rsidRPr="000741F2" w:rsidRDefault="008626F4" w:rsidP="008626F4">
            <w:pPr>
              <w:jc w:val="center"/>
              <w:rPr>
                <w:sz w:val="13"/>
                <w:szCs w:val="13"/>
              </w:rPr>
            </w:pPr>
            <w:r w:rsidRPr="000741F2">
              <w:rPr>
                <w:sz w:val="13"/>
                <w:szCs w:val="13"/>
              </w:rPr>
              <w:t>Отчет 2025</w:t>
            </w:r>
          </w:p>
        </w:tc>
        <w:tc>
          <w:tcPr>
            <w:tcW w:w="299" w:type="pct"/>
            <w:vMerge w:val="restart"/>
            <w:tcBorders>
              <w:top w:val="nil"/>
              <w:left w:val="single" w:sz="8" w:space="0" w:color="auto"/>
              <w:bottom w:val="single" w:sz="8" w:space="0" w:color="000000"/>
              <w:right w:val="single" w:sz="4" w:space="0" w:color="auto"/>
            </w:tcBorders>
            <w:shd w:val="clear" w:color="auto" w:fill="D1D1D1" w:themeFill="background2" w:themeFillShade="E6"/>
            <w:vAlign w:val="center"/>
            <w:hideMark/>
          </w:tcPr>
          <w:p w14:paraId="08D6CB6A" w14:textId="77777777" w:rsidR="008626F4" w:rsidRPr="000741F2" w:rsidRDefault="008626F4" w:rsidP="008626F4">
            <w:pPr>
              <w:jc w:val="center"/>
              <w:rPr>
                <w:sz w:val="13"/>
                <w:szCs w:val="13"/>
              </w:rPr>
            </w:pPr>
            <w:r w:rsidRPr="000741F2">
              <w:rPr>
                <w:sz w:val="13"/>
                <w:szCs w:val="13"/>
              </w:rPr>
              <w:t>Мерна единица</w:t>
            </w:r>
          </w:p>
        </w:tc>
        <w:tc>
          <w:tcPr>
            <w:tcW w:w="291" w:type="pct"/>
            <w:vMerge w:val="restart"/>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33465E6D" w14:textId="77777777" w:rsidR="008626F4" w:rsidRPr="000741F2" w:rsidRDefault="008626F4" w:rsidP="008626F4">
            <w:pPr>
              <w:jc w:val="center"/>
              <w:rPr>
                <w:sz w:val="13"/>
                <w:szCs w:val="13"/>
              </w:rPr>
            </w:pPr>
            <w:r w:rsidRPr="000741F2">
              <w:rPr>
                <w:sz w:val="13"/>
                <w:szCs w:val="13"/>
              </w:rPr>
              <w:t>Бюджет 2025</w:t>
            </w:r>
          </w:p>
        </w:tc>
        <w:tc>
          <w:tcPr>
            <w:tcW w:w="235" w:type="pct"/>
            <w:vMerge w:val="restart"/>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2DA148ED" w14:textId="77777777" w:rsidR="008626F4" w:rsidRPr="000741F2" w:rsidRDefault="008626F4" w:rsidP="008626F4">
            <w:pPr>
              <w:jc w:val="center"/>
              <w:rPr>
                <w:sz w:val="13"/>
                <w:szCs w:val="13"/>
              </w:rPr>
            </w:pPr>
            <w:r w:rsidRPr="000741F2">
              <w:rPr>
                <w:sz w:val="13"/>
                <w:szCs w:val="13"/>
              </w:rPr>
              <w:t>Отчет 2025</w:t>
            </w:r>
          </w:p>
        </w:tc>
        <w:tc>
          <w:tcPr>
            <w:tcW w:w="299" w:type="pct"/>
            <w:vMerge w:val="restart"/>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1F7770F6" w14:textId="723CBFBD" w:rsidR="008626F4" w:rsidRPr="000741F2" w:rsidRDefault="008626F4" w:rsidP="008626F4">
            <w:pPr>
              <w:jc w:val="center"/>
              <w:rPr>
                <w:sz w:val="13"/>
                <w:szCs w:val="13"/>
              </w:rPr>
            </w:pPr>
            <w:r w:rsidRPr="000741F2">
              <w:rPr>
                <w:sz w:val="13"/>
                <w:szCs w:val="13"/>
              </w:rPr>
              <w:t>Мерна единица</w:t>
            </w:r>
          </w:p>
        </w:tc>
        <w:tc>
          <w:tcPr>
            <w:tcW w:w="314" w:type="pct"/>
            <w:vMerge w:val="restart"/>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44353E12" w14:textId="277C0C2C" w:rsidR="008626F4" w:rsidRPr="000741F2" w:rsidRDefault="008626F4" w:rsidP="008626F4">
            <w:pPr>
              <w:jc w:val="center"/>
              <w:rPr>
                <w:sz w:val="13"/>
                <w:szCs w:val="13"/>
              </w:rPr>
            </w:pPr>
            <w:r w:rsidRPr="000741F2">
              <w:rPr>
                <w:sz w:val="13"/>
                <w:szCs w:val="13"/>
              </w:rPr>
              <w:t>Бюджет 2025</w:t>
            </w:r>
          </w:p>
        </w:tc>
        <w:tc>
          <w:tcPr>
            <w:tcW w:w="242" w:type="pct"/>
            <w:vMerge w:val="restart"/>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499B14ED" w14:textId="5D58086B" w:rsidR="008626F4" w:rsidRPr="000741F2" w:rsidRDefault="008626F4" w:rsidP="008626F4">
            <w:pPr>
              <w:jc w:val="center"/>
              <w:rPr>
                <w:sz w:val="13"/>
                <w:szCs w:val="13"/>
              </w:rPr>
            </w:pPr>
            <w:r w:rsidRPr="000741F2">
              <w:rPr>
                <w:sz w:val="13"/>
                <w:szCs w:val="13"/>
              </w:rPr>
              <w:t>Отчет 2025</w:t>
            </w:r>
          </w:p>
        </w:tc>
      </w:tr>
      <w:tr w:rsidR="008626F4" w:rsidRPr="00375189" w14:paraId="30A7E8BB" w14:textId="77777777" w:rsidTr="00641163">
        <w:trPr>
          <w:trHeight w:val="459"/>
          <w:jc w:val="center"/>
        </w:trPr>
        <w:tc>
          <w:tcPr>
            <w:tcW w:w="843" w:type="pct"/>
            <w:vMerge/>
            <w:tcBorders>
              <w:top w:val="nil"/>
              <w:left w:val="single" w:sz="8" w:space="0" w:color="auto"/>
              <w:bottom w:val="single" w:sz="8" w:space="0" w:color="000000"/>
              <w:right w:val="single" w:sz="8" w:space="0" w:color="auto"/>
            </w:tcBorders>
            <w:vAlign w:val="center"/>
            <w:hideMark/>
          </w:tcPr>
          <w:p w14:paraId="5DE0A851" w14:textId="77777777" w:rsidR="008626F4" w:rsidRPr="00375189" w:rsidRDefault="008626F4" w:rsidP="008626F4">
            <w:pPr>
              <w:rPr>
                <w:b/>
                <w:bCs/>
                <w:sz w:val="16"/>
                <w:szCs w:val="16"/>
              </w:rPr>
            </w:pPr>
          </w:p>
        </w:tc>
        <w:tc>
          <w:tcPr>
            <w:tcW w:w="299" w:type="pct"/>
            <w:vMerge/>
            <w:tcBorders>
              <w:top w:val="nil"/>
              <w:left w:val="single" w:sz="8" w:space="0" w:color="auto"/>
              <w:bottom w:val="single" w:sz="8" w:space="0" w:color="000000"/>
              <w:right w:val="single" w:sz="4" w:space="0" w:color="auto"/>
            </w:tcBorders>
            <w:shd w:val="clear" w:color="auto" w:fill="D1D1D1" w:themeFill="background2" w:themeFillShade="E6"/>
            <w:vAlign w:val="center"/>
            <w:hideMark/>
          </w:tcPr>
          <w:p w14:paraId="0EA60664" w14:textId="77777777" w:rsidR="008626F4" w:rsidRPr="000741F2" w:rsidRDefault="008626F4" w:rsidP="008626F4">
            <w:pPr>
              <w:rPr>
                <w:sz w:val="14"/>
                <w:szCs w:val="14"/>
              </w:rPr>
            </w:pPr>
          </w:p>
        </w:tc>
        <w:tc>
          <w:tcPr>
            <w:tcW w:w="291" w:type="pct"/>
            <w:vMerge/>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124FF170" w14:textId="77777777" w:rsidR="008626F4" w:rsidRPr="000741F2" w:rsidRDefault="008626F4" w:rsidP="008626F4">
            <w:pPr>
              <w:rPr>
                <w:sz w:val="14"/>
                <w:szCs w:val="14"/>
              </w:rPr>
            </w:pPr>
          </w:p>
        </w:tc>
        <w:tc>
          <w:tcPr>
            <w:tcW w:w="235" w:type="pct"/>
            <w:vMerge/>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1FEE17A0" w14:textId="77777777" w:rsidR="008626F4" w:rsidRPr="000741F2" w:rsidRDefault="008626F4" w:rsidP="008626F4">
            <w:pPr>
              <w:rPr>
                <w:sz w:val="14"/>
                <w:szCs w:val="14"/>
              </w:rPr>
            </w:pPr>
          </w:p>
        </w:tc>
        <w:tc>
          <w:tcPr>
            <w:tcW w:w="299" w:type="pct"/>
            <w:vMerge/>
            <w:tcBorders>
              <w:top w:val="nil"/>
              <w:left w:val="single" w:sz="8" w:space="0" w:color="auto"/>
              <w:bottom w:val="single" w:sz="8" w:space="0" w:color="000000"/>
              <w:right w:val="single" w:sz="4" w:space="0" w:color="auto"/>
            </w:tcBorders>
            <w:shd w:val="clear" w:color="auto" w:fill="D1D1D1" w:themeFill="background2" w:themeFillShade="E6"/>
            <w:vAlign w:val="center"/>
            <w:hideMark/>
          </w:tcPr>
          <w:p w14:paraId="0C0D28F9" w14:textId="77777777" w:rsidR="008626F4" w:rsidRPr="000741F2" w:rsidRDefault="008626F4" w:rsidP="008626F4">
            <w:pPr>
              <w:rPr>
                <w:sz w:val="14"/>
                <w:szCs w:val="14"/>
              </w:rPr>
            </w:pPr>
          </w:p>
        </w:tc>
        <w:tc>
          <w:tcPr>
            <w:tcW w:w="291" w:type="pct"/>
            <w:vMerge/>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6FE995BF" w14:textId="77777777" w:rsidR="008626F4" w:rsidRPr="000741F2" w:rsidRDefault="008626F4" w:rsidP="008626F4">
            <w:pPr>
              <w:rPr>
                <w:sz w:val="14"/>
                <w:szCs w:val="14"/>
              </w:rPr>
            </w:pPr>
          </w:p>
        </w:tc>
        <w:tc>
          <w:tcPr>
            <w:tcW w:w="235" w:type="pct"/>
            <w:vMerge/>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6F22B08D" w14:textId="77777777" w:rsidR="008626F4" w:rsidRPr="000741F2" w:rsidRDefault="008626F4" w:rsidP="008626F4">
            <w:pPr>
              <w:rPr>
                <w:sz w:val="14"/>
                <w:szCs w:val="14"/>
              </w:rPr>
            </w:pPr>
          </w:p>
        </w:tc>
        <w:tc>
          <w:tcPr>
            <w:tcW w:w="299" w:type="pct"/>
            <w:vMerge/>
            <w:tcBorders>
              <w:top w:val="nil"/>
              <w:left w:val="single" w:sz="8" w:space="0" w:color="auto"/>
              <w:bottom w:val="single" w:sz="8" w:space="0" w:color="000000"/>
              <w:right w:val="single" w:sz="4" w:space="0" w:color="auto"/>
            </w:tcBorders>
            <w:shd w:val="clear" w:color="auto" w:fill="D1D1D1" w:themeFill="background2" w:themeFillShade="E6"/>
            <w:vAlign w:val="center"/>
            <w:hideMark/>
          </w:tcPr>
          <w:p w14:paraId="20DC0E48" w14:textId="77777777" w:rsidR="008626F4" w:rsidRPr="000741F2" w:rsidRDefault="008626F4" w:rsidP="008626F4">
            <w:pPr>
              <w:rPr>
                <w:sz w:val="14"/>
                <w:szCs w:val="14"/>
              </w:rPr>
            </w:pPr>
          </w:p>
        </w:tc>
        <w:tc>
          <w:tcPr>
            <w:tcW w:w="291" w:type="pct"/>
            <w:vMerge/>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351C99C7" w14:textId="77777777" w:rsidR="008626F4" w:rsidRPr="000741F2" w:rsidRDefault="008626F4" w:rsidP="008626F4">
            <w:pPr>
              <w:rPr>
                <w:sz w:val="14"/>
                <w:szCs w:val="14"/>
              </w:rPr>
            </w:pPr>
          </w:p>
        </w:tc>
        <w:tc>
          <w:tcPr>
            <w:tcW w:w="235" w:type="pct"/>
            <w:vMerge/>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254434EC" w14:textId="77777777" w:rsidR="008626F4" w:rsidRPr="000741F2" w:rsidRDefault="008626F4" w:rsidP="008626F4">
            <w:pPr>
              <w:rPr>
                <w:sz w:val="14"/>
                <w:szCs w:val="14"/>
              </w:rPr>
            </w:pPr>
          </w:p>
        </w:tc>
        <w:tc>
          <w:tcPr>
            <w:tcW w:w="299" w:type="pct"/>
            <w:vMerge/>
            <w:tcBorders>
              <w:top w:val="nil"/>
              <w:left w:val="single" w:sz="8" w:space="0" w:color="auto"/>
              <w:bottom w:val="single" w:sz="8" w:space="0" w:color="000000"/>
              <w:right w:val="single" w:sz="4" w:space="0" w:color="auto"/>
            </w:tcBorders>
            <w:shd w:val="clear" w:color="auto" w:fill="D1D1D1" w:themeFill="background2" w:themeFillShade="E6"/>
            <w:vAlign w:val="center"/>
            <w:hideMark/>
          </w:tcPr>
          <w:p w14:paraId="44AEFC1B" w14:textId="77777777" w:rsidR="008626F4" w:rsidRPr="000741F2" w:rsidRDefault="008626F4" w:rsidP="008626F4">
            <w:pPr>
              <w:rPr>
                <w:sz w:val="14"/>
                <w:szCs w:val="14"/>
              </w:rPr>
            </w:pPr>
          </w:p>
        </w:tc>
        <w:tc>
          <w:tcPr>
            <w:tcW w:w="291" w:type="pct"/>
            <w:vMerge/>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080A5E65" w14:textId="77777777" w:rsidR="008626F4" w:rsidRPr="000741F2" w:rsidRDefault="008626F4" w:rsidP="008626F4">
            <w:pPr>
              <w:rPr>
                <w:sz w:val="14"/>
                <w:szCs w:val="14"/>
              </w:rPr>
            </w:pPr>
          </w:p>
        </w:tc>
        <w:tc>
          <w:tcPr>
            <w:tcW w:w="235" w:type="pct"/>
            <w:vMerge/>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10D40037" w14:textId="77777777" w:rsidR="008626F4" w:rsidRPr="000741F2" w:rsidRDefault="008626F4" w:rsidP="008626F4">
            <w:pPr>
              <w:rPr>
                <w:sz w:val="14"/>
                <w:szCs w:val="14"/>
              </w:rPr>
            </w:pPr>
          </w:p>
        </w:tc>
        <w:tc>
          <w:tcPr>
            <w:tcW w:w="299" w:type="pct"/>
            <w:vMerge/>
            <w:tcBorders>
              <w:top w:val="nil"/>
              <w:left w:val="single" w:sz="4" w:space="0" w:color="auto"/>
              <w:bottom w:val="single" w:sz="8" w:space="0" w:color="000000"/>
              <w:right w:val="single" w:sz="4" w:space="0" w:color="auto"/>
            </w:tcBorders>
            <w:shd w:val="clear" w:color="auto" w:fill="D1D1D1" w:themeFill="background2" w:themeFillShade="E6"/>
            <w:vAlign w:val="center"/>
            <w:hideMark/>
          </w:tcPr>
          <w:p w14:paraId="30190850" w14:textId="77777777" w:rsidR="008626F4" w:rsidRPr="000741F2" w:rsidRDefault="008626F4" w:rsidP="008626F4">
            <w:pPr>
              <w:rPr>
                <w:sz w:val="14"/>
                <w:szCs w:val="14"/>
              </w:rPr>
            </w:pPr>
          </w:p>
        </w:tc>
        <w:tc>
          <w:tcPr>
            <w:tcW w:w="314" w:type="pct"/>
            <w:vMerge/>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4B609FBB" w14:textId="77777777" w:rsidR="008626F4" w:rsidRPr="000741F2" w:rsidRDefault="008626F4" w:rsidP="008626F4">
            <w:pPr>
              <w:rPr>
                <w:sz w:val="14"/>
                <w:szCs w:val="14"/>
              </w:rPr>
            </w:pPr>
          </w:p>
        </w:tc>
        <w:tc>
          <w:tcPr>
            <w:tcW w:w="242" w:type="pct"/>
            <w:vMerge/>
            <w:tcBorders>
              <w:top w:val="nil"/>
              <w:left w:val="single" w:sz="4" w:space="0" w:color="auto"/>
              <w:bottom w:val="single" w:sz="8" w:space="0" w:color="000000"/>
              <w:right w:val="single" w:sz="8" w:space="0" w:color="auto"/>
            </w:tcBorders>
            <w:shd w:val="clear" w:color="auto" w:fill="D1D1D1" w:themeFill="background2" w:themeFillShade="E6"/>
            <w:vAlign w:val="center"/>
            <w:hideMark/>
          </w:tcPr>
          <w:p w14:paraId="54DCAB63" w14:textId="77777777" w:rsidR="008626F4" w:rsidRPr="000741F2" w:rsidRDefault="008626F4" w:rsidP="008626F4">
            <w:pPr>
              <w:rPr>
                <w:sz w:val="14"/>
                <w:szCs w:val="14"/>
              </w:rPr>
            </w:pPr>
          </w:p>
        </w:tc>
      </w:tr>
      <w:tr w:rsidR="007C7712" w:rsidRPr="00375189" w14:paraId="38DA2AC2"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349819C3" w14:textId="5F626ADE" w:rsidR="007C7712" w:rsidRPr="00375189" w:rsidRDefault="007C7712" w:rsidP="007C7712">
            <w:pPr>
              <w:rPr>
                <w:sz w:val="16"/>
                <w:szCs w:val="16"/>
              </w:rPr>
            </w:pPr>
            <w:r w:rsidRPr="00375189">
              <w:rPr>
                <w:sz w:val="16"/>
                <w:szCs w:val="16"/>
              </w:rPr>
              <w:t xml:space="preserve">Благоевград </w:t>
            </w:r>
          </w:p>
        </w:tc>
        <w:tc>
          <w:tcPr>
            <w:tcW w:w="299" w:type="pct"/>
            <w:tcBorders>
              <w:top w:val="nil"/>
              <w:left w:val="nil"/>
              <w:bottom w:val="single" w:sz="4" w:space="0" w:color="auto"/>
              <w:right w:val="single" w:sz="4" w:space="0" w:color="auto"/>
            </w:tcBorders>
            <w:shd w:val="clear" w:color="auto" w:fill="auto"/>
            <w:noWrap/>
            <w:vAlign w:val="bottom"/>
            <w:hideMark/>
          </w:tcPr>
          <w:p w14:paraId="4A2120C9"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73F39BC7" w14:textId="775F7284" w:rsidR="007C7712" w:rsidRPr="00F23594" w:rsidRDefault="007C7712" w:rsidP="007C7712">
            <w:pPr>
              <w:jc w:val="right"/>
              <w:rPr>
                <w:sz w:val="14"/>
                <w:szCs w:val="14"/>
              </w:rPr>
            </w:pPr>
            <w:r w:rsidRPr="00F23594">
              <w:rPr>
                <w:sz w:val="14"/>
                <w:szCs w:val="14"/>
              </w:rPr>
              <w:t>23</w:t>
            </w:r>
          </w:p>
        </w:tc>
        <w:tc>
          <w:tcPr>
            <w:tcW w:w="235" w:type="pct"/>
            <w:tcBorders>
              <w:top w:val="nil"/>
              <w:left w:val="nil"/>
              <w:bottom w:val="single" w:sz="4" w:space="0" w:color="auto"/>
              <w:right w:val="single" w:sz="4" w:space="0" w:color="auto"/>
            </w:tcBorders>
            <w:shd w:val="clear" w:color="auto" w:fill="auto"/>
            <w:noWrap/>
            <w:vAlign w:val="bottom"/>
            <w:hideMark/>
          </w:tcPr>
          <w:p w14:paraId="63AC1C8C" w14:textId="77777777" w:rsidR="007C7712" w:rsidRPr="00F23594" w:rsidRDefault="007C7712" w:rsidP="007C7712">
            <w:pPr>
              <w:jc w:val="right"/>
              <w:rPr>
                <w:sz w:val="14"/>
                <w:szCs w:val="14"/>
              </w:rPr>
            </w:pPr>
            <w:r w:rsidRPr="00F23594">
              <w:rPr>
                <w:sz w:val="14"/>
                <w:szCs w:val="14"/>
              </w:rPr>
              <w:t>23</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5CD01F6B"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37522FAD" w14:textId="35E12897" w:rsidR="007C7712" w:rsidRPr="00F23594" w:rsidRDefault="007C7712" w:rsidP="007C7712">
            <w:pPr>
              <w:jc w:val="right"/>
              <w:rPr>
                <w:sz w:val="14"/>
                <w:szCs w:val="14"/>
              </w:rPr>
            </w:pPr>
            <w:r w:rsidRPr="00F23594">
              <w:rPr>
                <w:sz w:val="14"/>
                <w:szCs w:val="14"/>
              </w:rPr>
              <w:t>14</w:t>
            </w:r>
          </w:p>
        </w:tc>
        <w:tc>
          <w:tcPr>
            <w:tcW w:w="235" w:type="pct"/>
            <w:tcBorders>
              <w:top w:val="nil"/>
              <w:left w:val="nil"/>
              <w:bottom w:val="single" w:sz="4" w:space="0" w:color="auto"/>
              <w:right w:val="single" w:sz="8" w:space="0" w:color="auto"/>
            </w:tcBorders>
            <w:shd w:val="clear" w:color="auto" w:fill="auto"/>
            <w:noWrap/>
            <w:vAlign w:val="bottom"/>
            <w:hideMark/>
          </w:tcPr>
          <w:p w14:paraId="66FBD796" w14:textId="77777777" w:rsidR="007C7712" w:rsidRPr="00F23594" w:rsidRDefault="007C7712" w:rsidP="007C7712">
            <w:pPr>
              <w:jc w:val="right"/>
              <w:rPr>
                <w:sz w:val="14"/>
                <w:szCs w:val="14"/>
              </w:rPr>
            </w:pPr>
            <w:r w:rsidRPr="00F23594">
              <w:rPr>
                <w:sz w:val="14"/>
                <w:szCs w:val="14"/>
              </w:rPr>
              <w:t>7</w:t>
            </w:r>
          </w:p>
        </w:tc>
        <w:tc>
          <w:tcPr>
            <w:tcW w:w="299" w:type="pct"/>
            <w:tcBorders>
              <w:top w:val="nil"/>
              <w:left w:val="nil"/>
              <w:bottom w:val="single" w:sz="4" w:space="0" w:color="auto"/>
              <w:right w:val="single" w:sz="4" w:space="0" w:color="auto"/>
            </w:tcBorders>
            <w:shd w:val="clear" w:color="auto" w:fill="auto"/>
            <w:noWrap/>
            <w:vAlign w:val="bottom"/>
            <w:hideMark/>
          </w:tcPr>
          <w:p w14:paraId="668A8A3A"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6BE5D31F" w14:textId="5782926F" w:rsidR="007C7712" w:rsidRPr="00F23594" w:rsidRDefault="007C7712" w:rsidP="007C7712">
            <w:pPr>
              <w:jc w:val="right"/>
              <w:rPr>
                <w:sz w:val="14"/>
                <w:szCs w:val="14"/>
              </w:rPr>
            </w:pPr>
            <w:r w:rsidRPr="00F23594">
              <w:rPr>
                <w:sz w:val="14"/>
                <w:szCs w:val="14"/>
              </w:rPr>
              <w:t>15</w:t>
            </w:r>
          </w:p>
        </w:tc>
        <w:tc>
          <w:tcPr>
            <w:tcW w:w="235" w:type="pct"/>
            <w:tcBorders>
              <w:top w:val="nil"/>
              <w:left w:val="nil"/>
              <w:bottom w:val="single" w:sz="4" w:space="0" w:color="auto"/>
              <w:right w:val="single" w:sz="4" w:space="0" w:color="auto"/>
            </w:tcBorders>
            <w:shd w:val="clear" w:color="auto" w:fill="auto"/>
            <w:noWrap/>
            <w:vAlign w:val="bottom"/>
            <w:hideMark/>
          </w:tcPr>
          <w:p w14:paraId="6AE1365C" w14:textId="77777777" w:rsidR="007C7712" w:rsidRPr="00F23594" w:rsidRDefault="007C7712" w:rsidP="007C7712">
            <w:pPr>
              <w:jc w:val="right"/>
              <w:rPr>
                <w:sz w:val="14"/>
                <w:szCs w:val="14"/>
              </w:rPr>
            </w:pPr>
            <w:r w:rsidRPr="00F23594">
              <w:rPr>
                <w:sz w:val="14"/>
                <w:szCs w:val="14"/>
              </w:rPr>
              <w:t>20</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5CEF490D"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62D26BA3" w14:textId="7FA6C9BF" w:rsidR="007C7712" w:rsidRPr="00F23594" w:rsidRDefault="007C7712" w:rsidP="007C7712">
            <w:pPr>
              <w:jc w:val="right"/>
              <w:rPr>
                <w:sz w:val="14"/>
                <w:szCs w:val="14"/>
              </w:rPr>
            </w:pPr>
            <w:r w:rsidRPr="00F23594">
              <w:rPr>
                <w:sz w:val="14"/>
                <w:szCs w:val="14"/>
              </w:rPr>
              <w:t>15,00</w:t>
            </w:r>
          </w:p>
        </w:tc>
        <w:tc>
          <w:tcPr>
            <w:tcW w:w="235" w:type="pct"/>
            <w:tcBorders>
              <w:top w:val="nil"/>
              <w:left w:val="nil"/>
              <w:bottom w:val="single" w:sz="4" w:space="0" w:color="auto"/>
              <w:right w:val="single" w:sz="8" w:space="0" w:color="auto"/>
            </w:tcBorders>
            <w:shd w:val="clear" w:color="auto" w:fill="auto"/>
            <w:noWrap/>
            <w:vAlign w:val="bottom"/>
            <w:hideMark/>
          </w:tcPr>
          <w:p w14:paraId="3D7825FB" w14:textId="77777777" w:rsidR="007C7712" w:rsidRPr="00F23594" w:rsidRDefault="007C7712" w:rsidP="007C7712">
            <w:pPr>
              <w:jc w:val="right"/>
              <w:rPr>
                <w:sz w:val="14"/>
                <w:szCs w:val="14"/>
              </w:rPr>
            </w:pPr>
            <w:r w:rsidRPr="00F23594">
              <w:rPr>
                <w:sz w:val="14"/>
                <w:szCs w:val="14"/>
              </w:rPr>
              <w:t>10</w:t>
            </w:r>
          </w:p>
        </w:tc>
        <w:tc>
          <w:tcPr>
            <w:tcW w:w="299" w:type="pct"/>
            <w:tcBorders>
              <w:top w:val="nil"/>
              <w:left w:val="nil"/>
              <w:bottom w:val="single" w:sz="4" w:space="0" w:color="auto"/>
              <w:right w:val="single" w:sz="4" w:space="0" w:color="auto"/>
            </w:tcBorders>
            <w:shd w:val="clear" w:color="auto" w:fill="auto"/>
            <w:noWrap/>
            <w:vAlign w:val="bottom"/>
            <w:hideMark/>
          </w:tcPr>
          <w:p w14:paraId="4555D8E3"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096E59FB" w14:textId="22EB4563" w:rsidR="007C7712" w:rsidRPr="00F23594" w:rsidRDefault="007C7712" w:rsidP="007C7712">
            <w:pPr>
              <w:jc w:val="right"/>
              <w:rPr>
                <w:sz w:val="14"/>
                <w:szCs w:val="14"/>
              </w:rPr>
            </w:pPr>
            <w:r w:rsidRPr="00F23594">
              <w:rPr>
                <w:sz w:val="14"/>
                <w:szCs w:val="14"/>
              </w:rPr>
              <w:t>450,00</w:t>
            </w:r>
          </w:p>
        </w:tc>
        <w:tc>
          <w:tcPr>
            <w:tcW w:w="242" w:type="pct"/>
            <w:tcBorders>
              <w:top w:val="nil"/>
              <w:left w:val="nil"/>
              <w:bottom w:val="single" w:sz="4" w:space="0" w:color="auto"/>
              <w:right w:val="single" w:sz="8" w:space="0" w:color="auto"/>
            </w:tcBorders>
            <w:shd w:val="clear" w:color="auto" w:fill="auto"/>
            <w:noWrap/>
            <w:vAlign w:val="bottom"/>
            <w:hideMark/>
          </w:tcPr>
          <w:p w14:paraId="697E99AB" w14:textId="77777777" w:rsidR="007C7712" w:rsidRPr="00F23594" w:rsidRDefault="007C7712" w:rsidP="007C7712">
            <w:pPr>
              <w:jc w:val="right"/>
              <w:rPr>
                <w:sz w:val="14"/>
                <w:szCs w:val="14"/>
              </w:rPr>
            </w:pPr>
            <w:r w:rsidRPr="00F23594">
              <w:rPr>
                <w:sz w:val="14"/>
                <w:szCs w:val="14"/>
              </w:rPr>
              <w:t>189</w:t>
            </w:r>
          </w:p>
        </w:tc>
      </w:tr>
      <w:tr w:rsidR="007C7712" w:rsidRPr="00375189" w14:paraId="328DDFA6"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24A73510" w14:textId="77777777" w:rsidR="007C7712" w:rsidRPr="00375189" w:rsidRDefault="007C7712" w:rsidP="007C7712">
            <w:pPr>
              <w:rPr>
                <w:sz w:val="16"/>
                <w:szCs w:val="16"/>
              </w:rPr>
            </w:pPr>
            <w:r w:rsidRPr="00375189">
              <w:rPr>
                <w:sz w:val="16"/>
                <w:szCs w:val="16"/>
              </w:rPr>
              <w:t>Бургас</w:t>
            </w:r>
          </w:p>
        </w:tc>
        <w:tc>
          <w:tcPr>
            <w:tcW w:w="299" w:type="pct"/>
            <w:tcBorders>
              <w:top w:val="nil"/>
              <w:left w:val="nil"/>
              <w:bottom w:val="single" w:sz="4" w:space="0" w:color="auto"/>
              <w:right w:val="single" w:sz="4" w:space="0" w:color="auto"/>
            </w:tcBorders>
            <w:shd w:val="clear" w:color="auto" w:fill="auto"/>
            <w:noWrap/>
            <w:vAlign w:val="bottom"/>
            <w:hideMark/>
          </w:tcPr>
          <w:p w14:paraId="3DAB5F75"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7279F1A1" w14:textId="10A6B2CC" w:rsidR="007C7712" w:rsidRPr="00F23594" w:rsidRDefault="007C7712" w:rsidP="007C7712">
            <w:pPr>
              <w:jc w:val="right"/>
              <w:rPr>
                <w:sz w:val="14"/>
                <w:szCs w:val="14"/>
              </w:rPr>
            </w:pPr>
            <w:r w:rsidRPr="00F23594">
              <w:rPr>
                <w:sz w:val="14"/>
                <w:szCs w:val="14"/>
              </w:rPr>
              <w:t>19</w:t>
            </w:r>
          </w:p>
        </w:tc>
        <w:tc>
          <w:tcPr>
            <w:tcW w:w="235" w:type="pct"/>
            <w:tcBorders>
              <w:top w:val="nil"/>
              <w:left w:val="nil"/>
              <w:bottom w:val="single" w:sz="4" w:space="0" w:color="auto"/>
              <w:right w:val="single" w:sz="4" w:space="0" w:color="auto"/>
            </w:tcBorders>
            <w:shd w:val="clear" w:color="auto" w:fill="auto"/>
            <w:noWrap/>
            <w:vAlign w:val="bottom"/>
            <w:hideMark/>
          </w:tcPr>
          <w:p w14:paraId="4B379D6E" w14:textId="77777777" w:rsidR="007C7712" w:rsidRPr="00F23594" w:rsidRDefault="007C7712" w:rsidP="007C7712">
            <w:pPr>
              <w:jc w:val="right"/>
              <w:rPr>
                <w:sz w:val="14"/>
                <w:szCs w:val="14"/>
              </w:rPr>
            </w:pPr>
            <w:r w:rsidRPr="00F23594">
              <w:rPr>
                <w:sz w:val="14"/>
                <w:szCs w:val="14"/>
              </w:rPr>
              <w:t>19</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2F9F6D30"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122C9751" w14:textId="1B129CDD" w:rsidR="007C7712" w:rsidRPr="00F23594" w:rsidRDefault="007C7712" w:rsidP="007C7712">
            <w:pPr>
              <w:jc w:val="right"/>
              <w:rPr>
                <w:sz w:val="14"/>
                <w:szCs w:val="14"/>
              </w:rPr>
            </w:pPr>
            <w:r w:rsidRPr="00F23594">
              <w:rPr>
                <w:sz w:val="14"/>
                <w:szCs w:val="14"/>
              </w:rPr>
              <w:t>25</w:t>
            </w:r>
          </w:p>
        </w:tc>
        <w:tc>
          <w:tcPr>
            <w:tcW w:w="235" w:type="pct"/>
            <w:tcBorders>
              <w:top w:val="nil"/>
              <w:left w:val="nil"/>
              <w:bottom w:val="single" w:sz="4" w:space="0" w:color="auto"/>
              <w:right w:val="single" w:sz="8" w:space="0" w:color="auto"/>
            </w:tcBorders>
            <w:shd w:val="clear" w:color="auto" w:fill="auto"/>
            <w:noWrap/>
            <w:vAlign w:val="bottom"/>
            <w:hideMark/>
          </w:tcPr>
          <w:p w14:paraId="53B5BFD6" w14:textId="77777777" w:rsidR="007C7712" w:rsidRPr="00F23594" w:rsidRDefault="007C7712" w:rsidP="007C7712">
            <w:pPr>
              <w:jc w:val="right"/>
              <w:rPr>
                <w:sz w:val="14"/>
                <w:szCs w:val="14"/>
              </w:rPr>
            </w:pPr>
            <w:r w:rsidRPr="00F23594">
              <w:rPr>
                <w:sz w:val="14"/>
                <w:szCs w:val="14"/>
              </w:rPr>
              <w:t>6</w:t>
            </w:r>
          </w:p>
        </w:tc>
        <w:tc>
          <w:tcPr>
            <w:tcW w:w="299" w:type="pct"/>
            <w:tcBorders>
              <w:top w:val="nil"/>
              <w:left w:val="nil"/>
              <w:bottom w:val="single" w:sz="4" w:space="0" w:color="auto"/>
              <w:right w:val="single" w:sz="4" w:space="0" w:color="auto"/>
            </w:tcBorders>
            <w:shd w:val="clear" w:color="auto" w:fill="auto"/>
            <w:noWrap/>
            <w:vAlign w:val="bottom"/>
            <w:hideMark/>
          </w:tcPr>
          <w:p w14:paraId="7E8D6488"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1156B5E9" w14:textId="622600E6" w:rsidR="007C7712" w:rsidRPr="00F23594" w:rsidRDefault="007C7712" w:rsidP="007C7712">
            <w:pPr>
              <w:jc w:val="right"/>
              <w:rPr>
                <w:sz w:val="14"/>
                <w:szCs w:val="14"/>
              </w:rPr>
            </w:pPr>
            <w:r w:rsidRPr="00F23594">
              <w:rPr>
                <w:sz w:val="14"/>
                <w:szCs w:val="14"/>
              </w:rPr>
              <w:t>20</w:t>
            </w:r>
          </w:p>
        </w:tc>
        <w:tc>
          <w:tcPr>
            <w:tcW w:w="235" w:type="pct"/>
            <w:tcBorders>
              <w:top w:val="nil"/>
              <w:left w:val="nil"/>
              <w:bottom w:val="single" w:sz="4" w:space="0" w:color="auto"/>
              <w:right w:val="single" w:sz="4" w:space="0" w:color="auto"/>
            </w:tcBorders>
            <w:shd w:val="clear" w:color="auto" w:fill="auto"/>
            <w:noWrap/>
            <w:vAlign w:val="bottom"/>
            <w:hideMark/>
          </w:tcPr>
          <w:p w14:paraId="468D72E7" w14:textId="77777777" w:rsidR="007C7712" w:rsidRPr="00F23594" w:rsidRDefault="007C7712" w:rsidP="007C7712">
            <w:pPr>
              <w:jc w:val="right"/>
              <w:rPr>
                <w:sz w:val="14"/>
                <w:szCs w:val="14"/>
              </w:rPr>
            </w:pPr>
            <w:r w:rsidRPr="00F23594">
              <w:rPr>
                <w:sz w:val="14"/>
                <w:szCs w:val="14"/>
              </w:rPr>
              <w:t>15</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3B7DD7CB"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65CC5259" w14:textId="7B5199DF" w:rsidR="007C7712" w:rsidRPr="00F23594" w:rsidRDefault="007C7712" w:rsidP="007C7712">
            <w:pPr>
              <w:jc w:val="right"/>
              <w:rPr>
                <w:sz w:val="14"/>
                <w:szCs w:val="14"/>
              </w:rPr>
            </w:pPr>
            <w:r w:rsidRPr="00F23594">
              <w:rPr>
                <w:sz w:val="14"/>
                <w:szCs w:val="14"/>
              </w:rPr>
              <w:t>18,00</w:t>
            </w:r>
          </w:p>
        </w:tc>
        <w:tc>
          <w:tcPr>
            <w:tcW w:w="235" w:type="pct"/>
            <w:tcBorders>
              <w:top w:val="nil"/>
              <w:left w:val="nil"/>
              <w:bottom w:val="single" w:sz="4" w:space="0" w:color="auto"/>
              <w:right w:val="single" w:sz="8" w:space="0" w:color="auto"/>
            </w:tcBorders>
            <w:shd w:val="clear" w:color="auto" w:fill="auto"/>
            <w:noWrap/>
            <w:vAlign w:val="bottom"/>
            <w:hideMark/>
          </w:tcPr>
          <w:p w14:paraId="6A8004BC" w14:textId="77777777" w:rsidR="007C7712" w:rsidRPr="00F23594" w:rsidRDefault="007C7712" w:rsidP="007C7712">
            <w:pPr>
              <w:jc w:val="right"/>
              <w:rPr>
                <w:sz w:val="14"/>
                <w:szCs w:val="14"/>
              </w:rPr>
            </w:pPr>
            <w:r w:rsidRPr="00F23594">
              <w:rPr>
                <w:sz w:val="14"/>
                <w:szCs w:val="14"/>
              </w:rPr>
              <w:t>14</w:t>
            </w:r>
          </w:p>
        </w:tc>
        <w:tc>
          <w:tcPr>
            <w:tcW w:w="299" w:type="pct"/>
            <w:tcBorders>
              <w:top w:val="nil"/>
              <w:left w:val="nil"/>
              <w:bottom w:val="single" w:sz="4" w:space="0" w:color="auto"/>
              <w:right w:val="single" w:sz="4" w:space="0" w:color="auto"/>
            </w:tcBorders>
            <w:shd w:val="clear" w:color="auto" w:fill="auto"/>
            <w:noWrap/>
            <w:vAlign w:val="bottom"/>
            <w:hideMark/>
          </w:tcPr>
          <w:p w14:paraId="4C42896C"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2F9EC801" w14:textId="26578219" w:rsidR="007C7712" w:rsidRPr="00F23594" w:rsidRDefault="007C7712" w:rsidP="007C7712">
            <w:pPr>
              <w:jc w:val="right"/>
              <w:rPr>
                <w:sz w:val="14"/>
                <w:szCs w:val="14"/>
              </w:rPr>
            </w:pPr>
            <w:r w:rsidRPr="00F23594">
              <w:rPr>
                <w:sz w:val="14"/>
                <w:szCs w:val="14"/>
              </w:rPr>
              <w:t>600,00</w:t>
            </w:r>
          </w:p>
        </w:tc>
        <w:tc>
          <w:tcPr>
            <w:tcW w:w="242" w:type="pct"/>
            <w:tcBorders>
              <w:top w:val="nil"/>
              <w:left w:val="nil"/>
              <w:bottom w:val="single" w:sz="4" w:space="0" w:color="auto"/>
              <w:right w:val="single" w:sz="8" w:space="0" w:color="auto"/>
            </w:tcBorders>
            <w:shd w:val="clear" w:color="auto" w:fill="auto"/>
            <w:noWrap/>
            <w:vAlign w:val="bottom"/>
            <w:hideMark/>
          </w:tcPr>
          <w:p w14:paraId="796BAB0C" w14:textId="77777777" w:rsidR="007C7712" w:rsidRPr="00F23594" w:rsidRDefault="007C7712" w:rsidP="007C7712">
            <w:pPr>
              <w:jc w:val="right"/>
              <w:rPr>
                <w:sz w:val="14"/>
                <w:szCs w:val="14"/>
              </w:rPr>
            </w:pPr>
            <w:r w:rsidRPr="00F23594">
              <w:rPr>
                <w:sz w:val="14"/>
                <w:szCs w:val="14"/>
              </w:rPr>
              <w:t>303</w:t>
            </w:r>
          </w:p>
        </w:tc>
      </w:tr>
      <w:tr w:rsidR="007C7712" w:rsidRPr="00375189" w14:paraId="70910244"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07C9B98D" w14:textId="77777777" w:rsidR="007C7712" w:rsidRPr="00375189" w:rsidRDefault="007C7712" w:rsidP="007C7712">
            <w:pPr>
              <w:rPr>
                <w:sz w:val="16"/>
                <w:szCs w:val="16"/>
              </w:rPr>
            </w:pPr>
            <w:r w:rsidRPr="00375189">
              <w:rPr>
                <w:sz w:val="16"/>
                <w:szCs w:val="16"/>
              </w:rPr>
              <w:t>Варна</w:t>
            </w:r>
          </w:p>
        </w:tc>
        <w:tc>
          <w:tcPr>
            <w:tcW w:w="299" w:type="pct"/>
            <w:tcBorders>
              <w:top w:val="nil"/>
              <w:left w:val="nil"/>
              <w:bottom w:val="single" w:sz="4" w:space="0" w:color="auto"/>
              <w:right w:val="single" w:sz="4" w:space="0" w:color="auto"/>
            </w:tcBorders>
            <w:shd w:val="clear" w:color="auto" w:fill="auto"/>
            <w:noWrap/>
            <w:vAlign w:val="bottom"/>
            <w:hideMark/>
          </w:tcPr>
          <w:p w14:paraId="60E00C52"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0E45852D" w14:textId="5C2813D7" w:rsidR="007C7712" w:rsidRPr="00F23594" w:rsidRDefault="007C7712" w:rsidP="007C7712">
            <w:pPr>
              <w:jc w:val="right"/>
              <w:rPr>
                <w:sz w:val="14"/>
                <w:szCs w:val="14"/>
              </w:rPr>
            </w:pPr>
            <w:r w:rsidRPr="00F23594">
              <w:rPr>
                <w:sz w:val="14"/>
                <w:szCs w:val="14"/>
              </w:rPr>
              <w:t>35</w:t>
            </w:r>
          </w:p>
        </w:tc>
        <w:tc>
          <w:tcPr>
            <w:tcW w:w="235" w:type="pct"/>
            <w:tcBorders>
              <w:top w:val="nil"/>
              <w:left w:val="nil"/>
              <w:bottom w:val="single" w:sz="4" w:space="0" w:color="auto"/>
              <w:right w:val="single" w:sz="4" w:space="0" w:color="auto"/>
            </w:tcBorders>
            <w:shd w:val="clear" w:color="auto" w:fill="auto"/>
            <w:noWrap/>
            <w:vAlign w:val="bottom"/>
            <w:hideMark/>
          </w:tcPr>
          <w:p w14:paraId="1C12CB98" w14:textId="77777777" w:rsidR="007C7712" w:rsidRPr="00F23594" w:rsidRDefault="007C7712" w:rsidP="007C7712">
            <w:pPr>
              <w:jc w:val="right"/>
              <w:rPr>
                <w:sz w:val="14"/>
                <w:szCs w:val="14"/>
              </w:rPr>
            </w:pPr>
            <w:r w:rsidRPr="00F23594">
              <w:rPr>
                <w:sz w:val="14"/>
                <w:szCs w:val="14"/>
              </w:rPr>
              <w:t>35</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18193B32"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1B00B0C1" w14:textId="2EEA61FB" w:rsidR="007C7712" w:rsidRPr="00F23594" w:rsidRDefault="007C7712" w:rsidP="007C7712">
            <w:pPr>
              <w:jc w:val="right"/>
              <w:rPr>
                <w:sz w:val="14"/>
                <w:szCs w:val="14"/>
              </w:rPr>
            </w:pPr>
            <w:r w:rsidRPr="00F23594">
              <w:rPr>
                <w:sz w:val="14"/>
                <w:szCs w:val="14"/>
              </w:rPr>
              <w:t>12</w:t>
            </w:r>
          </w:p>
        </w:tc>
        <w:tc>
          <w:tcPr>
            <w:tcW w:w="235" w:type="pct"/>
            <w:tcBorders>
              <w:top w:val="nil"/>
              <w:left w:val="nil"/>
              <w:bottom w:val="single" w:sz="4" w:space="0" w:color="auto"/>
              <w:right w:val="single" w:sz="8" w:space="0" w:color="auto"/>
            </w:tcBorders>
            <w:shd w:val="clear" w:color="auto" w:fill="auto"/>
            <w:noWrap/>
            <w:vAlign w:val="bottom"/>
            <w:hideMark/>
          </w:tcPr>
          <w:p w14:paraId="04898973" w14:textId="77777777" w:rsidR="007C7712" w:rsidRPr="00F23594" w:rsidRDefault="007C7712" w:rsidP="007C7712">
            <w:pPr>
              <w:jc w:val="right"/>
              <w:rPr>
                <w:sz w:val="14"/>
                <w:szCs w:val="14"/>
              </w:rPr>
            </w:pPr>
            <w:r w:rsidRPr="00F23594">
              <w:rPr>
                <w:sz w:val="14"/>
                <w:szCs w:val="14"/>
              </w:rPr>
              <w:t>6</w:t>
            </w:r>
          </w:p>
        </w:tc>
        <w:tc>
          <w:tcPr>
            <w:tcW w:w="299" w:type="pct"/>
            <w:tcBorders>
              <w:top w:val="nil"/>
              <w:left w:val="nil"/>
              <w:bottom w:val="single" w:sz="4" w:space="0" w:color="auto"/>
              <w:right w:val="single" w:sz="4" w:space="0" w:color="auto"/>
            </w:tcBorders>
            <w:shd w:val="clear" w:color="auto" w:fill="auto"/>
            <w:noWrap/>
            <w:vAlign w:val="bottom"/>
            <w:hideMark/>
          </w:tcPr>
          <w:p w14:paraId="2B6AB022"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36F3DA66" w14:textId="1F987C52" w:rsidR="007C7712" w:rsidRPr="00F23594" w:rsidRDefault="007C7712" w:rsidP="007C7712">
            <w:pPr>
              <w:jc w:val="right"/>
              <w:rPr>
                <w:sz w:val="14"/>
                <w:szCs w:val="14"/>
              </w:rPr>
            </w:pPr>
            <w:r w:rsidRPr="00F23594">
              <w:rPr>
                <w:sz w:val="14"/>
                <w:szCs w:val="14"/>
              </w:rPr>
              <w:t>20</w:t>
            </w:r>
          </w:p>
        </w:tc>
        <w:tc>
          <w:tcPr>
            <w:tcW w:w="235" w:type="pct"/>
            <w:tcBorders>
              <w:top w:val="nil"/>
              <w:left w:val="nil"/>
              <w:bottom w:val="single" w:sz="4" w:space="0" w:color="auto"/>
              <w:right w:val="single" w:sz="4" w:space="0" w:color="auto"/>
            </w:tcBorders>
            <w:shd w:val="clear" w:color="auto" w:fill="auto"/>
            <w:noWrap/>
            <w:vAlign w:val="bottom"/>
            <w:hideMark/>
          </w:tcPr>
          <w:p w14:paraId="440E50EC" w14:textId="77777777" w:rsidR="007C7712" w:rsidRPr="00F23594" w:rsidRDefault="007C7712" w:rsidP="007C7712">
            <w:pPr>
              <w:jc w:val="right"/>
              <w:rPr>
                <w:sz w:val="14"/>
                <w:szCs w:val="14"/>
              </w:rPr>
            </w:pPr>
            <w:r w:rsidRPr="00F23594">
              <w:rPr>
                <w:sz w:val="14"/>
                <w:szCs w:val="14"/>
              </w:rPr>
              <w:t>25</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74434DB7"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55095978" w14:textId="1539428F" w:rsidR="007C7712" w:rsidRPr="00F23594" w:rsidRDefault="007C7712" w:rsidP="007C7712">
            <w:pPr>
              <w:jc w:val="right"/>
              <w:rPr>
                <w:sz w:val="14"/>
                <w:szCs w:val="14"/>
              </w:rPr>
            </w:pPr>
            <w:r w:rsidRPr="00F23594">
              <w:rPr>
                <w:sz w:val="14"/>
                <w:szCs w:val="14"/>
              </w:rPr>
              <w:t>30,00</w:t>
            </w:r>
          </w:p>
        </w:tc>
        <w:tc>
          <w:tcPr>
            <w:tcW w:w="235" w:type="pct"/>
            <w:tcBorders>
              <w:top w:val="nil"/>
              <w:left w:val="nil"/>
              <w:bottom w:val="single" w:sz="4" w:space="0" w:color="auto"/>
              <w:right w:val="single" w:sz="8" w:space="0" w:color="auto"/>
            </w:tcBorders>
            <w:shd w:val="clear" w:color="auto" w:fill="auto"/>
            <w:noWrap/>
            <w:vAlign w:val="bottom"/>
            <w:hideMark/>
          </w:tcPr>
          <w:p w14:paraId="62BA3153" w14:textId="77777777" w:rsidR="007C7712" w:rsidRPr="00F23594" w:rsidRDefault="007C7712" w:rsidP="007C7712">
            <w:pPr>
              <w:jc w:val="right"/>
              <w:rPr>
                <w:sz w:val="14"/>
                <w:szCs w:val="14"/>
              </w:rPr>
            </w:pPr>
            <w:r w:rsidRPr="00F23594">
              <w:rPr>
                <w:sz w:val="14"/>
                <w:szCs w:val="14"/>
              </w:rPr>
              <w:t>34</w:t>
            </w:r>
          </w:p>
        </w:tc>
        <w:tc>
          <w:tcPr>
            <w:tcW w:w="299" w:type="pct"/>
            <w:tcBorders>
              <w:top w:val="nil"/>
              <w:left w:val="nil"/>
              <w:bottom w:val="single" w:sz="4" w:space="0" w:color="auto"/>
              <w:right w:val="single" w:sz="4" w:space="0" w:color="auto"/>
            </w:tcBorders>
            <w:shd w:val="clear" w:color="auto" w:fill="auto"/>
            <w:noWrap/>
            <w:vAlign w:val="bottom"/>
            <w:hideMark/>
          </w:tcPr>
          <w:p w14:paraId="1C032A1A"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4072DEF8" w14:textId="1826540D" w:rsidR="007C7712" w:rsidRPr="00F23594" w:rsidRDefault="007C7712" w:rsidP="007C7712">
            <w:pPr>
              <w:jc w:val="right"/>
              <w:rPr>
                <w:sz w:val="14"/>
                <w:szCs w:val="14"/>
              </w:rPr>
            </w:pPr>
            <w:r w:rsidRPr="00F23594">
              <w:rPr>
                <w:sz w:val="14"/>
                <w:szCs w:val="14"/>
              </w:rPr>
              <w:t>1 000,00</w:t>
            </w:r>
          </w:p>
        </w:tc>
        <w:tc>
          <w:tcPr>
            <w:tcW w:w="242" w:type="pct"/>
            <w:tcBorders>
              <w:top w:val="nil"/>
              <w:left w:val="nil"/>
              <w:bottom w:val="single" w:sz="4" w:space="0" w:color="auto"/>
              <w:right w:val="single" w:sz="8" w:space="0" w:color="auto"/>
            </w:tcBorders>
            <w:shd w:val="clear" w:color="auto" w:fill="auto"/>
            <w:noWrap/>
            <w:vAlign w:val="bottom"/>
            <w:hideMark/>
          </w:tcPr>
          <w:p w14:paraId="11E09A6D" w14:textId="77777777" w:rsidR="007C7712" w:rsidRPr="00F23594" w:rsidRDefault="007C7712" w:rsidP="007C7712">
            <w:pPr>
              <w:jc w:val="right"/>
              <w:rPr>
                <w:sz w:val="14"/>
                <w:szCs w:val="14"/>
              </w:rPr>
            </w:pPr>
            <w:r w:rsidRPr="00F23594">
              <w:rPr>
                <w:sz w:val="14"/>
                <w:szCs w:val="14"/>
              </w:rPr>
              <w:t>747</w:t>
            </w:r>
          </w:p>
        </w:tc>
      </w:tr>
      <w:tr w:rsidR="007C7712" w:rsidRPr="00375189" w14:paraId="6D156E9C"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0610CD2A" w14:textId="77777777" w:rsidR="007C7712" w:rsidRPr="00375189" w:rsidRDefault="007C7712" w:rsidP="007C7712">
            <w:pPr>
              <w:rPr>
                <w:sz w:val="16"/>
                <w:szCs w:val="16"/>
              </w:rPr>
            </w:pPr>
            <w:r w:rsidRPr="00375189">
              <w:rPr>
                <w:sz w:val="16"/>
                <w:szCs w:val="16"/>
              </w:rPr>
              <w:t>Велико Търново</w:t>
            </w:r>
          </w:p>
        </w:tc>
        <w:tc>
          <w:tcPr>
            <w:tcW w:w="299" w:type="pct"/>
            <w:tcBorders>
              <w:top w:val="nil"/>
              <w:left w:val="nil"/>
              <w:bottom w:val="single" w:sz="4" w:space="0" w:color="auto"/>
              <w:right w:val="single" w:sz="4" w:space="0" w:color="auto"/>
            </w:tcBorders>
            <w:shd w:val="clear" w:color="auto" w:fill="auto"/>
            <w:noWrap/>
            <w:vAlign w:val="bottom"/>
            <w:hideMark/>
          </w:tcPr>
          <w:p w14:paraId="4D9B6B72"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5E75CE2D" w14:textId="49970D75" w:rsidR="007C7712" w:rsidRPr="00F23594" w:rsidRDefault="007C7712" w:rsidP="007C7712">
            <w:pPr>
              <w:jc w:val="right"/>
              <w:rPr>
                <w:sz w:val="14"/>
                <w:szCs w:val="14"/>
              </w:rPr>
            </w:pPr>
            <w:r w:rsidRPr="00F23594">
              <w:rPr>
                <w:sz w:val="14"/>
                <w:szCs w:val="14"/>
              </w:rPr>
              <w:t>0</w:t>
            </w:r>
          </w:p>
        </w:tc>
        <w:tc>
          <w:tcPr>
            <w:tcW w:w="235" w:type="pct"/>
            <w:tcBorders>
              <w:top w:val="nil"/>
              <w:left w:val="nil"/>
              <w:bottom w:val="single" w:sz="4" w:space="0" w:color="auto"/>
              <w:right w:val="single" w:sz="4" w:space="0" w:color="auto"/>
            </w:tcBorders>
            <w:shd w:val="clear" w:color="auto" w:fill="auto"/>
            <w:noWrap/>
            <w:vAlign w:val="bottom"/>
            <w:hideMark/>
          </w:tcPr>
          <w:p w14:paraId="6873856A" w14:textId="77777777" w:rsidR="007C7712" w:rsidRPr="00F23594" w:rsidRDefault="007C7712" w:rsidP="007C7712">
            <w:pPr>
              <w:jc w:val="right"/>
              <w:rPr>
                <w:sz w:val="14"/>
                <w:szCs w:val="14"/>
              </w:rPr>
            </w:pPr>
            <w:r w:rsidRPr="00F23594">
              <w:rPr>
                <w:sz w:val="14"/>
                <w:szCs w:val="14"/>
              </w:rPr>
              <w:t>0</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32D21105"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3FE3BAAB" w14:textId="37CD0612" w:rsidR="007C7712" w:rsidRPr="00F23594" w:rsidRDefault="007C7712" w:rsidP="007C7712">
            <w:pPr>
              <w:jc w:val="right"/>
              <w:rPr>
                <w:sz w:val="14"/>
                <w:szCs w:val="14"/>
              </w:rPr>
            </w:pPr>
            <w:r w:rsidRPr="00F23594">
              <w:rPr>
                <w:sz w:val="14"/>
                <w:szCs w:val="14"/>
              </w:rPr>
              <w:t>15</w:t>
            </w:r>
          </w:p>
        </w:tc>
        <w:tc>
          <w:tcPr>
            <w:tcW w:w="235" w:type="pct"/>
            <w:tcBorders>
              <w:top w:val="nil"/>
              <w:left w:val="nil"/>
              <w:bottom w:val="single" w:sz="4" w:space="0" w:color="auto"/>
              <w:right w:val="single" w:sz="8" w:space="0" w:color="auto"/>
            </w:tcBorders>
            <w:shd w:val="clear" w:color="auto" w:fill="auto"/>
            <w:noWrap/>
            <w:vAlign w:val="bottom"/>
            <w:hideMark/>
          </w:tcPr>
          <w:p w14:paraId="1E7D0166" w14:textId="77777777" w:rsidR="007C7712" w:rsidRPr="00F23594" w:rsidRDefault="007C7712" w:rsidP="007C7712">
            <w:pPr>
              <w:jc w:val="right"/>
              <w:rPr>
                <w:sz w:val="14"/>
                <w:szCs w:val="14"/>
              </w:rPr>
            </w:pPr>
            <w:r w:rsidRPr="00F23594">
              <w:rPr>
                <w:sz w:val="14"/>
                <w:szCs w:val="14"/>
              </w:rPr>
              <w:t>9</w:t>
            </w:r>
          </w:p>
        </w:tc>
        <w:tc>
          <w:tcPr>
            <w:tcW w:w="299" w:type="pct"/>
            <w:tcBorders>
              <w:top w:val="nil"/>
              <w:left w:val="nil"/>
              <w:bottom w:val="single" w:sz="4" w:space="0" w:color="auto"/>
              <w:right w:val="single" w:sz="4" w:space="0" w:color="auto"/>
            </w:tcBorders>
            <w:shd w:val="clear" w:color="auto" w:fill="auto"/>
            <w:noWrap/>
            <w:vAlign w:val="bottom"/>
            <w:hideMark/>
          </w:tcPr>
          <w:p w14:paraId="3CAB6046"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15993C71" w14:textId="1395F27C" w:rsidR="007C7712" w:rsidRPr="00F23594" w:rsidRDefault="007C7712" w:rsidP="007C7712">
            <w:pPr>
              <w:jc w:val="right"/>
              <w:rPr>
                <w:sz w:val="14"/>
                <w:szCs w:val="14"/>
              </w:rPr>
            </w:pPr>
            <w:r w:rsidRPr="00F23594">
              <w:rPr>
                <w:sz w:val="14"/>
                <w:szCs w:val="14"/>
              </w:rPr>
              <w:t>10</w:t>
            </w:r>
          </w:p>
        </w:tc>
        <w:tc>
          <w:tcPr>
            <w:tcW w:w="235" w:type="pct"/>
            <w:tcBorders>
              <w:top w:val="nil"/>
              <w:left w:val="nil"/>
              <w:bottom w:val="single" w:sz="4" w:space="0" w:color="auto"/>
              <w:right w:val="single" w:sz="4" w:space="0" w:color="auto"/>
            </w:tcBorders>
            <w:shd w:val="clear" w:color="auto" w:fill="auto"/>
            <w:noWrap/>
            <w:vAlign w:val="bottom"/>
            <w:hideMark/>
          </w:tcPr>
          <w:p w14:paraId="32B07AD1" w14:textId="77777777" w:rsidR="007C7712" w:rsidRPr="00F23594" w:rsidRDefault="007C7712" w:rsidP="007C7712">
            <w:pPr>
              <w:jc w:val="right"/>
              <w:rPr>
                <w:sz w:val="14"/>
                <w:szCs w:val="14"/>
              </w:rPr>
            </w:pPr>
            <w:r w:rsidRPr="00F23594">
              <w:rPr>
                <w:sz w:val="14"/>
                <w:szCs w:val="14"/>
              </w:rPr>
              <w:t>6</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37646D82"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22C9D5F1" w14:textId="34AD9B0E" w:rsidR="007C7712" w:rsidRPr="00F23594" w:rsidRDefault="007C7712" w:rsidP="007C7712">
            <w:pPr>
              <w:jc w:val="right"/>
              <w:rPr>
                <w:sz w:val="14"/>
                <w:szCs w:val="14"/>
              </w:rPr>
            </w:pPr>
            <w:r w:rsidRPr="00F23594">
              <w:rPr>
                <w:sz w:val="14"/>
                <w:szCs w:val="14"/>
              </w:rPr>
              <w:t>6,00</w:t>
            </w:r>
          </w:p>
        </w:tc>
        <w:tc>
          <w:tcPr>
            <w:tcW w:w="235" w:type="pct"/>
            <w:tcBorders>
              <w:top w:val="nil"/>
              <w:left w:val="nil"/>
              <w:bottom w:val="single" w:sz="4" w:space="0" w:color="auto"/>
              <w:right w:val="single" w:sz="8" w:space="0" w:color="auto"/>
            </w:tcBorders>
            <w:shd w:val="clear" w:color="auto" w:fill="auto"/>
            <w:noWrap/>
            <w:vAlign w:val="bottom"/>
            <w:hideMark/>
          </w:tcPr>
          <w:p w14:paraId="34213D7E" w14:textId="77777777" w:rsidR="007C7712" w:rsidRPr="00F23594" w:rsidRDefault="007C7712" w:rsidP="007C7712">
            <w:pPr>
              <w:jc w:val="right"/>
              <w:rPr>
                <w:sz w:val="14"/>
                <w:szCs w:val="14"/>
              </w:rPr>
            </w:pPr>
            <w:r w:rsidRPr="00F23594">
              <w:rPr>
                <w:sz w:val="14"/>
                <w:szCs w:val="14"/>
              </w:rPr>
              <w:t>9</w:t>
            </w:r>
          </w:p>
        </w:tc>
        <w:tc>
          <w:tcPr>
            <w:tcW w:w="299" w:type="pct"/>
            <w:tcBorders>
              <w:top w:val="nil"/>
              <w:left w:val="nil"/>
              <w:bottom w:val="single" w:sz="4" w:space="0" w:color="auto"/>
              <w:right w:val="single" w:sz="4" w:space="0" w:color="auto"/>
            </w:tcBorders>
            <w:shd w:val="clear" w:color="auto" w:fill="auto"/>
            <w:noWrap/>
            <w:vAlign w:val="bottom"/>
            <w:hideMark/>
          </w:tcPr>
          <w:p w14:paraId="7A40D46D"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242248A5" w14:textId="0AD33071" w:rsidR="007C7712" w:rsidRPr="00F23594" w:rsidRDefault="007C7712" w:rsidP="007C7712">
            <w:pPr>
              <w:jc w:val="right"/>
              <w:rPr>
                <w:sz w:val="14"/>
                <w:szCs w:val="14"/>
              </w:rPr>
            </w:pPr>
            <w:r w:rsidRPr="00F23594">
              <w:rPr>
                <w:sz w:val="14"/>
                <w:szCs w:val="14"/>
              </w:rPr>
              <w:t>1 000,00</w:t>
            </w:r>
          </w:p>
        </w:tc>
        <w:tc>
          <w:tcPr>
            <w:tcW w:w="242" w:type="pct"/>
            <w:tcBorders>
              <w:top w:val="nil"/>
              <w:left w:val="nil"/>
              <w:bottom w:val="single" w:sz="4" w:space="0" w:color="auto"/>
              <w:right w:val="single" w:sz="8" w:space="0" w:color="auto"/>
            </w:tcBorders>
            <w:shd w:val="clear" w:color="auto" w:fill="auto"/>
            <w:noWrap/>
            <w:vAlign w:val="bottom"/>
            <w:hideMark/>
          </w:tcPr>
          <w:p w14:paraId="52499CE9" w14:textId="77777777" w:rsidR="007C7712" w:rsidRPr="00F23594" w:rsidRDefault="007C7712" w:rsidP="007C7712">
            <w:pPr>
              <w:jc w:val="right"/>
              <w:rPr>
                <w:sz w:val="14"/>
                <w:szCs w:val="14"/>
              </w:rPr>
            </w:pPr>
            <w:r w:rsidRPr="00F23594">
              <w:rPr>
                <w:sz w:val="14"/>
                <w:szCs w:val="14"/>
              </w:rPr>
              <w:t>317</w:t>
            </w:r>
          </w:p>
        </w:tc>
      </w:tr>
      <w:tr w:rsidR="007C7712" w:rsidRPr="00375189" w14:paraId="2172B1B2"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6A4139F3" w14:textId="77777777" w:rsidR="007C7712" w:rsidRPr="00375189" w:rsidRDefault="007C7712" w:rsidP="007C7712">
            <w:pPr>
              <w:rPr>
                <w:sz w:val="16"/>
                <w:szCs w:val="16"/>
              </w:rPr>
            </w:pPr>
            <w:r w:rsidRPr="00375189">
              <w:rPr>
                <w:sz w:val="16"/>
                <w:szCs w:val="16"/>
              </w:rPr>
              <w:t>Видин</w:t>
            </w:r>
          </w:p>
        </w:tc>
        <w:tc>
          <w:tcPr>
            <w:tcW w:w="299" w:type="pct"/>
            <w:tcBorders>
              <w:top w:val="nil"/>
              <w:left w:val="nil"/>
              <w:bottom w:val="single" w:sz="4" w:space="0" w:color="auto"/>
              <w:right w:val="single" w:sz="4" w:space="0" w:color="auto"/>
            </w:tcBorders>
            <w:shd w:val="clear" w:color="auto" w:fill="auto"/>
            <w:noWrap/>
            <w:vAlign w:val="bottom"/>
            <w:hideMark/>
          </w:tcPr>
          <w:p w14:paraId="6359130A"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6B3C58D2" w14:textId="76327887" w:rsidR="007C7712" w:rsidRPr="00F23594" w:rsidRDefault="007C7712" w:rsidP="007C7712">
            <w:pPr>
              <w:jc w:val="right"/>
              <w:rPr>
                <w:sz w:val="14"/>
                <w:szCs w:val="14"/>
              </w:rPr>
            </w:pPr>
            <w:r w:rsidRPr="00F23594">
              <w:rPr>
                <w:sz w:val="14"/>
                <w:szCs w:val="14"/>
              </w:rPr>
              <w:t>18</w:t>
            </w:r>
          </w:p>
        </w:tc>
        <w:tc>
          <w:tcPr>
            <w:tcW w:w="235" w:type="pct"/>
            <w:tcBorders>
              <w:top w:val="nil"/>
              <w:left w:val="nil"/>
              <w:bottom w:val="single" w:sz="4" w:space="0" w:color="auto"/>
              <w:right w:val="single" w:sz="4" w:space="0" w:color="auto"/>
            </w:tcBorders>
            <w:shd w:val="clear" w:color="auto" w:fill="auto"/>
            <w:noWrap/>
            <w:vAlign w:val="bottom"/>
            <w:hideMark/>
          </w:tcPr>
          <w:p w14:paraId="0528699A" w14:textId="77777777" w:rsidR="007C7712" w:rsidRPr="00F23594" w:rsidRDefault="007C7712" w:rsidP="007C7712">
            <w:pPr>
              <w:jc w:val="right"/>
              <w:rPr>
                <w:sz w:val="14"/>
                <w:szCs w:val="14"/>
              </w:rPr>
            </w:pPr>
            <w:r w:rsidRPr="00F23594">
              <w:rPr>
                <w:sz w:val="14"/>
                <w:szCs w:val="14"/>
              </w:rPr>
              <w:t>9</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7A67EF6A"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0058B7BD" w14:textId="62EE8F91" w:rsidR="007C7712" w:rsidRPr="00F23594" w:rsidRDefault="007C7712" w:rsidP="007C7712">
            <w:pPr>
              <w:jc w:val="right"/>
              <w:rPr>
                <w:sz w:val="14"/>
                <w:szCs w:val="14"/>
              </w:rPr>
            </w:pPr>
            <w:r w:rsidRPr="00F23594">
              <w:rPr>
                <w:sz w:val="14"/>
                <w:szCs w:val="14"/>
              </w:rPr>
              <w:t>12</w:t>
            </w:r>
          </w:p>
        </w:tc>
        <w:tc>
          <w:tcPr>
            <w:tcW w:w="235" w:type="pct"/>
            <w:tcBorders>
              <w:top w:val="nil"/>
              <w:left w:val="nil"/>
              <w:bottom w:val="single" w:sz="4" w:space="0" w:color="auto"/>
              <w:right w:val="single" w:sz="8" w:space="0" w:color="auto"/>
            </w:tcBorders>
            <w:shd w:val="clear" w:color="auto" w:fill="auto"/>
            <w:noWrap/>
            <w:vAlign w:val="bottom"/>
            <w:hideMark/>
          </w:tcPr>
          <w:p w14:paraId="668D7572" w14:textId="77777777" w:rsidR="007C7712" w:rsidRPr="00F23594" w:rsidRDefault="007C7712" w:rsidP="007C7712">
            <w:pPr>
              <w:jc w:val="right"/>
              <w:rPr>
                <w:sz w:val="14"/>
                <w:szCs w:val="14"/>
              </w:rPr>
            </w:pPr>
            <w:r w:rsidRPr="00F23594">
              <w:rPr>
                <w:sz w:val="14"/>
                <w:szCs w:val="14"/>
              </w:rPr>
              <w:t>7</w:t>
            </w:r>
          </w:p>
        </w:tc>
        <w:tc>
          <w:tcPr>
            <w:tcW w:w="299" w:type="pct"/>
            <w:tcBorders>
              <w:top w:val="nil"/>
              <w:left w:val="nil"/>
              <w:bottom w:val="single" w:sz="4" w:space="0" w:color="auto"/>
              <w:right w:val="single" w:sz="4" w:space="0" w:color="auto"/>
            </w:tcBorders>
            <w:shd w:val="clear" w:color="auto" w:fill="auto"/>
            <w:noWrap/>
            <w:vAlign w:val="bottom"/>
            <w:hideMark/>
          </w:tcPr>
          <w:p w14:paraId="5BDF8190"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287A4FCD" w14:textId="3CE0ACDC" w:rsidR="007C7712" w:rsidRPr="00F23594" w:rsidRDefault="007C7712" w:rsidP="007C7712">
            <w:pPr>
              <w:jc w:val="right"/>
              <w:rPr>
                <w:sz w:val="14"/>
                <w:szCs w:val="14"/>
              </w:rPr>
            </w:pPr>
            <w:r w:rsidRPr="00F23594">
              <w:rPr>
                <w:sz w:val="14"/>
                <w:szCs w:val="14"/>
              </w:rPr>
              <w:t>10</w:t>
            </w:r>
          </w:p>
        </w:tc>
        <w:tc>
          <w:tcPr>
            <w:tcW w:w="235" w:type="pct"/>
            <w:tcBorders>
              <w:top w:val="nil"/>
              <w:left w:val="nil"/>
              <w:bottom w:val="single" w:sz="4" w:space="0" w:color="auto"/>
              <w:right w:val="single" w:sz="4" w:space="0" w:color="auto"/>
            </w:tcBorders>
            <w:shd w:val="clear" w:color="auto" w:fill="auto"/>
            <w:noWrap/>
            <w:vAlign w:val="bottom"/>
            <w:hideMark/>
          </w:tcPr>
          <w:p w14:paraId="775420D2" w14:textId="77777777" w:rsidR="007C7712" w:rsidRPr="00F23594" w:rsidRDefault="007C7712" w:rsidP="007C7712">
            <w:pPr>
              <w:jc w:val="right"/>
              <w:rPr>
                <w:sz w:val="14"/>
                <w:szCs w:val="14"/>
              </w:rPr>
            </w:pPr>
            <w:r w:rsidRPr="00F23594">
              <w:rPr>
                <w:sz w:val="14"/>
                <w:szCs w:val="14"/>
              </w:rPr>
              <w:t>18</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717BFEB7"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3CE79802" w14:textId="5411553A" w:rsidR="007C7712" w:rsidRPr="00F23594" w:rsidRDefault="007C7712" w:rsidP="007C7712">
            <w:pPr>
              <w:jc w:val="right"/>
              <w:rPr>
                <w:sz w:val="14"/>
                <w:szCs w:val="14"/>
              </w:rPr>
            </w:pPr>
            <w:r w:rsidRPr="00F23594">
              <w:rPr>
                <w:sz w:val="14"/>
                <w:szCs w:val="14"/>
              </w:rPr>
              <w:t>2,00</w:t>
            </w:r>
          </w:p>
        </w:tc>
        <w:tc>
          <w:tcPr>
            <w:tcW w:w="235" w:type="pct"/>
            <w:tcBorders>
              <w:top w:val="nil"/>
              <w:left w:val="nil"/>
              <w:bottom w:val="single" w:sz="4" w:space="0" w:color="auto"/>
              <w:right w:val="single" w:sz="8" w:space="0" w:color="auto"/>
            </w:tcBorders>
            <w:shd w:val="clear" w:color="auto" w:fill="auto"/>
            <w:noWrap/>
            <w:vAlign w:val="bottom"/>
            <w:hideMark/>
          </w:tcPr>
          <w:p w14:paraId="1BBF635D" w14:textId="77777777" w:rsidR="007C7712" w:rsidRPr="00F23594" w:rsidRDefault="007C7712" w:rsidP="007C7712">
            <w:pPr>
              <w:jc w:val="right"/>
              <w:rPr>
                <w:sz w:val="14"/>
                <w:szCs w:val="14"/>
              </w:rPr>
            </w:pPr>
            <w:r w:rsidRPr="00F23594">
              <w:rPr>
                <w:sz w:val="14"/>
                <w:szCs w:val="14"/>
              </w:rPr>
              <w:t>4</w:t>
            </w:r>
          </w:p>
        </w:tc>
        <w:tc>
          <w:tcPr>
            <w:tcW w:w="299" w:type="pct"/>
            <w:tcBorders>
              <w:top w:val="nil"/>
              <w:left w:val="nil"/>
              <w:bottom w:val="single" w:sz="4" w:space="0" w:color="auto"/>
              <w:right w:val="single" w:sz="4" w:space="0" w:color="auto"/>
            </w:tcBorders>
            <w:shd w:val="clear" w:color="auto" w:fill="auto"/>
            <w:noWrap/>
            <w:vAlign w:val="bottom"/>
            <w:hideMark/>
          </w:tcPr>
          <w:p w14:paraId="1853AA13"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5CB052B9" w14:textId="1850B2C4" w:rsidR="007C7712" w:rsidRPr="00F23594" w:rsidRDefault="007C7712" w:rsidP="007C7712">
            <w:pPr>
              <w:jc w:val="right"/>
              <w:rPr>
                <w:sz w:val="14"/>
                <w:szCs w:val="14"/>
              </w:rPr>
            </w:pPr>
            <w:r w:rsidRPr="00F23594">
              <w:rPr>
                <w:sz w:val="14"/>
                <w:szCs w:val="14"/>
              </w:rPr>
              <w:t>100,00</w:t>
            </w:r>
          </w:p>
        </w:tc>
        <w:tc>
          <w:tcPr>
            <w:tcW w:w="242" w:type="pct"/>
            <w:tcBorders>
              <w:top w:val="nil"/>
              <w:left w:val="nil"/>
              <w:bottom w:val="single" w:sz="4" w:space="0" w:color="auto"/>
              <w:right w:val="single" w:sz="8" w:space="0" w:color="auto"/>
            </w:tcBorders>
            <w:shd w:val="clear" w:color="auto" w:fill="auto"/>
            <w:noWrap/>
            <w:vAlign w:val="bottom"/>
            <w:hideMark/>
          </w:tcPr>
          <w:p w14:paraId="73626968" w14:textId="77777777" w:rsidR="007C7712" w:rsidRPr="00F23594" w:rsidRDefault="007C7712" w:rsidP="007C7712">
            <w:pPr>
              <w:jc w:val="right"/>
              <w:rPr>
                <w:sz w:val="14"/>
                <w:szCs w:val="14"/>
              </w:rPr>
            </w:pPr>
            <w:r w:rsidRPr="00F23594">
              <w:rPr>
                <w:sz w:val="14"/>
                <w:szCs w:val="14"/>
              </w:rPr>
              <w:t>93</w:t>
            </w:r>
          </w:p>
        </w:tc>
      </w:tr>
      <w:tr w:rsidR="007C7712" w:rsidRPr="00375189" w14:paraId="47B7BB04"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4817B754" w14:textId="77777777" w:rsidR="007C7712" w:rsidRPr="00375189" w:rsidRDefault="007C7712" w:rsidP="007C7712">
            <w:pPr>
              <w:rPr>
                <w:sz w:val="16"/>
                <w:szCs w:val="16"/>
              </w:rPr>
            </w:pPr>
            <w:r w:rsidRPr="00375189">
              <w:rPr>
                <w:sz w:val="16"/>
                <w:szCs w:val="16"/>
              </w:rPr>
              <w:t>Враца</w:t>
            </w:r>
          </w:p>
        </w:tc>
        <w:tc>
          <w:tcPr>
            <w:tcW w:w="299" w:type="pct"/>
            <w:tcBorders>
              <w:top w:val="nil"/>
              <w:left w:val="nil"/>
              <w:bottom w:val="single" w:sz="4" w:space="0" w:color="auto"/>
              <w:right w:val="single" w:sz="4" w:space="0" w:color="auto"/>
            </w:tcBorders>
            <w:shd w:val="clear" w:color="auto" w:fill="auto"/>
            <w:noWrap/>
            <w:vAlign w:val="bottom"/>
            <w:hideMark/>
          </w:tcPr>
          <w:p w14:paraId="50E0FE29"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62835345" w14:textId="7A7F67F2" w:rsidR="007C7712" w:rsidRPr="00F23594" w:rsidRDefault="007C7712" w:rsidP="007C7712">
            <w:pPr>
              <w:jc w:val="right"/>
              <w:rPr>
                <w:sz w:val="14"/>
                <w:szCs w:val="14"/>
              </w:rPr>
            </w:pPr>
            <w:r w:rsidRPr="00F23594">
              <w:rPr>
                <w:sz w:val="14"/>
                <w:szCs w:val="14"/>
              </w:rPr>
              <w:t>20</w:t>
            </w:r>
          </w:p>
        </w:tc>
        <w:tc>
          <w:tcPr>
            <w:tcW w:w="235" w:type="pct"/>
            <w:tcBorders>
              <w:top w:val="nil"/>
              <w:left w:val="nil"/>
              <w:bottom w:val="single" w:sz="4" w:space="0" w:color="auto"/>
              <w:right w:val="single" w:sz="4" w:space="0" w:color="auto"/>
            </w:tcBorders>
            <w:shd w:val="clear" w:color="auto" w:fill="auto"/>
            <w:noWrap/>
            <w:vAlign w:val="bottom"/>
            <w:hideMark/>
          </w:tcPr>
          <w:p w14:paraId="631E58E1" w14:textId="77777777" w:rsidR="007C7712" w:rsidRPr="00F23594" w:rsidRDefault="007C7712" w:rsidP="007C7712">
            <w:pPr>
              <w:jc w:val="right"/>
              <w:rPr>
                <w:sz w:val="14"/>
                <w:szCs w:val="14"/>
              </w:rPr>
            </w:pPr>
            <w:r w:rsidRPr="00F23594">
              <w:rPr>
                <w:sz w:val="14"/>
                <w:szCs w:val="14"/>
              </w:rPr>
              <w:t>20</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1E448F46"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47393A9C" w14:textId="1B01B128" w:rsidR="007C7712" w:rsidRPr="00F23594" w:rsidRDefault="007C7712" w:rsidP="007C7712">
            <w:pPr>
              <w:jc w:val="right"/>
              <w:rPr>
                <w:sz w:val="14"/>
                <w:szCs w:val="14"/>
              </w:rPr>
            </w:pPr>
            <w:r w:rsidRPr="00F23594">
              <w:rPr>
                <w:sz w:val="14"/>
                <w:szCs w:val="14"/>
              </w:rPr>
              <w:t>26</w:t>
            </w:r>
          </w:p>
        </w:tc>
        <w:tc>
          <w:tcPr>
            <w:tcW w:w="235" w:type="pct"/>
            <w:tcBorders>
              <w:top w:val="nil"/>
              <w:left w:val="nil"/>
              <w:bottom w:val="single" w:sz="4" w:space="0" w:color="auto"/>
              <w:right w:val="single" w:sz="8" w:space="0" w:color="auto"/>
            </w:tcBorders>
            <w:shd w:val="clear" w:color="auto" w:fill="auto"/>
            <w:noWrap/>
            <w:vAlign w:val="bottom"/>
            <w:hideMark/>
          </w:tcPr>
          <w:p w14:paraId="798A45C4" w14:textId="77777777" w:rsidR="007C7712" w:rsidRPr="00F23594" w:rsidRDefault="007C7712" w:rsidP="007C7712">
            <w:pPr>
              <w:jc w:val="right"/>
              <w:rPr>
                <w:sz w:val="14"/>
                <w:szCs w:val="14"/>
              </w:rPr>
            </w:pPr>
            <w:r w:rsidRPr="00F23594">
              <w:rPr>
                <w:sz w:val="14"/>
                <w:szCs w:val="14"/>
              </w:rPr>
              <w:t>14</w:t>
            </w:r>
          </w:p>
        </w:tc>
        <w:tc>
          <w:tcPr>
            <w:tcW w:w="299" w:type="pct"/>
            <w:tcBorders>
              <w:top w:val="nil"/>
              <w:left w:val="nil"/>
              <w:bottom w:val="single" w:sz="4" w:space="0" w:color="auto"/>
              <w:right w:val="single" w:sz="4" w:space="0" w:color="auto"/>
            </w:tcBorders>
            <w:shd w:val="clear" w:color="auto" w:fill="auto"/>
            <w:noWrap/>
            <w:vAlign w:val="bottom"/>
            <w:hideMark/>
          </w:tcPr>
          <w:p w14:paraId="48A35AE7"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3DE31C92" w14:textId="47BC3D90" w:rsidR="007C7712" w:rsidRPr="00F23594" w:rsidRDefault="007C7712" w:rsidP="007C7712">
            <w:pPr>
              <w:jc w:val="right"/>
              <w:rPr>
                <w:sz w:val="14"/>
                <w:szCs w:val="14"/>
              </w:rPr>
            </w:pPr>
            <w:r w:rsidRPr="00F23594">
              <w:rPr>
                <w:sz w:val="14"/>
                <w:szCs w:val="14"/>
              </w:rPr>
              <w:t>3</w:t>
            </w:r>
          </w:p>
        </w:tc>
        <w:tc>
          <w:tcPr>
            <w:tcW w:w="235" w:type="pct"/>
            <w:tcBorders>
              <w:top w:val="nil"/>
              <w:left w:val="nil"/>
              <w:bottom w:val="single" w:sz="4" w:space="0" w:color="auto"/>
              <w:right w:val="single" w:sz="4" w:space="0" w:color="auto"/>
            </w:tcBorders>
            <w:shd w:val="clear" w:color="auto" w:fill="auto"/>
            <w:noWrap/>
            <w:vAlign w:val="bottom"/>
            <w:hideMark/>
          </w:tcPr>
          <w:p w14:paraId="4CCBDFE9" w14:textId="77777777" w:rsidR="007C7712" w:rsidRPr="00F23594" w:rsidRDefault="007C7712" w:rsidP="007C7712">
            <w:pPr>
              <w:jc w:val="right"/>
              <w:rPr>
                <w:sz w:val="14"/>
                <w:szCs w:val="14"/>
              </w:rPr>
            </w:pPr>
            <w:r w:rsidRPr="00F23594">
              <w:rPr>
                <w:sz w:val="14"/>
                <w:szCs w:val="14"/>
              </w:rPr>
              <w:t>5</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4459C370"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42AB78B4" w14:textId="5D06D061" w:rsidR="007C7712" w:rsidRPr="00F23594" w:rsidRDefault="007C7712" w:rsidP="007C7712">
            <w:pPr>
              <w:jc w:val="right"/>
              <w:rPr>
                <w:sz w:val="14"/>
                <w:szCs w:val="14"/>
              </w:rPr>
            </w:pPr>
            <w:r w:rsidRPr="00F23594">
              <w:rPr>
                <w:sz w:val="14"/>
                <w:szCs w:val="14"/>
              </w:rPr>
              <w:t>5,00</w:t>
            </w:r>
          </w:p>
        </w:tc>
        <w:tc>
          <w:tcPr>
            <w:tcW w:w="235" w:type="pct"/>
            <w:tcBorders>
              <w:top w:val="nil"/>
              <w:left w:val="nil"/>
              <w:bottom w:val="single" w:sz="4" w:space="0" w:color="auto"/>
              <w:right w:val="single" w:sz="8" w:space="0" w:color="auto"/>
            </w:tcBorders>
            <w:shd w:val="clear" w:color="auto" w:fill="auto"/>
            <w:noWrap/>
            <w:vAlign w:val="bottom"/>
            <w:hideMark/>
          </w:tcPr>
          <w:p w14:paraId="47426323" w14:textId="77777777" w:rsidR="007C7712" w:rsidRPr="00F23594" w:rsidRDefault="007C7712" w:rsidP="007C7712">
            <w:pPr>
              <w:jc w:val="right"/>
              <w:rPr>
                <w:sz w:val="14"/>
                <w:szCs w:val="14"/>
              </w:rPr>
            </w:pPr>
            <w:r w:rsidRPr="00F23594">
              <w:rPr>
                <w:sz w:val="14"/>
                <w:szCs w:val="14"/>
              </w:rPr>
              <w:t>7</w:t>
            </w:r>
          </w:p>
        </w:tc>
        <w:tc>
          <w:tcPr>
            <w:tcW w:w="299" w:type="pct"/>
            <w:tcBorders>
              <w:top w:val="nil"/>
              <w:left w:val="nil"/>
              <w:bottom w:val="single" w:sz="4" w:space="0" w:color="auto"/>
              <w:right w:val="single" w:sz="4" w:space="0" w:color="auto"/>
            </w:tcBorders>
            <w:shd w:val="clear" w:color="auto" w:fill="auto"/>
            <w:noWrap/>
            <w:vAlign w:val="bottom"/>
            <w:hideMark/>
          </w:tcPr>
          <w:p w14:paraId="58E21612"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7475A101" w14:textId="3199289B" w:rsidR="007C7712" w:rsidRPr="00F23594" w:rsidRDefault="007C7712" w:rsidP="007C7712">
            <w:pPr>
              <w:jc w:val="right"/>
              <w:rPr>
                <w:sz w:val="14"/>
                <w:szCs w:val="14"/>
              </w:rPr>
            </w:pPr>
            <w:r w:rsidRPr="00F23594">
              <w:rPr>
                <w:sz w:val="14"/>
                <w:szCs w:val="14"/>
              </w:rPr>
              <w:t>220,00</w:t>
            </w:r>
          </w:p>
        </w:tc>
        <w:tc>
          <w:tcPr>
            <w:tcW w:w="242" w:type="pct"/>
            <w:tcBorders>
              <w:top w:val="nil"/>
              <w:left w:val="nil"/>
              <w:bottom w:val="single" w:sz="4" w:space="0" w:color="auto"/>
              <w:right w:val="single" w:sz="8" w:space="0" w:color="auto"/>
            </w:tcBorders>
            <w:shd w:val="clear" w:color="auto" w:fill="auto"/>
            <w:noWrap/>
            <w:vAlign w:val="bottom"/>
            <w:hideMark/>
          </w:tcPr>
          <w:p w14:paraId="5FAE95DA" w14:textId="77777777" w:rsidR="007C7712" w:rsidRPr="00F23594" w:rsidRDefault="007C7712" w:rsidP="007C7712">
            <w:pPr>
              <w:jc w:val="right"/>
              <w:rPr>
                <w:sz w:val="14"/>
                <w:szCs w:val="14"/>
              </w:rPr>
            </w:pPr>
            <w:r w:rsidRPr="00F23594">
              <w:rPr>
                <w:sz w:val="14"/>
                <w:szCs w:val="14"/>
              </w:rPr>
              <w:t>152</w:t>
            </w:r>
          </w:p>
        </w:tc>
      </w:tr>
      <w:tr w:rsidR="007C7712" w:rsidRPr="00375189" w14:paraId="10FD3C22"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6E8E54BA" w14:textId="77777777" w:rsidR="007C7712" w:rsidRPr="00375189" w:rsidRDefault="007C7712" w:rsidP="007C7712">
            <w:pPr>
              <w:rPr>
                <w:sz w:val="16"/>
                <w:szCs w:val="16"/>
              </w:rPr>
            </w:pPr>
            <w:r w:rsidRPr="00375189">
              <w:rPr>
                <w:sz w:val="16"/>
                <w:szCs w:val="16"/>
              </w:rPr>
              <w:t>Габрово</w:t>
            </w:r>
          </w:p>
        </w:tc>
        <w:tc>
          <w:tcPr>
            <w:tcW w:w="299" w:type="pct"/>
            <w:tcBorders>
              <w:top w:val="nil"/>
              <w:left w:val="nil"/>
              <w:bottom w:val="single" w:sz="4" w:space="0" w:color="auto"/>
              <w:right w:val="single" w:sz="4" w:space="0" w:color="auto"/>
            </w:tcBorders>
            <w:shd w:val="clear" w:color="auto" w:fill="auto"/>
            <w:noWrap/>
            <w:vAlign w:val="bottom"/>
            <w:hideMark/>
          </w:tcPr>
          <w:p w14:paraId="65556053"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175D3AA1" w14:textId="6377F454" w:rsidR="007C7712" w:rsidRPr="00F23594" w:rsidRDefault="007C7712" w:rsidP="007C7712">
            <w:pPr>
              <w:jc w:val="right"/>
              <w:rPr>
                <w:sz w:val="14"/>
                <w:szCs w:val="14"/>
              </w:rPr>
            </w:pPr>
            <w:r w:rsidRPr="00F23594">
              <w:rPr>
                <w:sz w:val="14"/>
                <w:szCs w:val="14"/>
              </w:rPr>
              <w:t>31</w:t>
            </w:r>
          </w:p>
        </w:tc>
        <w:tc>
          <w:tcPr>
            <w:tcW w:w="235" w:type="pct"/>
            <w:tcBorders>
              <w:top w:val="nil"/>
              <w:left w:val="nil"/>
              <w:bottom w:val="single" w:sz="4" w:space="0" w:color="auto"/>
              <w:right w:val="single" w:sz="4" w:space="0" w:color="auto"/>
            </w:tcBorders>
            <w:shd w:val="clear" w:color="auto" w:fill="auto"/>
            <w:noWrap/>
            <w:vAlign w:val="bottom"/>
            <w:hideMark/>
          </w:tcPr>
          <w:p w14:paraId="6E9EEA3B" w14:textId="77777777" w:rsidR="007C7712" w:rsidRPr="00F23594" w:rsidRDefault="007C7712" w:rsidP="007C7712">
            <w:pPr>
              <w:jc w:val="right"/>
              <w:rPr>
                <w:sz w:val="14"/>
                <w:szCs w:val="14"/>
              </w:rPr>
            </w:pPr>
            <w:r w:rsidRPr="00F23594">
              <w:rPr>
                <w:sz w:val="14"/>
                <w:szCs w:val="14"/>
              </w:rPr>
              <w:t>31</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618CDF07"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74550AA6" w14:textId="3B9DB1E1" w:rsidR="007C7712" w:rsidRPr="00F23594" w:rsidRDefault="007C7712" w:rsidP="007C7712">
            <w:pPr>
              <w:jc w:val="right"/>
              <w:rPr>
                <w:sz w:val="14"/>
                <w:szCs w:val="14"/>
              </w:rPr>
            </w:pPr>
            <w:r w:rsidRPr="00F23594">
              <w:rPr>
                <w:sz w:val="14"/>
                <w:szCs w:val="14"/>
              </w:rPr>
              <w:t>40</w:t>
            </w:r>
          </w:p>
        </w:tc>
        <w:tc>
          <w:tcPr>
            <w:tcW w:w="235" w:type="pct"/>
            <w:tcBorders>
              <w:top w:val="nil"/>
              <w:left w:val="nil"/>
              <w:bottom w:val="single" w:sz="4" w:space="0" w:color="auto"/>
              <w:right w:val="single" w:sz="8" w:space="0" w:color="auto"/>
            </w:tcBorders>
            <w:shd w:val="clear" w:color="auto" w:fill="auto"/>
            <w:noWrap/>
            <w:vAlign w:val="bottom"/>
            <w:hideMark/>
          </w:tcPr>
          <w:p w14:paraId="7D866CD9" w14:textId="77777777" w:rsidR="007C7712" w:rsidRPr="00F23594" w:rsidRDefault="007C7712" w:rsidP="007C7712">
            <w:pPr>
              <w:jc w:val="right"/>
              <w:rPr>
                <w:sz w:val="14"/>
                <w:szCs w:val="14"/>
              </w:rPr>
            </w:pPr>
            <w:r w:rsidRPr="00F23594">
              <w:rPr>
                <w:sz w:val="14"/>
                <w:szCs w:val="14"/>
              </w:rPr>
              <w:t>8</w:t>
            </w:r>
          </w:p>
        </w:tc>
        <w:tc>
          <w:tcPr>
            <w:tcW w:w="299" w:type="pct"/>
            <w:tcBorders>
              <w:top w:val="nil"/>
              <w:left w:val="nil"/>
              <w:bottom w:val="single" w:sz="4" w:space="0" w:color="auto"/>
              <w:right w:val="single" w:sz="4" w:space="0" w:color="auto"/>
            </w:tcBorders>
            <w:shd w:val="clear" w:color="auto" w:fill="auto"/>
            <w:noWrap/>
            <w:vAlign w:val="bottom"/>
            <w:hideMark/>
          </w:tcPr>
          <w:p w14:paraId="290ACC6D"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1E51345C" w14:textId="620281BC" w:rsidR="007C7712" w:rsidRPr="00F23594" w:rsidRDefault="007C7712" w:rsidP="007C7712">
            <w:pPr>
              <w:jc w:val="right"/>
              <w:rPr>
                <w:sz w:val="14"/>
                <w:szCs w:val="14"/>
              </w:rPr>
            </w:pPr>
            <w:r w:rsidRPr="00F23594">
              <w:rPr>
                <w:sz w:val="14"/>
                <w:szCs w:val="14"/>
              </w:rPr>
              <w:t>6</w:t>
            </w:r>
          </w:p>
        </w:tc>
        <w:tc>
          <w:tcPr>
            <w:tcW w:w="235" w:type="pct"/>
            <w:tcBorders>
              <w:top w:val="nil"/>
              <w:left w:val="nil"/>
              <w:bottom w:val="single" w:sz="4" w:space="0" w:color="auto"/>
              <w:right w:val="single" w:sz="4" w:space="0" w:color="auto"/>
            </w:tcBorders>
            <w:shd w:val="clear" w:color="auto" w:fill="auto"/>
            <w:noWrap/>
            <w:vAlign w:val="bottom"/>
            <w:hideMark/>
          </w:tcPr>
          <w:p w14:paraId="2C528131" w14:textId="77777777" w:rsidR="007C7712" w:rsidRPr="00F23594" w:rsidRDefault="007C7712" w:rsidP="007C7712">
            <w:pPr>
              <w:jc w:val="right"/>
              <w:rPr>
                <w:sz w:val="14"/>
                <w:szCs w:val="14"/>
              </w:rPr>
            </w:pPr>
            <w:r w:rsidRPr="00F23594">
              <w:rPr>
                <w:sz w:val="14"/>
                <w:szCs w:val="14"/>
              </w:rPr>
              <w:t>8</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7433117C"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6632B655" w14:textId="476D0EA0" w:rsidR="007C7712" w:rsidRPr="00F23594" w:rsidRDefault="007C7712" w:rsidP="007C7712">
            <w:pPr>
              <w:jc w:val="right"/>
              <w:rPr>
                <w:sz w:val="14"/>
                <w:szCs w:val="14"/>
              </w:rPr>
            </w:pPr>
            <w:r w:rsidRPr="00F23594">
              <w:rPr>
                <w:sz w:val="14"/>
                <w:szCs w:val="14"/>
              </w:rPr>
              <w:t>5,00</w:t>
            </w:r>
          </w:p>
        </w:tc>
        <w:tc>
          <w:tcPr>
            <w:tcW w:w="235" w:type="pct"/>
            <w:tcBorders>
              <w:top w:val="nil"/>
              <w:left w:val="nil"/>
              <w:bottom w:val="single" w:sz="4" w:space="0" w:color="auto"/>
              <w:right w:val="single" w:sz="8" w:space="0" w:color="auto"/>
            </w:tcBorders>
            <w:shd w:val="clear" w:color="auto" w:fill="auto"/>
            <w:noWrap/>
            <w:vAlign w:val="bottom"/>
            <w:hideMark/>
          </w:tcPr>
          <w:p w14:paraId="4289D77C" w14:textId="77777777" w:rsidR="007C7712" w:rsidRPr="00F23594" w:rsidRDefault="007C7712" w:rsidP="007C7712">
            <w:pPr>
              <w:jc w:val="right"/>
              <w:rPr>
                <w:sz w:val="14"/>
                <w:szCs w:val="14"/>
              </w:rPr>
            </w:pPr>
            <w:r w:rsidRPr="00F23594">
              <w:rPr>
                <w:sz w:val="14"/>
                <w:szCs w:val="14"/>
              </w:rPr>
              <w:t>6</w:t>
            </w:r>
          </w:p>
        </w:tc>
        <w:tc>
          <w:tcPr>
            <w:tcW w:w="299" w:type="pct"/>
            <w:tcBorders>
              <w:top w:val="nil"/>
              <w:left w:val="nil"/>
              <w:bottom w:val="single" w:sz="4" w:space="0" w:color="auto"/>
              <w:right w:val="single" w:sz="4" w:space="0" w:color="auto"/>
            </w:tcBorders>
            <w:shd w:val="clear" w:color="auto" w:fill="auto"/>
            <w:noWrap/>
            <w:vAlign w:val="bottom"/>
            <w:hideMark/>
          </w:tcPr>
          <w:p w14:paraId="3D1C8C82"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0B47369D" w14:textId="2E9AA7B8" w:rsidR="007C7712" w:rsidRPr="00F23594" w:rsidRDefault="007C7712" w:rsidP="007C7712">
            <w:pPr>
              <w:jc w:val="right"/>
              <w:rPr>
                <w:sz w:val="14"/>
                <w:szCs w:val="14"/>
              </w:rPr>
            </w:pPr>
            <w:r w:rsidRPr="00F23594">
              <w:rPr>
                <w:sz w:val="14"/>
                <w:szCs w:val="14"/>
              </w:rPr>
              <w:t>300,00</w:t>
            </w:r>
          </w:p>
        </w:tc>
        <w:tc>
          <w:tcPr>
            <w:tcW w:w="242" w:type="pct"/>
            <w:tcBorders>
              <w:top w:val="nil"/>
              <w:left w:val="nil"/>
              <w:bottom w:val="single" w:sz="4" w:space="0" w:color="auto"/>
              <w:right w:val="single" w:sz="8" w:space="0" w:color="auto"/>
            </w:tcBorders>
            <w:shd w:val="clear" w:color="auto" w:fill="auto"/>
            <w:noWrap/>
            <w:vAlign w:val="bottom"/>
            <w:hideMark/>
          </w:tcPr>
          <w:p w14:paraId="4606E147" w14:textId="77777777" w:rsidR="007C7712" w:rsidRPr="00F23594" w:rsidRDefault="007C7712" w:rsidP="007C7712">
            <w:pPr>
              <w:jc w:val="right"/>
              <w:rPr>
                <w:sz w:val="14"/>
                <w:szCs w:val="14"/>
              </w:rPr>
            </w:pPr>
            <w:r w:rsidRPr="00F23594">
              <w:rPr>
                <w:sz w:val="14"/>
                <w:szCs w:val="14"/>
              </w:rPr>
              <w:t>119</w:t>
            </w:r>
          </w:p>
        </w:tc>
      </w:tr>
      <w:tr w:rsidR="007C7712" w:rsidRPr="00375189" w14:paraId="3576FB2C"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5DF8A7EF" w14:textId="77777777" w:rsidR="007C7712" w:rsidRPr="00375189" w:rsidRDefault="007C7712" w:rsidP="007C7712">
            <w:pPr>
              <w:rPr>
                <w:sz w:val="16"/>
                <w:szCs w:val="16"/>
              </w:rPr>
            </w:pPr>
            <w:r w:rsidRPr="00375189">
              <w:rPr>
                <w:sz w:val="16"/>
                <w:szCs w:val="16"/>
              </w:rPr>
              <w:t>Добрич</w:t>
            </w:r>
          </w:p>
        </w:tc>
        <w:tc>
          <w:tcPr>
            <w:tcW w:w="299" w:type="pct"/>
            <w:tcBorders>
              <w:top w:val="nil"/>
              <w:left w:val="nil"/>
              <w:bottom w:val="single" w:sz="4" w:space="0" w:color="auto"/>
              <w:right w:val="single" w:sz="4" w:space="0" w:color="auto"/>
            </w:tcBorders>
            <w:shd w:val="clear" w:color="auto" w:fill="auto"/>
            <w:noWrap/>
            <w:vAlign w:val="bottom"/>
            <w:hideMark/>
          </w:tcPr>
          <w:p w14:paraId="274F75E2"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2E6A34D2" w14:textId="718F3318" w:rsidR="007C7712" w:rsidRPr="00F23594" w:rsidRDefault="007C7712" w:rsidP="007C7712">
            <w:pPr>
              <w:jc w:val="right"/>
              <w:rPr>
                <w:sz w:val="14"/>
                <w:szCs w:val="14"/>
              </w:rPr>
            </w:pPr>
            <w:r w:rsidRPr="00F23594">
              <w:rPr>
                <w:sz w:val="14"/>
                <w:szCs w:val="14"/>
              </w:rPr>
              <w:t>39</w:t>
            </w:r>
          </w:p>
        </w:tc>
        <w:tc>
          <w:tcPr>
            <w:tcW w:w="235" w:type="pct"/>
            <w:tcBorders>
              <w:top w:val="nil"/>
              <w:left w:val="nil"/>
              <w:bottom w:val="single" w:sz="4" w:space="0" w:color="auto"/>
              <w:right w:val="single" w:sz="4" w:space="0" w:color="auto"/>
            </w:tcBorders>
            <w:shd w:val="clear" w:color="auto" w:fill="auto"/>
            <w:noWrap/>
            <w:vAlign w:val="bottom"/>
            <w:hideMark/>
          </w:tcPr>
          <w:p w14:paraId="3B792E56" w14:textId="77777777" w:rsidR="007C7712" w:rsidRPr="00F23594" w:rsidRDefault="007C7712" w:rsidP="007C7712">
            <w:pPr>
              <w:jc w:val="right"/>
              <w:rPr>
                <w:sz w:val="14"/>
                <w:szCs w:val="14"/>
              </w:rPr>
            </w:pPr>
            <w:r w:rsidRPr="00F23594">
              <w:rPr>
                <w:sz w:val="14"/>
                <w:szCs w:val="14"/>
              </w:rPr>
              <w:t>38</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32F36F1C"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3FFA6528" w14:textId="2EA05EF9" w:rsidR="007C7712" w:rsidRPr="00F23594" w:rsidRDefault="007C7712" w:rsidP="007C7712">
            <w:pPr>
              <w:jc w:val="right"/>
              <w:rPr>
                <w:sz w:val="14"/>
                <w:szCs w:val="14"/>
              </w:rPr>
            </w:pPr>
            <w:r w:rsidRPr="00F23594">
              <w:rPr>
                <w:sz w:val="14"/>
                <w:szCs w:val="14"/>
              </w:rPr>
              <w:t>18</w:t>
            </w:r>
          </w:p>
        </w:tc>
        <w:tc>
          <w:tcPr>
            <w:tcW w:w="235" w:type="pct"/>
            <w:tcBorders>
              <w:top w:val="nil"/>
              <w:left w:val="nil"/>
              <w:bottom w:val="single" w:sz="4" w:space="0" w:color="auto"/>
              <w:right w:val="single" w:sz="8" w:space="0" w:color="auto"/>
            </w:tcBorders>
            <w:shd w:val="clear" w:color="auto" w:fill="auto"/>
            <w:noWrap/>
            <w:vAlign w:val="bottom"/>
            <w:hideMark/>
          </w:tcPr>
          <w:p w14:paraId="04077D29" w14:textId="77777777" w:rsidR="007C7712" w:rsidRPr="00F23594" w:rsidRDefault="007C7712" w:rsidP="007C7712">
            <w:pPr>
              <w:jc w:val="right"/>
              <w:rPr>
                <w:sz w:val="14"/>
                <w:szCs w:val="14"/>
              </w:rPr>
            </w:pPr>
            <w:r w:rsidRPr="00F23594">
              <w:rPr>
                <w:sz w:val="14"/>
                <w:szCs w:val="14"/>
              </w:rPr>
              <w:t>7</w:t>
            </w:r>
          </w:p>
        </w:tc>
        <w:tc>
          <w:tcPr>
            <w:tcW w:w="299" w:type="pct"/>
            <w:tcBorders>
              <w:top w:val="nil"/>
              <w:left w:val="nil"/>
              <w:bottom w:val="single" w:sz="4" w:space="0" w:color="auto"/>
              <w:right w:val="single" w:sz="4" w:space="0" w:color="auto"/>
            </w:tcBorders>
            <w:shd w:val="clear" w:color="auto" w:fill="auto"/>
            <w:noWrap/>
            <w:vAlign w:val="bottom"/>
            <w:hideMark/>
          </w:tcPr>
          <w:p w14:paraId="2E594844"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32361F49" w14:textId="1E6D2C3B" w:rsidR="007C7712" w:rsidRPr="00F23594" w:rsidRDefault="007C7712" w:rsidP="007C7712">
            <w:pPr>
              <w:jc w:val="right"/>
              <w:rPr>
                <w:sz w:val="14"/>
                <w:szCs w:val="14"/>
              </w:rPr>
            </w:pPr>
            <w:r w:rsidRPr="00F23594">
              <w:rPr>
                <w:sz w:val="14"/>
                <w:szCs w:val="14"/>
              </w:rPr>
              <w:t>20</w:t>
            </w:r>
          </w:p>
        </w:tc>
        <w:tc>
          <w:tcPr>
            <w:tcW w:w="235" w:type="pct"/>
            <w:tcBorders>
              <w:top w:val="nil"/>
              <w:left w:val="nil"/>
              <w:bottom w:val="single" w:sz="4" w:space="0" w:color="auto"/>
              <w:right w:val="single" w:sz="4" w:space="0" w:color="auto"/>
            </w:tcBorders>
            <w:shd w:val="clear" w:color="auto" w:fill="auto"/>
            <w:noWrap/>
            <w:vAlign w:val="bottom"/>
            <w:hideMark/>
          </w:tcPr>
          <w:p w14:paraId="615B1167" w14:textId="77777777" w:rsidR="007C7712" w:rsidRPr="00F23594" w:rsidRDefault="007C7712" w:rsidP="007C7712">
            <w:pPr>
              <w:jc w:val="right"/>
              <w:rPr>
                <w:sz w:val="14"/>
                <w:szCs w:val="14"/>
              </w:rPr>
            </w:pPr>
            <w:r w:rsidRPr="00F23594">
              <w:rPr>
                <w:sz w:val="14"/>
                <w:szCs w:val="14"/>
              </w:rPr>
              <w:t>2</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7DB78D1B"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05AD4C35" w14:textId="7A502996" w:rsidR="007C7712" w:rsidRPr="00F23594" w:rsidRDefault="007C7712" w:rsidP="007C7712">
            <w:pPr>
              <w:jc w:val="right"/>
              <w:rPr>
                <w:sz w:val="14"/>
                <w:szCs w:val="14"/>
              </w:rPr>
            </w:pPr>
            <w:r w:rsidRPr="00F23594">
              <w:rPr>
                <w:sz w:val="14"/>
                <w:szCs w:val="14"/>
              </w:rPr>
              <w:t>15,00</w:t>
            </w:r>
          </w:p>
        </w:tc>
        <w:tc>
          <w:tcPr>
            <w:tcW w:w="235" w:type="pct"/>
            <w:tcBorders>
              <w:top w:val="nil"/>
              <w:left w:val="nil"/>
              <w:bottom w:val="single" w:sz="4" w:space="0" w:color="auto"/>
              <w:right w:val="single" w:sz="8" w:space="0" w:color="auto"/>
            </w:tcBorders>
            <w:shd w:val="clear" w:color="auto" w:fill="auto"/>
            <w:noWrap/>
            <w:vAlign w:val="bottom"/>
            <w:hideMark/>
          </w:tcPr>
          <w:p w14:paraId="6451496B" w14:textId="77777777" w:rsidR="007C7712" w:rsidRPr="00F23594" w:rsidRDefault="007C7712" w:rsidP="007C7712">
            <w:pPr>
              <w:jc w:val="right"/>
              <w:rPr>
                <w:sz w:val="14"/>
                <w:szCs w:val="14"/>
              </w:rPr>
            </w:pPr>
            <w:r w:rsidRPr="00F23594">
              <w:rPr>
                <w:sz w:val="14"/>
                <w:szCs w:val="14"/>
              </w:rPr>
              <w:t>7</w:t>
            </w:r>
          </w:p>
        </w:tc>
        <w:tc>
          <w:tcPr>
            <w:tcW w:w="299" w:type="pct"/>
            <w:tcBorders>
              <w:top w:val="nil"/>
              <w:left w:val="nil"/>
              <w:bottom w:val="single" w:sz="4" w:space="0" w:color="auto"/>
              <w:right w:val="single" w:sz="4" w:space="0" w:color="auto"/>
            </w:tcBorders>
            <w:shd w:val="clear" w:color="auto" w:fill="auto"/>
            <w:noWrap/>
            <w:vAlign w:val="bottom"/>
            <w:hideMark/>
          </w:tcPr>
          <w:p w14:paraId="1D7A889B"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00D76A05" w14:textId="53F5C482" w:rsidR="007C7712" w:rsidRPr="00F23594" w:rsidRDefault="007C7712" w:rsidP="007C7712">
            <w:pPr>
              <w:jc w:val="right"/>
              <w:rPr>
                <w:sz w:val="14"/>
                <w:szCs w:val="14"/>
              </w:rPr>
            </w:pPr>
            <w:r w:rsidRPr="00F23594">
              <w:rPr>
                <w:sz w:val="14"/>
                <w:szCs w:val="14"/>
              </w:rPr>
              <w:t>350,00</w:t>
            </w:r>
          </w:p>
        </w:tc>
        <w:tc>
          <w:tcPr>
            <w:tcW w:w="242" w:type="pct"/>
            <w:tcBorders>
              <w:top w:val="nil"/>
              <w:left w:val="nil"/>
              <w:bottom w:val="single" w:sz="4" w:space="0" w:color="auto"/>
              <w:right w:val="single" w:sz="8" w:space="0" w:color="auto"/>
            </w:tcBorders>
            <w:shd w:val="clear" w:color="auto" w:fill="auto"/>
            <w:noWrap/>
            <w:vAlign w:val="bottom"/>
            <w:hideMark/>
          </w:tcPr>
          <w:p w14:paraId="630AEEC6" w14:textId="77777777" w:rsidR="007C7712" w:rsidRPr="00F23594" w:rsidRDefault="007C7712" w:rsidP="007C7712">
            <w:pPr>
              <w:jc w:val="right"/>
              <w:rPr>
                <w:sz w:val="14"/>
                <w:szCs w:val="14"/>
              </w:rPr>
            </w:pPr>
            <w:r w:rsidRPr="00F23594">
              <w:rPr>
                <w:sz w:val="14"/>
                <w:szCs w:val="14"/>
              </w:rPr>
              <w:t>352</w:t>
            </w:r>
          </w:p>
        </w:tc>
      </w:tr>
      <w:tr w:rsidR="007C7712" w:rsidRPr="00375189" w14:paraId="606C747F"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308E92BD" w14:textId="77777777" w:rsidR="007C7712" w:rsidRPr="00375189" w:rsidRDefault="007C7712" w:rsidP="007C7712">
            <w:pPr>
              <w:rPr>
                <w:sz w:val="16"/>
                <w:szCs w:val="16"/>
              </w:rPr>
            </w:pPr>
            <w:r w:rsidRPr="00375189">
              <w:rPr>
                <w:sz w:val="16"/>
                <w:szCs w:val="16"/>
              </w:rPr>
              <w:t>Кърджали</w:t>
            </w:r>
          </w:p>
        </w:tc>
        <w:tc>
          <w:tcPr>
            <w:tcW w:w="299" w:type="pct"/>
            <w:tcBorders>
              <w:top w:val="nil"/>
              <w:left w:val="nil"/>
              <w:bottom w:val="single" w:sz="4" w:space="0" w:color="auto"/>
              <w:right w:val="single" w:sz="4" w:space="0" w:color="auto"/>
            </w:tcBorders>
            <w:shd w:val="clear" w:color="auto" w:fill="auto"/>
            <w:noWrap/>
            <w:vAlign w:val="bottom"/>
            <w:hideMark/>
          </w:tcPr>
          <w:p w14:paraId="68A028A3"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6343D618" w14:textId="544DE462" w:rsidR="007C7712" w:rsidRPr="00F23594" w:rsidRDefault="007C7712" w:rsidP="007C7712">
            <w:pPr>
              <w:jc w:val="right"/>
              <w:rPr>
                <w:sz w:val="14"/>
                <w:szCs w:val="14"/>
              </w:rPr>
            </w:pPr>
            <w:r w:rsidRPr="00F23594">
              <w:rPr>
                <w:sz w:val="14"/>
                <w:szCs w:val="14"/>
              </w:rPr>
              <w:t>24</w:t>
            </w:r>
          </w:p>
        </w:tc>
        <w:tc>
          <w:tcPr>
            <w:tcW w:w="235" w:type="pct"/>
            <w:tcBorders>
              <w:top w:val="nil"/>
              <w:left w:val="nil"/>
              <w:bottom w:val="single" w:sz="4" w:space="0" w:color="auto"/>
              <w:right w:val="single" w:sz="4" w:space="0" w:color="auto"/>
            </w:tcBorders>
            <w:shd w:val="clear" w:color="auto" w:fill="auto"/>
            <w:noWrap/>
            <w:vAlign w:val="bottom"/>
            <w:hideMark/>
          </w:tcPr>
          <w:p w14:paraId="3C79519A" w14:textId="77777777" w:rsidR="007C7712" w:rsidRPr="00F23594" w:rsidRDefault="007C7712" w:rsidP="007C7712">
            <w:pPr>
              <w:jc w:val="right"/>
              <w:rPr>
                <w:sz w:val="14"/>
                <w:szCs w:val="14"/>
              </w:rPr>
            </w:pPr>
            <w:r w:rsidRPr="00F23594">
              <w:rPr>
                <w:sz w:val="14"/>
                <w:szCs w:val="14"/>
              </w:rPr>
              <w:t>23</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153C5697"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46D2A9EF" w14:textId="0FA9DEA2" w:rsidR="007C7712" w:rsidRPr="00F23594" w:rsidRDefault="007C7712" w:rsidP="007C7712">
            <w:pPr>
              <w:jc w:val="right"/>
              <w:rPr>
                <w:sz w:val="14"/>
                <w:szCs w:val="14"/>
              </w:rPr>
            </w:pPr>
            <w:r w:rsidRPr="00F23594">
              <w:rPr>
                <w:sz w:val="14"/>
                <w:szCs w:val="14"/>
              </w:rPr>
              <w:t>740</w:t>
            </w:r>
          </w:p>
        </w:tc>
        <w:tc>
          <w:tcPr>
            <w:tcW w:w="235" w:type="pct"/>
            <w:tcBorders>
              <w:top w:val="nil"/>
              <w:left w:val="nil"/>
              <w:bottom w:val="single" w:sz="4" w:space="0" w:color="auto"/>
              <w:right w:val="single" w:sz="8" w:space="0" w:color="auto"/>
            </w:tcBorders>
            <w:shd w:val="clear" w:color="auto" w:fill="auto"/>
            <w:noWrap/>
            <w:vAlign w:val="bottom"/>
            <w:hideMark/>
          </w:tcPr>
          <w:p w14:paraId="1ACE0FD1" w14:textId="77777777" w:rsidR="007C7712" w:rsidRPr="00F23594" w:rsidRDefault="007C7712" w:rsidP="007C7712">
            <w:pPr>
              <w:jc w:val="right"/>
              <w:rPr>
                <w:sz w:val="14"/>
                <w:szCs w:val="14"/>
              </w:rPr>
            </w:pPr>
            <w:r w:rsidRPr="00F23594">
              <w:rPr>
                <w:sz w:val="14"/>
                <w:szCs w:val="14"/>
              </w:rPr>
              <w:t>370</w:t>
            </w:r>
          </w:p>
        </w:tc>
        <w:tc>
          <w:tcPr>
            <w:tcW w:w="299" w:type="pct"/>
            <w:tcBorders>
              <w:top w:val="nil"/>
              <w:left w:val="nil"/>
              <w:bottom w:val="single" w:sz="4" w:space="0" w:color="auto"/>
              <w:right w:val="single" w:sz="4" w:space="0" w:color="auto"/>
            </w:tcBorders>
            <w:shd w:val="clear" w:color="auto" w:fill="auto"/>
            <w:noWrap/>
            <w:vAlign w:val="bottom"/>
            <w:hideMark/>
          </w:tcPr>
          <w:p w14:paraId="6E417E2B"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61922F21" w14:textId="782ACDDD" w:rsidR="007C7712" w:rsidRPr="00F23594" w:rsidRDefault="007C7712" w:rsidP="007C7712">
            <w:pPr>
              <w:jc w:val="right"/>
              <w:rPr>
                <w:sz w:val="14"/>
                <w:szCs w:val="14"/>
              </w:rPr>
            </w:pPr>
            <w:r w:rsidRPr="00F23594">
              <w:rPr>
                <w:sz w:val="14"/>
                <w:szCs w:val="14"/>
              </w:rPr>
              <w:t>12</w:t>
            </w:r>
          </w:p>
        </w:tc>
        <w:tc>
          <w:tcPr>
            <w:tcW w:w="235" w:type="pct"/>
            <w:tcBorders>
              <w:top w:val="nil"/>
              <w:left w:val="nil"/>
              <w:bottom w:val="single" w:sz="4" w:space="0" w:color="auto"/>
              <w:right w:val="single" w:sz="4" w:space="0" w:color="auto"/>
            </w:tcBorders>
            <w:shd w:val="clear" w:color="auto" w:fill="auto"/>
            <w:noWrap/>
            <w:vAlign w:val="bottom"/>
            <w:hideMark/>
          </w:tcPr>
          <w:p w14:paraId="4026FA67" w14:textId="77777777" w:rsidR="007C7712" w:rsidRPr="00F23594" w:rsidRDefault="007C7712" w:rsidP="007C7712">
            <w:pPr>
              <w:jc w:val="right"/>
              <w:rPr>
                <w:sz w:val="14"/>
                <w:szCs w:val="14"/>
              </w:rPr>
            </w:pPr>
            <w:r w:rsidRPr="00F23594">
              <w:rPr>
                <w:sz w:val="14"/>
                <w:szCs w:val="14"/>
              </w:rPr>
              <w:t>5</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32610D19"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50403D17" w14:textId="097E7FDD" w:rsidR="007C7712" w:rsidRPr="00F23594" w:rsidRDefault="007C7712" w:rsidP="007C7712">
            <w:pPr>
              <w:jc w:val="right"/>
              <w:rPr>
                <w:sz w:val="14"/>
                <w:szCs w:val="14"/>
              </w:rPr>
            </w:pPr>
            <w:r w:rsidRPr="00F23594">
              <w:rPr>
                <w:sz w:val="14"/>
                <w:szCs w:val="14"/>
              </w:rPr>
              <w:t>5,00</w:t>
            </w:r>
          </w:p>
        </w:tc>
        <w:tc>
          <w:tcPr>
            <w:tcW w:w="235" w:type="pct"/>
            <w:tcBorders>
              <w:top w:val="nil"/>
              <w:left w:val="nil"/>
              <w:bottom w:val="single" w:sz="4" w:space="0" w:color="auto"/>
              <w:right w:val="single" w:sz="8" w:space="0" w:color="auto"/>
            </w:tcBorders>
            <w:shd w:val="clear" w:color="auto" w:fill="auto"/>
            <w:noWrap/>
            <w:vAlign w:val="bottom"/>
            <w:hideMark/>
          </w:tcPr>
          <w:p w14:paraId="4B74805C" w14:textId="77777777" w:rsidR="007C7712" w:rsidRPr="00F23594" w:rsidRDefault="007C7712" w:rsidP="007C7712">
            <w:pPr>
              <w:jc w:val="right"/>
              <w:rPr>
                <w:sz w:val="14"/>
                <w:szCs w:val="14"/>
              </w:rPr>
            </w:pPr>
            <w:r w:rsidRPr="00F23594">
              <w:rPr>
                <w:sz w:val="14"/>
                <w:szCs w:val="14"/>
              </w:rPr>
              <w:t>0</w:t>
            </w:r>
          </w:p>
        </w:tc>
        <w:tc>
          <w:tcPr>
            <w:tcW w:w="299" w:type="pct"/>
            <w:tcBorders>
              <w:top w:val="nil"/>
              <w:left w:val="nil"/>
              <w:bottom w:val="single" w:sz="4" w:space="0" w:color="auto"/>
              <w:right w:val="single" w:sz="4" w:space="0" w:color="auto"/>
            </w:tcBorders>
            <w:shd w:val="clear" w:color="auto" w:fill="auto"/>
            <w:noWrap/>
            <w:vAlign w:val="bottom"/>
            <w:hideMark/>
          </w:tcPr>
          <w:p w14:paraId="4F6D1D91"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28141CD8" w14:textId="5CCF1A92" w:rsidR="007C7712" w:rsidRPr="00F23594" w:rsidRDefault="007C7712" w:rsidP="007C7712">
            <w:pPr>
              <w:jc w:val="right"/>
              <w:rPr>
                <w:sz w:val="14"/>
                <w:szCs w:val="14"/>
              </w:rPr>
            </w:pPr>
            <w:r w:rsidRPr="00F23594">
              <w:rPr>
                <w:sz w:val="14"/>
                <w:szCs w:val="14"/>
              </w:rPr>
              <w:t>270,00</w:t>
            </w:r>
          </w:p>
        </w:tc>
        <w:tc>
          <w:tcPr>
            <w:tcW w:w="242" w:type="pct"/>
            <w:tcBorders>
              <w:top w:val="nil"/>
              <w:left w:val="nil"/>
              <w:bottom w:val="single" w:sz="4" w:space="0" w:color="auto"/>
              <w:right w:val="single" w:sz="8" w:space="0" w:color="auto"/>
            </w:tcBorders>
            <w:shd w:val="clear" w:color="auto" w:fill="auto"/>
            <w:noWrap/>
            <w:vAlign w:val="bottom"/>
            <w:hideMark/>
          </w:tcPr>
          <w:p w14:paraId="26A343CA" w14:textId="77777777" w:rsidR="007C7712" w:rsidRPr="00F23594" w:rsidRDefault="007C7712" w:rsidP="007C7712">
            <w:pPr>
              <w:jc w:val="right"/>
              <w:rPr>
                <w:sz w:val="14"/>
                <w:szCs w:val="14"/>
              </w:rPr>
            </w:pPr>
            <w:r w:rsidRPr="00F23594">
              <w:rPr>
                <w:sz w:val="14"/>
                <w:szCs w:val="14"/>
              </w:rPr>
              <w:t>145</w:t>
            </w:r>
          </w:p>
        </w:tc>
      </w:tr>
      <w:tr w:rsidR="007C7712" w:rsidRPr="00375189" w14:paraId="6013DC59"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3BBE1D5B" w14:textId="77777777" w:rsidR="007C7712" w:rsidRPr="00375189" w:rsidRDefault="007C7712" w:rsidP="007C7712">
            <w:pPr>
              <w:rPr>
                <w:sz w:val="16"/>
                <w:szCs w:val="16"/>
              </w:rPr>
            </w:pPr>
            <w:r w:rsidRPr="00375189">
              <w:rPr>
                <w:sz w:val="16"/>
                <w:szCs w:val="16"/>
              </w:rPr>
              <w:t>Кюстендил</w:t>
            </w:r>
          </w:p>
        </w:tc>
        <w:tc>
          <w:tcPr>
            <w:tcW w:w="299" w:type="pct"/>
            <w:tcBorders>
              <w:top w:val="nil"/>
              <w:left w:val="nil"/>
              <w:bottom w:val="single" w:sz="4" w:space="0" w:color="auto"/>
              <w:right w:val="single" w:sz="4" w:space="0" w:color="auto"/>
            </w:tcBorders>
            <w:shd w:val="clear" w:color="auto" w:fill="auto"/>
            <w:noWrap/>
            <w:vAlign w:val="bottom"/>
            <w:hideMark/>
          </w:tcPr>
          <w:p w14:paraId="0778F125"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45C7DE0D" w14:textId="587AAF06" w:rsidR="007C7712" w:rsidRPr="00F23594" w:rsidRDefault="007C7712" w:rsidP="007C7712">
            <w:pPr>
              <w:jc w:val="right"/>
              <w:rPr>
                <w:sz w:val="14"/>
                <w:szCs w:val="14"/>
              </w:rPr>
            </w:pPr>
            <w:r w:rsidRPr="00F23594">
              <w:rPr>
                <w:sz w:val="14"/>
                <w:szCs w:val="14"/>
              </w:rPr>
              <w:t>30</w:t>
            </w:r>
          </w:p>
        </w:tc>
        <w:tc>
          <w:tcPr>
            <w:tcW w:w="235" w:type="pct"/>
            <w:tcBorders>
              <w:top w:val="nil"/>
              <w:left w:val="nil"/>
              <w:bottom w:val="single" w:sz="4" w:space="0" w:color="auto"/>
              <w:right w:val="single" w:sz="4" w:space="0" w:color="auto"/>
            </w:tcBorders>
            <w:shd w:val="clear" w:color="auto" w:fill="auto"/>
            <w:noWrap/>
            <w:vAlign w:val="bottom"/>
            <w:hideMark/>
          </w:tcPr>
          <w:p w14:paraId="1F9E68C0" w14:textId="77777777" w:rsidR="007C7712" w:rsidRPr="00F23594" w:rsidRDefault="007C7712" w:rsidP="007C7712">
            <w:pPr>
              <w:jc w:val="right"/>
              <w:rPr>
                <w:sz w:val="14"/>
                <w:szCs w:val="14"/>
              </w:rPr>
            </w:pPr>
            <w:r w:rsidRPr="00F23594">
              <w:rPr>
                <w:sz w:val="14"/>
                <w:szCs w:val="14"/>
              </w:rPr>
              <w:t>30</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1B2540EE"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7F38A042" w14:textId="4C28C558" w:rsidR="007C7712" w:rsidRPr="00F23594" w:rsidRDefault="007C7712" w:rsidP="007C7712">
            <w:pPr>
              <w:jc w:val="right"/>
              <w:rPr>
                <w:sz w:val="14"/>
                <w:szCs w:val="14"/>
              </w:rPr>
            </w:pPr>
            <w:r w:rsidRPr="00F23594">
              <w:rPr>
                <w:sz w:val="14"/>
                <w:szCs w:val="14"/>
              </w:rPr>
              <w:t>12</w:t>
            </w:r>
          </w:p>
        </w:tc>
        <w:tc>
          <w:tcPr>
            <w:tcW w:w="235" w:type="pct"/>
            <w:tcBorders>
              <w:top w:val="nil"/>
              <w:left w:val="nil"/>
              <w:bottom w:val="single" w:sz="4" w:space="0" w:color="auto"/>
              <w:right w:val="single" w:sz="8" w:space="0" w:color="auto"/>
            </w:tcBorders>
            <w:shd w:val="clear" w:color="auto" w:fill="auto"/>
            <w:noWrap/>
            <w:vAlign w:val="bottom"/>
            <w:hideMark/>
          </w:tcPr>
          <w:p w14:paraId="3A68EDDA" w14:textId="77777777" w:rsidR="007C7712" w:rsidRPr="00F23594" w:rsidRDefault="007C7712" w:rsidP="007C7712">
            <w:pPr>
              <w:jc w:val="right"/>
              <w:rPr>
                <w:sz w:val="14"/>
                <w:szCs w:val="14"/>
              </w:rPr>
            </w:pPr>
            <w:r w:rsidRPr="00F23594">
              <w:rPr>
                <w:sz w:val="14"/>
                <w:szCs w:val="14"/>
              </w:rPr>
              <w:t>6</w:t>
            </w:r>
          </w:p>
        </w:tc>
        <w:tc>
          <w:tcPr>
            <w:tcW w:w="299" w:type="pct"/>
            <w:tcBorders>
              <w:top w:val="nil"/>
              <w:left w:val="nil"/>
              <w:bottom w:val="single" w:sz="4" w:space="0" w:color="auto"/>
              <w:right w:val="single" w:sz="4" w:space="0" w:color="auto"/>
            </w:tcBorders>
            <w:shd w:val="clear" w:color="auto" w:fill="auto"/>
            <w:noWrap/>
            <w:vAlign w:val="bottom"/>
            <w:hideMark/>
          </w:tcPr>
          <w:p w14:paraId="667990FF"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60BC6771" w14:textId="3593D2D6" w:rsidR="007C7712" w:rsidRPr="00F23594" w:rsidRDefault="007C7712" w:rsidP="007C7712">
            <w:pPr>
              <w:jc w:val="right"/>
              <w:rPr>
                <w:sz w:val="14"/>
                <w:szCs w:val="14"/>
              </w:rPr>
            </w:pPr>
            <w:r w:rsidRPr="00F23594">
              <w:rPr>
                <w:sz w:val="14"/>
                <w:szCs w:val="14"/>
              </w:rPr>
              <w:t>15</w:t>
            </w:r>
          </w:p>
        </w:tc>
        <w:tc>
          <w:tcPr>
            <w:tcW w:w="235" w:type="pct"/>
            <w:tcBorders>
              <w:top w:val="nil"/>
              <w:left w:val="nil"/>
              <w:bottom w:val="single" w:sz="4" w:space="0" w:color="auto"/>
              <w:right w:val="single" w:sz="4" w:space="0" w:color="auto"/>
            </w:tcBorders>
            <w:shd w:val="clear" w:color="auto" w:fill="auto"/>
            <w:noWrap/>
            <w:vAlign w:val="bottom"/>
            <w:hideMark/>
          </w:tcPr>
          <w:p w14:paraId="36D94DF7" w14:textId="77777777" w:rsidR="007C7712" w:rsidRPr="00F23594" w:rsidRDefault="007C7712" w:rsidP="007C7712">
            <w:pPr>
              <w:jc w:val="right"/>
              <w:rPr>
                <w:sz w:val="14"/>
                <w:szCs w:val="14"/>
              </w:rPr>
            </w:pPr>
            <w:r w:rsidRPr="00F23594">
              <w:rPr>
                <w:sz w:val="14"/>
                <w:szCs w:val="14"/>
              </w:rPr>
              <w:t>7</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4990D67F"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548190D7" w14:textId="603D3645" w:rsidR="007C7712" w:rsidRPr="00F23594" w:rsidRDefault="007C7712" w:rsidP="007C7712">
            <w:pPr>
              <w:jc w:val="right"/>
              <w:rPr>
                <w:sz w:val="14"/>
                <w:szCs w:val="14"/>
              </w:rPr>
            </w:pPr>
            <w:r w:rsidRPr="00F23594">
              <w:rPr>
                <w:sz w:val="14"/>
                <w:szCs w:val="14"/>
              </w:rPr>
              <w:t>10,00</w:t>
            </w:r>
          </w:p>
        </w:tc>
        <w:tc>
          <w:tcPr>
            <w:tcW w:w="235" w:type="pct"/>
            <w:tcBorders>
              <w:top w:val="nil"/>
              <w:left w:val="nil"/>
              <w:bottom w:val="single" w:sz="4" w:space="0" w:color="auto"/>
              <w:right w:val="single" w:sz="8" w:space="0" w:color="auto"/>
            </w:tcBorders>
            <w:shd w:val="clear" w:color="auto" w:fill="auto"/>
            <w:noWrap/>
            <w:vAlign w:val="bottom"/>
            <w:hideMark/>
          </w:tcPr>
          <w:p w14:paraId="099E659F" w14:textId="77777777" w:rsidR="007C7712" w:rsidRPr="00F23594" w:rsidRDefault="007C7712" w:rsidP="007C7712">
            <w:pPr>
              <w:jc w:val="right"/>
              <w:rPr>
                <w:sz w:val="14"/>
                <w:szCs w:val="14"/>
              </w:rPr>
            </w:pPr>
            <w:r w:rsidRPr="00F23594">
              <w:rPr>
                <w:sz w:val="14"/>
                <w:szCs w:val="14"/>
              </w:rPr>
              <w:t>5</w:t>
            </w:r>
          </w:p>
        </w:tc>
        <w:tc>
          <w:tcPr>
            <w:tcW w:w="299" w:type="pct"/>
            <w:tcBorders>
              <w:top w:val="nil"/>
              <w:left w:val="nil"/>
              <w:bottom w:val="single" w:sz="4" w:space="0" w:color="auto"/>
              <w:right w:val="single" w:sz="4" w:space="0" w:color="auto"/>
            </w:tcBorders>
            <w:shd w:val="clear" w:color="auto" w:fill="auto"/>
            <w:noWrap/>
            <w:vAlign w:val="bottom"/>
            <w:hideMark/>
          </w:tcPr>
          <w:p w14:paraId="1CAD2C40"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3A876286" w14:textId="49DC3DE9" w:rsidR="007C7712" w:rsidRPr="00F23594" w:rsidRDefault="007C7712" w:rsidP="007C7712">
            <w:pPr>
              <w:jc w:val="right"/>
              <w:rPr>
                <w:sz w:val="14"/>
                <w:szCs w:val="14"/>
              </w:rPr>
            </w:pPr>
            <w:r w:rsidRPr="00F23594">
              <w:rPr>
                <w:sz w:val="14"/>
                <w:szCs w:val="14"/>
              </w:rPr>
              <w:t>370,00</w:t>
            </w:r>
          </w:p>
        </w:tc>
        <w:tc>
          <w:tcPr>
            <w:tcW w:w="242" w:type="pct"/>
            <w:tcBorders>
              <w:top w:val="nil"/>
              <w:left w:val="nil"/>
              <w:bottom w:val="single" w:sz="4" w:space="0" w:color="auto"/>
              <w:right w:val="single" w:sz="8" w:space="0" w:color="auto"/>
            </w:tcBorders>
            <w:shd w:val="clear" w:color="auto" w:fill="auto"/>
            <w:noWrap/>
            <w:vAlign w:val="bottom"/>
            <w:hideMark/>
          </w:tcPr>
          <w:p w14:paraId="76DB8F42" w14:textId="77777777" w:rsidR="007C7712" w:rsidRPr="00F23594" w:rsidRDefault="007C7712" w:rsidP="007C7712">
            <w:pPr>
              <w:jc w:val="right"/>
              <w:rPr>
                <w:sz w:val="14"/>
                <w:szCs w:val="14"/>
              </w:rPr>
            </w:pPr>
            <w:r w:rsidRPr="00F23594">
              <w:rPr>
                <w:sz w:val="14"/>
                <w:szCs w:val="14"/>
              </w:rPr>
              <w:t>232</w:t>
            </w:r>
          </w:p>
        </w:tc>
      </w:tr>
      <w:tr w:rsidR="007C7712" w:rsidRPr="00375189" w14:paraId="55788FAC"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74F92875" w14:textId="77777777" w:rsidR="007C7712" w:rsidRPr="00375189" w:rsidRDefault="007C7712" w:rsidP="007C7712">
            <w:pPr>
              <w:rPr>
                <w:sz w:val="16"/>
                <w:szCs w:val="16"/>
              </w:rPr>
            </w:pPr>
            <w:r w:rsidRPr="00375189">
              <w:rPr>
                <w:sz w:val="16"/>
                <w:szCs w:val="16"/>
              </w:rPr>
              <w:t>Ловеч</w:t>
            </w:r>
          </w:p>
        </w:tc>
        <w:tc>
          <w:tcPr>
            <w:tcW w:w="299" w:type="pct"/>
            <w:tcBorders>
              <w:top w:val="nil"/>
              <w:left w:val="nil"/>
              <w:bottom w:val="single" w:sz="4" w:space="0" w:color="auto"/>
              <w:right w:val="single" w:sz="4" w:space="0" w:color="auto"/>
            </w:tcBorders>
            <w:shd w:val="clear" w:color="auto" w:fill="auto"/>
            <w:noWrap/>
            <w:vAlign w:val="bottom"/>
            <w:hideMark/>
          </w:tcPr>
          <w:p w14:paraId="15920073"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1D27FDA4" w14:textId="18547E7F" w:rsidR="007C7712" w:rsidRPr="00F23594" w:rsidRDefault="007C7712" w:rsidP="007C7712">
            <w:pPr>
              <w:jc w:val="right"/>
              <w:rPr>
                <w:sz w:val="14"/>
                <w:szCs w:val="14"/>
              </w:rPr>
            </w:pPr>
            <w:r w:rsidRPr="00F23594">
              <w:rPr>
                <w:sz w:val="14"/>
                <w:szCs w:val="14"/>
              </w:rPr>
              <w:t>26</w:t>
            </w:r>
          </w:p>
        </w:tc>
        <w:tc>
          <w:tcPr>
            <w:tcW w:w="235" w:type="pct"/>
            <w:tcBorders>
              <w:top w:val="nil"/>
              <w:left w:val="nil"/>
              <w:bottom w:val="single" w:sz="4" w:space="0" w:color="auto"/>
              <w:right w:val="single" w:sz="4" w:space="0" w:color="auto"/>
            </w:tcBorders>
            <w:shd w:val="clear" w:color="auto" w:fill="auto"/>
            <w:noWrap/>
            <w:vAlign w:val="bottom"/>
            <w:hideMark/>
          </w:tcPr>
          <w:p w14:paraId="223A4975" w14:textId="77777777" w:rsidR="007C7712" w:rsidRPr="00F23594" w:rsidRDefault="007C7712" w:rsidP="007C7712">
            <w:pPr>
              <w:jc w:val="right"/>
              <w:rPr>
                <w:sz w:val="14"/>
                <w:szCs w:val="14"/>
              </w:rPr>
            </w:pPr>
            <w:r w:rsidRPr="00F23594">
              <w:rPr>
                <w:sz w:val="14"/>
                <w:szCs w:val="14"/>
              </w:rPr>
              <w:t>26</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3120CEEB"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52AED6CD" w14:textId="2F42F8B5" w:rsidR="007C7712" w:rsidRPr="00F23594" w:rsidRDefault="007C7712" w:rsidP="007C7712">
            <w:pPr>
              <w:jc w:val="right"/>
              <w:rPr>
                <w:sz w:val="14"/>
                <w:szCs w:val="14"/>
              </w:rPr>
            </w:pPr>
            <w:r w:rsidRPr="00F23594">
              <w:rPr>
                <w:sz w:val="14"/>
                <w:szCs w:val="14"/>
              </w:rPr>
              <w:t>4</w:t>
            </w:r>
          </w:p>
        </w:tc>
        <w:tc>
          <w:tcPr>
            <w:tcW w:w="235" w:type="pct"/>
            <w:tcBorders>
              <w:top w:val="nil"/>
              <w:left w:val="nil"/>
              <w:bottom w:val="single" w:sz="4" w:space="0" w:color="auto"/>
              <w:right w:val="single" w:sz="8" w:space="0" w:color="auto"/>
            </w:tcBorders>
            <w:shd w:val="clear" w:color="auto" w:fill="auto"/>
            <w:noWrap/>
            <w:vAlign w:val="bottom"/>
            <w:hideMark/>
          </w:tcPr>
          <w:p w14:paraId="1873509D" w14:textId="77777777" w:rsidR="007C7712" w:rsidRPr="00F23594" w:rsidRDefault="007C7712" w:rsidP="007C7712">
            <w:pPr>
              <w:jc w:val="right"/>
              <w:rPr>
                <w:sz w:val="14"/>
                <w:szCs w:val="14"/>
              </w:rPr>
            </w:pPr>
            <w:r w:rsidRPr="00F23594">
              <w:rPr>
                <w:sz w:val="14"/>
                <w:szCs w:val="14"/>
              </w:rPr>
              <w:t>2</w:t>
            </w:r>
          </w:p>
        </w:tc>
        <w:tc>
          <w:tcPr>
            <w:tcW w:w="299" w:type="pct"/>
            <w:tcBorders>
              <w:top w:val="nil"/>
              <w:left w:val="nil"/>
              <w:bottom w:val="single" w:sz="4" w:space="0" w:color="auto"/>
              <w:right w:val="single" w:sz="4" w:space="0" w:color="auto"/>
            </w:tcBorders>
            <w:shd w:val="clear" w:color="auto" w:fill="auto"/>
            <w:noWrap/>
            <w:vAlign w:val="bottom"/>
            <w:hideMark/>
          </w:tcPr>
          <w:p w14:paraId="1AE85E38"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5F73533F" w14:textId="043FE006" w:rsidR="007C7712" w:rsidRPr="00F23594" w:rsidRDefault="007C7712" w:rsidP="007C7712">
            <w:pPr>
              <w:jc w:val="right"/>
              <w:rPr>
                <w:sz w:val="14"/>
                <w:szCs w:val="14"/>
              </w:rPr>
            </w:pPr>
            <w:r w:rsidRPr="00F23594">
              <w:rPr>
                <w:sz w:val="14"/>
                <w:szCs w:val="14"/>
              </w:rPr>
              <w:t>15</w:t>
            </w:r>
          </w:p>
        </w:tc>
        <w:tc>
          <w:tcPr>
            <w:tcW w:w="235" w:type="pct"/>
            <w:tcBorders>
              <w:top w:val="nil"/>
              <w:left w:val="nil"/>
              <w:bottom w:val="single" w:sz="4" w:space="0" w:color="auto"/>
              <w:right w:val="single" w:sz="4" w:space="0" w:color="auto"/>
            </w:tcBorders>
            <w:shd w:val="clear" w:color="auto" w:fill="auto"/>
            <w:noWrap/>
            <w:vAlign w:val="bottom"/>
            <w:hideMark/>
          </w:tcPr>
          <w:p w14:paraId="664D8DF9" w14:textId="77777777" w:rsidR="007C7712" w:rsidRPr="00F23594" w:rsidRDefault="007C7712" w:rsidP="007C7712">
            <w:pPr>
              <w:jc w:val="right"/>
              <w:rPr>
                <w:sz w:val="14"/>
                <w:szCs w:val="14"/>
              </w:rPr>
            </w:pPr>
            <w:r w:rsidRPr="00F23594">
              <w:rPr>
                <w:sz w:val="14"/>
                <w:szCs w:val="14"/>
              </w:rPr>
              <w:t>5</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484C6D7C"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37111AB2" w14:textId="71278F3D" w:rsidR="007C7712" w:rsidRPr="00F23594" w:rsidRDefault="007C7712" w:rsidP="007C7712">
            <w:pPr>
              <w:jc w:val="right"/>
              <w:rPr>
                <w:sz w:val="14"/>
                <w:szCs w:val="14"/>
              </w:rPr>
            </w:pPr>
            <w:r w:rsidRPr="00F23594">
              <w:rPr>
                <w:sz w:val="14"/>
                <w:szCs w:val="14"/>
              </w:rPr>
              <w:t>4,00</w:t>
            </w:r>
          </w:p>
        </w:tc>
        <w:tc>
          <w:tcPr>
            <w:tcW w:w="235" w:type="pct"/>
            <w:tcBorders>
              <w:top w:val="nil"/>
              <w:left w:val="nil"/>
              <w:bottom w:val="single" w:sz="4" w:space="0" w:color="auto"/>
              <w:right w:val="single" w:sz="8" w:space="0" w:color="auto"/>
            </w:tcBorders>
            <w:shd w:val="clear" w:color="auto" w:fill="auto"/>
            <w:noWrap/>
            <w:vAlign w:val="bottom"/>
            <w:hideMark/>
          </w:tcPr>
          <w:p w14:paraId="2639E0AE" w14:textId="77777777" w:rsidR="007C7712" w:rsidRPr="00F23594" w:rsidRDefault="007C7712" w:rsidP="007C7712">
            <w:pPr>
              <w:jc w:val="right"/>
              <w:rPr>
                <w:sz w:val="14"/>
                <w:szCs w:val="14"/>
              </w:rPr>
            </w:pPr>
            <w:r w:rsidRPr="00F23594">
              <w:rPr>
                <w:sz w:val="14"/>
                <w:szCs w:val="14"/>
              </w:rPr>
              <w:t>4</w:t>
            </w:r>
          </w:p>
        </w:tc>
        <w:tc>
          <w:tcPr>
            <w:tcW w:w="299" w:type="pct"/>
            <w:tcBorders>
              <w:top w:val="nil"/>
              <w:left w:val="nil"/>
              <w:bottom w:val="single" w:sz="4" w:space="0" w:color="auto"/>
              <w:right w:val="single" w:sz="4" w:space="0" w:color="auto"/>
            </w:tcBorders>
            <w:shd w:val="clear" w:color="auto" w:fill="auto"/>
            <w:noWrap/>
            <w:vAlign w:val="bottom"/>
            <w:hideMark/>
          </w:tcPr>
          <w:p w14:paraId="156D27AA"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17975DEE" w14:textId="2B220FC2" w:rsidR="007C7712" w:rsidRPr="00F23594" w:rsidRDefault="007C7712" w:rsidP="007C7712">
            <w:pPr>
              <w:jc w:val="right"/>
              <w:rPr>
                <w:sz w:val="14"/>
                <w:szCs w:val="14"/>
              </w:rPr>
            </w:pPr>
            <w:r w:rsidRPr="00F23594">
              <w:rPr>
                <w:sz w:val="14"/>
                <w:szCs w:val="14"/>
              </w:rPr>
              <w:t>18,00</w:t>
            </w:r>
          </w:p>
        </w:tc>
        <w:tc>
          <w:tcPr>
            <w:tcW w:w="242" w:type="pct"/>
            <w:tcBorders>
              <w:top w:val="nil"/>
              <w:left w:val="nil"/>
              <w:bottom w:val="single" w:sz="4" w:space="0" w:color="auto"/>
              <w:right w:val="single" w:sz="8" w:space="0" w:color="auto"/>
            </w:tcBorders>
            <w:shd w:val="clear" w:color="auto" w:fill="auto"/>
            <w:noWrap/>
            <w:vAlign w:val="bottom"/>
            <w:hideMark/>
          </w:tcPr>
          <w:p w14:paraId="24FB3DA4" w14:textId="77777777" w:rsidR="007C7712" w:rsidRPr="00F23594" w:rsidRDefault="007C7712" w:rsidP="007C7712">
            <w:pPr>
              <w:jc w:val="right"/>
              <w:rPr>
                <w:sz w:val="14"/>
                <w:szCs w:val="14"/>
              </w:rPr>
            </w:pPr>
            <w:r w:rsidRPr="00F23594">
              <w:rPr>
                <w:sz w:val="14"/>
                <w:szCs w:val="14"/>
              </w:rPr>
              <w:t>2</w:t>
            </w:r>
          </w:p>
        </w:tc>
      </w:tr>
      <w:tr w:rsidR="007C7712" w:rsidRPr="00375189" w14:paraId="522A942C"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0D2CA430" w14:textId="77777777" w:rsidR="007C7712" w:rsidRPr="00375189" w:rsidRDefault="007C7712" w:rsidP="007C7712">
            <w:pPr>
              <w:rPr>
                <w:sz w:val="16"/>
                <w:szCs w:val="16"/>
              </w:rPr>
            </w:pPr>
            <w:r w:rsidRPr="00375189">
              <w:rPr>
                <w:sz w:val="16"/>
                <w:szCs w:val="16"/>
              </w:rPr>
              <w:t>Монтана</w:t>
            </w:r>
          </w:p>
        </w:tc>
        <w:tc>
          <w:tcPr>
            <w:tcW w:w="299" w:type="pct"/>
            <w:tcBorders>
              <w:top w:val="nil"/>
              <w:left w:val="nil"/>
              <w:bottom w:val="single" w:sz="4" w:space="0" w:color="auto"/>
              <w:right w:val="single" w:sz="4" w:space="0" w:color="auto"/>
            </w:tcBorders>
            <w:shd w:val="clear" w:color="auto" w:fill="auto"/>
            <w:noWrap/>
            <w:vAlign w:val="bottom"/>
            <w:hideMark/>
          </w:tcPr>
          <w:p w14:paraId="04A36BBB"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0C689172" w14:textId="2B149B53" w:rsidR="007C7712" w:rsidRPr="00F23594" w:rsidRDefault="007C7712" w:rsidP="007C7712">
            <w:pPr>
              <w:jc w:val="right"/>
              <w:rPr>
                <w:sz w:val="14"/>
                <w:szCs w:val="14"/>
              </w:rPr>
            </w:pPr>
            <w:r w:rsidRPr="00F23594">
              <w:rPr>
                <w:sz w:val="14"/>
                <w:szCs w:val="14"/>
              </w:rPr>
              <w:t>22</w:t>
            </w:r>
          </w:p>
        </w:tc>
        <w:tc>
          <w:tcPr>
            <w:tcW w:w="235" w:type="pct"/>
            <w:tcBorders>
              <w:top w:val="nil"/>
              <w:left w:val="nil"/>
              <w:bottom w:val="single" w:sz="4" w:space="0" w:color="auto"/>
              <w:right w:val="single" w:sz="4" w:space="0" w:color="auto"/>
            </w:tcBorders>
            <w:shd w:val="clear" w:color="auto" w:fill="auto"/>
            <w:noWrap/>
            <w:vAlign w:val="bottom"/>
            <w:hideMark/>
          </w:tcPr>
          <w:p w14:paraId="22A071D9" w14:textId="77777777" w:rsidR="007C7712" w:rsidRPr="00F23594" w:rsidRDefault="007C7712" w:rsidP="007C7712">
            <w:pPr>
              <w:jc w:val="right"/>
              <w:rPr>
                <w:sz w:val="14"/>
                <w:szCs w:val="14"/>
              </w:rPr>
            </w:pPr>
            <w:r w:rsidRPr="00F23594">
              <w:rPr>
                <w:sz w:val="14"/>
                <w:szCs w:val="14"/>
              </w:rPr>
              <w:t>22</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003C447D"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231C1ACC" w14:textId="78B6CF24" w:rsidR="007C7712" w:rsidRPr="00F23594" w:rsidRDefault="007C7712" w:rsidP="007C7712">
            <w:pPr>
              <w:jc w:val="right"/>
              <w:rPr>
                <w:sz w:val="14"/>
                <w:szCs w:val="14"/>
              </w:rPr>
            </w:pPr>
            <w:r w:rsidRPr="00F23594">
              <w:rPr>
                <w:sz w:val="14"/>
                <w:szCs w:val="14"/>
              </w:rPr>
              <w:t>12</w:t>
            </w:r>
          </w:p>
        </w:tc>
        <w:tc>
          <w:tcPr>
            <w:tcW w:w="235" w:type="pct"/>
            <w:tcBorders>
              <w:top w:val="nil"/>
              <w:left w:val="nil"/>
              <w:bottom w:val="single" w:sz="4" w:space="0" w:color="auto"/>
              <w:right w:val="single" w:sz="8" w:space="0" w:color="auto"/>
            </w:tcBorders>
            <w:shd w:val="clear" w:color="auto" w:fill="auto"/>
            <w:noWrap/>
            <w:vAlign w:val="bottom"/>
            <w:hideMark/>
          </w:tcPr>
          <w:p w14:paraId="083CBE1C" w14:textId="77777777" w:rsidR="007C7712" w:rsidRPr="00F23594" w:rsidRDefault="007C7712" w:rsidP="007C7712">
            <w:pPr>
              <w:jc w:val="right"/>
              <w:rPr>
                <w:sz w:val="14"/>
                <w:szCs w:val="14"/>
              </w:rPr>
            </w:pPr>
            <w:r w:rsidRPr="00F23594">
              <w:rPr>
                <w:sz w:val="14"/>
                <w:szCs w:val="14"/>
              </w:rPr>
              <w:t>19</w:t>
            </w:r>
          </w:p>
        </w:tc>
        <w:tc>
          <w:tcPr>
            <w:tcW w:w="299" w:type="pct"/>
            <w:tcBorders>
              <w:top w:val="nil"/>
              <w:left w:val="nil"/>
              <w:bottom w:val="single" w:sz="4" w:space="0" w:color="auto"/>
              <w:right w:val="single" w:sz="4" w:space="0" w:color="auto"/>
            </w:tcBorders>
            <w:shd w:val="clear" w:color="auto" w:fill="auto"/>
            <w:noWrap/>
            <w:vAlign w:val="bottom"/>
            <w:hideMark/>
          </w:tcPr>
          <w:p w14:paraId="1D55EA4D"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040A534F" w14:textId="11F4AEF8" w:rsidR="007C7712" w:rsidRPr="00F23594" w:rsidRDefault="007C7712" w:rsidP="007C7712">
            <w:pPr>
              <w:jc w:val="right"/>
              <w:rPr>
                <w:sz w:val="14"/>
                <w:szCs w:val="14"/>
              </w:rPr>
            </w:pPr>
            <w:r w:rsidRPr="00F23594">
              <w:rPr>
                <w:sz w:val="14"/>
                <w:szCs w:val="14"/>
              </w:rPr>
              <w:t>10</w:t>
            </w:r>
          </w:p>
        </w:tc>
        <w:tc>
          <w:tcPr>
            <w:tcW w:w="235" w:type="pct"/>
            <w:tcBorders>
              <w:top w:val="nil"/>
              <w:left w:val="nil"/>
              <w:bottom w:val="single" w:sz="4" w:space="0" w:color="auto"/>
              <w:right w:val="single" w:sz="4" w:space="0" w:color="auto"/>
            </w:tcBorders>
            <w:shd w:val="clear" w:color="auto" w:fill="auto"/>
            <w:noWrap/>
            <w:vAlign w:val="bottom"/>
            <w:hideMark/>
          </w:tcPr>
          <w:p w14:paraId="1B2AAE2E" w14:textId="77777777" w:rsidR="007C7712" w:rsidRPr="00F23594" w:rsidRDefault="007C7712" w:rsidP="007C7712">
            <w:pPr>
              <w:jc w:val="right"/>
              <w:rPr>
                <w:sz w:val="14"/>
                <w:szCs w:val="14"/>
              </w:rPr>
            </w:pPr>
            <w:r w:rsidRPr="00F23594">
              <w:rPr>
                <w:sz w:val="14"/>
                <w:szCs w:val="14"/>
              </w:rPr>
              <w:t>13</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4F68E231"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05BA5695" w14:textId="79EF1338" w:rsidR="007C7712" w:rsidRPr="00F23594" w:rsidRDefault="007C7712" w:rsidP="007C7712">
            <w:pPr>
              <w:jc w:val="right"/>
              <w:rPr>
                <w:sz w:val="14"/>
                <w:szCs w:val="14"/>
              </w:rPr>
            </w:pPr>
            <w:r w:rsidRPr="00F23594">
              <w:rPr>
                <w:sz w:val="14"/>
                <w:szCs w:val="14"/>
              </w:rPr>
              <w:t>2,00</w:t>
            </w:r>
          </w:p>
        </w:tc>
        <w:tc>
          <w:tcPr>
            <w:tcW w:w="235" w:type="pct"/>
            <w:tcBorders>
              <w:top w:val="nil"/>
              <w:left w:val="nil"/>
              <w:bottom w:val="single" w:sz="4" w:space="0" w:color="auto"/>
              <w:right w:val="single" w:sz="8" w:space="0" w:color="auto"/>
            </w:tcBorders>
            <w:shd w:val="clear" w:color="auto" w:fill="auto"/>
            <w:noWrap/>
            <w:vAlign w:val="bottom"/>
            <w:hideMark/>
          </w:tcPr>
          <w:p w14:paraId="5898515E" w14:textId="77777777" w:rsidR="007C7712" w:rsidRPr="00F23594" w:rsidRDefault="007C7712" w:rsidP="007C7712">
            <w:pPr>
              <w:jc w:val="right"/>
              <w:rPr>
                <w:sz w:val="14"/>
                <w:szCs w:val="14"/>
              </w:rPr>
            </w:pPr>
            <w:r w:rsidRPr="00F23594">
              <w:rPr>
                <w:sz w:val="14"/>
                <w:szCs w:val="14"/>
              </w:rPr>
              <w:t>4</w:t>
            </w:r>
          </w:p>
        </w:tc>
        <w:tc>
          <w:tcPr>
            <w:tcW w:w="299" w:type="pct"/>
            <w:tcBorders>
              <w:top w:val="nil"/>
              <w:left w:val="nil"/>
              <w:bottom w:val="single" w:sz="4" w:space="0" w:color="auto"/>
              <w:right w:val="single" w:sz="4" w:space="0" w:color="auto"/>
            </w:tcBorders>
            <w:shd w:val="clear" w:color="auto" w:fill="auto"/>
            <w:noWrap/>
            <w:vAlign w:val="bottom"/>
            <w:hideMark/>
          </w:tcPr>
          <w:p w14:paraId="667668AD"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679A9368" w14:textId="6232E5E1" w:rsidR="007C7712" w:rsidRPr="00F23594" w:rsidRDefault="007C7712" w:rsidP="007C7712">
            <w:pPr>
              <w:jc w:val="right"/>
              <w:rPr>
                <w:sz w:val="14"/>
                <w:szCs w:val="14"/>
              </w:rPr>
            </w:pPr>
            <w:r w:rsidRPr="00F23594">
              <w:rPr>
                <w:sz w:val="14"/>
                <w:szCs w:val="14"/>
              </w:rPr>
              <w:t>20,00</w:t>
            </w:r>
          </w:p>
        </w:tc>
        <w:tc>
          <w:tcPr>
            <w:tcW w:w="242" w:type="pct"/>
            <w:tcBorders>
              <w:top w:val="nil"/>
              <w:left w:val="nil"/>
              <w:bottom w:val="single" w:sz="4" w:space="0" w:color="auto"/>
              <w:right w:val="single" w:sz="8" w:space="0" w:color="auto"/>
            </w:tcBorders>
            <w:shd w:val="clear" w:color="auto" w:fill="auto"/>
            <w:noWrap/>
            <w:vAlign w:val="bottom"/>
            <w:hideMark/>
          </w:tcPr>
          <w:p w14:paraId="3015DF77" w14:textId="77777777" w:rsidR="007C7712" w:rsidRPr="00F23594" w:rsidRDefault="007C7712" w:rsidP="007C7712">
            <w:pPr>
              <w:jc w:val="right"/>
              <w:rPr>
                <w:sz w:val="14"/>
                <w:szCs w:val="14"/>
              </w:rPr>
            </w:pPr>
            <w:r w:rsidRPr="00F23594">
              <w:rPr>
                <w:sz w:val="14"/>
                <w:szCs w:val="14"/>
              </w:rPr>
              <w:t>10</w:t>
            </w:r>
          </w:p>
        </w:tc>
      </w:tr>
      <w:tr w:rsidR="007C7712" w:rsidRPr="00375189" w14:paraId="46E53B31"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468341D0" w14:textId="77777777" w:rsidR="007C7712" w:rsidRPr="00375189" w:rsidRDefault="007C7712" w:rsidP="007C7712">
            <w:pPr>
              <w:rPr>
                <w:sz w:val="16"/>
                <w:szCs w:val="16"/>
              </w:rPr>
            </w:pPr>
            <w:r w:rsidRPr="00375189">
              <w:rPr>
                <w:sz w:val="16"/>
                <w:szCs w:val="16"/>
              </w:rPr>
              <w:t>Пазарджик</w:t>
            </w:r>
          </w:p>
        </w:tc>
        <w:tc>
          <w:tcPr>
            <w:tcW w:w="299" w:type="pct"/>
            <w:tcBorders>
              <w:top w:val="nil"/>
              <w:left w:val="nil"/>
              <w:bottom w:val="single" w:sz="4" w:space="0" w:color="auto"/>
              <w:right w:val="single" w:sz="4" w:space="0" w:color="auto"/>
            </w:tcBorders>
            <w:shd w:val="clear" w:color="auto" w:fill="auto"/>
            <w:noWrap/>
            <w:vAlign w:val="bottom"/>
            <w:hideMark/>
          </w:tcPr>
          <w:p w14:paraId="34809CA2"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4505C50C" w14:textId="634814C5" w:rsidR="007C7712" w:rsidRPr="00F23594" w:rsidRDefault="007C7712" w:rsidP="007C7712">
            <w:pPr>
              <w:jc w:val="right"/>
              <w:rPr>
                <w:sz w:val="14"/>
                <w:szCs w:val="14"/>
              </w:rPr>
            </w:pPr>
            <w:r w:rsidRPr="00F23594">
              <w:rPr>
                <w:sz w:val="14"/>
                <w:szCs w:val="14"/>
              </w:rPr>
              <w:t>39</w:t>
            </w:r>
          </w:p>
        </w:tc>
        <w:tc>
          <w:tcPr>
            <w:tcW w:w="235" w:type="pct"/>
            <w:tcBorders>
              <w:top w:val="nil"/>
              <w:left w:val="nil"/>
              <w:bottom w:val="single" w:sz="4" w:space="0" w:color="auto"/>
              <w:right w:val="single" w:sz="4" w:space="0" w:color="auto"/>
            </w:tcBorders>
            <w:shd w:val="clear" w:color="auto" w:fill="auto"/>
            <w:noWrap/>
            <w:vAlign w:val="bottom"/>
            <w:hideMark/>
          </w:tcPr>
          <w:p w14:paraId="0965412B" w14:textId="77777777" w:rsidR="007C7712" w:rsidRPr="00F23594" w:rsidRDefault="007C7712" w:rsidP="007C7712">
            <w:pPr>
              <w:jc w:val="right"/>
              <w:rPr>
                <w:sz w:val="14"/>
                <w:szCs w:val="14"/>
              </w:rPr>
            </w:pPr>
            <w:r w:rsidRPr="00F23594">
              <w:rPr>
                <w:sz w:val="14"/>
                <w:szCs w:val="14"/>
              </w:rPr>
              <w:t>39</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0C81C001"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68AF8E5F" w14:textId="5C986309" w:rsidR="007C7712" w:rsidRPr="00F23594" w:rsidRDefault="007C7712" w:rsidP="007C7712">
            <w:pPr>
              <w:jc w:val="right"/>
              <w:rPr>
                <w:sz w:val="14"/>
                <w:szCs w:val="14"/>
              </w:rPr>
            </w:pPr>
            <w:r w:rsidRPr="00F23594">
              <w:rPr>
                <w:sz w:val="14"/>
                <w:szCs w:val="14"/>
              </w:rPr>
              <w:t>22</w:t>
            </w:r>
          </w:p>
        </w:tc>
        <w:tc>
          <w:tcPr>
            <w:tcW w:w="235" w:type="pct"/>
            <w:tcBorders>
              <w:top w:val="nil"/>
              <w:left w:val="nil"/>
              <w:bottom w:val="single" w:sz="4" w:space="0" w:color="auto"/>
              <w:right w:val="single" w:sz="8" w:space="0" w:color="auto"/>
            </w:tcBorders>
            <w:shd w:val="clear" w:color="auto" w:fill="auto"/>
            <w:noWrap/>
            <w:vAlign w:val="bottom"/>
            <w:hideMark/>
          </w:tcPr>
          <w:p w14:paraId="31F5D291" w14:textId="77777777" w:rsidR="007C7712" w:rsidRPr="00F23594" w:rsidRDefault="007C7712" w:rsidP="007C7712">
            <w:pPr>
              <w:jc w:val="right"/>
              <w:rPr>
                <w:sz w:val="14"/>
                <w:szCs w:val="14"/>
              </w:rPr>
            </w:pPr>
            <w:r w:rsidRPr="00F23594">
              <w:rPr>
                <w:sz w:val="14"/>
                <w:szCs w:val="14"/>
              </w:rPr>
              <w:t>11</w:t>
            </w:r>
          </w:p>
        </w:tc>
        <w:tc>
          <w:tcPr>
            <w:tcW w:w="299" w:type="pct"/>
            <w:tcBorders>
              <w:top w:val="nil"/>
              <w:left w:val="nil"/>
              <w:bottom w:val="single" w:sz="4" w:space="0" w:color="auto"/>
              <w:right w:val="single" w:sz="4" w:space="0" w:color="auto"/>
            </w:tcBorders>
            <w:shd w:val="clear" w:color="auto" w:fill="auto"/>
            <w:noWrap/>
            <w:vAlign w:val="bottom"/>
            <w:hideMark/>
          </w:tcPr>
          <w:p w14:paraId="3E9BC869"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796445C6" w14:textId="720C905E" w:rsidR="007C7712" w:rsidRPr="00F23594" w:rsidRDefault="007C7712" w:rsidP="007C7712">
            <w:pPr>
              <w:jc w:val="right"/>
              <w:rPr>
                <w:sz w:val="14"/>
                <w:szCs w:val="14"/>
              </w:rPr>
            </w:pPr>
            <w:r w:rsidRPr="00F23594">
              <w:rPr>
                <w:sz w:val="14"/>
                <w:szCs w:val="14"/>
              </w:rPr>
              <w:t>10</w:t>
            </w:r>
          </w:p>
        </w:tc>
        <w:tc>
          <w:tcPr>
            <w:tcW w:w="235" w:type="pct"/>
            <w:tcBorders>
              <w:top w:val="nil"/>
              <w:left w:val="nil"/>
              <w:bottom w:val="single" w:sz="4" w:space="0" w:color="auto"/>
              <w:right w:val="single" w:sz="4" w:space="0" w:color="auto"/>
            </w:tcBorders>
            <w:shd w:val="clear" w:color="auto" w:fill="auto"/>
            <w:noWrap/>
            <w:vAlign w:val="bottom"/>
            <w:hideMark/>
          </w:tcPr>
          <w:p w14:paraId="16D5B0C6" w14:textId="77777777" w:rsidR="007C7712" w:rsidRPr="00F23594" w:rsidRDefault="007C7712" w:rsidP="007C7712">
            <w:pPr>
              <w:jc w:val="right"/>
              <w:rPr>
                <w:sz w:val="14"/>
                <w:szCs w:val="14"/>
              </w:rPr>
            </w:pPr>
            <w:r w:rsidRPr="00F23594">
              <w:rPr>
                <w:sz w:val="14"/>
                <w:szCs w:val="14"/>
              </w:rPr>
              <w:t>3</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1EEB4884"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4349A65A" w14:textId="063D510F" w:rsidR="007C7712" w:rsidRPr="00F23594" w:rsidRDefault="007C7712" w:rsidP="007C7712">
            <w:pPr>
              <w:jc w:val="right"/>
              <w:rPr>
                <w:sz w:val="14"/>
                <w:szCs w:val="14"/>
              </w:rPr>
            </w:pPr>
            <w:r w:rsidRPr="00F23594">
              <w:rPr>
                <w:sz w:val="14"/>
                <w:szCs w:val="14"/>
              </w:rPr>
              <w:t>10,00</w:t>
            </w:r>
          </w:p>
        </w:tc>
        <w:tc>
          <w:tcPr>
            <w:tcW w:w="235" w:type="pct"/>
            <w:tcBorders>
              <w:top w:val="nil"/>
              <w:left w:val="nil"/>
              <w:bottom w:val="single" w:sz="4" w:space="0" w:color="auto"/>
              <w:right w:val="single" w:sz="8" w:space="0" w:color="auto"/>
            </w:tcBorders>
            <w:shd w:val="clear" w:color="auto" w:fill="auto"/>
            <w:noWrap/>
            <w:vAlign w:val="bottom"/>
            <w:hideMark/>
          </w:tcPr>
          <w:p w14:paraId="7B7F9F96" w14:textId="77777777" w:rsidR="007C7712" w:rsidRPr="00F23594" w:rsidRDefault="007C7712" w:rsidP="007C7712">
            <w:pPr>
              <w:jc w:val="right"/>
              <w:rPr>
                <w:sz w:val="14"/>
                <w:szCs w:val="14"/>
              </w:rPr>
            </w:pPr>
            <w:r w:rsidRPr="00F23594">
              <w:rPr>
                <w:sz w:val="14"/>
                <w:szCs w:val="14"/>
              </w:rPr>
              <w:t>6</w:t>
            </w:r>
          </w:p>
        </w:tc>
        <w:tc>
          <w:tcPr>
            <w:tcW w:w="299" w:type="pct"/>
            <w:tcBorders>
              <w:top w:val="nil"/>
              <w:left w:val="nil"/>
              <w:bottom w:val="single" w:sz="4" w:space="0" w:color="auto"/>
              <w:right w:val="single" w:sz="4" w:space="0" w:color="auto"/>
            </w:tcBorders>
            <w:shd w:val="clear" w:color="auto" w:fill="auto"/>
            <w:noWrap/>
            <w:vAlign w:val="bottom"/>
            <w:hideMark/>
          </w:tcPr>
          <w:p w14:paraId="6A1A35FA"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0A9594A9" w14:textId="6CB17867" w:rsidR="007C7712" w:rsidRPr="00F23594" w:rsidRDefault="007C7712" w:rsidP="007C7712">
            <w:pPr>
              <w:jc w:val="right"/>
              <w:rPr>
                <w:sz w:val="14"/>
                <w:szCs w:val="14"/>
              </w:rPr>
            </w:pPr>
            <w:r w:rsidRPr="00F23594">
              <w:rPr>
                <w:sz w:val="14"/>
                <w:szCs w:val="14"/>
              </w:rPr>
              <w:t>300,00</w:t>
            </w:r>
          </w:p>
        </w:tc>
        <w:tc>
          <w:tcPr>
            <w:tcW w:w="242" w:type="pct"/>
            <w:tcBorders>
              <w:top w:val="nil"/>
              <w:left w:val="nil"/>
              <w:bottom w:val="single" w:sz="4" w:space="0" w:color="auto"/>
              <w:right w:val="single" w:sz="8" w:space="0" w:color="auto"/>
            </w:tcBorders>
            <w:shd w:val="clear" w:color="auto" w:fill="auto"/>
            <w:noWrap/>
            <w:vAlign w:val="bottom"/>
            <w:hideMark/>
          </w:tcPr>
          <w:p w14:paraId="2774CCE5" w14:textId="77777777" w:rsidR="007C7712" w:rsidRPr="00F23594" w:rsidRDefault="007C7712" w:rsidP="007C7712">
            <w:pPr>
              <w:jc w:val="right"/>
              <w:rPr>
                <w:sz w:val="14"/>
                <w:szCs w:val="14"/>
              </w:rPr>
            </w:pPr>
            <w:r w:rsidRPr="00F23594">
              <w:rPr>
                <w:sz w:val="14"/>
                <w:szCs w:val="14"/>
              </w:rPr>
              <w:t>104</w:t>
            </w:r>
          </w:p>
        </w:tc>
      </w:tr>
      <w:tr w:rsidR="007C7712" w:rsidRPr="00375189" w14:paraId="781E35B1"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631CA402" w14:textId="77777777" w:rsidR="007C7712" w:rsidRPr="00375189" w:rsidRDefault="007C7712" w:rsidP="007C7712">
            <w:pPr>
              <w:rPr>
                <w:sz w:val="16"/>
                <w:szCs w:val="16"/>
              </w:rPr>
            </w:pPr>
            <w:r w:rsidRPr="00375189">
              <w:rPr>
                <w:sz w:val="16"/>
                <w:szCs w:val="16"/>
              </w:rPr>
              <w:t>Перник</w:t>
            </w:r>
          </w:p>
        </w:tc>
        <w:tc>
          <w:tcPr>
            <w:tcW w:w="299" w:type="pct"/>
            <w:tcBorders>
              <w:top w:val="nil"/>
              <w:left w:val="nil"/>
              <w:bottom w:val="single" w:sz="4" w:space="0" w:color="auto"/>
              <w:right w:val="single" w:sz="4" w:space="0" w:color="auto"/>
            </w:tcBorders>
            <w:shd w:val="clear" w:color="auto" w:fill="auto"/>
            <w:noWrap/>
            <w:vAlign w:val="bottom"/>
            <w:hideMark/>
          </w:tcPr>
          <w:p w14:paraId="5CCCDF6E"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3AA45EB8" w14:textId="5DF030AC" w:rsidR="007C7712" w:rsidRPr="00F23594" w:rsidRDefault="007C7712" w:rsidP="007C7712">
            <w:pPr>
              <w:jc w:val="right"/>
              <w:rPr>
                <w:sz w:val="14"/>
                <w:szCs w:val="14"/>
              </w:rPr>
            </w:pPr>
            <w:r w:rsidRPr="00F23594">
              <w:rPr>
                <w:sz w:val="14"/>
                <w:szCs w:val="14"/>
              </w:rPr>
              <w:t>29</w:t>
            </w:r>
          </w:p>
        </w:tc>
        <w:tc>
          <w:tcPr>
            <w:tcW w:w="235" w:type="pct"/>
            <w:tcBorders>
              <w:top w:val="nil"/>
              <w:left w:val="nil"/>
              <w:bottom w:val="single" w:sz="4" w:space="0" w:color="auto"/>
              <w:right w:val="single" w:sz="4" w:space="0" w:color="auto"/>
            </w:tcBorders>
            <w:shd w:val="clear" w:color="auto" w:fill="auto"/>
            <w:noWrap/>
            <w:vAlign w:val="bottom"/>
            <w:hideMark/>
          </w:tcPr>
          <w:p w14:paraId="4ED297ED" w14:textId="77777777" w:rsidR="007C7712" w:rsidRPr="00F23594" w:rsidRDefault="007C7712" w:rsidP="007C7712">
            <w:pPr>
              <w:jc w:val="right"/>
              <w:rPr>
                <w:sz w:val="14"/>
                <w:szCs w:val="14"/>
              </w:rPr>
            </w:pPr>
            <w:r w:rsidRPr="00F23594">
              <w:rPr>
                <w:sz w:val="14"/>
                <w:szCs w:val="14"/>
              </w:rPr>
              <w:t>29</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001B4C33"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3246DFA0" w14:textId="1E23535A" w:rsidR="007C7712" w:rsidRPr="00F23594" w:rsidRDefault="007C7712" w:rsidP="007C7712">
            <w:pPr>
              <w:jc w:val="right"/>
              <w:rPr>
                <w:sz w:val="14"/>
                <w:szCs w:val="14"/>
              </w:rPr>
            </w:pPr>
            <w:r w:rsidRPr="00F23594">
              <w:rPr>
                <w:sz w:val="14"/>
                <w:szCs w:val="14"/>
              </w:rPr>
              <w:t>12</w:t>
            </w:r>
          </w:p>
        </w:tc>
        <w:tc>
          <w:tcPr>
            <w:tcW w:w="235" w:type="pct"/>
            <w:tcBorders>
              <w:top w:val="nil"/>
              <w:left w:val="nil"/>
              <w:bottom w:val="single" w:sz="4" w:space="0" w:color="auto"/>
              <w:right w:val="single" w:sz="8" w:space="0" w:color="auto"/>
            </w:tcBorders>
            <w:shd w:val="clear" w:color="auto" w:fill="auto"/>
            <w:noWrap/>
            <w:vAlign w:val="bottom"/>
            <w:hideMark/>
          </w:tcPr>
          <w:p w14:paraId="63FDBF36" w14:textId="77777777" w:rsidR="007C7712" w:rsidRPr="00F23594" w:rsidRDefault="007C7712" w:rsidP="007C7712">
            <w:pPr>
              <w:jc w:val="right"/>
              <w:rPr>
                <w:sz w:val="14"/>
                <w:szCs w:val="14"/>
              </w:rPr>
            </w:pPr>
            <w:r w:rsidRPr="00F23594">
              <w:rPr>
                <w:sz w:val="14"/>
                <w:szCs w:val="14"/>
              </w:rPr>
              <w:t>6</w:t>
            </w:r>
          </w:p>
        </w:tc>
        <w:tc>
          <w:tcPr>
            <w:tcW w:w="299" w:type="pct"/>
            <w:tcBorders>
              <w:top w:val="nil"/>
              <w:left w:val="nil"/>
              <w:bottom w:val="single" w:sz="4" w:space="0" w:color="auto"/>
              <w:right w:val="single" w:sz="4" w:space="0" w:color="auto"/>
            </w:tcBorders>
            <w:shd w:val="clear" w:color="auto" w:fill="auto"/>
            <w:noWrap/>
            <w:vAlign w:val="bottom"/>
            <w:hideMark/>
          </w:tcPr>
          <w:p w14:paraId="189D6ACA"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6A1677A2" w14:textId="3B84DAE4" w:rsidR="007C7712" w:rsidRPr="00F23594" w:rsidRDefault="007C7712" w:rsidP="007C7712">
            <w:pPr>
              <w:jc w:val="right"/>
              <w:rPr>
                <w:sz w:val="14"/>
                <w:szCs w:val="14"/>
              </w:rPr>
            </w:pPr>
            <w:r w:rsidRPr="00F23594">
              <w:rPr>
                <w:sz w:val="14"/>
                <w:szCs w:val="14"/>
              </w:rPr>
              <w:t>10</w:t>
            </w:r>
          </w:p>
        </w:tc>
        <w:tc>
          <w:tcPr>
            <w:tcW w:w="235" w:type="pct"/>
            <w:tcBorders>
              <w:top w:val="nil"/>
              <w:left w:val="nil"/>
              <w:bottom w:val="single" w:sz="4" w:space="0" w:color="auto"/>
              <w:right w:val="single" w:sz="4" w:space="0" w:color="auto"/>
            </w:tcBorders>
            <w:shd w:val="clear" w:color="auto" w:fill="auto"/>
            <w:noWrap/>
            <w:vAlign w:val="bottom"/>
            <w:hideMark/>
          </w:tcPr>
          <w:p w14:paraId="7AF88127" w14:textId="77777777" w:rsidR="007C7712" w:rsidRPr="00F23594" w:rsidRDefault="007C7712" w:rsidP="007C7712">
            <w:pPr>
              <w:jc w:val="right"/>
              <w:rPr>
                <w:sz w:val="14"/>
                <w:szCs w:val="14"/>
              </w:rPr>
            </w:pPr>
            <w:r w:rsidRPr="00F23594">
              <w:rPr>
                <w:sz w:val="14"/>
                <w:szCs w:val="14"/>
              </w:rPr>
              <w:t>13</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2A7FA650"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7E1C0953" w14:textId="43C35E84" w:rsidR="007C7712" w:rsidRPr="00F23594" w:rsidRDefault="007C7712" w:rsidP="007C7712">
            <w:pPr>
              <w:jc w:val="right"/>
              <w:rPr>
                <w:sz w:val="14"/>
                <w:szCs w:val="14"/>
              </w:rPr>
            </w:pPr>
            <w:r w:rsidRPr="00F23594">
              <w:rPr>
                <w:sz w:val="14"/>
                <w:szCs w:val="14"/>
              </w:rPr>
              <w:t>5,00</w:t>
            </w:r>
          </w:p>
        </w:tc>
        <w:tc>
          <w:tcPr>
            <w:tcW w:w="235" w:type="pct"/>
            <w:tcBorders>
              <w:top w:val="nil"/>
              <w:left w:val="nil"/>
              <w:bottom w:val="single" w:sz="4" w:space="0" w:color="auto"/>
              <w:right w:val="single" w:sz="8" w:space="0" w:color="auto"/>
            </w:tcBorders>
            <w:shd w:val="clear" w:color="auto" w:fill="auto"/>
            <w:noWrap/>
            <w:vAlign w:val="bottom"/>
            <w:hideMark/>
          </w:tcPr>
          <w:p w14:paraId="149EB32F" w14:textId="77777777" w:rsidR="007C7712" w:rsidRPr="00F23594" w:rsidRDefault="007C7712" w:rsidP="007C7712">
            <w:pPr>
              <w:jc w:val="right"/>
              <w:rPr>
                <w:sz w:val="14"/>
                <w:szCs w:val="14"/>
              </w:rPr>
            </w:pPr>
            <w:r w:rsidRPr="00F23594">
              <w:rPr>
                <w:sz w:val="14"/>
                <w:szCs w:val="14"/>
              </w:rPr>
              <w:t>1</w:t>
            </w:r>
          </w:p>
        </w:tc>
        <w:tc>
          <w:tcPr>
            <w:tcW w:w="299" w:type="pct"/>
            <w:tcBorders>
              <w:top w:val="nil"/>
              <w:left w:val="nil"/>
              <w:bottom w:val="single" w:sz="4" w:space="0" w:color="auto"/>
              <w:right w:val="single" w:sz="4" w:space="0" w:color="auto"/>
            </w:tcBorders>
            <w:shd w:val="clear" w:color="auto" w:fill="auto"/>
            <w:noWrap/>
            <w:vAlign w:val="bottom"/>
            <w:hideMark/>
          </w:tcPr>
          <w:p w14:paraId="274CD9A2"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4A45E13C" w14:textId="0CE02A31" w:rsidR="007C7712" w:rsidRPr="00F23594" w:rsidRDefault="007C7712" w:rsidP="007C7712">
            <w:pPr>
              <w:jc w:val="right"/>
              <w:rPr>
                <w:sz w:val="14"/>
                <w:szCs w:val="14"/>
              </w:rPr>
            </w:pPr>
            <w:r w:rsidRPr="00F23594">
              <w:rPr>
                <w:sz w:val="14"/>
                <w:szCs w:val="14"/>
              </w:rPr>
              <w:t>400,00</w:t>
            </w:r>
          </w:p>
        </w:tc>
        <w:tc>
          <w:tcPr>
            <w:tcW w:w="242" w:type="pct"/>
            <w:tcBorders>
              <w:top w:val="nil"/>
              <w:left w:val="nil"/>
              <w:bottom w:val="single" w:sz="4" w:space="0" w:color="auto"/>
              <w:right w:val="single" w:sz="8" w:space="0" w:color="auto"/>
            </w:tcBorders>
            <w:shd w:val="clear" w:color="auto" w:fill="auto"/>
            <w:noWrap/>
            <w:vAlign w:val="bottom"/>
            <w:hideMark/>
          </w:tcPr>
          <w:p w14:paraId="75DE9C47" w14:textId="77777777" w:rsidR="007C7712" w:rsidRPr="00F23594" w:rsidRDefault="007C7712" w:rsidP="007C7712">
            <w:pPr>
              <w:jc w:val="right"/>
              <w:rPr>
                <w:sz w:val="14"/>
                <w:szCs w:val="14"/>
              </w:rPr>
            </w:pPr>
            <w:r w:rsidRPr="00F23594">
              <w:rPr>
                <w:sz w:val="14"/>
                <w:szCs w:val="14"/>
              </w:rPr>
              <w:t>56</w:t>
            </w:r>
          </w:p>
        </w:tc>
      </w:tr>
      <w:tr w:rsidR="007C7712" w:rsidRPr="00375189" w14:paraId="50316A76"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39FEC8B4" w14:textId="77777777" w:rsidR="007C7712" w:rsidRPr="00375189" w:rsidRDefault="007C7712" w:rsidP="007C7712">
            <w:pPr>
              <w:rPr>
                <w:sz w:val="16"/>
                <w:szCs w:val="16"/>
              </w:rPr>
            </w:pPr>
            <w:r w:rsidRPr="00375189">
              <w:rPr>
                <w:sz w:val="16"/>
                <w:szCs w:val="16"/>
              </w:rPr>
              <w:t>Плевен</w:t>
            </w:r>
          </w:p>
        </w:tc>
        <w:tc>
          <w:tcPr>
            <w:tcW w:w="299" w:type="pct"/>
            <w:tcBorders>
              <w:top w:val="nil"/>
              <w:left w:val="nil"/>
              <w:bottom w:val="single" w:sz="4" w:space="0" w:color="auto"/>
              <w:right w:val="single" w:sz="4" w:space="0" w:color="auto"/>
            </w:tcBorders>
            <w:shd w:val="clear" w:color="auto" w:fill="auto"/>
            <w:noWrap/>
            <w:vAlign w:val="bottom"/>
            <w:hideMark/>
          </w:tcPr>
          <w:p w14:paraId="7E666F8A"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3AD1EC48" w14:textId="18AD946A" w:rsidR="007C7712" w:rsidRPr="00F23594" w:rsidRDefault="007C7712" w:rsidP="007C7712">
            <w:pPr>
              <w:jc w:val="right"/>
              <w:rPr>
                <w:sz w:val="14"/>
                <w:szCs w:val="14"/>
              </w:rPr>
            </w:pPr>
            <w:r w:rsidRPr="00F23594">
              <w:rPr>
                <w:sz w:val="14"/>
                <w:szCs w:val="14"/>
              </w:rPr>
              <w:t>53</w:t>
            </w:r>
          </w:p>
        </w:tc>
        <w:tc>
          <w:tcPr>
            <w:tcW w:w="235" w:type="pct"/>
            <w:tcBorders>
              <w:top w:val="nil"/>
              <w:left w:val="nil"/>
              <w:bottom w:val="single" w:sz="4" w:space="0" w:color="auto"/>
              <w:right w:val="nil"/>
            </w:tcBorders>
            <w:shd w:val="clear" w:color="auto" w:fill="auto"/>
            <w:noWrap/>
            <w:vAlign w:val="bottom"/>
            <w:hideMark/>
          </w:tcPr>
          <w:p w14:paraId="22625668" w14:textId="77777777" w:rsidR="007C7712" w:rsidRPr="00F23594" w:rsidRDefault="007C7712" w:rsidP="007C7712">
            <w:pPr>
              <w:jc w:val="right"/>
              <w:rPr>
                <w:sz w:val="14"/>
                <w:szCs w:val="14"/>
              </w:rPr>
            </w:pPr>
            <w:r w:rsidRPr="00F23594">
              <w:rPr>
                <w:sz w:val="14"/>
                <w:szCs w:val="14"/>
              </w:rPr>
              <w:t>53</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31999BDD"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6CFD3D15" w14:textId="0554BB26" w:rsidR="007C7712" w:rsidRPr="00F23594" w:rsidRDefault="007C7712" w:rsidP="007C7712">
            <w:pPr>
              <w:jc w:val="right"/>
              <w:rPr>
                <w:sz w:val="14"/>
                <w:szCs w:val="14"/>
              </w:rPr>
            </w:pPr>
            <w:r w:rsidRPr="00F23594">
              <w:rPr>
                <w:sz w:val="14"/>
                <w:szCs w:val="14"/>
              </w:rPr>
              <w:t>2</w:t>
            </w:r>
          </w:p>
        </w:tc>
        <w:tc>
          <w:tcPr>
            <w:tcW w:w="235" w:type="pct"/>
            <w:tcBorders>
              <w:top w:val="nil"/>
              <w:left w:val="nil"/>
              <w:bottom w:val="single" w:sz="4" w:space="0" w:color="auto"/>
              <w:right w:val="single" w:sz="8" w:space="0" w:color="auto"/>
            </w:tcBorders>
            <w:shd w:val="clear" w:color="auto" w:fill="auto"/>
            <w:noWrap/>
            <w:vAlign w:val="bottom"/>
            <w:hideMark/>
          </w:tcPr>
          <w:p w14:paraId="4A1D39A0" w14:textId="77777777" w:rsidR="007C7712" w:rsidRPr="00F23594" w:rsidRDefault="007C7712" w:rsidP="007C7712">
            <w:pPr>
              <w:jc w:val="right"/>
              <w:rPr>
                <w:sz w:val="14"/>
                <w:szCs w:val="14"/>
              </w:rPr>
            </w:pPr>
            <w:r w:rsidRPr="00F23594">
              <w:rPr>
                <w:sz w:val="14"/>
                <w:szCs w:val="14"/>
              </w:rPr>
              <w:t>1</w:t>
            </w:r>
          </w:p>
        </w:tc>
        <w:tc>
          <w:tcPr>
            <w:tcW w:w="299" w:type="pct"/>
            <w:tcBorders>
              <w:top w:val="nil"/>
              <w:left w:val="nil"/>
              <w:bottom w:val="single" w:sz="4" w:space="0" w:color="auto"/>
              <w:right w:val="single" w:sz="4" w:space="0" w:color="auto"/>
            </w:tcBorders>
            <w:shd w:val="clear" w:color="auto" w:fill="auto"/>
            <w:noWrap/>
            <w:vAlign w:val="bottom"/>
            <w:hideMark/>
          </w:tcPr>
          <w:p w14:paraId="5E3897A6"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3C1EA40E" w14:textId="6B64B7AE" w:rsidR="007C7712" w:rsidRPr="00F23594" w:rsidRDefault="007C7712" w:rsidP="007C7712">
            <w:pPr>
              <w:jc w:val="right"/>
              <w:rPr>
                <w:sz w:val="14"/>
                <w:szCs w:val="14"/>
              </w:rPr>
            </w:pPr>
            <w:r w:rsidRPr="00F23594">
              <w:rPr>
                <w:sz w:val="14"/>
                <w:szCs w:val="14"/>
              </w:rPr>
              <w:t>40</w:t>
            </w:r>
          </w:p>
        </w:tc>
        <w:tc>
          <w:tcPr>
            <w:tcW w:w="235" w:type="pct"/>
            <w:tcBorders>
              <w:top w:val="nil"/>
              <w:left w:val="nil"/>
              <w:bottom w:val="single" w:sz="4" w:space="0" w:color="auto"/>
              <w:right w:val="nil"/>
            </w:tcBorders>
            <w:shd w:val="clear" w:color="auto" w:fill="auto"/>
            <w:noWrap/>
            <w:vAlign w:val="bottom"/>
            <w:hideMark/>
          </w:tcPr>
          <w:p w14:paraId="7E888460" w14:textId="77777777" w:rsidR="007C7712" w:rsidRPr="00F23594" w:rsidRDefault="007C7712" w:rsidP="007C7712">
            <w:pPr>
              <w:jc w:val="right"/>
              <w:rPr>
                <w:sz w:val="14"/>
                <w:szCs w:val="14"/>
              </w:rPr>
            </w:pPr>
            <w:r w:rsidRPr="00F23594">
              <w:rPr>
                <w:sz w:val="14"/>
                <w:szCs w:val="14"/>
              </w:rPr>
              <w:t>11</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564B482A"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211C65AD" w14:textId="61C4BC42" w:rsidR="007C7712" w:rsidRPr="00F23594" w:rsidRDefault="007C7712" w:rsidP="007C7712">
            <w:pPr>
              <w:jc w:val="right"/>
              <w:rPr>
                <w:sz w:val="14"/>
                <w:szCs w:val="14"/>
              </w:rPr>
            </w:pPr>
            <w:r w:rsidRPr="00F23594">
              <w:rPr>
                <w:sz w:val="14"/>
                <w:szCs w:val="14"/>
              </w:rPr>
              <w:t>8,00</w:t>
            </w:r>
          </w:p>
        </w:tc>
        <w:tc>
          <w:tcPr>
            <w:tcW w:w="235" w:type="pct"/>
            <w:tcBorders>
              <w:top w:val="nil"/>
              <w:left w:val="nil"/>
              <w:bottom w:val="single" w:sz="4" w:space="0" w:color="auto"/>
              <w:right w:val="single" w:sz="8" w:space="0" w:color="auto"/>
            </w:tcBorders>
            <w:shd w:val="clear" w:color="auto" w:fill="auto"/>
            <w:noWrap/>
            <w:vAlign w:val="bottom"/>
            <w:hideMark/>
          </w:tcPr>
          <w:p w14:paraId="59755F55" w14:textId="77777777" w:rsidR="007C7712" w:rsidRPr="00F23594" w:rsidRDefault="007C7712" w:rsidP="007C7712">
            <w:pPr>
              <w:jc w:val="right"/>
              <w:rPr>
                <w:sz w:val="14"/>
                <w:szCs w:val="14"/>
              </w:rPr>
            </w:pPr>
            <w:r w:rsidRPr="00F23594">
              <w:rPr>
                <w:sz w:val="14"/>
                <w:szCs w:val="14"/>
              </w:rPr>
              <w:t>8</w:t>
            </w:r>
          </w:p>
        </w:tc>
        <w:tc>
          <w:tcPr>
            <w:tcW w:w="299" w:type="pct"/>
            <w:tcBorders>
              <w:top w:val="nil"/>
              <w:left w:val="nil"/>
              <w:bottom w:val="single" w:sz="4" w:space="0" w:color="auto"/>
              <w:right w:val="single" w:sz="4" w:space="0" w:color="auto"/>
            </w:tcBorders>
            <w:shd w:val="clear" w:color="auto" w:fill="auto"/>
            <w:noWrap/>
            <w:vAlign w:val="bottom"/>
            <w:hideMark/>
          </w:tcPr>
          <w:p w14:paraId="06D736A5"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09580799" w14:textId="5C7D2908" w:rsidR="007C7712" w:rsidRPr="00F23594" w:rsidRDefault="007C7712" w:rsidP="007C7712">
            <w:pPr>
              <w:jc w:val="right"/>
              <w:rPr>
                <w:sz w:val="14"/>
                <w:szCs w:val="14"/>
              </w:rPr>
            </w:pPr>
            <w:r w:rsidRPr="00F23594">
              <w:rPr>
                <w:sz w:val="14"/>
                <w:szCs w:val="14"/>
              </w:rPr>
              <w:t>350,00</w:t>
            </w:r>
          </w:p>
        </w:tc>
        <w:tc>
          <w:tcPr>
            <w:tcW w:w="242" w:type="pct"/>
            <w:tcBorders>
              <w:top w:val="nil"/>
              <w:left w:val="nil"/>
              <w:bottom w:val="single" w:sz="4" w:space="0" w:color="auto"/>
              <w:right w:val="single" w:sz="8" w:space="0" w:color="auto"/>
            </w:tcBorders>
            <w:shd w:val="clear" w:color="auto" w:fill="auto"/>
            <w:noWrap/>
            <w:vAlign w:val="bottom"/>
            <w:hideMark/>
          </w:tcPr>
          <w:p w14:paraId="11284024" w14:textId="77777777" w:rsidR="007C7712" w:rsidRPr="00F23594" w:rsidRDefault="007C7712" w:rsidP="007C7712">
            <w:pPr>
              <w:jc w:val="right"/>
              <w:rPr>
                <w:sz w:val="14"/>
                <w:szCs w:val="14"/>
              </w:rPr>
            </w:pPr>
            <w:r w:rsidRPr="00F23594">
              <w:rPr>
                <w:sz w:val="14"/>
                <w:szCs w:val="14"/>
              </w:rPr>
              <w:t>230</w:t>
            </w:r>
          </w:p>
        </w:tc>
      </w:tr>
      <w:tr w:rsidR="007C7712" w:rsidRPr="00375189" w14:paraId="37C9A28C"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12CE125A" w14:textId="77777777" w:rsidR="007C7712" w:rsidRPr="00375189" w:rsidRDefault="007C7712" w:rsidP="007C7712">
            <w:pPr>
              <w:rPr>
                <w:sz w:val="16"/>
                <w:szCs w:val="16"/>
              </w:rPr>
            </w:pPr>
            <w:r w:rsidRPr="00375189">
              <w:rPr>
                <w:sz w:val="16"/>
                <w:szCs w:val="16"/>
              </w:rPr>
              <w:t>Пловдив</w:t>
            </w:r>
          </w:p>
        </w:tc>
        <w:tc>
          <w:tcPr>
            <w:tcW w:w="299" w:type="pct"/>
            <w:tcBorders>
              <w:top w:val="nil"/>
              <w:left w:val="nil"/>
              <w:bottom w:val="single" w:sz="4" w:space="0" w:color="auto"/>
              <w:right w:val="single" w:sz="4" w:space="0" w:color="auto"/>
            </w:tcBorders>
            <w:shd w:val="clear" w:color="auto" w:fill="auto"/>
            <w:noWrap/>
            <w:vAlign w:val="bottom"/>
            <w:hideMark/>
          </w:tcPr>
          <w:p w14:paraId="06A2C63D"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2D9BC6D6" w14:textId="2609212B" w:rsidR="007C7712" w:rsidRPr="00F23594" w:rsidRDefault="007C7712" w:rsidP="007C7712">
            <w:pPr>
              <w:jc w:val="right"/>
              <w:rPr>
                <w:sz w:val="14"/>
                <w:szCs w:val="14"/>
              </w:rPr>
            </w:pPr>
            <w:r w:rsidRPr="00F23594">
              <w:rPr>
                <w:sz w:val="14"/>
                <w:szCs w:val="14"/>
              </w:rPr>
              <w:t>35</w:t>
            </w:r>
          </w:p>
        </w:tc>
        <w:tc>
          <w:tcPr>
            <w:tcW w:w="235" w:type="pct"/>
            <w:tcBorders>
              <w:top w:val="nil"/>
              <w:left w:val="nil"/>
              <w:bottom w:val="single" w:sz="4" w:space="0" w:color="auto"/>
              <w:right w:val="single" w:sz="4" w:space="0" w:color="auto"/>
            </w:tcBorders>
            <w:shd w:val="clear" w:color="auto" w:fill="auto"/>
            <w:noWrap/>
            <w:vAlign w:val="bottom"/>
            <w:hideMark/>
          </w:tcPr>
          <w:p w14:paraId="4C27CDD1" w14:textId="77777777" w:rsidR="007C7712" w:rsidRPr="00F23594" w:rsidRDefault="007C7712" w:rsidP="007C7712">
            <w:pPr>
              <w:jc w:val="right"/>
              <w:rPr>
                <w:sz w:val="14"/>
                <w:szCs w:val="14"/>
              </w:rPr>
            </w:pPr>
            <w:r w:rsidRPr="00F23594">
              <w:rPr>
                <w:sz w:val="14"/>
                <w:szCs w:val="14"/>
              </w:rPr>
              <w:t>31</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2E0FAF1B"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2ABD7308" w14:textId="6B82E08C" w:rsidR="007C7712" w:rsidRPr="00F23594" w:rsidRDefault="007C7712" w:rsidP="007C7712">
            <w:pPr>
              <w:jc w:val="right"/>
              <w:rPr>
                <w:sz w:val="14"/>
                <w:szCs w:val="14"/>
              </w:rPr>
            </w:pPr>
            <w:r w:rsidRPr="00F23594">
              <w:rPr>
                <w:sz w:val="14"/>
                <w:szCs w:val="14"/>
              </w:rPr>
              <w:t>150</w:t>
            </w:r>
          </w:p>
        </w:tc>
        <w:tc>
          <w:tcPr>
            <w:tcW w:w="235" w:type="pct"/>
            <w:tcBorders>
              <w:top w:val="nil"/>
              <w:left w:val="nil"/>
              <w:bottom w:val="single" w:sz="4" w:space="0" w:color="auto"/>
              <w:right w:val="single" w:sz="8" w:space="0" w:color="auto"/>
            </w:tcBorders>
            <w:shd w:val="clear" w:color="auto" w:fill="auto"/>
            <w:noWrap/>
            <w:vAlign w:val="bottom"/>
            <w:hideMark/>
          </w:tcPr>
          <w:p w14:paraId="40F2B3AD" w14:textId="77777777" w:rsidR="007C7712" w:rsidRPr="00F23594" w:rsidRDefault="007C7712" w:rsidP="007C7712">
            <w:pPr>
              <w:jc w:val="right"/>
              <w:rPr>
                <w:sz w:val="14"/>
                <w:szCs w:val="14"/>
              </w:rPr>
            </w:pPr>
            <w:r w:rsidRPr="00F23594">
              <w:rPr>
                <w:sz w:val="14"/>
                <w:szCs w:val="14"/>
              </w:rPr>
              <w:t>75</w:t>
            </w:r>
          </w:p>
        </w:tc>
        <w:tc>
          <w:tcPr>
            <w:tcW w:w="299" w:type="pct"/>
            <w:tcBorders>
              <w:top w:val="nil"/>
              <w:left w:val="nil"/>
              <w:bottom w:val="single" w:sz="4" w:space="0" w:color="auto"/>
              <w:right w:val="single" w:sz="4" w:space="0" w:color="auto"/>
            </w:tcBorders>
            <w:shd w:val="clear" w:color="auto" w:fill="auto"/>
            <w:noWrap/>
            <w:vAlign w:val="bottom"/>
            <w:hideMark/>
          </w:tcPr>
          <w:p w14:paraId="39E3CF69"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7398C7A2" w14:textId="78AEA884" w:rsidR="007C7712" w:rsidRPr="00F23594" w:rsidRDefault="007C7712" w:rsidP="007C7712">
            <w:pPr>
              <w:jc w:val="right"/>
              <w:rPr>
                <w:sz w:val="14"/>
                <w:szCs w:val="14"/>
              </w:rPr>
            </w:pPr>
            <w:r w:rsidRPr="00F23594">
              <w:rPr>
                <w:sz w:val="14"/>
                <w:szCs w:val="14"/>
              </w:rPr>
              <w:t>15</w:t>
            </w:r>
          </w:p>
        </w:tc>
        <w:tc>
          <w:tcPr>
            <w:tcW w:w="235" w:type="pct"/>
            <w:tcBorders>
              <w:top w:val="nil"/>
              <w:left w:val="nil"/>
              <w:bottom w:val="single" w:sz="4" w:space="0" w:color="auto"/>
              <w:right w:val="single" w:sz="4" w:space="0" w:color="auto"/>
            </w:tcBorders>
            <w:shd w:val="clear" w:color="auto" w:fill="auto"/>
            <w:noWrap/>
            <w:vAlign w:val="bottom"/>
            <w:hideMark/>
          </w:tcPr>
          <w:p w14:paraId="472F7F8C" w14:textId="77777777" w:rsidR="007C7712" w:rsidRPr="00F23594" w:rsidRDefault="007C7712" w:rsidP="007C7712">
            <w:pPr>
              <w:jc w:val="right"/>
              <w:rPr>
                <w:sz w:val="14"/>
                <w:szCs w:val="14"/>
              </w:rPr>
            </w:pPr>
            <w:r w:rsidRPr="00F23594">
              <w:rPr>
                <w:sz w:val="14"/>
                <w:szCs w:val="14"/>
              </w:rPr>
              <w:t>3</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043CF4B5"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318464E0" w14:textId="1DDF2DA1" w:rsidR="007C7712" w:rsidRPr="00F23594" w:rsidRDefault="007C7712" w:rsidP="007C7712">
            <w:pPr>
              <w:jc w:val="right"/>
              <w:rPr>
                <w:sz w:val="14"/>
                <w:szCs w:val="14"/>
              </w:rPr>
            </w:pPr>
            <w:r w:rsidRPr="00F23594">
              <w:rPr>
                <w:sz w:val="14"/>
                <w:szCs w:val="14"/>
              </w:rPr>
              <w:t>10,00</w:t>
            </w:r>
          </w:p>
        </w:tc>
        <w:tc>
          <w:tcPr>
            <w:tcW w:w="235" w:type="pct"/>
            <w:tcBorders>
              <w:top w:val="nil"/>
              <w:left w:val="nil"/>
              <w:bottom w:val="single" w:sz="4" w:space="0" w:color="auto"/>
              <w:right w:val="single" w:sz="8" w:space="0" w:color="auto"/>
            </w:tcBorders>
            <w:shd w:val="clear" w:color="auto" w:fill="auto"/>
            <w:noWrap/>
            <w:vAlign w:val="bottom"/>
            <w:hideMark/>
          </w:tcPr>
          <w:p w14:paraId="3F1EA3CA" w14:textId="77777777" w:rsidR="007C7712" w:rsidRPr="00F23594" w:rsidRDefault="007C7712" w:rsidP="007C7712">
            <w:pPr>
              <w:jc w:val="right"/>
              <w:rPr>
                <w:sz w:val="14"/>
                <w:szCs w:val="14"/>
              </w:rPr>
            </w:pPr>
            <w:r w:rsidRPr="00F23594">
              <w:rPr>
                <w:sz w:val="14"/>
                <w:szCs w:val="14"/>
              </w:rPr>
              <w:t>24</w:t>
            </w:r>
          </w:p>
        </w:tc>
        <w:tc>
          <w:tcPr>
            <w:tcW w:w="299" w:type="pct"/>
            <w:tcBorders>
              <w:top w:val="nil"/>
              <w:left w:val="nil"/>
              <w:bottom w:val="single" w:sz="4" w:space="0" w:color="auto"/>
              <w:right w:val="single" w:sz="4" w:space="0" w:color="auto"/>
            </w:tcBorders>
            <w:shd w:val="clear" w:color="auto" w:fill="auto"/>
            <w:noWrap/>
            <w:vAlign w:val="bottom"/>
            <w:hideMark/>
          </w:tcPr>
          <w:p w14:paraId="157E61FD"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2C81E614" w14:textId="24535E81" w:rsidR="007C7712" w:rsidRPr="00F23594" w:rsidRDefault="007C7712" w:rsidP="007C7712">
            <w:pPr>
              <w:jc w:val="right"/>
              <w:rPr>
                <w:sz w:val="14"/>
                <w:szCs w:val="14"/>
              </w:rPr>
            </w:pPr>
            <w:r w:rsidRPr="00F23594">
              <w:rPr>
                <w:sz w:val="14"/>
                <w:szCs w:val="14"/>
              </w:rPr>
              <w:t>200,00</w:t>
            </w:r>
          </w:p>
        </w:tc>
        <w:tc>
          <w:tcPr>
            <w:tcW w:w="242" w:type="pct"/>
            <w:tcBorders>
              <w:top w:val="nil"/>
              <w:left w:val="nil"/>
              <w:bottom w:val="single" w:sz="4" w:space="0" w:color="auto"/>
              <w:right w:val="single" w:sz="8" w:space="0" w:color="auto"/>
            </w:tcBorders>
            <w:shd w:val="clear" w:color="auto" w:fill="auto"/>
            <w:noWrap/>
            <w:vAlign w:val="bottom"/>
            <w:hideMark/>
          </w:tcPr>
          <w:p w14:paraId="0E644577" w14:textId="77777777" w:rsidR="007C7712" w:rsidRPr="00F23594" w:rsidRDefault="007C7712" w:rsidP="007C7712">
            <w:pPr>
              <w:jc w:val="right"/>
              <w:rPr>
                <w:sz w:val="14"/>
                <w:szCs w:val="14"/>
              </w:rPr>
            </w:pPr>
            <w:r w:rsidRPr="00F23594">
              <w:rPr>
                <w:sz w:val="14"/>
                <w:szCs w:val="14"/>
              </w:rPr>
              <w:t>150</w:t>
            </w:r>
          </w:p>
        </w:tc>
      </w:tr>
      <w:tr w:rsidR="007C7712" w:rsidRPr="00375189" w14:paraId="400EFF93"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4D6DB72A" w14:textId="77777777" w:rsidR="007C7712" w:rsidRPr="00375189" w:rsidRDefault="007C7712" w:rsidP="007C7712">
            <w:pPr>
              <w:rPr>
                <w:sz w:val="16"/>
                <w:szCs w:val="16"/>
              </w:rPr>
            </w:pPr>
            <w:r w:rsidRPr="00375189">
              <w:rPr>
                <w:sz w:val="16"/>
                <w:szCs w:val="16"/>
              </w:rPr>
              <w:t>Разград</w:t>
            </w:r>
          </w:p>
        </w:tc>
        <w:tc>
          <w:tcPr>
            <w:tcW w:w="299" w:type="pct"/>
            <w:tcBorders>
              <w:top w:val="nil"/>
              <w:left w:val="nil"/>
              <w:bottom w:val="single" w:sz="4" w:space="0" w:color="auto"/>
              <w:right w:val="single" w:sz="4" w:space="0" w:color="auto"/>
            </w:tcBorders>
            <w:shd w:val="clear" w:color="auto" w:fill="auto"/>
            <w:noWrap/>
            <w:vAlign w:val="bottom"/>
            <w:hideMark/>
          </w:tcPr>
          <w:p w14:paraId="0518AC17"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1E8E9C10" w14:textId="04BCCBB8" w:rsidR="007C7712" w:rsidRPr="00F23594" w:rsidRDefault="007C7712" w:rsidP="007C7712">
            <w:pPr>
              <w:jc w:val="right"/>
              <w:rPr>
                <w:sz w:val="14"/>
                <w:szCs w:val="14"/>
              </w:rPr>
            </w:pPr>
            <w:r w:rsidRPr="00F23594">
              <w:rPr>
                <w:sz w:val="14"/>
                <w:szCs w:val="14"/>
              </w:rPr>
              <w:t>43</w:t>
            </w:r>
          </w:p>
        </w:tc>
        <w:tc>
          <w:tcPr>
            <w:tcW w:w="235" w:type="pct"/>
            <w:tcBorders>
              <w:top w:val="nil"/>
              <w:left w:val="nil"/>
              <w:bottom w:val="single" w:sz="4" w:space="0" w:color="auto"/>
              <w:right w:val="single" w:sz="4" w:space="0" w:color="auto"/>
            </w:tcBorders>
            <w:shd w:val="clear" w:color="auto" w:fill="auto"/>
            <w:noWrap/>
            <w:vAlign w:val="bottom"/>
            <w:hideMark/>
          </w:tcPr>
          <w:p w14:paraId="6005E402" w14:textId="77777777" w:rsidR="007C7712" w:rsidRPr="00F23594" w:rsidRDefault="007C7712" w:rsidP="007C7712">
            <w:pPr>
              <w:jc w:val="right"/>
              <w:rPr>
                <w:sz w:val="14"/>
                <w:szCs w:val="14"/>
              </w:rPr>
            </w:pPr>
            <w:r w:rsidRPr="00F23594">
              <w:rPr>
                <w:sz w:val="14"/>
                <w:szCs w:val="14"/>
              </w:rPr>
              <w:t>43</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5D090488"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3DFFAD26" w14:textId="25FFDDB5" w:rsidR="007C7712" w:rsidRPr="00F23594" w:rsidRDefault="007C7712" w:rsidP="007C7712">
            <w:pPr>
              <w:jc w:val="right"/>
              <w:rPr>
                <w:sz w:val="14"/>
                <w:szCs w:val="14"/>
              </w:rPr>
            </w:pPr>
            <w:r w:rsidRPr="00F23594">
              <w:rPr>
                <w:sz w:val="14"/>
                <w:szCs w:val="14"/>
              </w:rPr>
              <w:t>15</w:t>
            </w:r>
          </w:p>
        </w:tc>
        <w:tc>
          <w:tcPr>
            <w:tcW w:w="235" w:type="pct"/>
            <w:tcBorders>
              <w:top w:val="nil"/>
              <w:left w:val="nil"/>
              <w:bottom w:val="single" w:sz="4" w:space="0" w:color="auto"/>
              <w:right w:val="single" w:sz="8" w:space="0" w:color="auto"/>
            </w:tcBorders>
            <w:shd w:val="clear" w:color="auto" w:fill="auto"/>
            <w:noWrap/>
            <w:vAlign w:val="bottom"/>
            <w:hideMark/>
          </w:tcPr>
          <w:p w14:paraId="14A2592F" w14:textId="77777777" w:rsidR="007C7712" w:rsidRPr="00F23594" w:rsidRDefault="007C7712" w:rsidP="007C7712">
            <w:pPr>
              <w:jc w:val="right"/>
              <w:rPr>
                <w:sz w:val="14"/>
                <w:szCs w:val="14"/>
              </w:rPr>
            </w:pPr>
            <w:r w:rsidRPr="00F23594">
              <w:rPr>
                <w:sz w:val="14"/>
                <w:szCs w:val="14"/>
              </w:rPr>
              <w:t>7</w:t>
            </w:r>
          </w:p>
        </w:tc>
        <w:tc>
          <w:tcPr>
            <w:tcW w:w="299" w:type="pct"/>
            <w:tcBorders>
              <w:top w:val="nil"/>
              <w:left w:val="nil"/>
              <w:bottom w:val="single" w:sz="4" w:space="0" w:color="auto"/>
              <w:right w:val="single" w:sz="4" w:space="0" w:color="auto"/>
            </w:tcBorders>
            <w:shd w:val="clear" w:color="auto" w:fill="auto"/>
            <w:noWrap/>
            <w:vAlign w:val="bottom"/>
            <w:hideMark/>
          </w:tcPr>
          <w:p w14:paraId="33441367"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55A91A27" w14:textId="5AD8EE1D" w:rsidR="007C7712" w:rsidRPr="00F23594" w:rsidRDefault="007C7712" w:rsidP="007C7712">
            <w:pPr>
              <w:jc w:val="right"/>
              <w:rPr>
                <w:sz w:val="14"/>
                <w:szCs w:val="14"/>
              </w:rPr>
            </w:pPr>
            <w:r w:rsidRPr="00F23594">
              <w:rPr>
                <w:sz w:val="14"/>
                <w:szCs w:val="14"/>
              </w:rPr>
              <w:t>10</w:t>
            </w:r>
          </w:p>
        </w:tc>
        <w:tc>
          <w:tcPr>
            <w:tcW w:w="235" w:type="pct"/>
            <w:tcBorders>
              <w:top w:val="nil"/>
              <w:left w:val="nil"/>
              <w:bottom w:val="single" w:sz="4" w:space="0" w:color="auto"/>
              <w:right w:val="single" w:sz="4" w:space="0" w:color="auto"/>
            </w:tcBorders>
            <w:shd w:val="clear" w:color="auto" w:fill="auto"/>
            <w:noWrap/>
            <w:vAlign w:val="bottom"/>
            <w:hideMark/>
          </w:tcPr>
          <w:p w14:paraId="535D2BCC" w14:textId="77777777" w:rsidR="007C7712" w:rsidRPr="00F23594" w:rsidRDefault="007C7712" w:rsidP="007C7712">
            <w:pPr>
              <w:jc w:val="right"/>
              <w:rPr>
                <w:sz w:val="14"/>
                <w:szCs w:val="14"/>
              </w:rPr>
            </w:pPr>
            <w:r w:rsidRPr="00F23594">
              <w:rPr>
                <w:sz w:val="14"/>
                <w:szCs w:val="14"/>
              </w:rPr>
              <w:t>10</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386624F3"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41A45113" w14:textId="3A5D9125" w:rsidR="007C7712" w:rsidRPr="00F23594" w:rsidRDefault="007C7712" w:rsidP="007C7712">
            <w:pPr>
              <w:jc w:val="right"/>
              <w:rPr>
                <w:sz w:val="14"/>
                <w:szCs w:val="14"/>
              </w:rPr>
            </w:pPr>
            <w:r w:rsidRPr="00F23594">
              <w:rPr>
                <w:sz w:val="14"/>
                <w:szCs w:val="14"/>
              </w:rPr>
              <w:t>10,00</w:t>
            </w:r>
          </w:p>
        </w:tc>
        <w:tc>
          <w:tcPr>
            <w:tcW w:w="235" w:type="pct"/>
            <w:tcBorders>
              <w:top w:val="nil"/>
              <w:left w:val="nil"/>
              <w:bottom w:val="single" w:sz="4" w:space="0" w:color="auto"/>
              <w:right w:val="single" w:sz="8" w:space="0" w:color="auto"/>
            </w:tcBorders>
            <w:shd w:val="clear" w:color="auto" w:fill="auto"/>
            <w:noWrap/>
            <w:vAlign w:val="bottom"/>
            <w:hideMark/>
          </w:tcPr>
          <w:p w14:paraId="57C714BA" w14:textId="77777777" w:rsidR="007C7712" w:rsidRPr="00F23594" w:rsidRDefault="007C7712" w:rsidP="007C7712">
            <w:pPr>
              <w:jc w:val="right"/>
              <w:rPr>
                <w:sz w:val="14"/>
                <w:szCs w:val="14"/>
              </w:rPr>
            </w:pPr>
            <w:r w:rsidRPr="00F23594">
              <w:rPr>
                <w:sz w:val="14"/>
                <w:szCs w:val="14"/>
              </w:rPr>
              <w:t>2</w:t>
            </w:r>
          </w:p>
        </w:tc>
        <w:tc>
          <w:tcPr>
            <w:tcW w:w="299" w:type="pct"/>
            <w:tcBorders>
              <w:top w:val="nil"/>
              <w:left w:val="nil"/>
              <w:bottom w:val="single" w:sz="4" w:space="0" w:color="auto"/>
              <w:right w:val="single" w:sz="4" w:space="0" w:color="auto"/>
            </w:tcBorders>
            <w:shd w:val="clear" w:color="auto" w:fill="auto"/>
            <w:noWrap/>
            <w:vAlign w:val="bottom"/>
            <w:hideMark/>
          </w:tcPr>
          <w:p w14:paraId="0B7300B6"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55EEF120" w14:textId="6F3F9DCE" w:rsidR="007C7712" w:rsidRPr="00F23594" w:rsidRDefault="007C7712" w:rsidP="007C7712">
            <w:pPr>
              <w:jc w:val="right"/>
              <w:rPr>
                <w:sz w:val="14"/>
                <w:szCs w:val="14"/>
              </w:rPr>
            </w:pPr>
            <w:r w:rsidRPr="00F23594">
              <w:rPr>
                <w:sz w:val="14"/>
                <w:szCs w:val="14"/>
              </w:rPr>
              <w:t>220,00</w:t>
            </w:r>
          </w:p>
        </w:tc>
        <w:tc>
          <w:tcPr>
            <w:tcW w:w="242" w:type="pct"/>
            <w:tcBorders>
              <w:top w:val="nil"/>
              <w:left w:val="nil"/>
              <w:bottom w:val="single" w:sz="4" w:space="0" w:color="auto"/>
              <w:right w:val="single" w:sz="8" w:space="0" w:color="auto"/>
            </w:tcBorders>
            <w:shd w:val="clear" w:color="auto" w:fill="auto"/>
            <w:noWrap/>
            <w:vAlign w:val="bottom"/>
            <w:hideMark/>
          </w:tcPr>
          <w:p w14:paraId="4AA53C81" w14:textId="77777777" w:rsidR="007C7712" w:rsidRPr="00F23594" w:rsidRDefault="007C7712" w:rsidP="007C7712">
            <w:pPr>
              <w:jc w:val="right"/>
              <w:rPr>
                <w:sz w:val="14"/>
                <w:szCs w:val="14"/>
              </w:rPr>
            </w:pPr>
            <w:r w:rsidRPr="00F23594">
              <w:rPr>
                <w:sz w:val="14"/>
                <w:szCs w:val="14"/>
              </w:rPr>
              <w:t>117</w:t>
            </w:r>
          </w:p>
        </w:tc>
      </w:tr>
      <w:tr w:rsidR="007C7712" w:rsidRPr="00375189" w14:paraId="63F81BB6"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1A6F74A9" w14:textId="77777777" w:rsidR="007C7712" w:rsidRPr="00375189" w:rsidRDefault="007C7712" w:rsidP="007C7712">
            <w:pPr>
              <w:rPr>
                <w:sz w:val="16"/>
                <w:szCs w:val="16"/>
              </w:rPr>
            </w:pPr>
            <w:r w:rsidRPr="00375189">
              <w:rPr>
                <w:sz w:val="16"/>
                <w:szCs w:val="16"/>
              </w:rPr>
              <w:t>Русе</w:t>
            </w:r>
          </w:p>
        </w:tc>
        <w:tc>
          <w:tcPr>
            <w:tcW w:w="299" w:type="pct"/>
            <w:tcBorders>
              <w:top w:val="nil"/>
              <w:left w:val="nil"/>
              <w:bottom w:val="single" w:sz="4" w:space="0" w:color="auto"/>
              <w:right w:val="single" w:sz="4" w:space="0" w:color="auto"/>
            </w:tcBorders>
            <w:shd w:val="clear" w:color="auto" w:fill="auto"/>
            <w:noWrap/>
            <w:vAlign w:val="bottom"/>
            <w:hideMark/>
          </w:tcPr>
          <w:p w14:paraId="40DB2B18"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33111E4C" w14:textId="03699EC2" w:rsidR="007C7712" w:rsidRPr="00F23594" w:rsidRDefault="007C7712" w:rsidP="007C7712">
            <w:pPr>
              <w:jc w:val="right"/>
              <w:rPr>
                <w:sz w:val="14"/>
                <w:szCs w:val="14"/>
              </w:rPr>
            </w:pPr>
            <w:r w:rsidRPr="00F23594">
              <w:rPr>
                <w:sz w:val="14"/>
                <w:szCs w:val="14"/>
              </w:rPr>
              <w:t>15</w:t>
            </w:r>
          </w:p>
        </w:tc>
        <w:tc>
          <w:tcPr>
            <w:tcW w:w="235" w:type="pct"/>
            <w:tcBorders>
              <w:top w:val="nil"/>
              <w:left w:val="nil"/>
              <w:bottom w:val="single" w:sz="4" w:space="0" w:color="auto"/>
              <w:right w:val="single" w:sz="4" w:space="0" w:color="auto"/>
            </w:tcBorders>
            <w:shd w:val="clear" w:color="auto" w:fill="auto"/>
            <w:noWrap/>
            <w:vAlign w:val="bottom"/>
            <w:hideMark/>
          </w:tcPr>
          <w:p w14:paraId="32C416A3" w14:textId="77777777" w:rsidR="007C7712" w:rsidRPr="00F23594" w:rsidRDefault="007C7712" w:rsidP="007C7712">
            <w:pPr>
              <w:jc w:val="right"/>
              <w:rPr>
                <w:sz w:val="14"/>
                <w:szCs w:val="14"/>
              </w:rPr>
            </w:pPr>
            <w:r w:rsidRPr="00F23594">
              <w:rPr>
                <w:sz w:val="14"/>
                <w:szCs w:val="14"/>
              </w:rPr>
              <w:t>15</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27A53A91"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08C48DDE" w14:textId="05DABC56" w:rsidR="007C7712" w:rsidRPr="00F23594" w:rsidRDefault="007C7712" w:rsidP="007C7712">
            <w:pPr>
              <w:jc w:val="right"/>
              <w:rPr>
                <w:sz w:val="14"/>
                <w:szCs w:val="14"/>
              </w:rPr>
            </w:pPr>
            <w:r w:rsidRPr="00F23594">
              <w:rPr>
                <w:sz w:val="14"/>
                <w:szCs w:val="14"/>
              </w:rPr>
              <w:t>2</w:t>
            </w:r>
          </w:p>
        </w:tc>
        <w:tc>
          <w:tcPr>
            <w:tcW w:w="235" w:type="pct"/>
            <w:tcBorders>
              <w:top w:val="nil"/>
              <w:left w:val="nil"/>
              <w:bottom w:val="single" w:sz="4" w:space="0" w:color="auto"/>
              <w:right w:val="single" w:sz="4" w:space="0" w:color="auto"/>
            </w:tcBorders>
            <w:shd w:val="clear" w:color="auto" w:fill="auto"/>
            <w:noWrap/>
            <w:vAlign w:val="bottom"/>
            <w:hideMark/>
          </w:tcPr>
          <w:p w14:paraId="7783322C" w14:textId="77777777" w:rsidR="007C7712" w:rsidRPr="00F23594" w:rsidRDefault="007C7712" w:rsidP="007C7712">
            <w:pPr>
              <w:jc w:val="right"/>
              <w:rPr>
                <w:sz w:val="14"/>
                <w:szCs w:val="14"/>
              </w:rPr>
            </w:pPr>
            <w:r w:rsidRPr="00F23594">
              <w:rPr>
                <w:sz w:val="14"/>
                <w:szCs w:val="14"/>
              </w:rPr>
              <w:t>12</w:t>
            </w:r>
          </w:p>
        </w:tc>
        <w:tc>
          <w:tcPr>
            <w:tcW w:w="299" w:type="pct"/>
            <w:tcBorders>
              <w:top w:val="nil"/>
              <w:left w:val="nil"/>
              <w:bottom w:val="single" w:sz="4" w:space="0" w:color="auto"/>
              <w:right w:val="single" w:sz="4" w:space="0" w:color="auto"/>
            </w:tcBorders>
            <w:shd w:val="clear" w:color="auto" w:fill="auto"/>
            <w:noWrap/>
            <w:vAlign w:val="bottom"/>
            <w:hideMark/>
          </w:tcPr>
          <w:p w14:paraId="7F28A87C"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55D48978" w14:textId="0C845467" w:rsidR="007C7712" w:rsidRPr="00F23594" w:rsidRDefault="007C7712" w:rsidP="007C7712">
            <w:pPr>
              <w:jc w:val="right"/>
              <w:rPr>
                <w:sz w:val="14"/>
                <w:szCs w:val="14"/>
              </w:rPr>
            </w:pPr>
            <w:r w:rsidRPr="00F23594">
              <w:rPr>
                <w:sz w:val="14"/>
                <w:szCs w:val="14"/>
              </w:rPr>
              <w:t>30</w:t>
            </w:r>
          </w:p>
        </w:tc>
        <w:tc>
          <w:tcPr>
            <w:tcW w:w="235" w:type="pct"/>
            <w:tcBorders>
              <w:top w:val="nil"/>
              <w:left w:val="nil"/>
              <w:bottom w:val="single" w:sz="4" w:space="0" w:color="auto"/>
              <w:right w:val="single" w:sz="4" w:space="0" w:color="auto"/>
            </w:tcBorders>
            <w:shd w:val="clear" w:color="auto" w:fill="auto"/>
            <w:noWrap/>
            <w:vAlign w:val="bottom"/>
            <w:hideMark/>
          </w:tcPr>
          <w:p w14:paraId="55AA9423" w14:textId="77777777" w:rsidR="007C7712" w:rsidRPr="00F23594" w:rsidRDefault="007C7712" w:rsidP="007C7712">
            <w:pPr>
              <w:jc w:val="right"/>
              <w:rPr>
                <w:sz w:val="14"/>
                <w:szCs w:val="14"/>
              </w:rPr>
            </w:pPr>
            <w:r w:rsidRPr="00F23594">
              <w:rPr>
                <w:sz w:val="14"/>
                <w:szCs w:val="14"/>
              </w:rPr>
              <w:t>17</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0C01F0DD"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41820236" w14:textId="40FAB4D5" w:rsidR="007C7712" w:rsidRPr="00F23594" w:rsidRDefault="007C7712" w:rsidP="007C7712">
            <w:pPr>
              <w:jc w:val="right"/>
              <w:rPr>
                <w:sz w:val="14"/>
                <w:szCs w:val="14"/>
              </w:rPr>
            </w:pPr>
            <w:r w:rsidRPr="00F23594">
              <w:rPr>
                <w:sz w:val="14"/>
                <w:szCs w:val="14"/>
              </w:rPr>
              <w:t>5,00</w:t>
            </w:r>
          </w:p>
        </w:tc>
        <w:tc>
          <w:tcPr>
            <w:tcW w:w="235" w:type="pct"/>
            <w:tcBorders>
              <w:top w:val="nil"/>
              <w:left w:val="nil"/>
              <w:bottom w:val="single" w:sz="4" w:space="0" w:color="auto"/>
              <w:right w:val="single" w:sz="4" w:space="0" w:color="auto"/>
            </w:tcBorders>
            <w:shd w:val="clear" w:color="auto" w:fill="auto"/>
            <w:noWrap/>
            <w:vAlign w:val="bottom"/>
            <w:hideMark/>
          </w:tcPr>
          <w:p w14:paraId="339BA6BD" w14:textId="77777777" w:rsidR="007C7712" w:rsidRPr="00F23594" w:rsidRDefault="007C7712" w:rsidP="007C7712">
            <w:pPr>
              <w:jc w:val="right"/>
              <w:rPr>
                <w:sz w:val="14"/>
                <w:szCs w:val="14"/>
              </w:rPr>
            </w:pPr>
            <w:r w:rsidRPr="00F23594">
              <w:rPr>
                <w:sz w:val="14"/>
                <w:szCs w:val="14"/>
              </w:rPr>
              <w:t>8</w:t>
            </w:r>
          </w:p>
        </w:tc>
        <w:tc>
          <w:tcPr>
            <w:tcW w:w="299" w:type="pct"/>
            <w:tcBorders>
              <w:top w:val="nil"/>
              <w:left w:val="nil"/>
              <w:bottom w:val="single" w:sz="4" w:space="0" w:color="auto"/>
              <w:right w:val="single" w:sz="4" w:space="0" w:color="auto"/>
            </w:tcBorders>
            <w:shd w:val="clear" w:color="auto" w:fill="auto"/>
            <w:noWrap/>
            <w:vAlign w:val="bottom"/>
            <w:hideMark/>
          </w:tcPr>
          <w:p w14:paraId="75586152"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5A9A7DA0" w14:textId="6B8CCC13" w:rsidR="007C7712" w:rsidRPr="00F23594" w:rsidRDefault="007C7712" w:rsidP="007C7712">
            <w:pPr>
              <w:jc w:val="right"/>
              <w:rPr>
                <w:sz w:val="14"/>
                <w:szCs w:val="14"/>
              </w:rPr>
            </w:pPr>
            <w:r w:rsidRPr="00F23594">
              <w:rPr>
                <w:sz w:val="14"/>
                <w:szCs w:val="14"/>
              </w:rPr>
              <w:t>950,00</w:t>
            </w:r>
          </w:p>
        </w:tc>
        <w:tc>
          <w:tcPr>
            <w:tcW w:w="242" w:type="pct"/>
            <w:tcBorders>
              <w:top w:val="nil"/>
              <w:left w:val="nil"/>
              <w:bottom w:val="single" w:sz="4" w:space="0" w:color="auto"/>
              <w:right w:val="single" w:sz="4" w:space="0" w:color="auto"/>
            </w:tcBorders>
            <w:shd w:val="clear" w:color="auto" w:fill="auto"/>
            <w:noWrap/>
            <w:vAlign w:val="bottom"/>
            <w:hideMark/>
          </w:tcPr>
          <w:p w14:paraId="73D24042" w14:textId="77777777" w:rsidR="007C7712" w:rsidRPr="00F23594" w:rsidRDefault="007C7712" w:rsidP="007C7712">
            <w:pPr>
              <w:jc w:val="right"/>
              <w:rPr>
                <w:sz w:val="14"/>
                <w:szCs w:val="14"/>
              </w:rPr>
            </w:pPr>
            <w:r w:rsidRPr="00F23594">
              <w:rPr>
                <w:sz w:val="14"/>
                <w:szCs w:val="14"/>
              </w:rPr>
              <w:t>389</w:t>
            </w:r>
          </w:p>
        </w:tc>
      </w:tr>
      <w:tr w:rsidR="007C7712" w:rsidRPr="00375189" w14:paraId="73DACC07"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404BF926" w14:textId="77777777" w:rsidR="007C7712" w:rsidRPr="00375189" w:rsidRDefault="007C7712" w:rsidP="007C7712">
            <w:pPr>
              <w:rPr>
                <w:sz w:val="16"/>
                <w:szCs w:val="16"/>
              </w:rPr>
            </w:pPr>
            <w:r w:rsidRPr="00375189">
              <w:rPr>
                <w:sz w:val="16"/>
                <w:szCs w:val="16"/>
              </w:rPr>
              <w:t>Силистра</w:t>
            </w:r>
          </w:p>
        </w:tc>
        <w:tc>
          <w:tcPr>
            <w:tcW w:w="299" w:type="pct"/>
            <w:tcBorders>
              <w:top w:val="nil"/>
              <w:left w:val="nil"/>
              <w:bottom w:val="single" w:sz="4" w:space="0" w:color="auto"/>
              <w:right w:val="single" w:sz="4" w:space="0" w:color="auto"/>
            </w:tcBorders>
            <w:shd w:val="clear" w:color="auto" w:fill="auto"/>
            <w:noWrap/>
            <w:vAlign w:val="bottom"/>
            <w:hideMark/>
          </w:tcPr>
          <w:p w14:paraId="3DA1ED17"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08114D5F" w14:textId="33E49BB2" w:rsidR="007C7712" w:rsidRPr="00F23594" w:rsidRDefault="007C7712" w:rsidP="007C7712">
            <w:pPr>
              <w:jc w:val="right"/>
              <w:rPr>
                <w:sz w:val="14"/>
                <w:szCs w:val="14"/>
              </w:rPr>
            </w:pPr>
            <w:r w:rsidRPr="00F23594">
              <w:rPr>
                <w:sz w:val="14"/>
                <w:szCs w:val="14"/>
              </w:rPr>
              <w:t>16</w:t>
            </w:r>
          </w:p>
        </w:tc>
        <w:tc>
          <w:tcPr>
            <w:tcW w:w="235" w:type="pct"/>
            <w:tcBorders>
              <w:top w:val="nil"/>
              <w:left w:val="nil"/>
              <w:bottom w:val="single" w:sz="4" w:space="0" w:color="auto"/>
              <w:right w:val="single" w:sz="4" w:space="0" w:color="auto"/>
            </w:tcBorders>
            <w:shd w:val="clear" w:color="auto" w:fill="auto"/>
            <w:noWrap/>
            <w:vAlign w:val="bottom"/>
            <w:hideMark/>
          </w:tcPr>
          <w:p w14:paraId="1AD1E9F7" w14:textId="77777777" w:rsidR="007C7712" w:rsidRPr="00F23594" w:rsidRDefault="007C7712" w:rsidP="007C7712">
            <w:pPr>
              <w:jc w:val="right"/>
              <w:rPr>
                <w:sz w:val="14"/>
                <w:szCs w:val="14"/>
              </w:rPr>
            </w:pPr>
            <w:r w:rsidRPr="00F23594">
              <w:rPr>
                <w:sz w:val="14"/>
                <w:szCs w:val="14"/>
              </w:rPr>
              <w:t>7</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020961E8"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3CFDA519" w14:textId="184769C5" w:rsidR="007C7712" w:rsidRPr="00F23594" w:rsidRDefault="007C7712" w:rsidP="007C7712">
            <w:pPr>
              <w:jc w:val="right"/>
              <w:rPr>
                <w:sz w:val="14"/>
                <w:szCs w:val="14"/>
              </w:rPr>
            </w:pPr>
            <w:r w:rsidRPr="00F23594">
              <w:rPr>
                <w:sz w:val="14"/>
                <w:szCs w:val="14"/>
              </w:rPr>
              <w:t>4</w:t>
            </w:r>
          </w:p>
        </w:tc>
        <w:tc>
          <w:tcPr>
            <w:tcW w:w="235" w:type="pct"/>
            <w:tcBorders>
              <w:top w:val="nil"/>
              <w:left w:val="nil"/>
              <w:bottom w:val="single" w:sz="4" w:space="0" w:color="auto"/>
              <w:right w:val="single" w:sz="8" w:space="0" w:color="auto"/>
            </w:tcBorders>
            <w:shd w:val="clear" w:color="auto" w:fill="auto"/>
            <w:noWrap/>
            <w:vAlign w:val="bottom"/>
            <w:hideMark/>
          </w:tcPr>
          <w:p w14:paraId="69B3832D" w14:textId="77777777" w:rsidR="007C7712" w:rsidRPr="00F23594" w:rsidRDefault="007C7712" w:rsidP="007C7712">
            <w:pPr>
              <w:jc w:val="right"/>
              <w:rPr>
                <w:sz w:val="14"/>
                <w:szCs w:val="14"/>
              </w:rPr>
            </w:pPr>
            <w:r w:rsidRPr="00F23594">
              <w:rPr>
                <w:sz w:val="14"/>
                <w:szCs w:val="14"/>
              </w:rPr>
              <w:t>2</w:t>
            </w:r>
          </w:p>
        </w:tc>
        <w:tc>
          <w:tcPr>
            <w:tcW w:w="299" w:type="pct"/>
            <w:tcBorders>
              <w:top w:val="nil"/>
              <w:left w:val="nil"/>
              <w:bottom w:val="single" w:sz="4" w:space="0" w:color="auto"/>
              <w:right w:val="single" w:sz="4" w:space="0" w:color="auto"/>
            </w:tcBorders>
            <w:shd w:val="clear" w:color="auto" w:fill="auto"/>
            <w:noWrap/>
            <w:vAlign w:val="bottom"/>
            <w:hideMark/>
          </w:tcPr>
          <w:p w14:paraId="26BC570D"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2264514F" w14:textId="54A24240" w:rsidR="007C7712" w:rsidRPr="00F23594" w:rsidRDefault="007C7712" w:rsidP="007C7712">
            <w:pPr>
              <w:jc w:val="right"/>
              <w:rPr>
                <w:sz w:val="14"/>
                <w:szCs w:val="14"/>
              </w:rPr>
            </w:pPr>
            <w:r w:rsidRPr="00F23594">
              <w:rPr>
                <w:sz w:val="14"/>
                <w:szCs w:val="14"/>
              </w:rPr>
              <w:t>10</w:t>
            </w:r>
          </w:p>
        </w:tc>
        <w:tc>
          <w:tcPr>
            <w:tcW w:w="235" w:type="pct"/>
            <w:tcBorders>
              <w:top w:val="nil"/>
              <w:left w:val="nil"/>
              <w:bottom w:val="single" w:sz="4" w:space="0" w:color="auto"/>
              <w:right w:val="single" w:sz="4" w:space="0" w:color="auto"/>
            </w:tcBorders>
            <w:shd w:val="clear" w:color="auto" w:fill="auto"/>
            <w:noWrap/>
            <w:vAlign w:val="bottom"/>
            <w:hideMark/>
          </w:tcPr>
          <w:p w14:paraId="7D901764" w14:textId="77777777" w:rsidR="007C7712" w:rsidRPr="00F23594" w:rsidRDefault="007C7712" w:rsidP="007C7712">
            <w:pPr>
              <w:jc w:val="right"/>
              <w:rPr>
                <w:sz w:val="14"/>
                <w:szCs w:val="14"/>
              </w:rPr>
            </w:pPr>
            <w:r w:rsidRPr="00F23594">
              <w:rPr>
                <w:sz w:val="14"/>
                <w:szCs w:val="14"/>
              </w:rPr>
              <w:t>11</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1BDE5369"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3B32B531" w14:textId="04277F7D" w:rsidR="007C7712" w:rsidRPr="00F23594" w:rsidRDefault="007C7712" w:rsidP="007C7712">
            <w:pPr>
              <w:jc w:val="right"/>
              <w:rPr>
                <w:sz w:val="14"/>
                <w:szCs w:val="14"/>
              </w:rPr>
            </w:pPr>
            <w:r w:rsidRPr="00F23594">
              <w:rPr>
                <w:sz w:val="14"/>
                <w:szCs w:val="14"/>
              </w:rPr>
              <w:t>4,00</w:t>
            </w:r>
          </w:p>
        </w:tc>
        <w:tc>
          <w:tcPr>
            <w:tcW w:w="235" w:type="pct"/>
            <w:tcBorders>
              <w:top w:val="nil"/>
              <w:left w:val="nil"/>
              <w:bottom w:val="single" w:sz="4" w:space="0" w:color="auto"/>
              <w:right w:val="single" w:sz="8" w:space="0" w:color="auto"/>
            </w:tcBorders>
            <w:shd w:val="clear" w:color="auto" w:fill="auto"/>
            <w:noWrap/>
            <w:vAlign w:val="bottom"/>
            <w:hideMark/>
          </w:tcPr>
          <w:p w14:paraId="235DEEAC" w14:textId="77777777" w:rsidR="007C7712" w:rsidRPr="00F23594" w:rsidRDefault="007C7712" w:rsidP="007C7712">
            <w:pPr>
              <w:jc w:val="right"/>
              <w:rPr>
                <w:sz w:val="14"/>
                <w:szCs w:val="14"/>
              </w:rPr>
            </w:pPr>
            <w:r w:rsidRPr="00F23594">
              <w:rPr>
                <w:sz w:val="14"/>
                <w:szCs w:val="14"/>
              </w:rPr>
              <w:t>5</w:t>
            </w:r>
          </w:p>
        </w:tc>
        <w:tc>
          <w:tcPr>
            <w:tcW w:w="299" w:type="pct"/>
            <w:tcBorders>
              <w:top w:val="nil"/>
              <w:left w:val="nil"/>
              <w:bottom w:val="single" w:sz="4" w:space="0" w:color="auto"/>
              <w:right w:val="single" w:sz="4" w:space="0" w:color="auto"/>
            </w:tcBorders>
            <w:shd w:val="clear" w:color="auto" w:fill="auto"/>
            <w:noWrap/>
            <w:vAlign w:val="bottom"/>
            <w:hideMark/>
          </w:tcPr>
          <w:p w14:paraId="6599F61A"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5E83376F" w14:textId="5E0F0E25" w:rsidR="007C7712" w:rsidRPr="00F23594" w:rsidRDefault="007C7712" w:rsidP="007C7712">
            <w:pPr>
              <w:jc w:val="right"/>
              <w:rPr>
                <w:sz w:val="14"/>
                <w:szCs w:val="14"/>
              </w:rPr>
            </w:pPr>
            <w:r w:rsidRPr="00F23594">
              <w:rPr>
                <w:sz w:val="14"/>
                <w:szCs w:val="14"/>
              </w:rPr>
              <w:t>450,00</w:t>
            </w:r>
          </w:p>
        </w:tc>
        <w:tc>
          <w:tcPr>
            <w:tcW w:w="242" w:type="pct"/>
            <w:tcBorders>
              <w:top w:val="nil"/>
              <w:left w:val="nil"/>
              <w:bottom w:val="single" w:sz="4" w:space="0" w:color="auto"/>
              <w:right w:val="single" w:sz="8" w:space="0" w:color="auto"/>
            </w:tcBorders>
            <w:shd w:val="clear" w:color="auto" w:fill="auto"/>
            <w:noWrap/>
            <w:vAlign w:val="bottom"/>
            <w:hideMark/>
          </w:tcPr>
          <w:p w14:paraId="6AF27E0E" w14:textId="77777777" w:rsidR="007C7712" w:rsidRPr="00F23594" w:rsidRDefault="007C7712" w:rsidP="007C7712">
            <w:pPr>
              <w:jc w:val="right"/>
              <w:rPr>
                <w:sz w:val="14"/>
                <w:szCs w:val="14"/>
              </w:rPr>
            </w:pPr>
            <w:r w:rsidRPr="00F23594">
              <w:rPr>
                <w:sz w:val="14"/>
                <w:szCs w:val="14"/>
              </w:rPr>
              <w:t>289</w:t>
            </w:r>
          </w:p>
        </w:tc>
      </w:tr>
      <w:tr w:rsidR="007C7712" w:rsidRPr="00375189" w14:paraId="298EFEA1"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2BD22CF1" w14:textId="77777777" w:rsidR="007C7712" w:rsidRPr="00375189" w:rsidRDefault="007C7712" w:rsidP="007C7712">
            <w:pPr>
              <w:rPr>
                <w:sz w:val="16"/>
                <w:szCs w:val="16"/>
              </w:rPr>
            </w:pPr>
            <w:r w:rsidRPr="00375189">
              <w:rPr>
                <w:sz w:val="16"/>
                <w:szCs w:val="16"/>
              </w:rPr>
              <w:t>Сливен</w:t>
            </w:r>
          </w:p>
        </w:tc>
        <w:tc>
          <w:tcPr>
            <w:tcW w:w="299" w:type="pct"/>
            <w:tcBorders>
              <w:top w:val="nil"/>
              <w:left w:val="nil"/>
              <w:bottom w:val="single" w:sz="4" w:space="0" w:color="auto"/>
              <w:right w:val="single" w:sz="4" w:space="0" w:color="auto"/>
            </w:tcBorders>
            <w:shd w:val="clear" w:color="auto" w:fill="auto"/>
            <w:noWrap/>
            <w:vAlign w:val="bottom"/>
            <w:hideMark/>
          </w:tcPr>
          <w:p w14:paraId="3912F1E4"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26D69797" w14:textId="7FBCCDFF" w:rsidR="007C7712" w:rsidRPr="00F23594" w:rsidRDefault="007C7712" w:rsidP="007C7712">
            <w:pPr>
              <w:jc w:val="right"/>
              <w:rPr>
                <w:sz w:val="14"/>
                <w:szCs w:val="14"/>
              </w:rPr>
            </w:pPr>
            <w:r w:rsidRPr="00F23594">
              <w:rPr>
                <w:sz w:val="14"/>
                <w:szCs w:val="14"/>
              </w:rPr>
              <w:t>0</w:t>
            </w:r>
          </w:p>
        </w:tc>
        <w:tc>
          <w:tcPr>
            <w:tcW w:w="235" w:type="pct"/>
            <w:tcBorders>
              <w:top w:val="nil"/>
              <w:left w:val="nil"/>
              <w:bottom w:val="single" w:sz="4" w:space="0" w:color="auto"/>
              <w:right w:val="single" w:sz="4" w:space="0" w:color="auto"/>
            </w:tcBorders>
            <w:shd w:val="clear" w:color="auto" w:fill="auto"/>
            <w:noWrap/>
            <w:vAlign w:val="bottom"/>
            <w:hideMark/>
          </w:tcPr>
          <w:p w14:paraId="11823494" w14:textId="77777777" w:rsidR="007C7712" w:rsidRPr="00F23594" w:rsidRDefault="007C7712" w:rsidP="007C7712">
            <w:pPr>
              <w:jc w:val="right"/>
              <w:rPr>
                <w:sz w:val="14"/>
                <w:szCs w:val="14"/>
              </w:rPr>
            </w:pPr>
            <w:r w:rsidRPr="00F23594">
              <w:rPr>
                <w:sz w:val="14"/>
                <w:szCs w:val="14"/>
              </w:rPr>
              <w:t>0</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4B27D87F"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52A96BF5" w14:textId="5F5D278D" w:rsidR="007C7712" w:rsidRPr="00F23594" w:rsidRDefault="007C7712" w:rsidP="007C7712">
            <w:pPr>
              <w:jc w:val="right"/>
              <w:rPr>
                <w:sz w:val="14"/>
                <w:szCs w:val="14"/>
              </w:rPr>
            </w:pPr>
            <w:r w:rsidRPr="00F23594">
              <w:rPr>
                <w:sz w:val="14"/>
                <w:szCs w:val="14"/>
              </w:rPr>
              <w:t>12</w:t>
            </w:r>
          </w:p>
        </w:tc>
        <w:tc>
          <w:tcPr>
            <w:tcW w:w="235" w:type="pct"/>
            <w:tcBorders>
              <w:top w:val="nil"/>
              <w:left w:val="nil"/>
              <w:bottom w:val="single" w:sz="4" w:space="0" w:color="auto"/>
              <w:right w:val="single" w:sz="8" w:space="0" w:color="auto"/>
            </w:tcBorders>
            <w:shd w:val="clear" w:color="auto" w:fill="auto"/>
            <w:noWrap/>
            <w:vAlign w:val="bottom"/>
            <w:hideMark/>
          </w:tcPr>
          <w:p w14:paraId="489F7E74" w14:textId="77777777" w:rsidR="007C7712" w:rsidRPr="00F23594" w:rsidRDefault="007C7712" w:rsidP="007C7712">
            <w:pPr>
              <w:jc w:val="right"/>
              <w:rPr>
                <w:sz w:val="14"/>
                <w:szCs w:val="14"/>
              </w:rPr>
            </w:pPr>
            <w:r w:rsidRPr="00F23594">
              <w:rPr>
                <w:sz w:val="14"/>
                <w:szCs w:val="14"/>
              </w:rPr>
              <w:t>6</w:t>
            </w:r>
          </w:p>
        </w:tc>
        <w:tc>
          <w:tcPr>
            <w:tcW w:w="299" w:type="pct"/>
            <w:tcBorders>
              <w:top w:val="nil"/>
              <w:left w:val="nil"/>
              <w:bottom w:val="single" w:sz="4" w:space="0" w:color="auto"/>
              <w:right w:val="single" w:sz="4" w:space="0" w:color="auto"/>
            </w:tcBorders>
            <w:shd w:val="clear" w:color="auto" w:fill="auto"/>
            <w:noWrap/>
            <w:vAlign w:val="bottom"/>
            <w:hideMark/>
          </w:tcPr>
          <w:p w14:paraId="29C309EC"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3A607E26" w14:textId="423FCCFC" w:rsidR="007C7712" w:rsidRPr="00F23594" w:rsidRDefault="007C7712" w:rsidP="007C7712">
            <w:pPr>
              <w:jc w:val="right"/>
              <w:rPr>
                <w:sz w:val="14"/>
                <w:szCs w:val="14"/>
              </w:rPr>
            </w:pPr>
            <w:r w:rsidRPr="00F23594">
              <w:rPr>
                <w:sz w:val="14"/>
                <w:szCs w:val="14"/>
              </w:rPr>
              <w:t>8</w:t>
            </w:r>
          </w:p>
        </w:tc>
        <w:tc>
          <w:tcPr>
            <w:tcW w:w="235" w:type="pct"/>
            <w:tcBorders>
              <w:top w:val="nil"/>
              <w:left w:val="nil"/>
              <w:bottom w:val="single" w:sz="4" w:space="0" w:color="auto"/>
              <w:right w:val="single" w:sz="4" w:space="0" w:color="auto"/>
            </w:tcBorders>
            <w:shd w:val="clear" w:color="auto" w:fill="auto"/>
            <w:noWrap/>
            <w:vAlign w:val="bottom"/>
            <w:hideMark/>
          </w:tcPr>
          <w:p w14:paraId="22D4425C" w14:textId="77777777" w:rsidR="007C7712" w:rsidRPr="00F23594" w:rsidRDefault="007C7712" w:rsidP="007C7712">
            <w:pPr>
              <w:jc w:val="right"/>
              <w:rPr>
                <w:sz w:val="14"/>
                <w:szCs w:val="14"/>
              </w:rPr>
            </w:pPr>
            <w:r w:rsidRPr="00F23594">
              <w:rPr>
                <w:sz w:val="14"/>
                <w:szCs w:val="14"/>
              </w:rPr>
              <w:t>5</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440292FF"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31CE16BB" w14:textId="4E517083" w:rsidR="007C7712" w:rsidRPr="00F23594" w:rsidRDefault="007C7712" w:rsidP="007C7712">
            <w:pPr>
              <w:jc w:val="right"/>
              <w:rPr>
                <w:sz w:val="14"/>
                <w:szCs w:val="14"/>
              </w:rPr>
            </w:pPr>
            <w:r w:rsidRPr="00F23594">
              <w:rPr>
                <w:sz w:val="14"/>
                <w:szCs w:val="14"/>
              </w:rPr>
              <w:t>2,00</w:t>
            </w:r>
          </w:p>
        </w:tc>
        <w:tc>
          <w:tcPr>
            <w:tcW w:w="235" w:type="pct"/>
            <w:tcBorders>
              <w:top w:val="nil"/>
              <w:left w:val="nil"/>
              <w:bottom w:val="single" w:sz="4" w:space="0" w:color="auto"/>
              <w:right w:val="single" w:sz="8" w:space="0" w:color="auto"/>
            </w:tcBorders>
            <w:shd w:val="clear" w:color="auto" w:fill="auto"/>
            <w:noWrap/>
            <w:vAlign w:val="bottom"/>
            <w:hideMark/>
          </w:tcPr>
          <w:p w14:paraId="4A4AD275" w14:textId="77777777" w:rsidR="007C7712" w:rsidRPr="00F23594" w:rsidRDefault="007C7712" w:rsidP="007C7712">
            <w:pPr>
              <w:jc w:val="right"/>
              <w:rPr>
                <w:sz w:val="14"/>
                <w:szCs w:val="14"/>
              </w:rPr>
            </w:pPr>
            <w:r w:rsidRPr="00F23594">
              <w:rPr>
                <w:sz w:val="14"/>
                <w:szCs w:val="14"/>
              </w:rPr>
              <w:t>1</w:t>
            </w:r>
          </w:p>
        </w:tc>
        <w:tc>
          <w:tcPr>
            <w:tcW w:w="299" w:type="pct"/>
            <w:tcBorders>
              <w:top w:val="nil"/>
              <w:left w:val="nil"/>
              <w:bottom w:val="single" w:sz="4" w:space="0" w:color="auto"/>
              <w:right w:val="single" w:sz="4" w:space="0" w:color="auto"/>
            </w:tcBorders>
            <w:shd w:val="clear" w:color="auto" w:fill="auto"/>
            <w:noWrap/>
            <w:vAlign w:val="bottom"/>
            <w:hideMark/>
          </w:tcPr>
          <w:p w14:paraId="3378BA21"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398965D8" w14:textId="18F43C67" w:rsidR="007C7712" w:rsidRPr="00F23594" w:rsidRDefault="007C7712" w:rsidP="007C7712">
            <w:pPr>
              <w:jc w:val="right"/>
              <w:rPr>
                <w:sz w:val="14"/>
                <w:szCs w:val="14"/>
              </w:rPr>
            </w:pPr>
            <w:r w:rsidRPr="00F23594">
              <w:rPr>
                <w:sz w:val="14"/>
                <w:szCs w:val="14"/>
              </w:rPr>
              <w:t>200,00</w:t>
            </w:r>
          </w:p>
        </w:tc>
        <w:tc>
          <w:tcPr>
            <w:tcW w:w="242" w:type="pct"/>
            <w:tcBorders>
              <w:top w:val="nil"/>
              <w:left w:val="nil"/>
              <w:bottom w:val="single" w:sz="4" w:space="0" w:color="auto"/>
              <w:right w:val="single" w:sz="8" w:space="0" w:color="auto"/>
            </w:tcBorders>
            <w:shd w:val="clear" w:color="auto" w:fill="auto"/>
            <w:noWrap/>
            <w:vAlign w:val="bottom"/>
            <w:hideMark/>
          </w:tcPr>
          <w:p w14:paraId="6714F1D9" w14:textId="77777777" w:rsidR="007C7712" w:rsidRPr="00F23594" w:rsidRDefault="007C7712" w:rsidP="007C7712">
            <w:pPr>
              <w:jc w:val="right"/>
              <w:rPr>
                <w:sz w:val="14"/>
                <w:szCs w:val="14"/>
              </w:rPr>
            </w:pPr>
            <w:r w:rsidRPr="00F23594">
              <w:rPr>
                <w:sz w:val="14"/>
                <w:szCs w:val="14"/>
              </w:rPr>
              <w:t>158</w:t>
            </w:r>
          </w:p>
        </w:tc>
      </w:tr>
      <w:tr w:rsidR="007C7712" w:rsidRPr="00375189" w14:paraId="0FA9BA83"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6DCB366F" w14:textId="77777777" w:rsidR="007C7712" w:rsidRPr="00375189" w:rsidRDefault="007C7712" w:rsidP="007C7712">
            <w:pPr>
              <w:rPr>
                <w:sz w:val="16"/>
                <w:szCs w:val="16"/>
              </w:rPr>
            </w:pPr>
            <w:r w:rsidRPr="00375189">
              <w:rPr>
                <w:sz w:val="16"/>
                <w:szCs w:val="16"/>
              </w:rPr>
              <w:t>Смолян</w:t>
            </w:r>
          </w:p>
        </w:tc>
        <w:tc>
          <w:tcPr>
            <w:tcW w:w="299" w:type="pct"/>
            <w:tcBorders>
              <w:top w:val="nil"/>
              <w:left w:val="nil"/>
              <w:bottom w:val="single" w:sz="4" w:space="0" w:color="auto"/>
              <w:right w:val="single" w:sz="4" w:space="0" w:color="auto"/>
            </w:tcBorders>
            <w:shd w:val="clear" w:color="auto" w:fill="auto"/>
            <w:noWrap/>
            <w:vAlign w:val="bottom"/>
            <w:hideMark/>
          </w:tcPr>
          <w:p w14:paraId="27F43943"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5F457968" w14:textId="3A72850F" w:rsidR="007C7712" w:rsidRPr="00F23594" w:rsidRDefault="007C7712" w:rsidP="007C7712">
            <w:pPr>
              <w:jc w:val="right"/>
              <w:rPr>
                <w:sz w:val="14"/>
                <w:szCs w:val="14"/>
              </w:rPr>
            </w:pPr>
            <w:r w:rsidRPr="00F23594">
              <w:rPr>
                <w:sz w:val="14"/>
                <w:szCs w:val="14"/>
              </w:rPr>
              <w:t>35</w:t>
            </w:r>
          </w:p>
        </w:tc>
        <w:tc>
          <w:tcPr>
            <w:tcW w:w="235" w:type="pct"/>
            <w:tcBorders>
              <w:top w:val="nil"/>
              <w:left w:val="nil"/>
              <w:bottom w:val="single" w:sz="4" w:space="0" w:color="auto"/>
              <w:right w:val="single" w:sz="4" w:space="0" w:color="auto"/>
            </w:tcBorders>
            <w:shd w:val="clear" w:color="auto" w:fill="auto"/>
            <w:noWrap/>
            <w:vAlign w:val="bottom"/>
            <w:hideMark/>
          </w:tcPr>
          <w:p w14:paraId="074F8239" w14:textId="77777777" w:rsidR="007C7712" w:rsidRPr="00F23594" w:rsidRDefault="007C7712" w:rsidP="007C7712">
            <w:pPr>
              <w:jc w:val="right"/>
              <w:rPr>
                <w:sz w:val="14"/>
                <w:szCs w:val="14"/>
              </w:rPr>
            </w:pPr>
            <w:r w:rsidRPr="00F23594">
              <w:rPr>
                <w:sz w:val="14"/>
                <w:szCs w:val="14"/>
              </w:rPr>
              <w:t>35</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1043665A"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04BA5388" w14:textId="44273C7D" w:rsidR="007C7712" w:rsidRPr="00F23594" w:rsidRDefault="007C7712" w:rsidP="007C7712">
            <w:pPr>
              <w:jc w:val="right"/>
              <w:rPr>
                <w:sz w:val="14"/>
                <w:szCs w:val="14"/>
              </w:rPr>
            </w:pPr>
            <w:r w:rsidRPr="00F23594">
              <w:rPr>
                <w:sz w:val="14"/>
                <w:szCs w:val="14"/>
              </w:rPr>
              <w:t>40</w:t>
            </w:r>
          </w:p>
        </w:tc>
        <w:tc>
          <w:tcPr>
            <w:tcW w:w="235" w:type="pct"/>
            <w:tcBorders>
              <w:top w:val="nil"/>
              <w:left w:val="nil"/>
              <w:bottom w:val="single" w:sz="4" w:space="0" w:color="auto"/>
              <w:right w:val="single" w:sz="8" w:space="0" w:color="auto"/>
            </w:tcBorders>
            <w:shd w:val="clear" w:color="auto" w:fill="auto"/>
            <w:noWrap/>
            <w:vAlign w:val="bottom"/>
            <w:hideMark/>
          </w:tcPr>
          <w:p w14:paraId="7B232ACC" w14:textId="77777777" w:rsidR="007C7712" w:rsidRPr="00F23594" w:rsidRDefault="007C7712" w:rsidP="007C7712">
            <w:pPr>
              <w:jc w:val="right"/>
              <w:rPr>
                <w:sz w:val="14"/>
                <w:szCs w:val="14"/>
              </w:rPr>
            </w:pPr>
            <w:r w:rsidRPr="00F23594">
              <w:rPr>
                <w:sz w:val="14"/>
                <w:szCs w:val="14"/>
              </w:rPr>
              <w:t>20</w:t>
            </w:r>
          </w:p>
        </w:tc>
        <w:tc>
          <w:tcPr>
            <w:tcW w:w="299" w:type="pct"/>
            <w:tcBorders>
              <w:top w:val="nil"/>
              <w:left w:val="nil"/>
              <w:bottom w:val="single" w:sz="4" w:space="0" w:color="auto"/>
              <w:right w:val="single" w:sz="4" w:space="0" w:color="auto"/>
            </w:tcBorders>
            <w:shd w:val="clear" w:color="auto" w:fill="auto"/>
            <w:noWrap/>
            <w:vAlign w:val="bottom"/>
            <w:hideMark/>
          </w:tcPr>
          <w:p w14:paraId="0F2DBC43"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689C1C65" w14:textId="53010B4E" w:rsidR="007C7712" w:rsidRPr="00F23594" w:rsidRDefault="007C7712" w:rsidP="007C7712">
            <w:pPr>
              <w:jc w:val="right"/>
              <w:rPr>
                <w:sz w:val="14"/>
                <w:szCs w:val="14"/>
              </w:rPr>
            </w:pPr>
            <w:r w:rsidRPr="00F23594">
              <w:rPr>
                <w:sz w:val="14"/>
                <w:szCs w:val="14"/>
              </w:rPr>
              <w:t>5</w:t>
            </w:r>
          </w:p>
        </w:tc>
        <w:tc>
          <w:tcPr>
            <w:tcW w:w="235" w:type="pct"/>
            <w:tcBorders>
              <w:top w:val="nil"/>
              <w:left w:val="nil"/>
              <w:bottom w:val="single" w:sz="4" w:space="0" w:color="auto"/>
              <w:right w:val="single" w:sz="4" w:space="0" w:color="auto"/>
            </w:tcBorders>
            <w:shd w:val="clear" w:color="auto" w:fill="auto"/>
            <w:noWrap/>
            <w:vAlign w:val="bottom"/>
            <w:hideMark/>
          </w:tcPr>
          <w:p w14:paraId="47FA4886" w14:textId="77777777" w:rsidR="007C7712" w:rsidRPr="00F23594" w:rsidRDefault="007C7712" w:rsidP="007C7712">
            <w:pPr>
              <w:jc w:val="right"/>
              <w:rPr>
                <w:sz w:val="14"/>
                <w:szCs w:val="14"/>
              </w:rPr>
            </w:pPr>
            <w:r w:rsidRPr="00F23594">
              <w:rPr>
                <w:sz w:val="14"/>
                <w:szCs w:val="14"/>
              </w:rPr>
              <w:t>6</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67BD23DB"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5E1566F7" w14:textId="78CF49F8" w:rsidR="007C7712" w:rsidRPr="00F23594" w:rsidRDefault="007C7712" w:rsidP="007C7712">
            <w:pPr>
              <w:jc w:val="right"/>
              <w:rPr>
                <w:sz w:val="14"/>
                <w:szCs w:val="14"/>
              </w:rPr>
            </w:pPr>
            <w:r w:rsidRPr="00F23594">
              <w:rPr>
                <w:sz w:val="14"/>
                <w:szCs w:val="14"/>
              </w:rPr>
              <w:t>6,00</w:t>
            </w:r>
          </w:p>
        </w:tc>
        <w:tc>
          <w:tcPr>
            <w:tcW w:w="235" w:type="pct"/>
            <w:tcBorders>
              <w:top w:val="nil"/>
              <w:left w:val="nil"/>
              <w:bottom w:val="single" w:sz="4" w:space="0" w:color="auto"/>
              <w:right w:val="single" w:sz="8" w:space="0" w:color="auto"/>
            </w:tcBorders>
            <w:shd w:val="clear" w:color="auto" w:fill="auto"/>
            <w:noWrap/>
            <w:vAlign w:val="bottom"/>
            <w:hideMark/>
          </w:tcPr>
          <w:p w14:paraId="761C0CD6" w14:textId="77777777" w:rsidR="007C7712" w:rsidRPr="00F23594" w:rsidRDefault="007C7712" w:rsidP="007C7712">
            <w:pPr>
              <w:jc w:val="right"/>
              <w:rPr>
                <w:sz w:val="14"/>
                <w:szCs w:val="14"/>
              </w:rPr>
            </w:pPr>
            <w:r w:rsidRPr="00F23594">
              <w:rPr>
                <w:sz w:val="14"/>
                <w:szCs w:val="14"/>
              </w:rPr>
              <w:t>6</w:t>
            </w:r>
          </w:p>
        </w:tc>
        <w:tc>
          <w:tcPr>
            <w:tcW w:w="299" w:type="pct"/>
            <w:tcBorders>
              <w:top w:val="nil"/>
              <w:left w:val="nil"/>
              <w:bottom w:val="single" w:sz="4" w:space="0" w:color="auto"/>
              <w:right w:val="single" w:sz="4" w:space="0" w:color="auto"/>
            </w:tcBorders>
            <w:shd w:val="clear" w:color="auto" w:fill="auto"/>
            <w:noWrap/>
            <w:vAlign w:val="bottom"/>
            <w:hideMark/>
          </w:tcPr>
          <w:p w14:paraId="2D25584B"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0CB8F41D" w14:textId="4FF273CD" w:rsidR="007C7712" w:rsidRPr="00F23594" w:rsidRDefault="007C7712" w:rsidP="007C7712">
            <w:pPr>
              <w:jc w:val="right"/>
              <w:rPr>
                <w:sz w:val="14"/>
                <w:szCs w:val="14"/>
              </w:rPr>
            </w:pPr>
            <w:r w:rsidRPr="00F23594">
              <w:rPr>
                <w:sz w:val="14"/>
                <w:szCs w:val="14"/>
              </w:rPr>
              <w:t>500,00</w:t>
            </w:r>
          </w:p>
        </w:tc>
        <w:tc>
          <w:tcPr>
            <w:tcW w:w="242" w:type="pct"/>
            <w:tcBorders>
              <w:top w:val="nil"/>
              <w:left w:val="nil"/>
              <w:bottom w:val="single" w:sz="4" w:space="0" w:color="auto"/>
              <w:right w:val="single" w:sz="8" w:space="0" w:color="auto"/>
            </w:tcBorders>
            <w:shd w:val="clear" w:color="auto" w:fill="auto"/>
            <w:noWrap/>
            <w:vAlign w:val="bottom"/>
            <w:hideMark/>
          </w:tcPr>
          <w:p w14:paraId="2E79BF39" w14:textId="77777777" w:rsidR="007C7712" w:rsidRPr="00F23594" w:rsidRDefault="007C7712" w:rsidP="007C7712">
            <w:pPr>
              <w:jc w:val="right"/>
              <w:rPr>
                <w:sz w:val="14"/>
                <w:szCs w:val="14"/>
              </w:rPr>
            </w:pPr>
            <w:r w:rsidRPr="00F23594">
              <w:rPr>
                <w:sz w:val="14"/>
                <w:szCs w:val="14"/>
              </w:rPr>
              <w:t>261</w:t>
            </w:r>
          </w:p>
        </w:tc>
      </w:tr>
      <w:tr w:rsidR="007C7712" w:rsidRPr="00375189" w14:paraId="229143F9"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7D64EE08" w14:textId="77777777" w:rsidR="007C7712" w:rsidRPr="00375189" w:rsidRDefault="007C7712" w:rsidP="007C7712">
            <w:pPr>
              <w:rPr>
                <w:sz w:val="16"/>
                <w:szCs w:val="16"/>
              </w:rPr>
            </w:pPr>
            <w:r w:rsidRPr="00375189">
              <w:rPr>
                <w:sz w:val="16"/>
                <w:szCs w:val="16"/>
              </w:rPr>
              <w:t>София-град</w:t>
            </w:r>
          </w:p>
        </w:tc>
        <w:tc>
          <w:tcPr>
            <w:tcW w:w="299" w:type="pct"/>
            <w:tcBorders>
              <w:top w:val="nil"/>
              <w:left w:val="nil"/>
              <w:bottom w:val="single" w:sz="4" w:space="0" w:color="auto"/>
              <w:right w:val="single" w:sz="4" w:space="0" w:color="auto"/>
            </w:tcBorders>
            <w:shd w:val="clear" w:color="auto" w:fill="auto"/>
            <w:noWrap/>
            <w:vAlign w:val="bottom"/>
            <w:hideMark/>
          </w:tcPr>
          <w:p w14:paraId="240C9CD3"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12E8FE22" w14:textId="54F8B200" w:rsidR="007C7712" w:rsidRPr="00F23594" w:rsidRDefault="007C7712" w:rsidP="007C7712">
            <w:pPr>
              <w:jc w:val="right"/>
              <w:rPr>
                <w:sz w:val="14"/>
                <w:szCs w:val="14"/>
              </w:rPr>
            </w:pPr>
            <w:r w:rsidRPr="00F23594">
              <w:rPr>
                <w:sz w:val="14"/>
                <w:szCs w:val="14"/>
              </w:rPr>
              <w:t>18</w:t>
            </w:r>
          </w:p>
        </w:tc>
        <w:tc>
          <w:tcPr>
            <w:tcW w:w="235" w:type="pct"/>
            <w:tcBorders>
              <w:top w:val="nil"/>
              <w:left w:val="nil"/>
              <w:bottom w:val="single" w:sz="4" w:space="0" w:color="auto"/>
              <w:right w:val="single" w:sz="4" w:space="0" w:color="auto"/>
            </w:tcBorders>
            <w:shd w:val="clear" w:color="auto" w:fill="auto"/>
            <w:noWrap/>
            <w:vAlign w:val="bottom"/>
            <w:hideMark/>
          </w:tcPr>
          <w:p w14:paraId="0F6A09AA" w14:textId="77777777" w:rsidR="007C7712" w:rsidRPr="00F23594" w:rsidRDefault="007C7712" w:rsidP="007C7712">
            <w:pPr>
              <w:jc w:val="right"/>
              <w:rPr>
                <w:sz w:val="14"/>
                <w:szCs w:val="14"/>
              </w:rPr>
            </w:pPr>
            <w:r w:rsidRPr="00F23594">
              <w:rPr>
                <w:sz w:val="14"/>
                <w:szCs w:val="14"/>
              </w:rPr>
              <w:t>18</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720171C8"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3C76FA3F" w14:textId="6368CA30" w:rsidR="007C7712" w:rsidRPr="00F23594" w:rsidRDefault="007C7712" w:rsidP="007C7712">
            <w:pPr>
              <w:jc w:val="right"/>
              <w:rPr>
                <w:sz w:val="14"/>
                <w:szCs w:val="14"/>
              </w:rPr>
            </w:pPr>
            <w:r w:rsidRPr="00F23594">
              <w:rPr>
                <w:sz w:val="14"/>
                <w:szCs w:val="14"/>
              </w:rPr>
              <w:t>10</w:t>
            </w:r>
          </w:p>
        </w:tc>
        <w:tc>
          <w:tcPr>
            <w:tcW w:w="235" w:type="pct"/>
            <w:tcBorders>
              <w:top w:val="nil"/>
              <w:left w:val="nil"/>
              <w:bottom w:val="single" w:sz="4" w:space="0" w:color="auto"/>
              <w:right w:val="single" w:sz="8" w:space="0" w:color="auto"/>
            </w:tcBorders>
            <w:shd w:val="clear" w:color="auto" w:fill="auto"/>
            <w:noWrap/>
            <w:vAlign w:val="bottom"/>
            <w:hideMark/>
          </w:tcPr>
          <w:p w14:paraId="3B6B0EA4" w14:textId="77777777" w:rsidR="007C7712" w:rsidRPr="00F23594" w:rsidRDefault="007C7712" w:rsidP="007C7712">
            <w:pPr>
              <w:jc w:val="right"/>
              <w:rPr>
                <w:sz w:val="14"/>
                <w:szCs w:val="14"/>
              </w:rPr>
            </w:pPr>
            <w:r w:rsidRPr="00F23594">
              <w:rPr>
                <w:sz w:val="14"/>
                <w:szCs w:val="14"/>
              </w:rPr>
              <w:t>5</w:t>
            </w:r>
          </w:p>
        </w:tc>
        <w:tc>
          <w:tcPr>
            <w:tcW w:w="299" w:type="pct"/>
            <w:tcBorders>
              <w:top w:val="nil"/>
              <w:left w:val="nil"/>
              <w:bottom w:val="single" w:sz="4" w:space="0" w:color="auto"/>
              <w:right w:val="single" w:sz="4" w:space="0" w:color="auto"/>
            </w:tcBorders>
            <w:shd w:val="clear" w:color="auto" w:fill="auto"/>
            <w:noWrap/>
            <w:vAlign w:val="bottom"/>
            <w:hideMark/>
          </w:tcPr>
          <w:p w14:paraId="151D758F"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2633A978" w14:textId="40D42DB4" w:rsidR="007C7712" w:rsidRPr="00F23594" w:rsidRDefault="007C7712" w:rsidP="007C7712">
            <w:pPr>
              <w:jc w:val="right"/>
              <w:rPr>
                <w:sz w:val="14"/>
                <w:szCs w:val="14"/>
              </w:rPr>
            </w:pPr>
            <w:r w:rsidRPr="00F23594">
              <w:rPr>
                <w:sz w:val="14"/>
                <w:szCs w:val="14"/>
              </w:rPr>
              <w:t>27</w:t>
            </w:r>
          </w:p>
        </w:tc>
        <w:tc>
          <w:tcPr>
            <w:tcW w:w="235" w:type="pct"/>
            <w:tcBorders>
              <w:top w:val="nil"/>
              <w:left w:val="nil"/>
              <w:bottom w:val="single" w:sz="4" w:space="0" w:color="auto"/>
              <w:right w:val="single" w:sz="4" w:space="0" w:color="auto"/>
            </w:tcBorders>
            <w:shd w:val="clear" w:color="auto" w:fill="auto"/>
            <w:noWrap/>
            <w:vAlign w:val="bottom"/>
            <w:hideMark/>
          </w:tcPr>
          <w:p w14:paraId="26F9351D" w14:textId="77777777" w:rsidR="007C7712" w:rsidRPr="00F23594" w:rsidRDefault="007C7712" w:rsidP="007C7712">
            <w:pPr>
              <w:jc w:val="right"/>
              <w:rPr>
                <w:sz w:val="14"/>
                <w:szCs w:val="14"/>
              </w:rPr>
            </w:pPr>
            <w:r w:rsidRPr="00F23594">
              <w:rPr>
                <w:sz w:val="14"/>
                <w:szCs w:val="14"/>
              </w:rPr>
              <w:t>13</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41776F2E"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1DF102CB" w14:textId="4A57FB2A" w:rsidR="007C7712" w:rsidRPr="00F23594" w:rsidRDefault="007C7712" w:rsidP="007C7712">
            <w:pPr>
              <w:jc w:val="right"/>
              <w:rPr>
                <w:sz w:val="14"/>
                <w:szCs w:val="14"/>
              </w:rPr>
            </w:pPr>
            <w:r w:rsidRPr="00F23594">
              <w:rPr>
                <w:sz w:val="14"/>
                <w:szCs w:val="14"/>
              </w:rPr>
              <w:t>20,00</w:t>
            </w:r>
          </w:p>
        </w:tc>
        <w:tc>
          <w:tcPr>
            <w:tcW w:w="235" w:type="pct"/>
            <w:tcBorders>
              <w:top w:val="nil"/>
              <w:left w:val="nil"/>
              <w:bottom w:val="single" w:sz="4" w:space="0" w:color="auto"/>
              <w:right w:val="single" w:sz="8" w:space="0" w:color="auto"/>
            </w:tcBorders>
            <w:shd w:val="clear" w:color="auto" w:fill="auto"/>
            <w:noWrap/>
            <w:vAlign w:val="bottom"/>
            <w:hideMark/>
          </w:tcPr>
          <w:p w14:paraId="4204D95F" w14:textId="77777777" w:rsidR="007C7712" w:rsidRPr="00F23594" w:rsidRDefault="007C7712" w:rsidP="007C7712">
            <w:pPr>
              <w:jc w:val="right"/>
              <w:rPr>
                <w:sz w:val="14"/>
                <w:szCs w:val="14"/>
              </w:rPr>
            </w:pPr>
            <w:r w:rsidRPr="00F23594">
              <w:rPr>
                <w:sz w:val="14"/>
                <w:szCs w:val="14"/>
              </w:rPr>
              <w:t>23</w:t>
            </w:r>
          </w:p>
        </w:tc>
        <w:tc>
          <w:tcPr>
            <w:tcW w:w="299" w:type="pct"/>
            <w:tcBorders>
              <w:top w:val="nil"/>
              <w:left w:val="nil"/>
              <w:bottom w:val="single" w:sz="4" w:space="0" w:color="auto"/>
              <w:right w:val="single" w:sz="4" w:space="0" w:color="auto"/>
            </w:tcBorders>
            <w:shd w:val="clear" w:color="auto" w:fill="auto"/>
            <w:noWrap/>
            <w:vAlign w:val="bottom"/>
            <w:hideMark/>
          </w:tcPr>
          <w:p w14:paraId="4F13F11F"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4B160369" w14:textId="056B8640" w:rsidR="007C7712" w:rsidRPr="00F23594" w:rsidRDefault="007C7712" w:rsidP="007C7712">
            <w:pPr>
              <w:jc w:val="right"/>
              <w:rPr>
                <w:sz w:val="14"/>
                <w:szCs w:val="14"/>
              </w:rPr>
            </w:pPr>
            <w:r w:rsidRPr="00F23594">
              <w:rPr>
                <w:sz w:val="14"/>
                <w:szCs w:val="14"/>
              </w:rPr>
              <w:t>350,00</w:t>
            </w:r>
          </w:p>
        </w:tc>
        <w:tc>
          <w:tcPr>
            <w:tcW w:w="242" w:type="pct"/>
            <w:tcBorders>
              <w:top w:val="nil"/>
              <w:left w:val="nil"/>
              <w:bottom w:val="single" w:sz="4" w:space="0" w:color="auto"/>
              <w:right w:val="single" w:sz="8" w:space="0" w:color="auto"/>
            </w:tcBorders>
            <w:shd w:val="clear" w:color="auto" w:fill="auto"/>
            <w:noWrap/>
            <w:vAlign w:val="bottom"/>
            <w:hideMark/>
          </w:tcPr>
          <w:p w14:paraId="268DA21F" w14:textId="77777777" w:rsidR="007C7712" w:rsidRPr="00F23594" w:rsidRDefault="007C7712" w:rsidP="007C7712">
            <w:pPr>
              <w:jc w:val="right"/>
              <w:rPr>
                <w:sz w:val="14"/>
                <w:szCs w:val="14"/>
              </w:rPr>
            </w:pPr>
            <w:r w:rsidRPr="00F23594">
              <w:rPr>
                <w:sz w:val="14"/>
                <w:szCs w:val="14"/>
              </w:rPr>
              <w:t>147</w:t>
            </w:r>
          </w:p>
        </w:tc>
      </w:tr>
      <w:tr w:rsidR="007C7712" w:rsidRPr="00375189" w14:paraId="40E29F13"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39E97096" w14:textId="77777777" w:rsidR="007C7712" w:rsidRPr="00375189" w:rsidRDefault="007C7712" w:rsidP="007C7712">
            <w:pPr>
              <w:rPr>
                <w:sz w:val="16"/>
                <w:szCs w:val="16"/>
              </w:rPr>
            </w:pPr>
            <w:r w:rsidRPr="00375189">
              <w:rPr>
                <w:sz w:val="16"/>
                <w:szCs w:val="16"/>
              </w:rPr>
              <w:t>София-област</w:t>
            </w:r>
          </w:p>
        </w:tc>
        <w:tc>
          <w:tcPr>
            <w:tcW w:w="299" w:type="pct"/>
            <w:tcBorders>
              <w:top w:val="nil"/>
              <w:left w:val="nil"/>
              <w:bottom w:val="single" w:sz="4" w:space="0" w:color="auto"/>
              <w:right w:val="single" w:sz="4" w:space="0" w:color="auto"/>
            </w:tcBorders>
            <w:shd w:val="clear" w:color="auto" w:fill="auto"/>
            <w:noWrap/>
            <w:vAlign w:val="bottom"/>
            <w:hideMark/>
          </w:tcPr>
          <w:p w14:paraId="4B910F1F"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16FDEFEE" w14:textId="764E9133" w:rsidR="007C7712" w:rsidRPr="00F23594" w:rsidRDefault="007C7712" w:rsidP="007C7712">
            <w:pPr>
              <w:jc w:val="right"/>
              <w:rPr>
                <w:sz w:val="14"/>
                <w:szCs w:val="14"/>
              </w:rPr>
            </w:pPr>
            <w:r w:rsidRPr="00F23594">
              <w:rPr>
                <w:sz w:val="14"/>
                <w:szCs w:val="14"/>
              </w:rPr>
              <w:t>25</w:t>
            </w:r>
          </w:p>
        </w:tc>
        <w:tc>
          <w:tcPr>
            <w:tcW w:w="235" w:type="pct"/>
            <w:tcBorders>
              <w:top w:val="nil"/>
              <w:left w:val="nil"/>
              <w:bottom w:val="single" w:sz="4" w:space="0" w:color="auto"/>
              <w:right w:val="single" w:sz="4" w:space="0" w:color="auto"/>
            </w:tcBorders>
            <w:shd w:val="clear" w:color="auto" w:fill="auto"/>
            <w:noWrap/>
            <w:vAlign w:val="bottom"/>
            <w:hideMark/>
          </w:tcPr>
          <w:p w14:paraId="26EA44DF" w14:textId="77777777" w:rsidR="007C7712" w:rsidRPr="00F23594" w:rsidRDefault="007C7712" w:rsidP="007C7712">
            <w:pPr>
              <w:jc w:val="right"/>
              <w:rPr>
                <w:sz w:val="14"/>
                <w:szCs w:val="14"/>
              </w:rPr>
            </w:pPr>
            <w:r w:rsidRPr="00F23594">
              <w:rPr>
                <w:sz w:val="14"/>
                <w:szCs w:val="14"/>
              </w:rPr>
              <w:t>25</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0460D676"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1210303B" w14:textId="0E7ACB2A" w:rsidR="007C7712" w:rsidRPr="00F23594" w:rsidRDefault="007C7712" w:rsidP="007C7712">
            <w:pPr>
              <w:jc w:val="right"/>
              <w:rPr>
                <w:sz w:val="14"/>
                <w:szCs w:val="14"/>
              </w:rPr>
            </w:pPr>
            <w:r w:rsidRPr="00F23594">
              <w:rPr>
                <w:sz w:val="14"/>
                <w:szCs w:val="14"/>
              </w:rPr>
              <w:t>12</w:t>
            </w:r>
          </w:p>
        </w:tc>
        <w:tc>
          <w:tcPr>
            <w:tcW w:w="235" w:type="pct"/>
            <w:tcBorders>
              <w:top w:val="nil"/>
              <w:left w:val="nil"/>
              <w:bottom w:val="single" w:sz="4" w:space="0" w:color="auto"/>
              <w:right w:val="single" w:sz="8" w:space="0" w:color="auto"/>
            </w:tcBorders>
            <w:shd w:val="clear" w:color="auto" w:fill="auto"/>
            <w:noWrap/>
            <w:vAlign w:val="bottom"/>
            <w:hideMark/>
          </w:tcPr>
          <w:p w14:paraId="1217063A" w14:textId="77777777" w:rsidR="007C7712" w:rsidRPr="00F23594" w:rsidRDefault="007C7712" w:rsidP="007C7712">
            <w:pPr>
              <w:jc w:val="right"/>
              <w:rPr>
                <w:sz w:val="14"/>
                <w:szCs w:val="14"/>
              </w:rPr>
            </w:pPr>
            <w:r w:rsidRPr="00F23594">
              <w:rPr>
                <w:sz w:val="14"/>
                <w:szCs w:val="14"/>
              </w:rPr>
              <w:t>6</w:t>
            </w:r>
          </w:p>
        </w:tc>
        <w:tc>
          <w:tcPr>
            <w:tcW w:w="299" w:type="pct"/>
            <w:tcBorders>
              <w:top w:val="nil"/>
              <w:left w:val="nil"/>
              <w:bottom w:val="single" w:sz="4" w:space="0" w:color="auto"/>
              <w:right w:val="single" w:sz="4" w:space="0" w:color="auto"/>
            </w:tcBorders>
            <w:shd w:val="clear" w:color="auto" w:fill="auto"/>
            <w:noWrap/>
            <w:vAlign w:val="bottom"/>
            <w:hideMark/>
          </w:tcPr>
          <w:p w14:paraId="18569ACA"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4D7D084E" w14:textId="02984F20" w:rsidR="007C7712" w:rsidRPr="00F23594" w:rsidRDefault="007C7712" w:rsidP="007C7712">
            <w:pPr>
              <w:jc w:val="right"/>
              <w:rPr>
                <w:sz w:val="14"/>
                <w:szCs w:val="14"/>
              </w:rPr>
            </w:pPr>
            <w:r w:rsidRPr="00F23594">
              <w:rPr>
                <w:sz w:val="14"/>
                <w:szCs w:val="14"/>
              </w:rPr>
              <w:t>30</w:t>
            </w:r>
          </w:p>
        </w:tc>
        <w:tc>
          <w:tcPr>
            <w:tcW w:w="235" w:type="pct"/>
            <w:tcBorders>
              <w:top w:val="nil"/>
              <w:left w:val="nil"/>
              <w:bottom w:val="single" w:sz="4" w:space="0" w:color="auto"/>
              <w:right w:val="single" w:sz="4" w:space="0" w:color="auto"/>
            </w:tcBorders>
            <w:shd w:val="clear" w:color="auto" w:fill="auto"/>
            <w:noWrap/>
            <w:vAlign w:val="bottom"/>
            <w:hideMark/>
          </w:tcPr>
          <w:p w14:paraId="50B478C5" w14:textId="77777777" w:rsidR="007C7712" w:rsidRPr="00F23594" w:rsidRDefault="007C7712" w:rsidP="007C7712">
            <w:pPr>
              <w:jc w:val="right"/>
              <w:rPr>
                <w:sz w:val="14"/>
                <w:szCs w:val="14"/>
              </w:rPr>
            </w:pPr>
            <w:r w:rsidRPr="00F23594">
              <w:rPr>
                <w:sz w:val="14"/>
                <w:szCs w:val="14"/>
              </w:rPr>
              <w:t>11</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3689EEA4"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6494D195" w14:textId="621F66A8" w:rsidR="007C7712" w:rsidRPr="00F23594" w:rsidRDefault="007C7712" w:rsidP="007C7712">
            <w:pPr>
              <w:jc w:val="right"/>
              <w:rPr>
                <w:sz w:val="14"/>
                <w:szCs w:val="14"/>
              </w:rPr>
            </w:pPr>
            <w:r w:rsidRPr="00F23594">
              <w:rPr>
                <w:sz w:val="14"/>
                <w:szCs w:val="14"/>
              </w:rPr>
              <w:t>25,00</w:t>
            </w:r>
          </w:p>
        </w:tc>
        <w:tc>
          <w:tcPr>
            <w:tcW w:w="235" w:type="pct"/>
            <w:tcBorders>
              <w:top w:val="nil"/>
              <w:left w:val="nil"/>
              <w:bottom w:val="single" w:sz="4" w:space="0" w:color="auto"/>
              <w:right w:val="single" w:sz="8" w:space="0" w:color="auto"/>
            </w:tcBorders>
            <w:shd w:val="clear" w:color="auto" w:fill="auto"/>
            <w:noWrap/>
            <w:vAlign w:val="bottom"/>
            <w:hideMark/>
          </w:tcPr>
          <w:p w14:paraId="3C393053" w14:textId="77777777" w:rsidR="007C7712" w:rsidRPr="00F23594" w:rsidRDefault="007C7712" w:rsidP="007C7712">
            <w:pPr>
              <w:jc w:val="right"/>
              <w:rPr>
                <w:sz w:val="14"/>
                <w:szCs w:val="14"/>
              </w:rPr>
            </w:pPr>
            <w:r w:rsidRPr="00F23594">
              <w:rPr>
                <w:sz w:val="14"/>
                <w:szCs w:val="14"/>
              </w:rPr>
              <w:t>2</w:t>
            </w:r>
          </w:p>
        </w:tc>
        <w:tc>
          <w:tcPr>
            <w:tcW w:w="299" w:type="pct"/>
            <w:tcBorders>
              <w:top w:val="nil"/>
              <w:left w:val="nil"/>
              <w:bottom w:val="single" w:sz="4" w:space="0" w:color="auto"/>
              <w:right w:val="single" w:sz="4" w:space="0" w:color="auto"/>
            </w:tcBorders>
            <w:shd w:val="clear" w:color="auto" w:fill="auto"/>
            <w:noWrap/>
            <w:vAlign w:val="bottom"/>
            <w:hideMark/>
          </w:tcPr>
          <w:p w14:paraId="78FFA8E8"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02FFB470" w14:textId="6171E864" w:rsidR="007C7712" w:rsidRPr="00F23594" w:rsidRDefault="007C7712" w:rsidP="007C7712">
            <w:pPr>
              <w:jc w:val="right"/>
              <w:rPr>
                <w:sz w:val="14"/>
                <w:szCs w:val="14"/>
              </w:rPr>
            </w:pPr>
            <w:r w:rsidRPr="00F23594">
              <w:rPr>
                <w:sz w:val="14"/>
                <w:szCs w:val="14"/>
              </w:rPr>
              <w:t>300,00</w:t>
            </w:r>
          </w:p>
        </w:tc>
        <w:tc>
          <w:tcPr>
            <w:tcW w:w="242" w:type="pct"/>
            <w:tcBorders>
              <w:top w:val="nil"/>
              <w:left w:val="nil"/>
              <w:bottom w:val="single" w:sz="4" w:space="0" w:color="auto"/>
              <w:right w:val="single" w:sz="8" w:space="0" w:color="auto"/>
            </w:tcBorders>
            <w:shd w:val="clear" w:color="auto" w:fill="auto"/>
            <w:noWrap/>
            <w:vAlign w:val="bottom"/>
            <w:hideMark/>
          </w:tcPr>
          <w:p w14:paraId="26B9CC62" w14:textId="77777777" w:rsidR="007C7712" w:rsidRPr="00F23594" w:rsidRDefault="007C7712" w:rsidP="007C7712">
            <w:pPr>
              <w:jc w:val="right"/>
              <w:rPr>
                <w:sz w:val="14"/>
                <w:szCs w:val="14"/>
              </w:rPr>
            </w:pPr>
            <w:r w:rsidRPr="00F23594">
              <w:rPr>
                <w:sz w:val="14"/>
                <w:szCs w:val="14"/>
              </w:rPr>
              <w:t>76</w:t>
            </w:r>
          </w:p>
        </w:tc>
      </w:tr>
      <w:tr w:rsidR="007C7712" w:rsidRPr="00375189" w14:paraId="360EF963"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50FD73B8" w14:textId="77777777" w:rsidR="007C7712" w:rsidRPr="00375189" w:rsidRDefault="007C7712" w:rsidP="007C7712">
            <w:pPr>
              <w:rPr>
                <w:sz w:val="16"/>
                <w:szCs w:val="16"/>
              </w:rPr>
            </w:pPr>
            <w:r w:rsidRPr="00375189">
              <w:rPr>
                <w:sz w:val="16"/>
                <w:szCs w:val="16"/>
              </w:rPr>
              <w:t>Стара Загора</w:t>
            </w:r>
          </w:p>
        </w:tc>
        <w:tc>
          <w:tcPr>
            <w:tcW w:w="299" w:type="pct"/>
            <w:tcBorders>
              <w:top w:val="nil"/>
              <w:left w:val="nil"/>
              <w:bottom w:val="single" w:sz="4" w:space="0" w:color="auto"/>
              <w:right w:val="single" w:sz="4" w:space="0" w:color="auto"/>
            </w:tcBorders>
            <w:shd w:val="clear" w:color="auto" w:fill="auto"/>
            <w:noWrap/>
            <w:vAlign w:val="bottom"/>
            <w:hideMark/>
          </w:tcPr>
          <w:p w14:paraId="264D2F30"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7A181A01" w14:textId="139DFD33" w:rsidR="007C7712" w:rsidRPr="00F23594" w:rsidRDefault="007C7712" w:rsidP="007C7712">
            <w:pPr>
              <w:jc w:val="right"/>
              <w:rPr>
                <w:sz w:val="14"/>
                <w:szCs w:val="14"/>
              </w:rPr>
            </w:pPr>
            <w:r w:rsidRPr="00F23594">
              <w:rPr>
                <w:sz w:val="14"/>
                <w:szCs w:val="14"/>
              </w:rPr>
              <w:t>30</w:t>
            </w:r>
          </w:p>
        </w:tc>
        <w:tc>
          <w:tcPr>
            <w:tcW w:w="235" w:type="pct"/>
            <w:tcBorders>
              <w:top w:val="nil"/>
              <w:left w:val="nil"/>
              <w:bottom w:val="single" w:sz="4" w:space="0" w:color="auto"/>
              <w:right w:val="single" w:sz="4" w:space="0" w:color="auto"/>
            </w:tcBorders>
            <w:shd w:val="clear" w:color="auto" w:fill="auto"/>
            <w:noWrap/>
            <w:vAlign w:val="bottom"/>
            <w:hideMark/>
          </w:tcPr>
          <w:p w14:paraId="09AA82D7" w14:textId="77777777" w:rsidR="007C7712" w:rsidRPr="00F23594" w:rsidRDefault="007C7712" w:rsidP="007C7712">
            <w:pPr>
              <w:jc w:val="right"/>
              <w:rPr>
                <w:sz w:val="14"/>
                <w:szCs w:val="14"/>
              </w:rPr>
            </w:pPr>
            <w:r w:rsidRPr="00F23594">
              <w:rPr>
                <w:sz w:val="14"/>
                <w:szCs w:val="14"/>
              </w:rPr>
              <w:t>20</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6D6A29ED"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1CD74F4D" w14:textId="3C1A5D58" w:rsidR="007C7712" w:rsidRPr="00F23594" w:rsidRDefault="007C7712" w:rsidP="007C7712">
            <w:pPr>
              <w:jc w:val="right"/>
              <w:rPr>
                <w:sz w:val="14"/>
                <w:szCs w:val="14"/>
              </w:rPr>
            </w:pPr>
            <w:r w:rsidRPr="00F23594">
              <w:rPr>
                <w:sz w:val="14"/>
                <w:szCs w:val="14"/>
              </w:rPr>
              <w:t>365</w:t>
            </w:r>
          </w:p>
        </w:tc>
        <w:tc>
          <w:tcPr>
            <w:tcW w:w="235" w:type="pct"/>
            <w:tcBorders>
              <w:top w:val="nil"/>
              <w:left w:val="nil"/>
              <w:bottom w:val="single" w:sz="4" w:space="0" w:color="auto"/>
              <w:right w:val="single" w:sz="8" w:space="0" w:color="auto"/>
            </w:tcBorders>
            <w:shd w:val="clear" w:color="auto" w:fill="auto"/>
            <w:noWrap/>
            <w:vAlign w:val="bottom"/>
            <w:hideMark/>
          </w:tcPr>
          <w:p w14:paraId="0B0A0D86" w14:textId="77777777" w:rsidR="007C7712" w:rsidRPr="00F23594" w:rsidRDefault="007C7712" w:rsidP="007C7712">
            <w:pPr>
              <w:jc w:val="right"/>
              <w:rPr>
                <w:sz w:val="14"/>
                <w:szCs w:val="14"/>
              </w:rPr>
            </w:pPr>
            <w:r w:rsidRPr="00F23594">
              <w:rPr>
                <w:sz w:val="14"/>
                <w:szCs w:val="14"/>
              </w:rPr>
              <w:t>182</w:t>
            </w:r>
          </w:p>
        </w:tc>
        <w:tc>
          <w:tcPr>
            <w:tcW w:w="299" w:type="pct"/>
            <w:tcBorders>
              <w:top w:val="nil"/>
              <w:left w:val="nil"/>
              <w:bottom w:val="single" w:sz="4" w:space="0" w:color="auto"/>
              <w:right w:val="single" w:sz="4" w:space="0" w:color="auto"/>
            </w:tcBorders>
            <w:shd w:val="clear" w:color="auto" w:fill="auto"/>
            <w:noWrap/>
            <w:vAlign w:val="bottom"/>
            <w:hideMark/>
          </w:tcPr>
          <w:p w14:paraId="1BB58B46"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1EACBBBF" w14:textId="749C7339" w:rsidR="007C7712" w:rsidRPr="00F23594" w:rsidRDefault="007C7712" w:rsidP="007C7712">
            <w:pPr>
              <w:jc w:val="right"/>
              <w:rPr>
                <w:sz w:val="14"/>
                <w:szCs w:val="14"/>
              </w:rPr>
            </w:pPr>
            <w:r w:rsidRPr="00F23594">
              <w:rPr>
                <w:sz w:val="14"/>
                <w:szCs w:val="14"/>
              </w:rPr>
              <w:t>20</w:t>
            </w:r>
          </w:p>
        </w:tc>
        <w:tc>
          <w:tcPr>
            <w:tcW w:w="235" w:type="pct"/>
            <w:tcBorders>
              <w:top w:val="nil"/>
              <w:left w:val="nil"/>
              <w:bottom w:val="single" w:sz="4" w:space="0" w:color="auto"/>
              <w:right w:val="single" w:sz="4" w:space="0" w:color="auto"/>
            </w:tcBorders>
            <w:shd w:val="clear" w:color="auto" w:fill="auto"/>
            <w:noWrap/>
            <w:vAlign w:val="bottom"/>
            <w:hideMark/>
          </w:tcPr>
          <w:p w14:paraId="63AB5485" w14:textId="77777777" w:rsidR="007C7712" w:rsidRPr="00F23594" w:rsidRDefault="007C7712" w:rsidP="007C7712">
            <w:pPr>
              <w:jc w:val="right"/>
              <w:rPr>
                <w:sz w:val="14"/>
                <w:szCs w:val="14"/>
              </w:rPr>
            </w:pPr>
            <w:r w:rsidRPr="00F23594">
              <w:rPr>
                <w:sz w:val="14"/>
                <w:szCs w:val="14"/>
              </w:rPr>
              <w:t>9</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3ED64CC1"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3E4B6B2B" w14:textId="71728E30" w:rsidR="007C7712" w:rsidRPr="00F23594" w:rsidRDefault="007C7712" w:rsidP="007C7712">
            <w:pPr>
              <w:jc w:val="right"/>
              <w:rPr>
                <w:sz w:val="14"/>
                <w:szCs w:val="14"/>
              </w:rPr>
            </w:pPr>
            <w:r w:rsidRPr="00F23594">
              <w:rPr>
                <w:sz w:val="14"/>
                <w:szCs w:val="14"/>
              </w:rPr>
              <w:t>9,00</w:t>
            </w:r>
          </w:p>
        </w:tc>
        <w:tc>
          <w:tcPr>
            <w:tcW w:w="235" w:type="pct"/>
            <w:tcBorders>
              <w:top w:val="nil"/>
              <w:left w:val="nil"/>
              <w:bottom w:val="single" w:sz="4" w:space="0" w:color="auto"/>
              <w:right w:val="single" w:sz="8" w:space="0" w:color="auto"/>
            </w:tcBorders>
            <w:shd w:val="clear" w:color="auto" w:fill="auto"/>
            <w:noWrap/>
            <w:vAlign w:val="bottom"/>
            <w:hideMark/>
          </w:tcPr>
          <w:p w14:paraId="6E5B2F67" w14:textId="77777777" w:rsidR="007C7712" w:rsidRPr="00F23594" w:rsidRDefault="007C7712" w:rsidP="007C7712">
            <w:pPr>
              <w:jc w:val="right"/>
              <w:rPr>
                <w:sz w:val="14"/>
                <w:szCs w:val="14"/>
              </w:rPr>
            </w:pPr>
            <w:r w:rsidRPr="00F23594">
              <w:rPr>
                <w:sz w:val="14"/>
                <w:szCs w:val="14"/>
              </w:rPr>
              <w:t>4</w:t>
            </w:r>
          </w:p>
        </w:tc>
        <w:tc>
          <w:tcPr>
            <w:tcW w:w="299" w:type="pct"/>
            <w:tcBorders>
              <w:top w:val="nil"/>
              <w:left w:val="nil"/>
              <w:bottom w:val="single" w:sz="4" w:space="0" w:color="auto"/>
              <w:right w:val="single" w:sz="4" w:space="0" w:color="auto"/>
            </w:tcBorders>
            <w:shd w:val="clear" w:color="auto" w:fill="auto"/>
            <w:noWrap/>
            <w:vAlign w:val="bottom"/>
            <w:hideMark/>
          </w:tcPr>
          <w:p w14:paraId="3B367A01"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33F34E4F" w14:textId="4CB5FABC" w:rsidR="007C7712" w:rsidRPr="00F23594" w:rsidRDefault="007C7712" w:rsidP="007C7712">
            <w:pPr>
              <w:jc w:val="right"/>
              <w:rPr>
                <w:sz w:val="14"/>
                <w:szCs w:val="14"/>
              </w:rPr>
            </w:pPr>
            <w:r w:rsidRPr="00F23594">
              <w:rPr>
                <w:sz w:val="14"/>
                <w:szCs w:val="14"/>
              </w:rPr>
              <w:t>600,00</w:t>
            </w:r>
          </w:p>
        </w:tc>
        <w:tc>
          <w:tcPr>
            <w:tcW w:w="242" w:type="pct"/>
            <w:tcBorders>
              <w:top w:val="nil"/>
              <w:left w:val="nil"/>
              <w:bottom w:val="single" w:sz="4" w:space="0" w:color="auto"/>
              <w:right w:val="single" w:sz="8" w:space="0" w:color="auto"/>
            </w:tcBorders>
            <w:shd w:val="clear" w:color="auto" w:fill="auto"/>
            <w:noWrap/>
            <w:vAlign w:val="bottom"/>
            <w:hideMark/>
          </w:tcPr>
          <w:p w14:paraId="180FED4A" w14:textId="77777777" w:rsidR="007C7712" w:rsidRPr="00F23594" w:rsidRDefault="007C7712" w:rsidP="007C7712">
            <w:pPr>
              <w:jc w:val="right"/>
              <w:rPr>
                <w:sz w:val="14"/>
                <w:szCs w:val="14"/>
              </w:rPr>
            </w:pPr>
            <w:r w:rsidRPr="00F23594">
              <w:rPr>
                <w:sz w:val="14"/>
                <w:szCs w:val="14"/>
              </w:rPr>
              <w:t>259</w:t>
            </w:r>
          </w:p>
        </w:tc>
      </w:tr>
      <w:tr w:rsidR="007C7712" w:rsidRPr="00375189" w14:paraId="2F961CEC"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77822C12" w14:textId="77777777" w:rsidR="007C7712" w:rsidRPr="00375189" w:rsidRDefault="007C7712" w:rsidP="007C7712">
            <w:pPr>
              <w:rPr>
                <w:sz w:val="16"/>
                <w:szCs w:val="16"/>
              </w:rPr>
            </w:pPr>
            <w:r w:rsidRPr="00375189">
              <w:rPr>
                <w:sz w:val="16"/>
                <w:szCs w:val="16"/>
              </w:rPr>
              <w:t>Търговище</w:t>
            </w:r>
          </w:p>
        </w:tc>
        <w:tc>
          <w:tcPr>
            <w:tcW w:w="299" w:type="pct"/>
            <w:tcBorders>
              <w:top w:val="nil"/>
              <w:left w:val="nil"/>
              <w:bottom w:val="single" w:sz="4" w:space="0" w:color="auto"/>
              <w:right w:val="single" w:sz="4" w:space="0" w:color="auto"/>
            </w:tcBorders>
            <w:shd w:val="clear" w:color="auto" w:fill="auto"/>
            <w:noWrap/>
            <w:vAlign w:val="bottom"/>
            <w:hideMark/>
          </w:tcPr>
          <w:p w14:paraId="57E197F6"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048FA817" w14:textId="481889B6" w:rsidR="007C7712" w:rsidRPr="00F23594" w:rsidRDefault="007C7712" w:rsidP="007C7712">
            <w:pPr>
              <w:jc w:val="right"/>
              <w:rPr>
                <w:sz w:val="14"/>
                <w:szCs w:val="14"/>
              </w:rPr>
            </w:pPr>
            <w:r w:rsidRPr="00F23594">
              <w:rPr>
                <w:sz w:val="14"/>
                <w:szCs w:val="14"/>
              </w:rPr>
              <w:t>28</w:t>
            </w:r>
          </w:p>
        </w:tc>
        <w:tc>
          <w:tcPr>
            <w:tcW w:w="235" w:type="pct"/>
            <w:tcBorders>
              <w:top w:val="nil"/>
              <w:left w:val="nil"/>
              <w:bottom w:val="single" w:sz="4" w:space="0" w:color="auto"/>
              <w:right w:val="single" w:sz="4" w:space="0" w:color="auto"/>
            </w:tcBorders>
            <w:shd w:val="clear" w:color="auto" w:fill="auto"/>
            <w:noWrap/>
            <w:vAlign w:val="bottom"/>
            <w:hideMark/>
          </w:tcPr>
          <w:p w14:paraId="1630272A" w14:textId="77777777" w:rsidR="007C7712" w:rsidRPr="00F23594" w:rsidRDefault="007C7712" w:rsidP="007C7712">
            <w:pPr>
              <w:jc w:val="right"/>
              <w:rPr>
                <w:sz w:val="14"/>
                <w:szCs w:val="14"/>
              </w:rPr>
            </w:pPr>
            <w:r w:rsidRPr="00F23594">
              <w:rPr>
                <w:sz w:val="14"/>
                <w:szCs w:val="14"/>
              </w:rPr>
              <w:t>28</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505B418F"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57EEF9D8" w14:textId="58DD9D31" w:rsidR="007C7712" w:rsidRPr="00F23594" w:rsidRDefault="007C7712" w:rsidP="007C7712">
            <w:pPr>
              <w:jc w:val="right"/>
              <w:rPr>
                <w:sz w:val="14"/>
                <w:szCs w:val="14"/>
              </w:rPr>
            </w:pPr>
            <w:r w:rsidRPr="00F23594">
              <w:rPr>
                <w:sz w:val="14"/>
                <w:szCs w:val="14"/>
              </w:rPr>
              <w:t>13</w:t>
            </w:r>
          </w:p>
        </w:tc>
        <w:tc>
          <w:tcPr>
            <w:tcW w:w="235" w:type="pct"/>
            <w:tcBorders>
              <w:top w:val="nil"/>
              <w:left w:val="nil"/>
              <w:bottom w:val="single" w:sz="4" w:space="0" w:color="auto"/>
              <w:right w:val="single" w:sz="8" w:space="0" w:color="auto"/>
            </w:tcBorders>
            <w:shd w:val="clear" w:color="auto" w:fill="auto"/>
            <w:noWrap/>
            <w:vAlign w:val="bottom"/>
            <w:hideMark/>
          </w:tcPr>
          <w:p w14:paraId="05F3A6B8" w14:textId="77777777" w:rsidR="007C7712" w:rsidRPr="00F23594" w:rsidRDefault="007C7712" w:rsidP="007C7712">
            <w:pPr>
              <w:jc w:val="right"/>
              <w:rPr>
                <w:sz w:val="14"/>
                <w:szCs w:val="14"/>
              </w:rPr>
            </w:pPr>
            <w:r w:rsidRPr="00F23594">
              <w:rPr>
                <w:sz w:val="14"/>
                <w:szCs w:val="14"/>
              </w:rPr>
              <w:t>32</w:t>
            </w:r>
          </w:p>
        </w:tc>
        <w:tc>
          <w:tcPr>
            <w:tcW w:w="299" w:type="pct"/>
            <w:tcBorders>
              <w:top w:val="nil"/>
              <w:left w:val="nil"/>
              <w:bottom w:val="single" w:sz="4" w:space="0" w:color="auto"/>
              <w:right w:val="single" w:sz="4" w:space="0" w:color="auto"/>
            </w:tcBorders>
            <w:shd w:val="clear" w:color="auto" w:fill="auto"/>
            <w:noWrap/>
            <w:vAlign w:val="bottom"/>
            <w:hideMark/>
          </w:tcPr>
          <w:p w14:paraId="6F4F8CC0"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59D78C86" w14:textId="7F172204" w:rsidR="007C7712" w:rsidRPr="00F23594" w:rsidRDefault="007C7712" w:rsidP="007C7712">
            <w:pPr>
              <w:jc w:val="right"/>
              <w:rPr>
                <w:sz w:val="14"/>
                <w:szCs w:val="14"/>
              </w:rPr>
            </w:pPr>
            <w:r w:rsidRPr="00F23594">
              <w:rPr>
                <w:sz w:val="14"/>
                <w:szCs w:val="14"/>
              </w:rPr>
              <w:t>5</w:t>
            </w:r>
          </w:p>
        </w:tc>
        <w:tc>
          <w:tcPr>
            <w:tcW w:w="235" w:type="pct"/>
            <w:tcBorders>
              <w:top w:val="nil"/>
              <w:left w:val="nil"/>
              <w:bottom w:val="single" w:sz="4" w:space="0" w:color="auto"/>
              <w:right w:val="single" w:sz="4" w:space="0" w:color="auto"/>
            </w:tcBorders>
            <w:shd w:val="clear" w:color="auto" w:fill="auto"/>
            <w:noWrap/>
            <w:vAlign w:val="bottom"/>
            <w:hideMark/>
          </w:tcPr>
          <w:p w14:paraId="3D36C460" w14:textId="77777777" w:rsidR="007C7712" w:rsidRPr="00F23594" w:rsidRDefault="007C7712" w:rsidP="007C7712">
            <w:pPr>
              <w:jc w:val="right"/>
              <w:rPr>
                <w:sz w:val="14"/>
                <w:szCs w:val="14"/>
              </w:rPr>
            </w:pPr>
            <w:r w:rsidRPr="00F23594">
              <w:rPr>
                <w:sz w:val="14"/>
                <w:szCs w:val="14"/>
              </w:rPr>
              <w:t>12</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79186C97"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390AD544" w14:textId="0663A8F4" w:rsidR="007C7712" w:rsidRPr="00F23594" w:rsidRDefault="007C7712" w:rsidP="007C7712">
            <w:pPr>
              <w:jc w:val="right"/>
              <w:rPr>
                <w:sz w:val="14"/>
                <w:szCs w:val="14"/>
              </w:rPr>
            </w:pPr>
            <w:r w:rsidRPr="00F23594">
              <w:rPr>
                <w:sz w:val="14"/>
                <w:szCs w:val="14"/>
              </w:rPr>
              <w:t>2,00</w:t>
            </w:r>
          </w:p>
        </w:tc>
        <w:tc>
          <w:tcPr>
            <w:tcW w:w="235" w:type="pct"/>
            <w:tcBorders>
              <w:top w:val="nil"/>
              <w:left w:val="nil"/>
              <w:bottom w:val="single" w:sz="4" w:space="0" w:color="auto"/>
              <w:right w:val="single" w:sz="8" w:space="0" w:color="auto"/>
            </w:tcBorders>
            <w:shd w:val="clear" w:color="auto" w:fill="auto"/>
            <w:noWrap/>
            <w:vAlign w:val="bottom"/>
            <w:hideMark/>
          </w:tcPr>
          <w:p w14:paraId="6FA467A5" w14:textId="77777777" w:rsidR="007C7712" w:rsidRPr="00F23594" w:rsidRDefault="007C7712" w:rsidP="007C7712">
            <w:pPr>
              <w:jc w:val="right"/>
              <w:rPr>
                <w:sz w:val="14"/>
                <w:szCs w:val="14"/>
              </w:rPr>
            </w:pPr>
            <w:r w:rsidRPr="00F23594">
              <w:rPr>
                <w:sz w:val="14"/>
                <w:szCs w:val="14"/>
              </w:rPr>
              <w:t>5</w:t>
            </w:r>
          </w:p>
        </w:tc>
        <w:tc>
          <w:tcPr>
            <w:tcW w:w="299" w:type="pct"/>
            <w:tcBorders>
              <w:top w:val="nil"/>
              <w:left w:val="nil"/>
              <w:bottom w:val="single" w:sz="4" w:space="0" w:color="auto"/>
              <w:right w:val="single" w:sz="4" w:space="0" w:color="auto"/>
            </w:tcBorders>
            <w:shd w:val="clear" w:color="auto" w:fill="auto"/>
            <w:noWrap/>
            <w:vAlign w:val="bottom"/>
            <w:hideMark/>
          </w:tcPr>
          <w:p w14:paraId="11290BE5"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6EBA19D8" w14:textId="2C223370" w:rsidR="007C7712" w:rsidRPr="00F23594" w:rsidRDefault="007C7712" w:rsidP="007C7712">
            <w:pPr>
              <w:jc w:val="right"/>
              <w:rPr>
                <w:sz w:val="14"/>
                <w:szCs w:val="14"/>
              </w:rPr>
            </w:pPr>
            <w:r w:rsidRPr="00F23594">
              <w:rPr>
                <w:sz w:val="14"/>
                <w:szCs w:val="14"/>
              </w:rPr>
              <w:t>450,00</w:t>
            </w:r>
          </w:p>
        </w:tc>
        <w:tc>
          <w:tcPr>
            <w:tcW w:w="242" w:type="pct"/>
            <w:tcBorders>
              <w:top w:val="nil"/>
              <w:left w:val="nil"/>
              <w:bottom w:val="single" w:sz="4" w:space="0" w:color="auto"/>
              <w:right w:val="single" w:sz="8" w:space="0" w:color="auto"/>
            </w:tcBorders>
            <w:shd w:val="clear" w:color="auto" w:fill="auto"/>
            <w:noWrap/>
            <w:vAlign w:val="bottom"/>
            <w:hideMark/>
          </w:tcPr>
          <w:p w14:paraId="747E6282" w14:textId="77777777" w:rsidR="007C7712" w:rsidRPr="00F23594" w:rsidRDefault="007C7712" w:rsidP="007C7712">
            <w:pPr>
              <w:jc w:val="right"/>
              <w:rPr>
                <w:sz w:val="14"/>
                <w:szCs w:val="14"/>
              </w:rPr>
            </w:pPr>
            <w:r w:rsidRPr="00F23594">
              <w:rPr>
                <w:sz w:val="14"/>
                <w:szCs w:val="14"/>
              </w:rPr>
              <w:t>293</w:t>
            </w:r>
          </w:p>
        </w:tc>
      </w:tr>
      <w:tr w:rsidR="007C7712" w:rsidRPr="00375189" w14:paraId="3C8F64F1"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2CE061C7" w14:textId="77777777" w:rsidR="007C7712" w:rsidRPr="00375189" w:rsidRDefault="007C7712" w:rsidP="007C7712">
            <w:pPr>
              <w:rPr>
                <w:sz w:val="16"/>
                <w:szCs w:val="16"/>
              </w:rPr>
            </w:pPr>
            <w:r w:rsidRPr="00375189">
              <w:rPr>
                <w:sz w:val="16"/>
                <w:szCs w:val="16"/>
              </w:rPr>
              <w:t>Хасково</w:t>
            </w:r>
          </w:p>
        </w:tc>
        <w:tc>
          <w:tcPr>
            <w:tcW w:w="299" w:type="pct"/>
            <w:tcBorders>
              <w:top w:val="nil"/>
              <w:left w:val="nil"/>
              <w:bottom w:val="single" w:sz="4" w:space="0" w:color="auto"/>
              <w:right w:val="single" w:sz="4" w:space="0" w:color="auto"/>
            </w:tcBorders>
            <w:shd w:val="clear" w:color="auto" w:fill="auto"/>
            <w:noWrap/>
            <w:vAlign w:val="bottom"/>
            <w:hideMark/>
          </w:tcPr>
          <w:p w14:paraId="3713D32E"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0E9954EB" w14:textId="5CCA3C8C" w:rsidR="007C7712" w:rsidRPr="00F23594" w:rsidRDefault="007C7712" w:rsidP="007C7712">
            <w:pPr>
              <w:jc w:val="right"/>
              <w:rPr>
                <w:sz w:val="14"/>
                <w:szCs w:val="14"/>
              </w:rPr>
            </w:pPr>
            <w:r w:rsidRPr="00F23594">
              <w:rPr>
                <w:sz w:val="14"/>
                <w:szCs w:val="14"/>
              </w:rPr>
              <w:t>39</w:t>
            </w:r>
          </w:p>
        </w:tc>
        <w:tc>
          <w:tcPr>
            <w:tcW w:w="235" w:type="pct"/>
            <w:tcBorders>
              <w:top w:val="nil"/>
              <w:left w:val="nil"/>
              <w:bottom w:val="single" w:sz="4" w:space="0" w:color="auto"/>
              <w:right w:val="single" w:sz="4" w:space="0" w:color="auto"/>
            </w:tcBorders>
            <w:shd w:val="clear" w:color="auto" w:fill="auto"/>
            <w:noWrap/>
            <w:vAlign w:val="bottom"/>
            <w:hideMark/>
          </w:tcPr>
          <w:p w14:paraId="2B5B809B" w14:textId="77777777" w:rsidR="007C7712" w:rsidRPr="00F23594" w:rsidRDefault="007C7712" w:rsidP="007C7712">
            <w:pPr>
              <w:jc w:val="right"/>
              <w:rPr>
                <w:sz w:val="14"/>
                <w:szCs w:val="14"/>
              </w:rPr>
            </w:pPr>
            <w:r w:rsidRPr="00F23594">
              <w:rPr>
                <w:sz w:val="14"/>
                <w:szCs w:val="14"/>
              </w:rPr>
              <w:t>39</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70618DDA"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698BD256" w14:textId="799E753C" w:rsidR="007C7712" w:rsidRPr="00F23594" w:rsidRDefault="007C7712" w:rsidP="007C7712">
            <w:pPr>
              <w:jc w:val="right"/>
              <w:rPr>
                <w:sz w:val="14"/>
                <w:szCs w:val="14"/>
              </w:rPr>
            </w:pPr>
            <w:r w:rsidRPr="00F23594">
              <w:rPr>
                <w:sz w:val="14"/>
                <w:szCs w:val="14"/>
              </w:rPr>
              <w:t>14</w:t>
            </w:r>
          </w:p>
        </w:tc>
        <w:tc>
          <w:tcPr>
            <w:tcW w:w="235" w:type="pct"/>
            <w:tcBorders>
              <w:top w:val="nil"/>
              <w:left w:val="nil"/>
              <w:bottom w:val="single" w:sz="4" w:space="0" w:color="auto"/>
              <w:right w:val="single" w:sz="8" w:space="0" w:color="auto"/>
            </w:tcBorders>
            <w:shd w:val="clear" w:color="auto" w:fill="auto"/>
            <w:noWrap/>
            <w:vAlign w:val="bottom"/>
            <w:hideMark/>
          </w:tcPr>
          <w:p w14:paraId="34112E0C" w14:textId="77777777" w:rsidR="007C7712" w:rsidRPr="00F23594" w:rsidRDefault="007C7712" w:rsidP="007C7712">
            <w:pPr>
              <w:jc w:val="right"/>
              <w:rPr>
                <w:sz w:val="14"/>
                <w:szCs w:val="14"/>
              </w:rPr>
            </w:pPr>
            <w:r w:rsidRPr="00F23594">
              <w:rPr>
                <w:sz w:val="14"/>
                <w:szCs w:val="14"/>
              </w:rPr>
              <w:t>6</w:t>
            </w:r>
          </w:p>
        </w:tc>
        <w:tc>
          <w:tcPr>
            <w:tcW w:w="299" w:type="pct"/>
            <w:tcBorders>
              <w:top w:val="nil"/>
              <w:left w:val="nil"/>
              <w:bottom w:val="single" w:sz="4" w:space="0" w:color="auto"/>
              <w:right w:val="single" w:sz="4" w:space="0" w:color="auto"/>
            </w:tcBorders>
            <w:shd w:val="clear" w:color="auto" w:fill="auto"/>
            <w:noWrap/>
            <w:vAlign w:val="bottom"/>
            <w:hideMark/>
          </w:tcPr>
          <w:p w14:paraId="12203F0E"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7A1FB481" w14:textId="2C390693" w:rsidR="007C7712" w:rsidRPr="00F23594" w:rsidRDefault="007C7712" w:rsidP="007C7712">
            <w:pPr>
              <w:jc w:val="right"/>
              <w:rPr>
                <w:sz w:val="14"/>
                <w:szCs w:val="14"/>
              </w:rPr>
            </w:pPr>
            <w:r w:rsidRPr="00F23594">
              <w:rPr>
                <w:sz w:val="14"/>
                <w:szCs w:val="14"/>
              </w:rPr>
              <w:t>10</w:t>
            </w:r>
          </w:p>
        </w:tc>
        <w:tc>
          <w:tcPr>
            <w:tcW w:w="235" w:type="pct"/>
            <w:tcBorders>
              <w:top w:val="nil"/>
              <w:left w:val="nil"/>
              <w:bottom w:val="single" w:sz="4" w:space="0" w:color="auto"/>
              <w:right w:val="single" w:sz="4" w:space="0" w:color="auto"/>
            </w:tcBorders>
            <w:shd w:val="clear" w:color="auto" w:fill="auto"/>
            <w:noWrap/>
            <w:vAlign w:val="bottom"/>
            <w:hideMark/>
          </w:tcPr>
          <w:p w14:paraId="2D5CB073" w14:textId="77777777" w:rsidR="007C7712" w:rsidRPr="00F23594" w:rsidRDefault="007C7712" w:rsidP="007C7712">
            <w:pPr>
              <w:jc w:val="right"/>
              <w:rPr>
                <w:sz w:val="14"/>
                <w:szCs w:val="14"/>
              </w:rPr>
            </w:pPr>
            <w:r w:rsidRPr="00F23594">
              <w:rPr>
                <w:sz w:val="14"/>
                <w:szCs w:val="14"/>
              </w:rPr>
              <w:t>4</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57EA01B8"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4750D6CC" w14:textId="3E3E6B13" w:rsidR="007C7712" w:rsidRPr="00F23594" w:rsidRDefault="007C7712" w:rsidP="007C7712">
            <w:pPr>
              <w:jc w:val="right"/>
              <w:rPr>
                <w:sz w:val="14"/>
                <w:szCs w:val="14"/>
              </w:rPr>
            </w:pPr>
            <w:r w:rsidRPr="00F23594">
              <w:rPr>
                <w:sz w:val="14"/>
                <w:szCs w:val="14"/>
              </w:rPr>
              <w:t>5,00</w:t>
            </w:r>
          </w:p>
        </w:tc>
        <w:tc>
          <w:tcPr>
            <w:tcW w:w="235" w:type="pct"/>
            <w:tcBorders>
              <w:top w:val="nil"/>
              <w:left w:val="nil"/>
              <w:bottom w:val="single" w:sz="4" w:space="0" w:color="auto"/>
              <w:right w:val="single" w:sz="8" w:space="0" w:color="auto"/>
            </w:tcBorders>
            <w:shd w:val="clear" w:color="auto" w:fill="auto"/>
            <w:noWrap/>
            <w:vAlign w:val="bottom"/>
            <w:hideMark/>
          </w:tcPr>
          <w:p w14:paraId="034D199E" w14:textId="77777777" w:rsidR="007C7712" w:rsidRPr="00F23594" w:rsidRDefault="007C7712" w:rsidP="007C7712">
            <w:pPr>
              <w:jc w:val="right"/>
              <w:rPr>
                <w:sz w:val="14"/>
                <w:szCs w:val="14"/>
              </w:rPr>
            </w:pPr>
            <w:r w:rsidRPr="00F23594">
              <w:rPr>
                <w:sz w:val="14"/>
                <w:szCs w:val="14"/>
              </w:rPr>
              <w:t>2</w:t>
            </w:r>
          </w:p>
        </w:tc>
        <w:tc>
          <w:tcPr>
            <w:tcW w:w="299" w:type="pct"/>
            <w:tcBorders>
              <w:top w:val="nil"/>
              <w:left w:val="nil"/>
              <w:bottom w:val="single" w:sz="4" w:space="0" w:color="auto"/>
              <w:right w:val="single" w:sz="4" w:space="0" w:color="auto"/>
            </w:tcBorders>
            <w:shd w:val="clear" w:color="auto" w:fill="auto"/>
            <w:noWrap/>
            <w:vAlign w:val="bottom"/>
            <w:hideMark/>
          </w:tcPr>
          <w:p w14:paraId="3FDC7D24"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08B9B782" w14:textId="4C108D22" w:rsidR="007C7712" w:rsidRPr="00F23594" w:rsidRDefault="007C7712" w:rsidP="007C7712">
            <w:pPr>
              <w:jc w:val="right"/>
              <w:rPr>
                <w:sz w:val="14"/>
                <w:szCs w:val="14"/>
              </w:rPr>
            </w:pPr>
            <w:r w:rsidRPr="00F23594">
              <w:rPr>
                <w:sz w:val="14"/>
                <w:szCs w:val="14"/>
              </w:rPr>
              <w:t>350,00</w:t>
            </w:r>
          </w:p>
        </w:tc>
        <w:tc>
          <w:tcPr>
            <w:tcW w:w="242" w:type="pct"/>
            <w:tcBorders>
              <w:top w:val="nil"/>
              <w:left w:val="nil"/>
              <w:bottom w:val="single" w:sz="4" w:space="0" w:color="auto"/>
              <w:right w:val="single" w:sz="8" w:space="0" w:color="auto"/>
            </w:tcBorders>
            <w:shd w:val="clear" w:color="auto" w:fill="auto"/>
            <w:noWrap/>
            <w:vAlign w:val="bottom"/>
            <w:hideMark/>
          </w:tcPr>
          <w:p w14:paraId="57C1B025" w14:textId="77777777" w:rsidR="007C7712" w:rsidRPr="00F23594" w:rsidRDefault="007C7712" w:rsidP="007C7712">
            <w:pPr>
              <w:jc w:val="right"/>
              <w:rPr>
                <w:sz w:val="14"/>
                <w:szCs w:val="14"/>
              </w:rPr>
            </w:pPr>
            <w:r w:rsidRPr="00F23594">
              <w:rPr>
                <w:sz w:val="14"/>
                <w:szCs w:val="14"/>
              </w:rPr>
              <w:t>186</w:t>
            </w:r>
          </w:p>
        </w:tc>
      </w:tr>
      <w:tr w:rsidR="007C7712" w:rsidRPr="00375189" w14:paraId="088C2DCB" w14:textId="77777777" w:rsidTr="00641163">
        <w:trPr>
          <w:trHeight w:val="264"/>
          <w:jc w:val="center"/>
        </w:trPr>
        <w:tc>
          <w:tcPr>
            <w:tcW w:w="843" w:type="pct"/>
            <w:tcBorders>
              <w:top w:val="nil"/>
              <w:left w:val="single" w:sz="8" w:space="0" w:color="auto"/>
              <w:bottom w:val="single" w:sz="4" w:space="0" w:color="auto"/>
              <w:right w:val="nil"/>
            </w:tcBorders>
            <w:shd w:val="clear" w:color="auto" w:fill="D1D1D1" w:themeFill="background2" w:themeFillShade="E6"/>
            <w:noWrap/>
            <w:vAlign w:val="bottom"/>
            <w:hideMark/>
          </w:tcPr>
          <w:p w14:paraId="642041CC" w14:textId="77777777" w:rsidR="007C7712" w:rsidRPr="00375189" w:rsidRDefault="007C7712" w:rsidP="007C7712">
            <w:pPr>
              <w:rPr>
                <w:sz w:val="16"/>
                <w:szCs w:val="16"/>
              </w:rPr>
            </w:pPr>
            <w:r w:rsidRPr="00375189">
              <w:rPr>
                <w:sz w:val="16"/>
                <w:szCs w:val="16"/>
              </w:rPr>
              <w:t>Шумен</w:t>
            </w:r>
          </w:p>
        </w:tc>
        <w:tc>
          <w:tcPr>
            <w:tcW w:w="299" w:type="pct"/>
            <w:tcBorders>
              <w:top w:val="nil"/>
              <w:left w:val="nil"/>
              <w:bottom w:val="single" w:sz="4" w:space="0" w:color="auto"/>
              <w:right w:val="single" w:sz="4" w:space="0" w:color="auto"/>
            </w:tcBorders>
            <w:shd w:val="clear" w:color="auto" w:fill="auto"/>
            <w:noWrap/>
            <w:vAlign w:val="bottom"/>
            <w:hideMark/>
          </w:tcPr>
          <w:p w14:paraId="44891D8E"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5B3FA062" w14:textId="55819C34" w:rsidR="007C7712" w:rsidRPr="00F23594" w:rsidRDefault="007C7712" w:rsidP="007C7712">
            <w:pPr>
              <w:jc w:val="right"/>
              <w:rPr>
                <w:sz w:val="14"/>
                <w:szCs w:val="14"/>
              </w:rPr>
            </w:pPr>
          </w:p>
        </w:tc>
        <w:tc>
          <w:tcPr>
            <w:tcW w:w="235" w:type="pct"/>
            <w:tcBorders>
              <w:top w:val="nil"/>
              <w:left w:val="nil"/>
              <w:bottom w:val="single" w:sz="4" w:space="0" w:color="auto"/>
              <w:right w:val="single" w:sz="4" w:space="0" w:color="auto"/>
            </w:tcBorders>
            <w:shd w:val="clear" w:color="auto" w:fill="auto"/>
            <w:noWrap/>
            <w:vAlign w:val="bottom"/>
            <w:hideMark/>
          </w:tcPr>
          <w:p w14:paraId="32F8BA9A" w14:textId="77777777" w:rsidR="007C7712" w:rsidRPr="00F23594" w:rsidRDefault="007C7712" w:rsidP="007C7712">
            <w:pPr>
              <w:jc w:val="right"/>
              <w:rPr>
                <w:sz w:val="14"/>
                <w:szCs w:val="14"/>
              </w:rPr>
            </w:pPr>
            <w:r w:rsidRPr="00F23594">
              <w:rPr>
                <w:sz w:val="14"/>
                <w:szCs w:val="14"/>
              </w:rPr>
              <w:t> </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0B1B681C"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3575BC8F" w14:textId="7904E621" w:rsidR="007C7712" w:rsidRPr="00F23594" w:rsidRDefault="007C7712" w:rsidP="007C7712">
            <w:pPr>
              <w:jc w:val="right"/>
              <w:rPr>
                <w:sz w:val="14"/>
                <w:szCs w:val="14"/>
              </w:rPr>
            </w:pPr>
            <w:r w:rsidRPr="00F23594">
              <w:rPr>
                <w:sz w:val="14"/>
                <w:szCs w:val="14"/>
              </w:rPr>
              <w:t>1095</w:t>
            </w:r>
          </w:p>
        </w:tc>
        <w:tc>
          <w:tcPr>
            <w:tcW w:w="235" w:type="pct"/>
            <w:tcBorders>
              <w:top w:val="nil"/>
              <w:left w:val="nil"/>
              <w:bottom w:val="single" w:sz="4" w:space="0" w:color="auto"/>
              <w:right w:val="single" w:sz="8" w:space="0" w:color="auto"/>
            </w:tcBorders>
            <w:shd w:val="clear" w:color="auto" w:fill="auto"/>
            <w:noWrap/>
            <w:vAlign w:val="bottom"/>
            <w:hideMark/>
          </w:tcPr>
          <w:p w14:paraId="00CF913F" w14:textId="77777777" w:rsidR="007C7712" w:rsidRPr="00F23594" w:rsidRDefault="007C7712" w:rsidP="007C7712">
            <w:pPr>
              <w:jc w:val="right"/>
              <w:rPr>
                <w:sz w:val="14"/>
                <w:szCs w:val="14"/>
              </w:rPr>
            </w:pPr>
            <w:r w:rsidRPr="00F23594">
              <w:rPr>
                <w:sz w:val="14"/>
                <w:szCs w:val="14"/>
              </w:rPr>
              <w:t>548</w:t>
            </w:r>
          </w:p>
        </w:tc>
        <w:tc>
          <w:tcPr>
            <w:tcW w:w="299" w:type="pct"/>
            <w:tcBorders>
              <w:top w:val="nil"/>
              <w:left w:val="nil"/>
              <w:bottom w:val="single" w:sz="4" w:space="0" w:color="auto"/>
              <w:right w:val="single" w:sz="4" w:space="0" w:color="auto"/>
            </w:tcBorders>
            <w:shd w:val="clear" w:color="auto" w:fill="auto"/>
            <w:noWrap/>
            <w:vAlign w:val="bottom"/>
            <w:hideMark/>
          </w:tcPr>
          <w:p w14:paraId="3603C274"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4947A832" w14:textId="6DA6CE5C" w:rsidR="007C7712" w:rsidRPr="00F23594" w:rsidRDefault="007C7712" w:rsidP="007C7712">
            <w:pPr>
              <w:jc w:val="right"/>
              <w:rPr>
                <w:sz w:val="14"/>
                <w:szCs w:val="14"/>
              </w:rPr>
            </w:pPr>
            <w:r w:rsidRPr="00F23594">
              <w:rPr>
                <w:sz w:val="14"/>
                <w:szCs w:val="14"/>
              </w:rPr>
              <w:t>2</w:t>
            </w:r>
          </w:p>
        </w:tc>
        <w:tc>
          <w:tcPr>
            <w:tcW w:w="235" w:type="pct"/>
            <w:tcBorders>
              <w:top w:val="nil"/>
              <w:left w:val="nil"/>
              <w:bottom w:val="single" w:sz="4" w:space="0" w:color="auto"/>
              <w:right w:val="single" w:sz="4" w:space="0" w:color="auto"/>
            </w:tcBorders>
            <w:shd w:val="clear" w:color="auto" w:fill="auto"/>
            <w:noWrap/>
            <w:vAlign w:val="bottom"/>
            <w:hideMark/>
          </w:tcPr>
          <w:p w14:paraId="5D0C531D" w14:textId="77777777" w:rsidR="007C7712" w:rsidRPr="00F23594" w:rsidRDefault="007C7712" w:rsidP="007C7712">
            <w:pPr>
              <w:jc w:val="right"/>
              <w:rPr>
                <w:sz w:val="14"/>
                <w:szCs w:val="14"/>
              </w:rPr>
            </w:pPr>
            <w:r w:rsidRPr="00F23594">
              <w:rPr>
                <w:sz w:val="14"/>
                <w:szCs w:val="14"/>
              </w:rPr>
              <w:t>8</w:t>
            </w:r>
          </w:p>
        </w:tc>
        <w:tc>
          <w:tcPr>
            <w:tcW w:w="299" w:type="pct"/>
            <w:tcBorders>
              <w:top w:val="nil"/>
              <w:left w:val="single" w:sz="8" w:space="0" w:color="auto"/>
              <w:bottom w:val="single" w:sz="4" w:space="0" w:color="auto"/>
              <w:right w:val="single" w:sz="4" w:space="0" w:color="auto"/>
            </w:tcBorders>
            <w:shd w:val="clear" w:color="auto" w:fill="auto"/>
            <w:noWrap/>
            <w:vAlign w:val="bottom"/>
            <w:hideMark/>
          </w:tcPr>
          <w:p w14:paraId="3CDD6E48" w14:textId="77777777" w:rsidR="007C7712" w:rsidRPr="00F23594" w:rsidRDefault="007C7712" w:rsidP="007C7712">
            <w:pPr>
              <w:jc w:val="right"/>
              <w:rPr>
                <w:sz w:val="14"/>
                <w:szCs w:val="14"/>
              </w:rPr>
            </w:pPr>
            <w:r w:rsidRPr="00F23594">
              <w:rPr>
                <w:sz w:val="14"/>
                <w:szCs w:val="14"/>
              </w:rPr>
              <w:t>Брой</w:t>
            </w:r>
          </w:p>
        </w:tc>
        <w:tc>
          <w:tcPr>
            <w:tcW w:w="291" w:type="pct"/>
            <w:tcBorders>
              <w:top w:val="nil"/>
              <w:left w:val="nil"/>
              <w:bottom w:val="single" w:sz="4" w:space="0" w:color="auto"/>
              <w:right w:val="single" w:sz="4" w:space="0" w:color="auto"/>
            </w:tcBorders>
            <w:shd w:val="clear" w:color="auto" w:fill="auto"/>
            <w:noWrap/>
            <w:vAlign w:val="bottom"/>
            <w:hideMark/>
          </w:tcPr>
          <w:p w14:paraId="15DC8578" w14:textId="0E3E4CB5" w:rsidR="007C7712" w:rsidRPr="00F23594" w:rsidRDefault="007C7712" w:rsidP="007C7712">
            <w:pPr>
              <w:jc w:val="right"/>
              <w:rPr>
                <w:sz w:val="14"/>
                <w:szCs w:val="14"/>
              </w:rPr>
            </w:pPr>
            <w:r w:rsidRPr="00F23594">
              <w:rPr>
                <w:sz w:val="14"/>
                <w:szCs w:val="14"/>
              </w:rPr>
              <w:t>2,00</w:t>
            </w:r>
          </w:p>
        </w:tc>
        <w:tc>
          <w:tcPr>
            <w:tcW w:w="235" w:type="pct"/>
            <w:tcBorders>
              <w:top w:val="nil"/>
              <w:left w:val="nil"/>
              <w:bottom w:val="single" w:sz="4" w:space="0" w:color="auto"/>
              <w:right w:val="single" w:sz="8" w:space="0" w:color="auto"/>
            </w:tcBorders>
            <w:shd w:val="clear" w:color="auto" w:fill="auto"/>
            <w:noWrap/>
            <w:vAlign w:val="bottom"/>
            <w:hideMark/>
          </w:tcPr>
          <w:p w14:paraId="47F900BE" w14:textId="77777777" w:rsidR="007C7712" w:rsidRPr="00F23594" w:rsidRDefault="007C7712" w:rsidP="007C7712">
            <w:pPr>
              <w:jc w:val="right"/>
              <w:rPr>
                <w:sz w:val="14"/>
                <w:szCs w:val="14"/>
              </w:rPr>
            </w:pPr>
            <w:r w:rsidRPr="00F23594">
              <w:rPr>
                <w:sz w:val="14"/>
                <w:szCs w:val="14"/>
              </w:rPr>
              <w:t>6</w:t>
            </w:r>
          </w:p>
        </w:tc>
        <w:tc>
          <w:tcPr>
            <w:tcW w:w="299" w:type="pct"/>
            <w:tcBorders>
              <w:top w:val="nil"/>
              <w:left w:val="nil"/>
              <w:bottom w:val="single" w:sz="4" w:space="0" w:color="auto"/>
              <w:right w:val="single" w:sz="4" w:space="0" w:color="auto"/>
            </w:tcBorders>
            <w:shd w:val="clear" w:color="auto" w:fill="auto"/>
            <w:noWrap/>
            <w:vAlign w:val="bottom"/>
            <w:hideMark/>
          </w:tcPr>
          <w:p w14:paraId="369E630C" w14:textId="77777777" w:rsidR="007C7712" w:rsidRPr="00F23594" w:rsidRDefault="007C7712" w:rsidP="007C7712">
            <w:pPr>
              <w:jc w:val="right"/>
              <w:rPr>
                <w:sz w:val="14"/>
                <w:szCs w:val="14"/>
              </w:rPr>
            </w:pPr>
            <w:r w:rsidRPr="00F23594">
              <w:rPr>
                <w:sz w:val="14"/>
                <w:szCs w:val="14"/>
              </w:rPr>
              <w:t>Брой</w:t>
            </w:r>
          </w:p>
        </w:tc>
        <w:tc>
          <w:tcPr>
            <w:tcW w:w="314" w:type="pct"/>
            <w:tcBorders>
              <w:top w:val="nil"/>
              <w:left w:val="nil"/>
              <w:bottom w:val="single" w:sz="4" w:space="0" w:color="auto"/>
              <w:right w:val="single" w:sz="4" w:space="0" w:color="auto"/>
            </w:tcBorders>
            <w:shd w:val="clear" w:color="auto" w:fill="auto"/>
            <w:noWrap/>
            <w:vAlign w:val="bottom"/>
            <w:hideMark/>
          </w:tcPr>
          <w:p w14:paraId="754A9E05" w14:textId="3D3E1840" w:rsidR="007C7712" w:rsidRPr="00F23594" w:rsidRDefault="007C7712" w:rsidP="007C7712">
            <w:pPr>
              <w:jc w:val="right"/>
              <w:rPr>
                <w:sz w:val="14"/>
                <w:szCs w:val="14"/>
              </w:rPr>
            </w:pPr>
            <w:r w:rsidRPr="00F23594">
              <w:rPr>
                <w:sz w:val="14"/>
                <w:szCs w:val="14"/>
              </w:rPr>
              <w:t>210,00</w:t>
            </w:r>
          </w:p>
        </w:tc>
        <w:tc>
          <w:tcPr>
            <w:tcW w:w="242" w:type="pct"/>
            <w:tcBorders>
              <w:top w:val="nil"/>
              <w:left w:val="nil"/>
              <w:bottom w:val="single" w:sz="4" w:space="0" w:color="auto"/>
              <w:right w:val="single" w:sz="8" w:space="0" w:color="auto"/>
            </w:tcBorders>
            <w:shd w:val="clear" w:color="auto" w:fill="auto"/>
            <w:noWrap/>
            <w:vAlign w:val="bottom"/>
            <w:hideMark/>
          </w:tcPr>
          <w:p w14:paraId="4A9D1DC7" w14:textId="77777777" w:rsidR="007C7712" w:rsidRPr="00F23594" w:rsidRDefault="007C7712" w:rsidP="007C7712">
            <w:pPr>
              <w:jc w:val="right"/>
              <w:rPr>
                <w:sz w:val="14"/>
                <w:szCs w:val="14"/>
              </w:rPr>
            </w:pPr>
            <w:r w:rsidRPr="00F23594">
              <w:rPr>
                <w:sz w:val="14"/>
                <w:szCs w:val="14"/>
              </w:rPr>
              <w:t>122</w:t>
            </w:r>
          </w:p>
        </w:tc>
      </w:tr>
      <w:tr w:rsidR="007C7712" w:rsidRPr="00375189" w14:paraId="4EAF69ED" w14:textId="77777777" w:rsidTr="00641163">
        <w:trPr>
          <w:trHeight w:val="276"/>
          <w:jc w:val="center"/>
        </w:trPr>
        <w:tc>
          <w:tcPr>
            <w:tcW w:w="843" w:type="pct"/>
            <w:tcBorders>
              <w:top w:val="nil"/>
              <w:left w:val="single" w:sz="8" w:space="0" w:color="auto"/>
              <w:bottom w:val="single" w:sz="8" w:space="0" w:color="auto"/>
              <w:right w:val="nil"/>
            </w:tcBorders>
            <w:shd w:val="clear" w:color="auto" w:fill="D1D1D1" w:themeFill="background2" w:themeFillShade="E6"/>
            <w:noWrap/>
            <w:vAlign w:val="bottom"/>
            <w:hideMark/>
          </w:tcPr>
          <w:p w14:paraId="04C577B4" w14:textId="77777777" w:rsidR="007C7712" w:rsidRPr="00375189" w:rsidRDefault="007C7712" w:rsidP="007C7712">
            <w:pPr>
              <w:spacing w:before="120"/>
              <w:rPr>
                <w:sz w:val="16"/>
                <w:szCs w:val="16"/>
              </w:rPr>
            </w:pPr>
            <w:r w:rsidRPr="00375189">
              <w:rPr>
                <w:sz w:val="16"/>
                <w:szCs w:val="16"/>
              </w:rPr>
              <w:t>Ямбол</w:t>
            </w:r>
          </w:p>
        </w:tc>
        <w:tc>
          <w:tcPr>
            <w:tcW w:w="299" w:type="pct"/>
            <w:tcBorders>
              <w:top w:val="nil"/>
              <w:left w:val="nil"/>
              <w:bottom w:val="single" w:sz="8" w:space="0" w:color="auto"/>
              <w:right w:val="single" w:sz="4" w:space="0" w:color="auto"/>
            </w:tcBorders>
            <w:shd w:val="clear" w:color="auto" w:fill="auto"/>
            <w:noWrap/>
            <w:vAlign w:val="bottom"/>
            <w:hideMark/>
          </w:tcPr>
          <w:p w14:paraId="268DD549" w14:textId="77777777" w:rsidR="007C7712" w:rsidRPr="00F23594" w:rsidRDefault="007C7712" w:rsidP="007C7712">
            <w:pPr>
              <w:spacing w:before="120"/>
              <w:jc w:val="right"/>
              <w:rPr>
                <w:sz w:val="14"/>
                <w:szCs w:val="14"/>
              </w:rPr>
            </w:pPr>
            <w:r w:rsidRPr="00F23594">
              <w:rPr>
                <w:sz w:val="14"/>
                <w:szCs w:val="14"/>
              </w:rPr>
              <w:t>брой</w:t>
            </w:r>
          </w:p>
        </w:tc>
        <w:tc>
          <w:tcPr>
            <w:tcW w:w="291" w:type="pct"/>
            <w:tcBorders>
              <w:top w:val="nil"/>
              <w:left w:val="nil"/>
              <w:bottom w:val="single" w:sz="8" w:space="0" w:color="auto"/>
              <w:right w:val="single" w:sz="4" w:space="0" w:color="auto"/>
            </w:tcBorders>
            <w:shd w:val="clear" w:color="auto" w:fill="auto"/>
            <w:noWrap/>
            <w:vAlign w:val="bottom"/>
            <w:hideMark/>
          </w:tcPr>
          <w:p w14:paraId="2A3C2165" w14:textId="384C0EFA" w:rsidR="007C7712" w:rsidRPr="00F23594" w:rsidRDefault="007C7712" w:rsidP="007C7712">
            <w:pPr>
              <w:spacing w:before="120"/>
              <w:jc w:val="right"/>
              <w:rPr>
                <w:sz w:val="14"/>
                <w:szCs w:val="14"/>
              </w:rPr>
            </w:pPr>
            <w:r w:rsidRPr="00F23594">
              <w:rPr>
                <w:sz w:val="14"/>
                <w:szCs w:val="14"/>
              </w:rPr>
              <w:t>30</w:t>
            </w:r>
          </w:p>
        </w:tc>
        <w:tc>
          <w:tcPr>
            <w:tcW w:w="235" w:type="pct"/>
            <w:tcBorders>
              <w:top w:val="nil"/>
              <w:left w:val="nil"/>
              <w:bottom w:val="single" w:sz="8" w:space="0" w:color="auto"/>
              <w:right w:val="single" w:sz="4" w:space="0" w:color="auto"/>
            </w:tcBorders>
            <w:shd w:val="clear" w:color="auto" w:fill="auto"/>
            <w:noWrap/>
            <w:vAlign w:val="bottom"/>
            <w:hideMark/>
          </w:tcPr>
          <w:p w14:paraId="5FD9EB4B" w14:textId="77777777" w:rsidR="007C7712" w:rsidRPr="00F23594" w:rsidRDefault="007C7712" w:rsidP="007C7712">
            <w:pPr>
              <w:spacing w:before="120"/>
              <w:jc w:val="right"/>
              <w:rPr>
                <w:sz w:val="14"/>
                <w:szCs w:val="14"/>
              </w:rPr>
            </w:pPr>
            <w:r w:rsidRPr="00F23594">
              <w:rPr>
                <w:sz w:val="14"/>
                <w:szCs w:val="14"/>
              </w:rPr>
              <w:t>30</w:t>
            </w:r>
          </w:p>
        </w:tc>
        <w:tc>
          <w:tcPr>
            <w:tcW w:w="299" w:type="pct"/>
            <w:tcBorders>
              <w:top w:val="nil"/>
              <w:left w:val="single" w:sz="8" w:space="0" w:color="auto"/>
              <w:bottom w:val="single" w:sz="8" w:space="0" w:color="auto"/>
              <w:right w:val="single" w:sz="4" w:space="0" w:color="auto"/>
            </w:tcBorders>
            <w:shd w:val="clear" w:color="auto" w:fill="auto"/>
            <w:noWrap/>
            <w:vAlign w:val="bottom"/>
            <w:hideMark/>
          </w:tcPr>
          <w:p w14:paraId="462480A6" w14:textId="77777777" w:rsidR="007C7712" w:rsidRPr="00F23594" w:rsidRDefault="007C7712" w:rsidP="007C7712">
            <w:pPr>
              <w:spacing w:before="120"/>
              <w:jc w:val="right"/>
              <w:rPr>
                <w:sz w:val="14"/>
                <w:szCs w:val="14"/>
              </w:rPr>
            </w:pPr>
            <w:r w:rsidRPr="00F23594">
              <w:rPr>
                <w:sz w:val="14"/>
                <w:szCs w:val="14"/>
              </w:rPr>
              <w:t>брой</w:t>
            </w:r>
          </w:p>
        </w:tc>
        <w:tc>
          <w:tcPr>
            <w:tcW w:w="291" w:type="pct"/>
            <w:tcBorders>
              <w:top w:val="nil"/>
              <w:left w:val="nil"/>
              <w:bottom w:val="single" w:sz="8" w:space="0" w:color="auto"/>
              <w:right w:val="single" w:sz="4" w:space="0" w:color="auto"/>
            </w:tcBorders>
            <w:shd w:val="clear" w:color="auto" w:fill="auto"/>
            <w:noWrap/>
            <w:vAlign w:val="bottom"/>
            <w:hideMark/>
          </w:tcPr>
          <w:p w14:paraId="0168496F" w14:textId="543D6B60" w:rsidR="007C7712" w:rsidRPr="00F23594" w:rsidRDefault="007C7712" w:rsidP="007C7712">
            <w:pPr>
              <w:spacing w:before="120"/>
              <w:jc w:val="right"/>
              <w:rPr>
                <w:sz w:val="14"/>
                <w:szCs w:val="14"/>
              </w:rPr>
            </w:pPr>
            <w:r w:rsidRPr="00F23594">
              <w:rPr>
                <w:sz w:val="14"/>
                <w:szCs w:val="14"/>
              </w:rPr>
              <w:t>28</w:t>
            </w:r>
          </w:p>
        </w:tc>
        <w:tc>
          <w:tcPr>
            <w:tcW w:w="235" w:type="pct"/>
            <w:tcBorders>
              <w:top w:val="nil"/>
              <w:left w:val="nil"/>
              <w:bottom w:val="single" w:sz="8" w:space="0" w:color="auto"/>
              <w:right w:val="single" w:sz="8" w:space="0" w:color="auto"/>
            </w:tcBorders>
            <w:shd w:val="clear" w:color="auto" w:fill="auto"/>
            <w:noWrap/>
            <w:vAlign w:val="bottom"/>
            <w:hideMark/>
          </w:tcPr>
          <w:p w14:paraId="18D5D4BC" w14:textId="77777777" w:rsidR="007C7712" w:rsidRPr="00F23594" w:rsidRDefault="007C7712" w:rsidP="007C7712">
            <w:pPr>
              <w:spacing w:before="120"/>
              <w:jc w:val="right"/>
              <w:rPr>
                <w:sz w:val="14"/>
                <w:szCs w:val="14"/>
              </w:rPr>
            </w:pPr>
            <w:r w:rsidRPr="00F23594">
              <w:rPr>
                <w:sz w:val="14"/>
                <w:szCs w:val="14"/>
              </w:rPr>
              <w:t>14</w:t>
            </w:r>
          </w:p>
        </w:tc>
        <w:tc>
          <w:tcPr>
            <w:tcW w:w="299" w:type="pct"/>
            <w:tcBorders>
              <w:top w:val="nil"/>
              <w:left w:val="nil"/>
              <w:bottom w:val="single" w:sz="8" w:space="0" w:color="auto"/>
              <w:right w:val="single" w:sz="4" w:space="0" w:color="auto"/>
            </w:tcBorders>
            <w:shd w:val="clear" w:color="auto" w:fill="auto"/>
            <w:noWrap/>
            <w:vAlign w:val="bottom"/>
            <w:hideMark/>
          </w:tcPr>
          <w:p w14:paraId="5E4EE69F" w14:textId="77777777" w:rsidR="007C7712" w:rsidRPr="00F23594" w:rsidRDefault="007C7712" w:rsidP="007C7712">
            <w:pPr>
              <w:spacing w:before="120"/>
              <w:jc w:val="right"/>
              <w:rPr>
                <w:sz w:val="14"/>
                <w:szCs w:val="14"/>
              </w:rPr>
            </w:pPr>
            <w:r w:rsidRPr="00F23594">
              <w:rPr>
                <w:sz w:val="14"/>
                <w:szCs w:val="14"/>
              </w:rPr>
              <w:t>брой</w:t>
            </w:r>
          </w:p>
        </w:tc>
        <w:tc>
          <w:tcPr>
            <w:tcW w:w="291" w:type="pct"/>
            <w:tcBorders>
              <w:top w:val="nil"/>
              <w:left w:val="nil"/>
              <w:bottom w:val="single" w:sz="8" w:space="0" w:color="auto"/>
              <w:right w:val="single" w:sz="4" w:space="0" w:color="auto"/>
            </w:tcBorders>
            <w:shd w:val="clear" w:color="auto" w:fill="auto"/>
            <w:noWrap/>
            <w:vAlign w:val="bottom"/>
            <w:hideMark/>
          </w:tcPr>
          <w:p w14:paraId="13F23B31" w14:textId="5D0E76F1" w:rsidR="007C7712" w:rsidRPr="00F23594" w:rsidRDefault="007C7712" w:rsidP="007C7712">
            <w:pPr>
              <w:spacing w:before="120"/>
              <w:jc w:val="right"/>
              <w:rPr>
                <w:sz w:val="14"/>
                <w:szCs w:val="14"/>
              </w:rPr>
            </w:pPr>
            <w:r w:rsidRPr="00F23594">
              <w:rPr>
                <w:sz w:val="14"/>
                <w:szCs w:val="14"/>
              </w:rPr>
              <w:t>6</w:t>
            </w:r>
          </w:p>
        </w:tc>
        <w:tc>
          <w:tcPr>
            <w:tcW w:w="235" w:type="pct"/>
            <w:tcBorders>
              <w:top w:val="nil"/>
              <w:left w:val="nil"/>
              <w:bottom w:val="single" w:sz="8" w:space="0" w:color="auto"/>
              <w:right w:val="single" w:sz="4" w:space="0" w:color="auto"/>
            </w:tcBorders>
            <w:shd w:val="clear" w:color="auto" w:fill="auto"/>
            <w:noWrap/>
            <w:vAlign w:val="bottom"/>
            <w:hideMark/>
          </w:tcPr>
          <w:p w14:paraId="4ED5854A" w14:textId="77777777" w:rsidR="007C7712" w:rsidRPr="00F23594" w:rsidRDefault="007C7712" w:rsidP="007C7712">
            <w:pPr>
              <w:spacing w:before="120"/>
              <w:jc w:val="right"/>
              <w:rPr>
                <w:sz w:val="14"/>
                <w:szCs w:val="14"/>
              </w:rPr>
            </w:pPr>
            <w:r w:rsidRPr="00F23594">
              <w:rPr>
                <w:sz w:val="14"/>
                <w:szCs w:val="14"/>
              </w:rPr>
              <w:t>2</w:t>
            </w:r>
          </w:p>
        </w:tc>
        <w:tc>
          <w:tcPr>
            <w:tcW w:w="299" w:type="pct"/>
            <w:tcBorders>
              <w:top w:val="nil"/>
              <w:left w:val="single" w:sz="8" w:space="0" w:color="auto"/>
              <w:bottom w:val="single" w:sz="8" w:space="0" w:color="auto"/>
              <w:right w:val="single" w:sz="4" w:space="0" w:color="auto"/>
            </w:tcBorders>
            <w:shd w:val="clear" w:color="auto" w:fill="auto"/>
            <w:noWrap/>
            <w:vAlign w:val="bottom"/>
            <w:hideMark/>
          </w:tcPr>
          <w:p w14:paraId="70675474" w14:textId="77777777" w:rsidR="007C7712" w:rsidRPr="00F23594" w:rsidRDefault="007C7712" w:rsidP="007C7712">
            <w:pPr>
              <w:spacing w:before="120"/>
              <w:jc w:val="right"/>
              <w:rPr>
                <w:sz w:val="14"/>
                <w:szCs w:val="14"/>
              </w:rPr>
            </w:pPr>
            <w:r w:rsidRPr="00F23594">
              <w:rPr>
                <w:sz w:val="14"/>
                <w:szCs w:val="14"/>
              </w:rPr>
              <w:t>Брой</w:t>
            </w:r>
          </w:p>
        </w:tc>
        <w:tc>
          <w:tcPr>
            <w:tcW w:w="291" w:type="pct"/>
            <w:tcBorders>
              <w:top w:val="nil"/>
              <w:left w:val="nil"/>
              <w:bottom w:val="single" w:sz="8" w:space="0" w:color="auto"/>
              <w:right w:val="single" w:sz="4" w:space="0" w:color="auto"/>
            </w:tcBorders>
            <w:shd w:val="clear" w:color="auto" w:fill="auto"/>
            <w:noWrap/>
            <w:vAlign w:val="bottom"/>
            <w:hideMark/>
          </w:tcPr>
          <w:p w14:paraId="471FC78C" w14:textId="4216056B" w:rsidR="007C7712" w:rsidRPr="00F23594" w:rsidRDefault="007C7712" w:rsidP="007C7712">
            <w:pPr>
              <w:spacing w:before="120"/>
              <w:jc w:val="right"/>
              <w:rPr>
                <w:sz w:val="14"/>
                <w:szCs w:val="14"/>
              </w:rPr>
            </w:pPr>
            <w:r w:rsidRPr="00F23594">
              <w:rPr>
                <w:sz w:val="14"/>
                <w:szCs w:val="14"/>
              </w:rPr>
              <w:t>5,00</w:t>
            </w:r>
          </w:p>
        </w:tc>
        <w:tc>
          <w:tcPr>
            <w:tcW w:w="235" w:type="pct"/>
            <w:tcBorders>
              <w:top w:val="nil"/>
              <w:left w:val="nil"/>
              <w:bottom w:val="single" w:sz="8" w:space="0" w:color="auto"/>
              <w:right w:val="single" w:sz="8" w:space="0" w:color="auto"/>
            </w:tcBorders>
            <w:shd w:val="clear" w:color="auto" w:fill="auto"/>
            <w:noWrap/>
            <w:vAlign w:val="bottom"/>
            <w:hideMark/>
          </w:tcPr>
          <w:p w14:paraId="293724CC" w14:textId="77777777" w:rsidR="007C7712" w:rsidRPr="00F23594" w:rsidRDefault="007C7712" w:rsidP="007C7712">
            <w:pPr>
              <w:spacing w:before="120"/>
              <w:jc w:val="right"/>
              <w:rPr>
                <w:sz w:val="14"/>
                <w:szCs w:val="14"/>
              </w:rPr>
            </w:pPr>
            <w:r w:rsidRPr="00F23594">
              <w:rPr>
                <w:sz w:val="14"/>
                <w:szCs w:val="14"/>
              </w:rPr>
              <w:t>1</w:t>
            </w:r>
          </w:p>
        </w:tc>
        <w:tc>
          <w:tcPr>
            <w:tcW w:w="299" w:type="pct"/>
            <w:tcBorders>
              <w:top w:val="nil"/>
              <w:left w:val="nil"/>
              <w:bottom w:val="single" w:sz="8" w:space="0" w:color="auto"/>
              <w:right w:val="single" w:sz="4" w:space="0" w:color="auto"/>
            </w:tcBorders>
            <w:shd w:val="clear" w:color="auto" w:fill="auto"/>
            <w:noWrap/>
            <w:vAlign w:val="bottom"/>
            <w:hideMark/>
          </w:tcPr>
          <w:p w14:paraId="438B5EE8" w14:textId="77777777" w:rsidR="007C7712" w:rsidRPr="00F23594" w:rsidRDefault="007C7712" w:rsidP="007C7712">
            <w:pPr>
              <w:spacing w:before="120"/>
              <w:jc w:val="right"/>
              <w:rPr>
                <w:sz w:val="14"/>
                <w:szCs w:val="14"/>
              </w:rPr>
            </w:pPr>
            <w:r w:rsidRPr="00F23594">
              <w:rPr>
                <w:sz w:val="14"/>
                <w:szCs w:val="14"/>
              </w:rPr>
              <w:t>Брой</w:t>
            </w:r>
          </w:p>
        </w:tc>
        <w:tc>
          <w:tcPr>
            <w:tcW w:w="314" w:type="pct"/>
            <w:tcBorders>
              <w:top w:val="nil"/>
              <w:left w:val="nil"/>
              <w:bottom w:val="single" w:sz="8" w:space="0" w:color="auto"/>
              <w:right w:val="single" w:sz="4" w:space="0" w:color="auto"/>
            </w:tcBorders>
            <w:shd w:val="clear" w:color="auto" w:fill="auto"/>
            <w:noWrap/>
            <w:vAlign w:val="bottom"/>
            <w:hideMark/>
          </w:tcPr>
          <w:p w14:paraId="54C4B7FB" w14:textId="1D0022D2" w:rsidR="007C7712" w:rsidRPr="00F23594" w:rsidRDefault="007C7712" w:rsidP="007C7712">
            <w:pPr>
              <w:spacing w:before="120"/>
              <w:jc w:val="right"/>
              <w:rPr>
                <w:sz w:val="14"/>
                <w:szCs w:val="14"/>
              </w:rPr>
            </w:pPr>
            <w:r w:rsidRPr="00F23594">
              <w:rPr>
                <w:sz w:val="14"/>
                <w:szCs w:val="14"/>
              </w:rPr>
              <w:t>600,00</w:t>
            </w:r>
          </w:p>
        </w:tc>
        <w:tc>
          <w:tcPr>
            <w:tcW w:w="242" w:type="pct"/>
            <w:tcBorders>
              <w:top w:val="nil"/>
              <w:left w:val="nil"/>
              <w:bottom w:val="single" w:sz="8" w:space="0" w:color="auto"/>
              <w:right w:val="single" w:sz="8" w:space="0" w:color="auto"/>
            </w:tcBorders>
            <w:shd w:val="clear" w:color="auto" w:fill="auto"/>
            <w:noWrap/>
            <w:vAlign w:val="bottom"/>
            <w:hideMark/>
          </w:tcPr>
          <w:p w14:paraId="19D2FFE3" w14:textId="77777777" w:rsidR="007C7712" w:rsidRPr="00F23594" w:rsidRDefault="007C7712" w:rsidP="007C7712">
            <w:pPr>
              <w:spacing w:before="120"/>
              <w:jc w:val="right"/>
              <w:rPr>
                <w:sz w:val="14"/>
                <w:szCs w:val="14"/>
              </w:rPr>
            </w:pPr>
            <w:r w:rsidRPr="00F23594">
              <w:rPr>
                <w:sz w:val="14"/>
                <w:szCs w:val="14"/>
              </w:rPr>
              <w:t>326</w:t>
            </w:r>
          </w:p>
        </w:tc>
      </w:tr>
    </w:tbl>
    <w:p w14:paraId="0272DA57" w14:textId="77777777" w:rsidR="00641163" w:rsidRDefault="00641163" w:rsidP="00731194">
      <w:pPr>
        <w:widowControl w:val="0"/>
        <w:shd w:val="clear" w:color="auto" w:fill="FFFFFF" w:themeFill="background1"/>
        <w:tabs>
          <w:tab w:val="left" w:pos="426"/>
        </w:tabs>
        <w:spacing w:before="120"/>
        <w:ind w:firstLine="425"/>
        <w:jc w:val="both"/>
        <w:outlineLvl w:val="3"/>
        <w:rPr>
          <w:b/>
          <w:bCs/>
          <w:iCs/>
          <w:color w:val="215E99" w:themeColor="text2" w:themeTint="BF"/>
          <w:sz w:val="22"/>
          <w:szCs w:val="22"/>
          <w:lang w:eastAsia="en-US"/>
        </w:rPr>
      </w:pPr>
    </w:p>
    <w:p w14:paraId="24BBD19B" w14:textId="77777777" w:rsidR="00641163" w:rsidRDefault="00641163">
      <w:pPr>
        <w:rPr>
          <w:b/>
          <w:bCs/>
          <w:iCs/>
          <w:color w:val="215E99" w:themeColor="text2" w:themeTint="BF"/>
          <w:sz w:val="22"/>
          <w:szCs w:val="22"/>
          <w:lang w:eastAsia="en-US"/>
        </w:rPr>
      </w:pPr>
      <w:r>
        <w:rPr>
          <w:b/>
          <w:bCs/>
          <w:iCs/>
          <w:color w:val="215E99" w:themeColor="text2" w:themeTint="BF"/>
          <w:sz w:val="22"/>
          <w:szCs w:val="22"/>
          <w:lang w:eastAsia="en-US"/>
        </w:rPr>
        <w:br w:type="page"/>
      </w:r>
    </w:p>
    <w:p w14:paraId="66920622" w14:textId="0B2EFD65" w:rsidR="007E60D7" w:rsidRPr="001D6559" w:rsidRDefault="007E60D7" w:rsidP="00731194">
      <w:pPr>
        <w:widowControl w:val="0"/>
        <w:shd w:val="clear" w:color="auto" w:fill="FFFFFF" w:themeFill="background1"/>
        <w:tabs>
          <w:tab w:val="left" w:pos="426"/>
        </w:tabs>
        <w:spacing w:before="120"/>
        <w:ind w:firstLine="425"/>
        <w:jc w:val="both"/>
        <w:outlineLvl w:val="3"/>
        <w:rPr>
          <w:b/>
          <w:bCs/>
          <w:iCs/>
          <w:color w:val="215E99" w:themeColor="text2" w:themeTint="BF"/>
          <w:sz w:val="22"/>
          <w:szCs w:val="22"/>
          <w:lang w:eastAsia="en-US"/>
        </w:rPr>
      </w:pPr>
      <w:r w:rsidRPr="001D6559">
        <w:rPr>
          <w:b/>
          <w:bCs/>
          <w:iCs/>
          <w:color w:val="215E99" w:themeColor="text2" w:themeTint="BF"/>
          <w:sz w:val="22"/>
          <w:szCs w:val="22"/>
          <w:lang w:eastAsia="en-US"/>
        </w:rPr>
        <w:lastRenderedPageBreak/>
        <w:t>Кратко описание на показателите за изпълнение</w:t>
      </w:r>
    </w:p>
    <w:p w14:paraId="0B023C71" w14:textId="77777777" w:rsidR="007E60D7" w:rsidRPr="007D6921" w:rsidRDefault="007E60D7" w:rsidP="00731194">
      <w:pPr>
        <w:numPr>
          <w:ilvl w:val="0"/>
          <w:numId w:val="42"/>
        </w:numPr>
        <w:shd w:val="clear" w:color="auto" w:fill="FFFFFF" w:themeFill="background1"/>
        <w:ind w:left="0" w:firstLine="426"/>
        <w:jc w:val="both"/>
        <w:rPr>
          <w:sz w:val="22"/>
          <w:szCs w:val="22"/>
        </w:rPr>
      </w:pPr>
      <w:r w:rsidRPr="007D6921">
        <w:rPr>
          <w:sz w:val="22"/>
          <w:szCs w:val="22"/>
        </w:rPr>
        <w:t>Показател 1 – Показател, даващ информация за ролята на областта при обсъждане и съгласуване на инициативите на общините, както и схеми за ресурсно осигуряване изпълнението на проекти, включително за финансиране на общински проекти.</w:t>
      </w:r>
    </w:p>
    <w:p w14:paraId="6FD578B7" w14:textId="77777777" w:rsidR="007E60D7" w:rsidRPr="007D6921" w:rsidRDefault="007E60D7" w:rsidP="00731194">
      <w:pPr>
        <w:numPr>
          <w:ilvl w:val="0"/>
          <w:numId w:val="42"/>
        </w:numPr>
        <w:shd w:val="clear" w:color="auto" w:fill="FFFFFF" w:themeFill="background1"/>
        <w:ind w:left="0" w:firstLine="426"/>
        <w:jc w:val="both"/>
        <w:rPr>
          <w:sz w:val="22"/>
          <w:szCs w:val="22"/>
        </w:rPr>
      </w:pPr>
      <w:r w:rsidRPr="007D6921">
        <w:rPr>
          <w:sz w:val="22"/>
          <w:szCs w:val="22"/>
        </w:rPr>
        <w:t>Показатели 2 и 12 – Показатели, отчитащи ефективността в работата на областната администрация.</w:t>
      </w:r>
    </w:p>
    <w:p w14:paraId="6B84F120" w14:textId="77777777" w:rsidR="007E60D7" w:rsidRPr="007D6921" w:rsidRDefault="007E60D7" w:rsidP="00731194">
      <w:pPr>
        <w:numPr>
          <w:ilvl w:val="0"/>
          <w:numId w:val="42"/>
        </w:numPr>
        <w:shd w:val="clear" w:color="auto" w:fill="FFFFFF" w:themeFill="background1"/>
        <w:ind w:left="0" w:firstLine="426"/>
        <w:jc w:val="both"/>
        <w:rPr>
          <w:sz w:val="22"/>
          <w:szCs w:val="22"/>
        </w:rPr>
      </w:pPr>
      <w:r w:rsidRPr="007D6921">
        <w:rPr>
          <w:sz w:val="22"/>
          <w:szCs w:val="22"/>
        </w:rPr>
        <w:t>Показатели 3, 4 и 5 – Група показатели, даващи информация по отношение на осъществяването на административен контрол по изпълнението на административните актове и спазването на законността на територията на областта.</w:t>
      </w:r>
    </w:p>
    <w:p w14:paraId="66234126" w14:textId="77777777" w:rsidR="007E60D7" w:rsidRPr="007D6921" w:rsidRDefault="007E60D7" w:rsidP="00731194">
      <w:pPr>
        <w:numPr>
          <w:ilvl w:val="0"/>
          <w:numId w:val="42"/>
        </w:numPr>
        <w:shd w:val="clear" w:color="auto" w:fill="FFFFFF" w:themeFill="background1"/>
        <w:ind w:left="0" w:firstLine="426"/>
        <w:jc w:val="both"/>
        <w:rPr>
          <w:sz w:val="22"/>
          <w:szCs w:val="22"/>
        </w:rPr>
      </w:pPr>
      <w:r w:rsidRPr="007D6921">
        <w:rPr>
          <w:sz w:val="22"/>
          <w:szCs w:val="22"/>
        </w:rPr>
        <w:t>Показател 6 – Показател, даващ обща информация за капацитета и възможностите на областните администрации за разработване и изпълнение на проекти по програми.</w:t>
      </w:r>
    </w:p>
    <w:p w14:paraId="718737A0" w14:textId="77777777" w:rsidR="007E60D7" w:rsidRPr="007D6921" w:rsidRDefault="007E60D7" w:rsidP="00731194">
      <w:pPr>
        <w:numPr>
          <w:ilvl w:val="0"/>
          <w:numId w:val="42"/>
        </w:numPr>
        <w:shd w:val="clear" w:color="auto" w:fill="FFFFFF" w:themeFill="background1"/>
        <w:ind w:left="0" w:firstLine="426"/>
        <w:jc w:val="both"/>
        <w:rPr>
          <w:sz w:val="22"/>
          <w:szCs w:val="22"/>
        </w:rPr>
      </w:pPr>
      <w:r w:rsidRPr="007D6921">
        <w:rPr>
          <w:sz w:val="22"/>
          <w:szCs w:val="22"/>
        </w:rPr>
        <w:t>Показател 7 – Показател, отчитащ абсолютното изпълнение на дейността във връзка с изработването на планове по § 4 от Закона за стопанисването и ползването на земеделските земи.</w:t>
      </w:r>
    </w:p>
    <w:p w14:paraId="6B6DF9BF" w14:textId="77777777" w:rsidR="007E60D7" w:rsidRPr="007D6921" w:rsidRDefault="007E60D7" w:rsidP="00731194">
      <w:pPr>
        <w:numPr>
          <w:ilvl w:val="0"/>
          <w:numId w:val="42"/>
        </w:numPr>
        <w:shd w:val="clear" w:color="auto" w:fill="FFFFFF" w:themeFill="background1"/>
        <w:ind w:left="0" w:firstLine="426"/>
        <w:jc w:val="both"/>
        <w:rPr>
          <w:sz w:val="22"/>
          <w:szCs w:val="22"/>
        </w:rPr>
      </w:pPr>
      <w:r w:rsidRPr="007D6921">
        <w:rPr>
          <w:sz w:val="22"/>
          <w:szCs w:val="22"/>
        </w:rPr>
        <w:t>Показатели 8, 9 и 13 – Група показатели, даващи информация за координацията в работата с органите на местно самоуправление и местна администрация и териториалните органи, спазването на законността на територията на областта и осъществяването на административен контрол.</w:t>
      </w:r>
    </w:p>
    <w:p w14:paraId="751301B4" w14:textId="77777777" w:rsidR="007E60D7" w:rsidRPr="007D6921" w:rsidRDefault="007E60D7" w:rsidP="00731194">
      <w:pPr>
        <w:numPr>
          <w:ilvl w:val="0"/>
          <w:numId w:val="42"/>
        </w:numPr>
        <w:shd w:val="clear" w:color="auto" w:fill="FFFFFF" w:themeFill="background1"/>
        <w:ind w:left="0" w:firstLine="426"/>
        <w:jc w:val="both"/>
        <w:rPr>
          <w:sz w:val="22"/>
          <w:szCs w:val="22"/>
        </w:rPr>
      </w:pPr>
      <w:r w:rsidRPr="007D6921">
        <w:rPr>
          <w:sz w:val="22"/>
          <w:szCs w:val="22"/>
        </w:rPr>
        <w:t>Показател 10 – Показател, даващ информация за организацията на отбранително-мобилизационната подготовка на населението, защитата му при бедствия и аварии и спазване на обществения ред.</w:t>
      </w:r>
    </w:p>
    <w:p w14:paraId="75355730" w14:textId="77777777" w:rsidR="007E60D7" w:rsidRPr="007D6921" w:rsidRDefault="007E60D7" w:rsidP="00731194">
      <w:pPr>
        <w:numPr>
          <w:ilvl w:val="0"/>
          <w:numId w:val="42"/>
        </w:numPr>
        <w:shd w:val="clear" w:color="auto" w:fill="FFFFFF" w:themeFill="background1"/>
        <w:ind w:left="0" w:firstLine="426"/>
        <w:jc w:val="both"/>
        <w:rPr>
          <w:sz w:val="22"/>
          <w:szCs w:val="22"/>
        </w:rPr>
      </w:pPr>
      <w:r w:rsidRPr="007D6921">
        <w:rPr>
          <w:sz w:val="22"/>
          <w:szCs w:val="22"/>
        </w:rPr>
        <w:t>Показател 11 – Показател, даващ информация по отношение развитието на административния капацитет в областните администрации.</w:t>
      </w:r>
    </w:p>
    <w:p w14:paraId="1A5ED5EF" w14:textId="77777777" w:rsidR="007E60D7" w:rsidRPr="007D6921" w:rsidRDefault="007E60D7" w:rsidP="00731194">
      <w:pPr>
        <w:widowControl w:val="0"/>
        <w:shd w:val="clear" w:color="auto" w:fill="FFFFFF" w:themeFill="background1"/>
        <w:tabs>
          <w:tab w:val="left" w:pos="426"/>
        </w:tabs>
        <w:spacing w:before="120"/>
        <w:ind w:firstLine="425"/>
        <w:jc w:val="both"/>
        <w:outlineLvl w:val="3"/>
        <w:rPr>
          <w:b/>
          <w:bCs/>
          <w:iCs/>
          <w:color w:val="215E99" w:themeColor="text2" w:themeTint="BF"/>
          <w:sz w:val="22"/>
          <w:szCs w:val="22"/>
          <w:lang w:eastAsia="en-US"/>
        </w:rPr>
      </w:pPr>
      <w:r w:rsidRPr="007D6921">
        <w:rPr>
          <w:b/>
          <w:bCs/>
          <w:iCs/>
          <w:color w:val="215E99" w:themeColor="text2" w:themeTint="BF"/>
          <w:sz w:val="22"/>
          <w:szCs w:val="22"/>
          <w:lang w:eastAsia="en-US"/>
        </w:rPr>
        <w:t>Източници на информацията за данните по показателите за изпълнение</w:t>
      </w:r>
    </w:p>
    <w:p w14:paraId="4341F14A" w14:textId="77777777" w:rsidR="007E60D7" w:rsidRPr="007D6921" w:rsidRDefault="007E60D7" w:rsidP="00731194">
      <w:pPr>
        <w:shd w:val="clear" w:color="auto" w:fill="FFFFFF" w:themeFill="background1"/>
        <w:autoSpaceDE w:val="0"/>
        <w:autoSpaceDN w:val="0"/>
        <w:adjustRightInd w:val="0"/>
        <w:spacing w:after="120"/>
        <w:ind w:firstLine="426"/>
        <w:jc w:val="both"/>
        <w:rPr>
          <w:sz w:val="22"/>
          <w:szCs w:val="22"/>
        </w:rPr>
      </w:pPr>
      <w:r w:rsidRPr="007D6921">
        <w:rPr>
          <w:sz w:val="22"/>
          <w:szCs w:val="22"/>
        </w:rPr>
        <w:t xml:space="preserve">Информацията по програмата е налична в </w:t>
      </w:r>
      <w:r w:rsidRPr="007D6921">
        <w:rPr>
          <w:bCs/>
          <w:sz w:val="22"/>
          <w:szCs w:val="22"/>
        </w:rPr>
        <w:t>областните администрации.</w:t>
      </w:r>
    </w:p>
    <w:p w14:paraId="53D277F4" w14:textId="77777777" w:rsidR="007E60D7" w:rsidRPr="007D6921" w:rsidRDefault="007E60D7" w:rsidP="00731194">
      <w:pPr>
        <w:widowControl w:val="0"/>
        <w:shd w:val="clear" w:color="auto" w:fill="FFFFFF" w:themeFill="background1"/>
        <w:tabs>
          <w:tab w:val="left" w:pos="426"/>
        </w:tabs>
        <w:ind w:firstLine="425"/>
        <w:jc w:val="both"/>
        <w:outlineLvl w:val="3"/>
        <w:rPr>
          <w:b/>
          <w:bCs/>
          <w:iCs/>
          <w:color w:val="215E99" w:themeColor="text2" w:themeTint="BF"/>
          <w:sz w:val="22"/>
          <w:szCs w:val="22"/>
          <w:lang w:eastAsia="en-US"/>
        </w:rPr>
      </w:pPr>
      <w:r w:rsidRPr="007D6921">
        <w:rPr>
          <w:b/>
          <w:bCs/>
          <w:iCs/>
          <w:color w:val="215E99" w:themeColor="text2" w:themeTint="BF"/>
          <w:sz w:val="22"/>
          <w:szCs w:val="22"/>
          <w:lang w:eastAsia="en-US"/>
        </w:rPr>
        <w:t>Описание на факторите и причините, оказали въздействие върху непостигането на планираните/заявените целеви стойности</w:t>
      </w:r>
    </w:p>
    <w:p w14:paraId="4C509DD6" w14:textId="77777777" w:rsidR="007E60D7" w:rsidRPr="007D6921" w:rsidRDefault="007E60D7" w:rsidP="00731194">
      <w:pPr>
        <w:shd w:val="clear" w:color="auto" w:fill="FFFFFF" w:themeFill="background1"/>
        <w:autoSpaceDE w:val="0"/>
        <w:autoSpaceDN w:val="0"/>
        <w:adjustRightInd w:val="0"/>
        <w:spacing w:after="120"/>
        <w:ind w:firstLine="426"/>
        <w:jc w:val="both"/>
        <w:rPr>
          <w:sz w:val="22"/>
          <w:szCs w:val="22"/>
        </w:rPr>
      </w:pPr>
      <w:r w:rsidRPr="007D6921">
        <w:rPr>
          <w:sz w:val="22"/>
          <w:szCs w:val="22"/>
        </w:rPr>
        <w:t>По програмата няма посочени външни фактори, оказали влияние в процеса на изпълнение на програмата.</w:t>
      </w:r>
    </w:p>
    <w:p w14:paraId="411FD634" w14:textId="77777777" w:rsidR="00B0205F" w:rsidRPr="00931D4A" w:rsidRDefault="00B0205F" w:rsidP="00731194">
      <w:pPr>
        <w:widowControl w:val="0"/>
        <w:shd w:val="clear" w:color="auto" w:fill="FFFFFF" w:themeFill="background1"/>
        <w:tabs>
          <w:tab w:val="left" w:pos="426"/>
        </w:tabs>
        <w:ind w:firstLine="425"/>
        <w:jc w:val="both"/>
        <w:outlineLvl w:val="3"/>
        <w:rPr>
          <w:b/>
          <w:bCs/>
          <w:iCs/>
          <w:color w:val="215E99" w:themeColor="text2" w:themeTint="BF"/>
          <w:sz w:val="22"/>
          <w:szCs w:val="22"/>
          <w:lang w:eastAsia="en-US"/>
        </w:rPr>
      </w:pPr>
      <w:r w:rsidRPr="00931D4A">
        <w:rPr>
          <w:b/>
          <w:bCs/>
          <w:iCs/>
          <w:color w:val="215E99" w:themeColor="text2" w:themeTint="BF"/>
          <w:sz w:val="22"/>
          <w:szCs w:val="22"/>
          <w:lang w:eastAsia="en-US"/>
        </w:rPr>
        <w:t>Отчет на разходите по бюджетната програма с разпределение по ведомствени и администрирани разходи</w:t>
      </w:r>
    </w:p>
    <w:p w14:paraId="5578196B" w14:textId="2C38449B" w:rsidR="00931D4A" w:rsidRPr="00B23B1F" w:rsidRDefault="001B3ED8" w:rsidP="00731194">
      <w:pPr>
        <w:shd w:val="clear" w:color="auto" w:fill="FFFFFF" w:themeFill="background1"/>
        <w:jc w:val="right"/>
        <w:rPr>
          <w:b/>
          <w:bCs/>
          <w:i/>
          <w:iCs/>
          <w:sz w:val="20"/>
          <w:szCs w:val="20"/>
        </w:rPr>
      </w:pPr>
      <w:r w:rsidRPr="00B23B1F">
        <w:rPr>
          <w:b/>
          <w:bCs/>
          <w:i/>
          <w:iCs/>
          <w:sz w:val="20"/>
          <w:szCs w:val="20"/>
        </w:rPr>
        <w:t>Приложение № 7</w:t>
      </w:r>
    </w:p>
    <w:p w14:paraId="4F706C6F" w14:textId="399CF537" w:rsidR="001B3ED8" w:rsidRPr="00B23B1F" w:rsidRDefault="001B3ED8" w:rsidP="00731194">
      <w:pPr>
        <w:shd w:val="clear" w:color="auto" w:fill="FFFFFF" w:themeFill="background1"/>
        <w:jc w:val="both"/>
        <w:rPr>
          <w:i/>
          <w:iCs/>
          <w:sz w:val="20"/>
          <w:szCs w:val="20"/>
        </w:rPr>
      </w:pPr>
      <w:r w:rsidRPr="00B23B1F">
        <w:rPr>
          <w:i/>
          <w:iCs/>
          <w:sz w:val="20"/>
          <w:szCs w:val="20"/>
        </w:rPr>
        <w:t>Отчет на разходите по бюджетните програми с разпределение по ведомствени и администрирани разходи</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726"/>
        <w:gridCol w:w="936"/>
        <w:gridCol w:w="936"/>
        <w:gridCol w:w="936"/>
      </w:tblGrid>
      <w:tr w:rsidR="00446C2A" w:rsidRPr="00446C2A" w14:paraId="068BCFAE" w14:textId="77777777" w:rsidTr="00784AFD">
        <w:trPr>
          <w:trHeight w:val="315"/>
          <w:jc w:val="center"/>
        </w:trPr>
        <w:tc>
          <w:tcPr>
            <w:tcW w:w="231" w:type="pct"/>
            <w:vMerge w:val="restart"/>
            <w:shd w:val="clear" w:color="000000" w:fill="E6E6E6"/>
            <w:noWrap/>
            <w:vAlign w:val="center"/>
            <w:hideMark/>
          </w:tcPr>
          <w:p w14:paraId="5B51ABBD" w14:textId="77777777" w:rsidR="004A71EF" w:rsidRPr="00446C2A" w:rsidRDefault="004A71EF">
            <w:pPr>
              <w:rPr>
                <w:b/>
                <w:bCs/>
                <w:sz w:val="16"/>
                <w:szCs w:val="16"/>
              </w:rPr>
            </w:pPr>
            <w:r w:rsidRPr="00446C2A">
              <w:rPr>
                <w:b/>
                <w:bCs/>
                <w:sz w:val="16"/>
                <w:szCs w:val="16"/>
              </w:rPr>
              <w:t>№</w:t>
            </w:r>
          </w:p>
        </w:tc>
        <w:tc>
          <w:tcPr>
            <w:tcW w:w="3295" w:type="pct"/>
            <w:tcBorders>
              <w:bottom w:val="nil"/>
            </w:tcBorders>
            <w:shd w:val="clear" w:color="000000" w:fill="E6E6E6"/>
            <w:noWrap/>
            <w:vAlign w:val="center"/>
            <w:hideMark/>
          </w:tcPr>
          <w:p w14:paraId="67364BCC" w14:textId="33081B80" w:rsidR="004A71EF" w:rsidRPr="00446C2A" w:rsidRDefault="004A71EF">
            <w:pPr>
              <w:jc w:val="center"/>
              <w:rPr>
                <w:b/>
                <w:bCs/>
                <w:sz w:val="16"/>
                <w:szCs w:val="16"/>
              </w:rPr>
            </w:pPr>
            <w:r w:rsidRPr="00446C2A">
              <w:rPr>
                <w:b/>
                <w:bCs/>
                <w:sz w:val="16"/>
                <w:szCs w:val="16"/>
              </w:rPr>
              <w:t xml:space="preserve">0300.03.01 'Бюджетна програма „Осъществяване на държавната политика на </w:t>
            </w:r>
            <w:r w:rsidR="008F65B0">
              <w:rPr>
                <w:b/>
                <w:bCs/>
                <w:sz w:val="16"/>
                <w:szCs w:val="16"/>
              </w:rPr>
              <w:br/>
            </w:r>
            <w:r w:rsidRPr="00446C2A">
              <w:rPr>
                <w:b/>
                <w:bCs/>
                <w:sz w:val="16"/>
                <w:szCs w:val="16"/>
              </w:rPr>
              <w:t>областно ниво”</w:t>
            </w:r>
          </w:p>
        </w:tc>
        <w:tc>
          <w:tcPr>
            <w:tcW w:w="466" w:type="pct"/>
            <w:vMerge w:val="restart"/>
            <w:shd w:val="clear" w:color="000000" w:fill="E6E6E6"/>
            <w:vAlign w:val="center"/>
            <w:hideMark/>
          </w:tcPr>
          <w:p w14:paraId="2906BEA8" w14:textId="77777777" w:rsidR="004A71EF" w:rsidRPr="00446C2A" w:rsidRDefault="004A71EF">
            <w:pPr>
              <w:jc w:val="center"/>
              <w:rPr>
                <w:b/>
                <w:bCs/>
                <w:sz w:val="16"/>
                <w:szCs w:val="16"/>
              </w:rPr>
            </w:pPr>
            <w:r w:rsidRPr="00446C2A">
              <w:rPr>
                <w:b/>
                <w:bCs/>
                <w:sz w:val="16"/>
                <w:szCs w:val="16"/>
              </w:rPr>
              <w:t>Закон</w:t>
            </w:r>
          </w:p>
        </w:tc>
        <w:tc>
          <w:tcPr>
            <w:tcW w:w="466" w:type="pct"/>
            <w:vMerge w:val="restart"/>
            <w:shd w:val="clear" w:color="000000" w:fill="E6E6E6"/>
            <w:vAlign w:val="center"/>
            <w:hideMark/>
          </w:tcPr>
          <w:p w14:paraId="02CCFBF1" w14:textId="77777777" w:rsidR="004A71EF" w:rsidRPr="00446C2A" w:rsidRDefault="004A71EF">
            <w:pPr>
              <w:jc w:val="center"/>
              <w:rPr>
                <w:b/>
                <w:bCs/>
                <w:sz w:val="16"/>
                <w:szCs w:val="16"/>
              </w:rPr>
            </w:pPr>
            <w:r w:rsidRPr="00446C2A">
              <w:rPr>
                <w:b/>
                <w:bCs/>
                <w:sz w:val="16"/>
                <w:szCs w:val="16"/>
              </w:rPr>
              <w:t>Уточнен план</w:t>
            </w:r>
          </w:p>
        </w:tc>
        <w:tc>
          <w:tcPr>
            <w:tcW w:w="543" w:type="pct"/>
            <w:vMerge w:val="restart"/>
            <w:shd w:val="clear" w:color="000000" w:fill="E6E6E6"/>
            <w:vAlign w:val="center"/>
            <w:hideMark/>
          </w:tcPr>
          <w:p w14:paraId="0CE9F5EA" w14:textId="77777777" w:rsidR="004A71EF" w:rsidRPr="00446C2A" w:rsidRDefault="004A71EF">
            <w:pPr>
              <w:jc w:val="center"/>
              <w:rPr>
                <w:b/>
                <w:bCs/>
                <w:sz w:val="16"/>
                <w:szCs w:val="16"/>
              </w:rPr>
            </w:pPr>
            <w:r w:rsidRPr="00446C2A">
              <w:rPr>
                <w:b/>
                <w:bCs/>
                <w:sz w:val="16"/>
                <w:szCs w:val="16"/>
              </w:rPr>
              <w:t>Отчет</w:t>
            </w:r>
          </w:p>
        </w:tc>
      </w:tr>
      <w:tr w:rsidR="00446C2A" w:rsidRPr="00446C2A" w14:paraId="265F244D" w14:textId="77777777" w:rsidTr="00784AFD">
        <w:trPr>
          <w:trHeight w:val="60"/>
          <w:jc w:val="center"/>
        </w:trPr>
        <w:tc>
          <w:tcPr>
            <w:tcW w:w="231" w:type="pct"/>
            <w:vMerge/>
            <w:vAlign w:val="center"/>
            <w:hideMark/>
          </w:tcPr>
          <w:p w14:paraId="3CAAFD20" w14:textId="77777777" w:rsidR="004A71EF" w:rsidRPr="00446C2A" w:rsidRDefault="004A71EF">
            <w:pPr>
              <w:rPr>
                <w:b/>
                <w:bCs/>
                <w:sz w:val="16"/>
                <w:szCs w:val="16"/>
              </w:rPr>
            </w:pPr>
          </w:p>
        </w:tc>
        <w:tc>
          <w:tcPr>
            <w:tcW w:w="3295" w:type="pct"/>
            <w:tcBorders>
              <w:top w:val="nil"/>
            </w:tcBorders>
            <w:shd w:val="clear" w:color="000000" w:fill="E6E6E6"/>
            <w:noWrap/>
            <w:vAlign w:val="center"/>
            <w:hideMark/>
          </w:tcPr>
          <w:p w14:paraId="06BD84AE" w14:textId="77777777" w:rsidR="004A71EF" w:rsidRPr="00446C2A" w:rsidRDefault="004A71EF">
            <w:pPr>
              <w:jc w:val="center"/>
              <w:rPr>
                <w:b/>
                <w:bCs/>
                <w:sz w:val="16"/>
                <w:szCs w:val="16"/>
              </w:rPr>
            </w:pPr>
            <w:r w:rsidRPr="00446C2A">
              <w:rPr>
                <w:b/>
                <w:bCs/>
                <w:sz w:val="16"/>
                <w:szCs w:val="16"/>
              </w:rPr>
              <w:t>(в лева)</w:t>
            </w:r>
          </w:p>
        </w:tc>
        <w:tc>
          <w:tcPr>
            <w:tcW w:w="466" w:type="pct"/>
            <w:vMerge/>
            <w:vAlign w:val="center"/>
            <w:hideMark/>
          </w:tcPr>
          <w:p w14:paraId="2F97C1CE" w14:textId="77777777" w:rsidR="004A71EF" w:rsidRPr="00446C2A" w:rsidRDefault="004A71EF">
            <w:pPr>
              <w:rPr>
                <w:b/>
                <w:bCs/>
                <w:sz w:val="16"/>
                <w:szCs w:val="16"/>
              </w:rPr>
            </w:pPr>
          </w:p>
        </w:tc>
        <w:tc>
          <w:tcPr>
            <w:tcW w:w="466" w:type="pct"/>
            <w:vMerge/>
            <w:vAlign w:val="center"/>
            <w:hideMark/>
          </w:tcPr>
          <w:p w14:paraId="6BF2D752" w14:textId="77777777" w:rsidR="004A71EF" w:rsidRPr="00446C2A" w:rsidRDefault="004A71EF">
            <w:pPr>
              <w:rPr>
                <w:b/>
                <w:bCs/>
                <w:sz w:val="16"/>
                <w:szCs w:val="16"/>
              </w:rPr>
            </w:pPr>
          </w:p>
        </w:tc>
        <w:tc>
          <w:tcPr>
            <w:tcW w:w="543" w:type="pct"/>
            <w:vMerge/>
            <w:vAlign w:val="center"/>
            <w:hideMark/>
          </w:tcPr>
          <w:p w14:paraId="5E3B5CAC" w14:textId="77777777" w:rsidR="004A71EF" w:rsidRPr="00446C2A" w:rsidRDefault="004A71EF">
            <w:pPr>
              <w:rPr>
                <w:b/>
                <w:bCs/>
                <w:sz w:val="16"/>
                <w:szCs w:val="16"/>
              </w:rPr>
            </w:pPr>
          </w:p>
        </w:tc>
      </w:tr>
      <w:tr w:rsidR="00446C2A" w:rsidRPr="00446C2A" w14:paraId="0A2DDDEE" w14:textId="77777777" w:rsidTr="00784AFD">
        <w:trPr>
          <w:trHeight w:val="206"/>
          <w:jc w:val="center"/>
        </w:trPr>
        <w:tc>
          <w:tcPr>
            <w:tcW w:w="231" w:type="pct"/>
            <w:shd w:val="clear" w:color="000000" w:fill="E6E6E6"/>
            <w:noWrap/>
            <w:vAlign w:val="center"/>
            <w:hideMark/>
          </w:tcPr>
          <w:p w14:paraId="2B007471" w14:textId="77777777" w:rsidR="004A71EF" w:rsidRPr="00446C2A" w:rsidRDefault="004A71EF">
            <w:pPr>
              <w:rPr>
                <w:b/>
                <w:bCs/>
                <w:sz w:val="16"/>
                <w:szCs w:val="16"/>
              </w:rPr>
            </w:pPr>
            <w:r w:rsidRPr="00446C2A">
              <w:rPr>
                <w:b/>
                <w:bCs/>
                <w:sz w:val="16"/>
                <w:szCs w:val="16"/>
              </w:rPr>
              <w:t>І.</w:t>
            </w:r>
          </w:p>
        </w:tc>
        <w:tc>
          <w:tcPr>
            <w:tcW w:w="3295" w:type="pct"/>
            <w:shd w:val="clear" w:color="000000" w:fill="E6E6E6"/>
            <w:noWrap/>
            <w:vAlign w:val="center"/>
            <w:hideMark/>
          </w:tcPr>
          <w:p w14:paraId="4B7FDE0E" w14:textId="77777777" w:rsidR="004A71EF" w:rsidRPr="00446C2A" w:rsidRDefault="004A71EF">
            <w:pPr>
              <w:rPr>
                <w:b/>
                <w:bCs/>
                <w:sz w:val="16"/>
                <w:szCs w:val="16"/>
              </w:rPr>
            </w:pPr>
            <w:r w:rsidRPr="00446C2A">
              <w:rPr>
                <w:b/>
                <w:bCs/>
                <w:sz w:val="16"/>
                <w:szCs w:val="16"/>
              </w:rPr>
              <w:t>Общо ведомствени разходи:</w:t>
            </w:r>
          </w:p>
        </w:tc>
        <w:tc>
          <w:tcPr>
            <w:tcW w:w="466" w:type="pct"/>
            <w:shd w:val="clear" w:color="000000" w:fill="E6E6E6"/>
            <w:noWrap/>
            <w:vAlign w:val="center"/>
            <w:hideMark/>
          </w:tcPr>
          <w:p w14:paraId="0376921C" w14:textId="77777777" w:rsidR="004A71EF" w:rsidRPr="00446C2A" w:rsidRDefault="004A71EF">
            <w:pPr>
              <w:jc w:val="right"/>
              <w:rPr>
                <w:b/>
                <w:bCs/>
                <w:sz w:val="16"/>
                <w:szCs w:val="16"/>
              </w:rPr>
            </w:pPr>
            <w:r w:rsidRPr="00446C2A">
              <w:rPr>
                <w:b/>
                <w:bCs/>
                <w:sz w:val="16"/>
                <w:szCs w:val="16"/>
              </w:rPr>
              <w:t>50 458 700</w:t>
            </w:r>
          </w:p>
        </w:tc>
        <w:tc>
          <w:tcPr>
            <w:tcW w:w="466" w:type="pct"/>
            <w:shd w:val="clear" w:color="000000" w:fill="E6E6E6"/>
            <w:noWrap/>
            <w:vAlign w:val="center"/>
            <w:hideMark/>
          </w:tcPr>
          <w:p w14:paraId="76CFF989" w14:textId="77777777" w:rsidR="004A71EF" w:rsidRPr="00446C2A" w:rsidRDefault="004A71EF">
            <w:pPr>
              <w:jc w:val="right"/>
              <w:rPr>
                <w:b/>
                <w:bCs/>
                <w:sz w:val="16"/>
                <w:szCs w:val="16"/>
              </w:rPr>
            </w:pPr>
            <w:r w:rsidRPr="00446C2A">
              <w:rPr>
                <w:b/>
                <w:bCs/>
                <w:sz w:val="16"/>
                <w:szCs w:val="16"/>
              </w:rPr>
              <w:t>50 842 163</w:t>
            </w:r>
          </w:p>
        </w:tc>
        <w:tc>
          <w:tcPr>
            <w:tcW w:w="543" w:type="pct"/>
            <w:shd w:val="clear" w:color="000000" w:fill="E6E6E6"/>
            <w:noWrap/>
            <w:vAlign w:val="center"/>
            <w:hideMark/>
          </w:tcPr>
          <w:p w14:paraId="23A4F3E8" w14:textId="77777777" w:rsidR="004A71EF" w:rsidRPr="00446C2A" w:rsidRDefault="004A71EF">
            <w:pPr>
              <w:jc w:val="right"/>
              <w:rPr>
                <w:b/>
                <w:bCs/>
                <w:sz w:val="16"/>
                <w:szCs w:val="16"/>
              </w:rPr>
            </w:pPr>
            <w:r w:rsidRPr="00446C2A">
              <w:rPr>
                <w:b/>
                <w:bCs/>
                <w:sz w:val="16"/>
                <w:szCs w:val="16"/>
              </w:rPr>
              <w:t>22 199 716</w:t>
            </w:r>
          </w:p>
        </w:tc>
      </w:tr>
      <w:tr w:rsidR="00446C2A" w:rsidRPr="00446C2A" w14:paraId="09CD6952" w14:textId="77777777" w:rsidTr="00784AFD">
        <w:trPr>
          <w:trHeight w:val="138"/>
          <w:jc w:val="center"/>
        </w:trPr>
        <w:tc>
          <w:tcPr>
            <w:tcW w:w="231" w:type="pct"/>
            <w:shd w:val="clear" w:color="auto" w:fill="auto"/>
            <w:noWrap/>
            <w:vAlign w:val="center"/>
            <w:hideMark/>
          </w:tcPr>
          <w:p w14:paraId="1CA7B45A" w14:textId="77777777" w:rsidR="004A71EF" w:rsidRPr="00446C2A" w:rsidRDefault="004A71EF">
            <w:pPr>
              <w:rPr>
                <w:sz w:val="16"/>
                <w:szCs w:val="16"/>
              </w:rPr>
            </w:pPr>
            <w:r w:rsidRPr="00446C2A">
              <w:rPr>
                <w:sz w:val="16"/>
                <w:szCs w:val="16"/>
              </w:rPr>
              <w:t> </w:t>
            </w:r>
          </w:p>
        </w:tc>
        <w:tc>
          <w:tcPr>
            <w:tcW w:w="3295" w:type="pct"/>
            <w:shd w:val="clear" w:color="auto" w:fill="auto"/>
            <w:noWrap/>
            <w:vAlign w:val="center"/>
            <w:hideMark/>
          </w:tcPr>
          <w:p w14:paraId="68BE9FB5" w14:textId="0873B29D" w:rsidR="004A71EF" w:rsidRPr="00446C2A" w:rsidRDefault="004A71EF" w:rsidP="00513178">
            <w:pPr>
              <w:ind w:firstLine="146"/>
              <w:rPr>
                <w:sz w:val="16"/>
                <w:szCs w:val="16"/>
              </w:rPr>
            </w:pPr>
            <w:r w:rsidRPr="00446C2A">
              <w:rPr>
                <w:sz w:val="16"/>
                <w:szCs w:val="16"/>
              </w:rPr>
              <w:t>Персонал</w:t>
            </w:r>
          </w:p>
        </w:tc>
        <w:tc>
          <w:tcPr>
            <w:tcW w:w="466" w:type="pct"/>
            <w:shd w:val="clear" w:color="auto" w:fill="auto"/>
            <w:noWrap/>
            <w:vAlign w:val="center"/>
            <w:hideMark/>
          </w:tcPr>
          <w:p w14:paraId="7401D9BD" w14:textId="77777777" w:rsidR="004A71EF" w:rsidRPr="00446C2A" w:rsidRDefault="004A71EF">
            <w:pPr>
              <w:jc w:val="right"/>
              <w:rPr>
                <w:sz w:val="16"/>
                <w:szCs w:val="16"/>
              </w:rPr>
            </w:pPr>
            <w:r w:rsidRPr="00446C2A">
              <w:rPr>
                <w:sz w:val="16"/>
                <w:szCs w:val="16"/>
              </w:rPr>
              <w:t>36 022 900</w:t>
            </w:r>
          </w:p>
        </w:tc>
        <w:tc>
          <w:tcPr>
            <w:tcW w:w="466" w:type="pct"/>
            <w:shd w:val="clear" w:color="auto" w:fill="auto"/>
            <w:noWrap/>
            <w:vAlign w:val="center"/>
            <w:hideMark/>
          </w:tcPr>
          <w:p w14:paraId="060B1296" w14:textId="77777777" w:rsidR="004A71EF" w:rsidRPr="00446C2A" w:rsidRDefault="004A71EF">
            <w:pPr>
              <w:jc w:val="right"/>
              <w:rPr>
                <w:sz w:val="16"/>
                <w:szCs w:val="16"/>
              </w:rPr>
            </w:pPr>
            <w:r w:rsidRPr="00446C2A">
              <w:rPr>
                <w:sz w:val="16"/>
                <w:szCs w:val="16"/>
              </w:rPr>
              <w:t>36 022 900</w:t>
            </w:r>
          </w:p>
        </w:tc>
        <w:tc>
          <w:tcPr>
            <w:tcW w:w="543" w:type="pct"/>
            <w:shd w:val="clear" w:color="auto" w:fill="auto"/>
            <w:noWrap/>
            <w:vAlign w:val="center"/>
            <w:hideMark/>
          </w:tcPr>
          <w:p w14:paraId="71D4BFC2" w14:textId="77777777" w:rsidR="004A71EF" w:rsidRPr="00446C2A" w:rsidRDefault="004A71EF">
            <w:pPr>
              <w:jc w:val="right"/>
              <w:rPr>
                <w:sz w:val="16"/>
                <w:szCs w:val="16"/>
              </w:rPr>
            </w:pPr>
            <w:r w:rsidRPr="00446C2A">
              <w:rPr>
                <w:sz w:val="16"/>
                <w:szCs w:val="16"/>
              </w:rPr>
              <w:t>16 406 533</w:t>
            </w:r>
          </w:p>
        </w:tc>
      </w:tr>
      <w:tr w:rsidR="00446C2A" w:rsidRPr="00446C2A" w14:paraId="18539291" w14:textId="77777777" w:rsidTr="00784AFD">
        <w:trPr>
          <w:trHeight w:val="128"/>
          <w:jc w:val="center"/>
        </w:trPr>
        <w:tc>
          <w:tcPr>
            <w:tcW w:w="231" w:type="pct"/>
            <w:shd w:val="clear" w:color="auto" w:fill="auto"/>
            <w:noWrap/>
            <w:vAlign w:val="center"/>
            <w:hideMark/>
          </w:tcPr>
          <w:p w14:paraId="284E1B60" w14:textId="77777777" w:rsidR="004A71EF" w:rsidRPr="00446C2A" w:rsidRDefault="004A71EF">
            <w:pPr>
              <w:rPr>
                <w:sz w:val="16"/>
                <w:szCs w:val="16"/>
              </w:rPr>
            </w:pPr>
            <w:r w:rsidRPr="00446C2A">
              <w:rPr>
                <w:sz w:val="16"/>
                <w:szCs w:val="16"/>
              </w:rPr>
              <w:t> </w:t>
            </w:r>
          </w:p>
        </w:tc>
        <w:tc>
          <w:tcPr>
            <w:tcW w:w="3295" w:type="pct"/>
            <w:shd w:val="clear" w:color="auto" w:fill="auto"/>
            <w:noWrap/>
            <w:vAlign w:val="center"/>
            <w:hideMark/>
          </w:tcPr>
          <w:p w14:paraId="577CE846" w14:textId="40C94571" w:rsidR="004A71EF" w:rsidRPr="00446C2A" w:rsidRDefault="004A71EF" w:rsidP="00513178">
            <w:pPr>
              <w:ind w:firstLine="146"/>
              <w:rPr>
                <w:sz w:val="16"/>
                <w:szCs w:val="16"/>
              </w:rPr>
            </w:pPr>
            <w:r w:rsidRPr="00446C2A">
              <w:rPr>
                <w:sz w:val="16"/>
                <w:szCs w:val="16"/>
              </w:rPr>
              <w:t>Издръжка</w:t>
            </w:r>
          </w:p>
        </w:tc>
        <w:tc>
          <w:tcPr>
            <w:tcW w:w="466" w:type="pct"/>
            <w:shd w:val="clear" w:color="auto" w:fill="auto"/>
            <w:noWrap/>
            <w:vAlign w:val="center"/>
            <w:hideMark/>
          </w:tcPr>
          <w:p w14:paraId="6DE79A52" w14:textId="77777777" w:rsidR="004A71EF" w:rsidRPr="00446C2A" w:rsidRDefault="004A71EF">
            <w:pPr>
              <w:jc w:val="right"/>
              <w:rPr>
                <w:sz w:val="16"/>
                <w:szCs w:val="16"/>
              </w:rPr>
            </w:pPr>
            <w:r w:rsidRPr="00446C2A">
              <w:rPr>
                <w:sz w:val="16"/>
                <w:szCs w:val="16"/>
              </w:rPr>
              <w:t>9 701 600</w:t>
            </w:r>
          </w:p>
        </w:tc>
        <w:tc>
          <w:tcPr>
            <w:tcW w:w="466" w:type="pct"/>
            <w:shd w:val="clear" w:color="auto" w:fill="auto"/>
            <w:noWrap/>
            <w:vAlign w:val="center"/>
            <w:hideMark/>
          </w:tcPr>
          <w:p w14:paraId="69183446" w14:textId="77777777" w:rsidR="004A71EF" w:rsidRPr="00446C2A" w:rsidRDefault="004A71EF">
            <w:pPr>
              <w:jc w:val="right"/>
              <w:rPr>
                <w:sz w:val="16"/>
                <w:szCs w:val="16"/>
              </w:rPr>
            </w:pPr>
            <w:r w:rsidRPr="00446C2A">
              <w:rPr>
                <w:sz w:val="16"/>
                <w:szCs w:val="16"/>
              </w:rPr>
              <w:t>10 085 063</w:t>
            </w:r>
          </w:p>
        </w:tc>
        <w:tc>
          <w:tcPr>
            <w:tcW w:w="543" w:type="pct"/>
            <w:shd w:val="clear" w:color="auto" w:fill="auto"/>
            <w:noWrap/>
            <w:vAlign w:val="center"/>
            <w:hideMark/>
          </w:tcPr>
          <w:p w14:paraId="609A3E44" w14:textId="77777777" w:rsidR="004A71EF" w:rsidRPr="00446C2A" w:rsidRDefault="004A71EF">
            <w:pPr>
              <w:jc w:val="right"/>
              <w:rPr>
                <w:sz w:val="16"/>
                <w:szCs w:val="16"/>
              </w:rPr>
            </w:pPr>
            <w:r w:rsidRPr="00446C2A">
              <w:rPr>
                <w:sz w:val="16"/>
                <w:szCs w:val="16"/>
              </w:rPr>
              <w:t>5 620 834</w:t>
            </w:r>
          </w:p>
        </w:tc>
      </w:tr>
      <w:tr w:rsidR="00446C2A" w:rsidRPr="00446C2A" w14:paraId="48D459FD" w14:textId="77777777" w:rsidTr="00784AFD">
        <w:trPr>
          <w:trHeight w:val="146"/>
          <w:jc w:val="center"/>
        </w:trPr>
        <w:tc>
          <w:tcPr>
            <w:tcW w:w="231" w:type="pct"/>
            <w:shd w:val="clear" w:color="auto" w:fill="auto"/>
            <w:noWrap/>
            <w:vAlign w:val="center"/>
            <w:hideMark/>
          </w:tcPr>
          <w:p w14:paraId="592A92AD" w14:textId="77777777" w:rsidR="004A71EF" w:rsidRPr="00446C2A" w:rsidRDefault="004A71EF">
            <w:pPr>
              <w:rPr>
                <w:sz w:val="16"/>
                <w:szCs w:val="16"/>
              </w:rPr>
            </w:pPr>
            <w:r w:rsidRPr="00446C2A">
              <w:rPr>
                <w:sz w:val="16"/>
                <w:szCs w:val="16"/>
              </w:rPr>
              <w:t> </w:t>
            </w:r>
          </w:p>
        </w:tc>
        <w:tc>
          <w:tcPr>
            <w:tcW w:w="3295" w:type="pct"/>
            <w:shd w:val="clear" w:color="auto" w:fill="auto"/>
            <w:noWrap/>
            <w:vAlign w:val="center"/>
            <w:hideMark/>
          </w:tcPr>
          <w:p w14:paraId="5149D40F" w14:textId="01CCECC1" w:rsidR="004A71EF" w:rsidRPr="00446C2A" w:rsidRDefault="004A71EF" w:rsidP="00513178">
            <w:pPr>
              <w:ind w:firstLine="146"/>
              <w:rPr>
                <w:sz w:val="16"/>
                <w:szCs w:val="16"/>
              </w:rPr>
            </w:pPr>
            <w:r w:rsidRPr="00446C2A">
              <w:rPr>
                <w:sz w:val="16"/>
                <w:szCs w:val="16"/>
              </w:rPr>
              <w:t>Капиталови разходи</w:t>
            </w:r>
          </w:p>
        </w:tc>
        <w:tc>
          <w:tcPr>
            <w:tcW w:w="466" w:type="pct"/>
            <w:shd w:val="clear" w:color="auto" w:fill="auto"/>
            <w:noWrap/>
            <w:vAlign w:val="center"/>
            <w:hideMark/>
          </w:tcPr>
          <w:p w14:paraId="18591BCB" w14:textId="77777777" w:rsidR="004A71EF" w:rsidRPr="00446C2A" w:rsidRDefault="004A71EF">
            <w:pPr>
              <w:jc w:val="right"/>
              <w:rPr>
                <w:sz w:val="16"/>
                <w:szCs w:val="16"/>
              </w:rPr>
            </w:pPr>
            <w:r w:rsidRPr="00446C2A">
              <w:rPr>
                <w:sz w:val="16"/>
                <w:szCs w:val="16"/>
              </w:rPr>
              <w:t>4 734 200</w:t>
            </w:r>
          </w:p>
        </w:tc>
        <w:tc>
          <w:tcPr>
            <w:tcW w:w="466" w:type="pct"/>
            <w:shd w:val="clear" w:color="auto" w:fill="auto"/>
            <w:noWrap/>
            <w:vAlign w:val="center"/>
            <w:hideMark/>
          </w:tcPr>
          <w:p w14:paraId="2D8BF425" w14:textId="77777777" w:rsidR="004A71EF" w:rsidRPr="00446C2A" w:rsidRDefault="004A71EF">
            <w:pPr>
              <w:jc w:val="right"/>
              <w:rPr>
                <w:sz w:val="16"/>
                <w:szCs w:val="16"/>
              </w:rPr>
            </w:pPr>
            <w:r w:rsidRPr="00446C2A">
              <w:rPr>
                <w:sz w:val="16"/>
                <w:szCs w:val="16"/>
              </w:rPr>
              <w:t>4 734 200</w:t>
            </w:r>
          </w:p>
        </w:tc>
        <w:tc>
          <w:tcPr>
            <w:tcW w:w="543" w:type="pct"/>
            <w:shd w:val="clear" w:color="auto" w:fill="auto"/>
            <w:noWrap/>
            <w:vAlign w:val="center"/>
            <w:hideMark/>
          </w:tcPr>
          <w:p w14:paraId="6D21E829" w14:textId="77777777" w:rsidR="004A71EF" w:rsidRPr="00446C2A" w:rsidRDefault="004A71EF">
            <w:pPr>
              <w:jc w:val="right"/>
              <w:rPr>
                <w:sz w:val="16"/>
                <w:szCs w:val="16"/>
              </w:rPr>
            </w:pPr>
            <w:r w:rsidRPr="00446C2A">
              <w:rPr>
                <w:sz w:val="16"/>
                <w:szCs w:val="16"/>
              </w:rPr>
              <w:t>172 349</w:t>
            </w:r>
          </w:p>
        </w:tc>
      </w:tr>
      <w:tr w:rsidR="00446C2A" w:rsidRPr="00446C2A" w14:paraId="61879860" w14:textId="77777777" w:rsidTr="00784AFD">
        <w:trPr>
          <w:trHeight w:val="132"/>
          <w:jc w:val="center"/>
        </w:trPr>
        <w:tc>
          <w:tcPr>
            <w:tcW w:w="231" w:type="pct"/>
            <w:shd w:val="clear" w:color="000000" w:fill="E6E6E6"/>
            <w:noWrap/>
            <w:vAlign w:val="center"/>
            <w:hideMark/>
          </w:tcPr>
          <w:p w14:paraId="158D2ABC" w14:textId="77777777" w:rsidR="004A71EF" w:rsidRPr="00446C2A" w:rsidRDefault="004A71EF">
            <w:pPr>
              <w:rPr>
                <w:b/>
                <w:bCs/>
                <w:sz w:val="16"/>
                <w:szCs w:val="16"/>
              </w:rPr>
            </w:pPr>
            <w:r w:rsidRPr="00446C2A">
              <w:rPr>
                <w:b/>
                <w:bCs/>
                <w:sz w:val="16"/>
                <w:szCs w:val="16"/>
              </w:rPr>
              <w:t>1</w:t>
            </w:r>
          </w:p>
        </w:tc>
        <w:tc>
          <w:tcPr>
            <w:tcW w:w="3295" w:type="pct"/>
            <w:shd w:val="clear" w:color="000000" w:fill="E6E6E6"/>
            <w:noWrap/>
            <w:vAlign w:val="center"/>
            <w:hideMark/>
          </w:tcPr>
          <w:p w14:paraId="63AD3062" w14:textId="77777777" w:rsidR="004A71EF" w:rsidRPr="00446C2A" w:rsidRDefault="004A71EF">
            <w:pPr>
              <w:ind w:firstLineChars="300" w:firstLine="482"/>
              <w:rPr>
                <w:b/>
                <w:bCs/>
                <w:sz w:val="16"/>
                <w:szCs w:val="16"/>
              </w:rPr>
            </w:pPr>
            <w:r w:rsidRPr="00446C2A">
              <w:rPr>
                <w:b/>
                <w:bCs/>
                <w:sz w:val="16"/>
                <w:szCs w:val="16"/>
              </w:rPr>
              <w:t>Ведомствени разходи по бюджета на ПРБ:</w:t>
            </w:r>
          </w:p>
        </w:tc>
        <w:tc>
          <w:tcPr>
            <w:tcW w:w="466" w:type="pct"/>
            <w:shd w:val="clear" w:color="000000" w:fill="E6E6E6"/>
            <w:noWrap/>
            <w:vAlign w:val="center"/>
            <w:hideMark/>
          </w:tcPr>
          <w:p w14:paraId="06260163" w14:textId="77777777" w:rsidR="004A71EF" w:rsidRPr="00446C2A" w:rsidRDefault="004A71EF">
            <w:pPr>
              <w:jc w:val="right"/>
              <w:rPr>
                <w:b/>
                <w:bCs/>
                <w:sz w:val="16"/>
                <w:szCs w:val="16"/>
              </w:rPr>
            </w:pPr>
            <w:r w:rsidRPr="00446C2A">
              <w:rPr>
                <w:b/>
                <w:bCs/>
                <w:sz w:val="16"/>
                <w:szCs w:val="16"/>
              </w:rPr>
              <w:t>50 458 700</w:t>
            </w:r>
          </w:p>
        </w:tc>
        <w:tc>
          <w:tcPr>
            <w:tcW w:w="466" w:type="pct"/>
            <w:shd w:val="clear" w:color="000000" w:fill="E6E6E6"/>
            <w:noWrap/>
            <w:vAlign w:val="center"/>
            <w:hideMark/>
          </w:tcPr>
          <w:p w14:paraId="7B0FE803" w14:textId="77777777" w:rsidR="004A71EF" w:rsidRPr="00446C2A" w:rsidRDefault="004A71EF">
            <w:pPr>
              <w:jc w:val="right"/>
              <w:rPr>
                <w:b/>
                <w:bCs/>
                <w:sz w:val="16"/>
                <w:szCs w:val="16"/>
              </w:rPr>
            </w:pPr>
            <w:r w:rsidRPr="00446C2A">
              <w:rPr>
                <w:b/>
                <w:bCs/>
                <w:sz w:val="16"/>
                <w:szCs w:val="16"/>
              </w:rPr>
              <w:t>50 842 163</w:t>
            </w:r>
          </w:p>
        </w:tc>
        <w:tc>
          <w:tcPr>
            <w:tcW w:w="543" w:type="pct"/>
            <w:shd w:val="clear" w:color="000000" w:fill="E6E6E6"/>
            <w:noWrap/>
            <w:vAlign w:val="center"/>
            <w:hideMark/>
          </w:tcPr>
          <w:p w14:paraId="2C44AC02" w14:textId="77777777" w:rsidR="004A71EF" w:rsidRPr="00446C2A" w:rsidRDefault="004A71EF">
            <w:pPr>
              <w:jc w:val="right"/>
              <w:rPr>
                <w:b/>
                <w:bCs/>
                <w:sz w:val="16"/>
                <w:szCs w:val="16"/>
              </w:rPr>
            </w:pPr>
            <w:r w:rsidRPr="00446C2A">
              <w:rPr>
                <w:b/>
                <w:bCs/>
                <w:sz w:val="16"/>
                <w:szCs w:val="16"/>
              </w:rPr>
              <w:t>22 002 849</w:t>
            </w:r>
          </w:p>
        </w:tc>
      </w:tr>
      <w:tr w:rsidR="00446C2A" w:rsidRPr="00446C2A" w14:paraId="0476A38E" w14:textId="77777777" w:rsidTr="00784AFD">
        <w:trPr>
          <w:trHeight w:val="205"/>
          <w:jc w:val="center"/>
        </w:trPr>
        <w:tc>
          <w:tcPr>
            <w:tcW w:w="231" w:type="pct"/>
            <w:shd w:val="clear" w:color="auto" w:fill="auto"/>
            <w:noWrap/>
            <w:vAlign w:val="center"/>
            <w:hideMark/>
          </w:tcPr>
          <w:p w14:paraId="29ED77F0" w14:textId="77777777" w:rsidR="004A71EF" w:rsidRPr="00446C2A" w:rsidRDefault="004A71EF">
            <w:pPr>
              <w:rPr>
                <w:sz w:val="16"/>
                <w:szCs w:val="16"/>
              </w:rPr>
            </w:pPr>
            <w:r w:rsidRPr="00446C2A">
              <w:rPr>
                <w:sz w:val="16"/>
                <w:szCs w:val="16"/>
              </w:rPr>
              <w:t> </w:t>
            </w:r>
          </w:p>
        </w:tc>
        <w:tc>
          <w:tcPr>
            <w:tcW w:w="3295" w:type="pct"/>
            <w:shd w:val="clear" w:color="auto" w:fill="auto"/>
            <w:noWrap/>
            <w:vAlign w:val="center"/>
            <w:hideMark/>
          </w:tcPr>
          <w:p w14:paraId="161EFC98" w14:textId="2C5BC2AE" w:rsidR="004A71EF" w:rsidRPr="00446C2A" w:rsidRDefault="004A71EF" w:rsidP="00513178">
            <w:pPr>
              <w:ind w:firstLineChars="356" w:firstLine="570"/>
              <w:rPr>
                <w:sz w:val="16"/>
                <w:szCs w:val="16"/>
              </w:rPr>
            </w:pPr>
            <w:r w:rsidRPr="00446C2A">
              <w:rPr>
                <w:sz w:val="16"/>
                <w:szCs w:val="16"/>
              </w:rPr>
              <w:t>Персонал</w:t>
            </w:r>
          </w:p>
        </w:tc>
        <w:tc>
          <w:tcPr>
            <w:tcW w:w="466" w:type="pct"/>
            <w:shd w:val="clear" w:color="auto" w:fill="auto"/>
            <w:noWrap/>
            <w:vAlign w:val="center"/>
            <w:hideMark/>
          </w:tcPr>
          <w:p w14:paraId="3DCD14DB" w14:textId="77777777" w:rsidR="004A71EF" w:rsidRPr="00446C2A" w:rsidRDefault="004A71EF">
            <w:pPr>
              <w:jc w:val="right"/>
              <w:rPr>
                <w:sz w:val="16"/>
                <w:szCs w:val="16"/>
              </w:rPr>
            </w:pPr>
            <w:r w:rsidRPr="00446C2A">
              <w:rPr>
                <w:sz w:val="16"/>
                <w:szCs w:val="16"/>
              </w:rPr>
              <w:t>36 022 900</w:t>
            </w:r>
          </w:p>
        </w:tc>
        <w:tc>
          <w:tcPr>
            <w:tcW w:w="466" w:type="pct"/>
            <w:shd w:val="clear" w:color="auto" w:fill="auto"/>
            <w:noWrap/>
            <w:vAlign w:val="center"/>
            <w:hideMark/>
          </w:tcPr>
          <w:p w14:paraId="7FA5F3E4" w14:textId="77777777" w:rsidR="004A71EF" w:rsidRPr="00446C2A" w:rsidRDefault="004A71EF">
            <w:pPr>
              <w:jc w:val="right"/>
              <w:rPr>
                <w:sz w:val="16"/>
                <w:szCs w:val="16"/>
              </w:rPr>
            </w:pPr>
            <w:r w:rsidRPr="00446C2A">
              <w:rPr>
                <w:sz w:val="16"/>
                <w:szCs w:val="16"/>
              </w:rPr>
              <w:t>36 022 900</w:t>
            </w:r>
          </w:p>
        </w:tc>
        <w:tc>
          <w:tcPr>
            <w:tcW w:w="543" w:type="pct"/>
            <w:shd w:val="clear" w:color="auto" w:fill="auto"/>
            <w:noWrap/>
            <w:vAlign w:val="center"/>
            <w:hideMark/>
          </w:tcPr>
          <w:p w14:paraId="1C8A65F8" w14:textId="77777777" w:rsidR="004A71EF" w:rsidRPr="00446C2A" w:rsidRDefault="004A71EF">
            <w:pPr>
              <w:jc w:val="right"/>
              <w:rPr>
                <w:sz w:val="16"/>
                <w:szCs w:val="16"/>
              </w:rPr>
            </w:pPr>
            <w:r w:rsidRPr="00446C2A">
              <w:rPr>
                <w:sz w:val="16"/>
                <w:szCs w:val="16"/>
              </w:rPr>
              <w:t>16 393 420</w:t>
            </w:r>
          </w:p>
        </w:tc>
      </w:tr>
      <w:tr w:rsidR="00446C2A" w:rsidRPr="00446C2A" w14:paraId="77C9D6BE" w14:textId="77777777" w:rsidTr="00784AFD">
        <w:trPr>
          <w:trHeight w:val="138"/>
          <w:jc w:val="center"/>
        </w:trPr>
        <w:tc>
          <w:tcPr>
            <w:tcW w:w="231" w:type="pct"/>
            <w:shd w:val="clear" w:color="auto" w:fill="auto"/>
            <w:noWrap/>
            <w:vAlign w:val="center"/>
            <w:hideMark/>
          </w:tcPr>
          <w:p w14:paraId="566D2480" w14:textId="77777777" w:rsidR="004A71EF" w:rsidRPr="00446C2A" w:rsidRDefault="004A71EF">
            <w:pPr>
              <w:rPr>
                <w:sz w:val="16"/>
                <w:szCs w:val="16"/>
              </w:rPr>
            </w:pPr>
            <w:r w:rsidRPr="00446C2A">
              <w:rPr>
                <w:sz w:val="16"/>
                <w:szCs w:val="16"/>
              </w:rPr>
              <w:t> </w:t>
            </w:r>
          </w:p>
        </w:tc>
        <w:tc>
          <w:tcPr>
            <w:tcW w:w="3295" w:type="pct"/>
            <w:shd w:val="clear" w:color="auto" w:fill="auto"/>
            <w:noWrap/>
            <w:vAlign w:val="center"/>
            <w:hideMark/>
          </w:tcPr>
          <w:p w14:paraId="341E18E5" w14:textId="3C214C00" w:rsidR="004A71EF" w:rsidRPr="00446C2A" w:rsidRDefault="004A71EF" w:rsidP="00513178">
            <w:pPr>
              <w:ind w:firstLineChars="356" w:firstLine="570"/>
              <w:rPr>
                <w:sz w:val="16"/>
                <w:szCs w:val="16"/>
              </w:rPr>
            </w:pPr>
            <w:r w:rsidRPr="00446C2A">
              <w:rPr>
                <w:sz w:val="16"/>
                <w:szCs w:val="16"/>
              </w:rPr>
              <w:t>Издръжка</w:t>
            </w:r>
          </w:p>
        </w:tc>
        <w:tc>
          <w:tcPr>
            <w:tcW w:w="466" w:type="pct"/>
            <w:shd w:val="clear" w:color="auto" w:fill="auto"/>
            <w:noWrap/>
            <w:vAlign w:val="center"/>
            <w:hideMark/>
          </w:tcPr>
          <w:p w14:paraId="01ADCD3B" w14:textId="77777777" w:rsidR="004A71EF" w:rsidRPr="00446C2A" w:rsidRDefault="004A71EF">
            <w:pPr>
              <w:jc w:val="right"/>
              <w:rPr>
                <w:sz w:val="16"/>
                <w:szCs w:val="16"/>
              </w:rPr>
            </w:pPr>
            <w:r w:rsidRPr="00446C2A">
              <w:rPr>
                <w:sz w:val="16"/>
                <w:szCs w:val="16"/>
              </w:rPr>
              <w:t>9 701 600</w:t>
            </w:r>
          </w:p>
        </w:tc>
        <w:tc>
          <w:tcPr>
            <w:tcW w:w="466" w:type="pct"/>
            <w:shd w:val="clear" w:color="auto" w:fill="auto"/>
            <w:noWrap/>
            <w:vAlign w:val="center"/>
            <w:hideMark/>
          </w:tcPr>
          <w:p w14:paraId="03A70137" w14:textId="77777777" w:rsidR="004A71EF" w:rsidRPr="00446C2A" w:rsidRDefault="004A71EF">
            <w:pPr>
              <w:jc w:val="right"/>
              <w:rPr>
                <w:sz w:val="16"/>
                <w:szCs w:val="16"/>
              </w:rPr>
            </w:pPr>
            <w:r w:rsidRPr="00446C2A">
              <w:rPr>
                <w:sz w:val="16"/>
                <w:szCs w:val="16"/>
              </w:rPr>
              <w:t>10 085 063</w:t>
            </w:r>
          </w:p>
        </w:tc>
        <w:tc>
          <w:tcPr>
            <w:tcW w:w="543" w:type="pct"/>
            <w:shd w:val="clear" w:color="auto" w:fill="auto"/>
            <w:noWrap/>
            <w:vAlign w:val="center"/>
            <w:hideMark/>
          </w:tcPr>
          <w:p w14:paraId="38E657FA" w14:textId="77777777" w:rsidR="004A71EF" w:rsidRPr="00446C2A" w:rsidRDefault="004A71EF">
            <w:pPr>
              <w:jc w:val="right"/>
              <w:rPr>
                <w:sz w:val="16"/>
                <w:szCs w:val="16"/>
              </w:rPr>
            </w:pPr>
            <w:r w:rsidRPr="00446C2A">
              <w:rPr>
                <w:sz w:val="16"/>
                <w:szCs w:val="16"/>
              </w:rPr>
              <w:t>5 572 972</w:t>
            </w:r>
          </w:p>
        </w:tc>
      </w:tr>
      <w:tr w:rsidR="00446C2A" w:rsidRPr="00446C2A" w14:paraId="214BD6EB" w14:textId="77777777" w:rsidTr="00784AFD">
        <w:trPr>
          <w:trHeight w:val="226"/>
          <w:jc w:val="center"/>
        </w:trPr>
        <w:tc>
          <w:tcPr>
            <w:tcW w:w="231" w:type="pct"/>
            <w:shd w:val="clear" w:color="auto" w:fill="auto"/>
            <w:noWrap/>
            <w:vAlign w:val="center"/>
            <w:hideMark/>
          </w:tcPr>
          <w:p w14:paraId="15402C24" w14:textId="77777777" w:rsidR="004A71EF" w:rsidRPr="00446C2A" w:rsidRDefault="004A71EF">
            <w:pPr>
              <w:rPr>
                <w:sz w:val="16"/>
                <w:szCs w:val="16"/>
              </w:rPr>
            </w:pPr>
            <w:r w:rsidRPr="00446C2A">
              <w:rPr>
                <w:sz w:val="16"/>
                <w:szCs w:val="16"/>
              </w:rPr>
              <w:t> </w:t>
            </w:r>
          </w:p>
        </w:tc>
        <w:tc>
          <w:tcPr>
            <w:tcW w:w="3295" w:type="pct"/>
            <w:shd w:val="clear" w:color="auto" w:fill="auto"/>
            <w:noWrap/>
            <w:vAlign w:val="center"/>
            <w:hideMark/>
          </w:tcPr>
          <w:p w14:paraId="59EA10F5" w14:textId="0E1DE16D" w:rsidR="004A71EF" w:rsidRPr="00446C2A" w:rsidRDefault="004A71EF" w:rsidP="00513178">
            <w:pPr>
              <w:ind w:firstLineChars="356" w:firstLine="570"/>
              <w:rPr>
                <w:sz w:val="16"/>
                <w:szCs w:val="16"/>
              </w:rPr>
            </w:pPr>
            <w:r w:rsidRPr="00446C2A">
              <w:rPr>
                <w:sz w:val="16"/>
                <w:szCs w:val="16"/>
              </w:rPr>
              <w:t>Капиталови разходи</w:t>
            </w:r>
          </w:p>
        </w:tc>
        <w:tc>
          <w:tcPr>
            <w:tcW w:w="466" w:type="pct"/>
            <w:shd w:val="clear" w:color="auto" w:fill="auto"/>
            <w:noWrap/>
            <w:vAlign w:val="center"/>
            <w:hideMark/>
          </w:tcPr>
          <w:p w14:paraId="03996378" w14:textId="77777777" w:rsidR="004A71EF" w:rsidRPr="00446C2A" w:rsidRDefault="004A71EF">
            <w:pPr>
              <w:jc w:val="right"/>
              <w:rPr>
                <w:sz w:val="16"/>
                <w:szCs w:val="16"/>
              </w:rPr>
            </w:pPr>
            <w:r w:rsidRPr="00446C2A">
              <w:rPr>
                <w:sz w:val="16"/>
                <w:szCs w:val="16"/>
              </w:rPr>
              <w:t>4 734 200</w:t>
            </w:r>
          </w:p>
        </w:tc>
        <w:tc>
          <w:tcPr>
            <w:tcW w:w="466" w:type="pct"/>
            <w:shd w:val="clear" w:color="auto" w:fill="auto"/>
            <w:noWrap/>
            <w:vAlign w:val="center"/>
            <w:hideMark/>
          </w:tcPr>
          <w:p w14:paraId="2E89AB9E" w14:textId="77777777" w:rsidR="004A71EF" w:rsidRPr="00446C2A" w:rsidRDefault="004A71EF">
            <w:pPr>
              <w:jc w:val="right"/>
              <w:rPr>
                <w:sz w:val="16"/>
                <w:szCs w:val="16"/>
              </w:rPr>
            </w:pPr>
            <w:r w:rsidRPr="00446C2A">
              <w:rPr>
                <w:sz w:val="16"/>
                <w:szCs w:val="16"/>
              </w:rPr>
              <w:t>4 734 200</w:t>
            </w:r>
          </w:p>
        </w:tc>
        <w:tc>
          <w:tcPr>
            <w:tcW w:w="543" w:type="pct"/>
            <w:shd w:val="clear" w:color="auto" w:fill="auto"/>
            <w:noWrap/>
            <w:vAlign w:val="center"/>
            <w:hideMark/>
          </w:tcPr>
          <w:p w14:paraId="728988A3" w14:textId="77777777" w:rsidR="004A71EF" w:rsidRPr="00446C2A" w:rsidRDefault="004A71EF">
            <w:pPr>
              <w:jc w:val="right"/>
              <w:rPr>
                <w:sz w:val="16"/>
                <w:szCs w:val="16"/>
              </w:rPr>
            </w:pPr>
            <w:r w:rsidRPr="00446C2A">
              <w:rPr>
                <w:sz w:val="16"/>
                <w:szCs w:val="16"/>
              </w:rPr>
              <w:t>36 457</w:t>
            </w:r>
          </w:p>
        </w:tc>
      </w:tr>
      <w:tr w:rsidR="00446C2A" w:rsidRPr="00446C2A" w14:paraId="1AD6B619" w14:textId="77777777" w:rsidTr="00784AFD">
        <w:trPr>
          <w:trHeight w:val="143"/>
          <w:jc w:val="center"/>
        </w:trPr>
        <w:tc>
          <w:tcPr>
            <w:tcW w:w="231" w:type="pct"/>
            <w:shd w:val="clear" w:color="000000" w:fill="E6E6E6"/>
            <w:noWrap/>
            <w:vAlign w:val="center"/>
            <w:hideMark/>
          </w:tcPr>
          <w:p w14:paraId="7580B907" w14:textId="77777777" w:rsidR="004A71EF" w:rsidRPr="00446C2A" w:rsidRDefault="004A71EF">
            <w:pPr>
              <w:rPr>
                <w:b/>
                <w:bCs/>
                <w:sz w:val="16"/>
                <w:szCs w:val="16"/>
              </w:rPr>
            </w:pPr>
            <w:r w:rsidRPr="00446C2A">
              <w:rPr>
                <w:b/>
                <w:bCs/>
                <w:sz w:val="16"/>
                <w:szCs w:val="16"/>
              </w:rPr>
              <w:t>2</w:t>
            </w:r>
          </w:p>
        </w:tc>
        <w:tc>
          <w:tcPr>
            <w:tcW w:w="3295" w:type="pct"/>
            <w:shd w:val="clear" w:color="000000" w:fill="E6E6E6"/>
            <w:noWrap/>
            <w:vAlign w:val="center"/>
            <w:hideMark/>
          </w:tcPr>
          <w:p w14:paraId="66474291" w14:textId="77777777" w:rsidR="004A71EF" w:rsidRPr="00446C2A" w:rsidRDefault="004A71EF">
            <w:pPr>
              <w:ind w:firstLineChars="300" w:firstLine="482"/>
              <w:rPr>
                <w:b/>
                <w:bCs/>
                <w:sz w:val="16"/>
                <w:szCs w:val="16"/>
              </w:rPr>
            </w:pPr>
            <w:r w:rsidRPr="00446C2A">
              <w:rPr>
                <w:b/>
                <w:bCs/>
                <w:sz w:val="16"/>
                <w:szCs w:val="16"/>
              </w:rPr>
              <w:t xml:space="preserve">Ведомствени разходи по други бюджети и сметки за средства от ЕС </w:t>
            </w:r>
          </w:p>
        </w:tc>
        <w:tc>
          <w:tcPr>
            <w:tcW w:w="466" w:type="pct"/>
            <w:shd w:val="clear" w:color="000000" w:fill="E6E6E6"/>
            <w:noWrap/>
            <w:vAlign w:val="center"/>
            <w:hideMark/>
          </w:tcPr>
          <w:p w14:paraId="56D1ACC9" w14:textId="77777777" w:rsidR="004A71EF" w:rsidRPr="00446C2A" w:rsidRDefault="004A71EF">
            <w:pPr>
              <w:jc w:val="right"/>
              <w:rPr>
                <w:b/>
                <w:bCs/>
                <w:sz w:val="16"/>
                <w:szCs w:val="16"/>
              </w:rPr>
            </w:pPr>
            <w:r w:rsidRPr="00446C2A">
              <w:rPr>
                <w:b/>
                <w:bCs/>
                <w:sz w:val="16"/>
                <w:szCs w:val="16"/>
              </w:rPr>
              <w:t>0</w:t>
            </w:r>
          </w:p>
        </w:tc>
        <w:tc>
          <w:tcPr>
            <w:tcW w:w="466" w:type="pct"/>
            <w:shd w:val="clear" w:color="000000" w:fill="E6E6E6"/>
            <w:noWrap/>
            <w:vAlign w:val="center"/>
            <w:hideMark/>
          </w:tcPr>
          <w:p w14:paraId="44DE7B61" w14:textId="77777777" w:rsidR="004A71EF" w:rsidRPr="00446C2A" w:rsidRDefault="004A71EF">
            <w:pPr>
              <w:jc w:val="right"/>
              <w:rPr>
                <w:b/>
                <w:bCs/>
                <w:sz w:val="16"/>
                <w:szCs w:val="16"/>
              </w:rPr>
            </w:pPr>
            <w:r w:rsidRPr="00446C2A">
              <w:rPr>
                <w:b/>
                <w:bCs/>
                <w:sz w:val="16"/>
                <w:szCs w:val="16"/>
              </w:rPr>
              <w:t>0</w:t>
            </w:r>
          </w:p>
        </w:tc>
        <w:tc>
          <w:tcPr>
            <w:tcW w:w="543" w:type="pct"/>
            <w:shd w:val="clear" w:color="000000" w:fill="E6E6E6"/>
            <w:noWrap/>
            <w:vAlign w:val="center"/>
            <w:hideMark/>
          </w:tcPr>
          <w:p w14:paraId="26300258" w14:textId="77777777" w:rsidR="004A71EF" w:rsidRPr="00446C2A" w:rsidRDefault="004A71EF">
            <w:pPr>
              <w:jc w:val="right"/>
              <w:rPr>
                <w:b/>
                <w:bCs/>
                <w:sz w:val="16"/>
                <w:szCs w:val="16"/>
              </w:rPr>
            </w:pPr>
            <w:r w:rsidRPr="00446C2A">
              <w:rPr>
                <w:b/>
                <w:bCs/>
                <w:sz w:val="16"/>
                <w:szCs w:val="16"/>
              </w:rPr>
              <w:t>196 867</w:t>
            </w:r>
          </w:p>
        </w:tc>
      </w:tr>
      <w:tr w:rsidR="00446C2A" w:rsidRPr="00446C2A" w14:paraId="7C99FB44" w14:textId="77777777" w:rsidTr="00784AFD">
        <w:trPr>
          <w:trHeight w:val="76"/>
          <w:jc w:val="center"/>
        </w:trPr>
        <w:tc>
          <w:tcPr>
            <w:tcW w:w="231" w:type="pct"/>
            <w:shd w:val="clear" w:color="auto" w:fill="auto"/>
            <w:noWrap/>
            <w:vAlign w:val="center"/>
            <w:hideMark/>
          </w:tcPr>
          <w:p w14:paraId="3A14A58A" w14:textId="77777777" w:rsidR="004A71EF" w:rsidRPr="00446C2A" w:rsidRDefault="004A71EF">
            <w:pPr>
              <w:rPr>
                <w:sz w:val="16"/>
                <w:szCs w:val="16"/>
              </w:rPr>
            </w:pPr>
            <w:r w:rsidRPr="00446C2A">
              <w:rPr>
                <w:sz w:val="16"/>
                <w:szCs w:val="16"/>
              </w:rPr>
              <w:t> </w:t>
            </w:r>
          </w:p>
        </w:tc>
        <w:tc>
          <w:tcPr>
            <w:tcW w:w="3295" w:type="pct"/>
            <w:shd w:val="clear" w:color="auto" w:fill="auto"/>
            <w:noWrap/>
            <w:vAlign w:val="center"/>
            <w:hideMark/>
          </w:tcPr>
          <w:p w14:paraId="451F6B69" w14:textId="4191F94E" w:rsidR="004A71EF" w:rsidRPr="00446C2A" w:rsidRDefault="004A71EF" w:rsidP="00513178">
            <w:pPr>
              <w:ind w:firstLineChars="356" w:firstLine="570"/>
              <w:rPr>
                <w:sz w:val="16"/>
                <w:szCs w:val="16"/>
              </w:rPr>
            </w:pPr>
            <w:r w:rsidRPr="00446C2A">
              <w:rPr>
                <w:sz w:val="16"/>
                <w:szCs w:val="16"/>
              </w:rPr>
              <w:t>Персонал</w:t>
            </w:r>
          </w:p>
        </w:tc>
        <w:tc>
          <w:tcPr>
            <w:tcW w:w="466" w:type="pct"/>
            <w:shd w:val="clear" w:color="auto" w:fill="auto"/>
            <w:noWrap/>
            <w:vAlign w:val="center"/>
            <w:hideMark/>
          </w:tcPr>
          <w:p w14:paraId="61687189" w14:textId="77777777" w:rsidR="004A71EF" w:rsidRPr="00446C2A" w:rsidRDefault="004A71EF">
            <w:pPr>
              <w:jc w:val="right"/>
              <w:rPr>
                <w:sz w:val="16"/>
                <w:szCs w:val="16"/>
              </w:rPr>
            </w:pPr>
            <w:r w:rsidRPr="00446C2A">
              <w:rPr>
                <w:sz w:val="16"/>
                <w:szCs w:val="16"/>
              </w:rPr>
              <w:t> </w:t>
            </w:r>
          </w:p>
        </w:tc>
        <w:tc>
          <w:tcPr>
            <w:tcW w:w="466" w:type="pct"/>
            <w:shd w:val="clear" w:color="auto" w:fill="auto"/>
            <w:noWrap/>
            <w:vAlign w:val="center"/>
            <w:hideMark/>
          </w:tcPr>
          <w:p w14:paraId="7ED87F2A" w14:textId="77777777" w:rsidR="004A71EF" w:rsidRPr="00446C2A" w:rsidRDefault="004A71EF">
            <w:pPr>
              <w:jc w:val="right"/>
              <w:rPr>
                <w:sz w:val="16"/>
                <w:szCs w:val="16"/>
              </w:rPr>
            </w:pPr>
            <w:r w:rsidRPr="00446C2A">
              <w:rPr>
                <w:sz w:val="16"/>
                <w:szCs w:val="16"/>
              </w:rPr>
              <w:t> </w:t>
            </w:r>
          </w:p>
        </w:tc>
        <w:tc>
          <w:tcPr>
            <w:tcW w:w="543" w:type="pct"/>
            <w:shd w:val="clear" w:color="auto" w:fill="auto"/>
            <w:noWrap/>
            <w:vAlign w:val="center"/>
            <w:hideMark/>
          </w:tcPr>
          <w:p w14:paraId="52936BC3" w14:textId="77777777" w:rsidR="004A71EF" w:rsidRPr="00446C2A" w:rsidRDefault="004A71EF">
            <w:pPr>
              <w:jc w:val="right"/>
              <w:rPr>
                <w:sz w:val="16"/>
                <w:szCs w:val="16"/>
              </w:rPr>
            </w:pPr>
            <w:r w:rsidRPr="00446C2A">
              <w:rPr>
                <w:sz w:val="16"/>
                <w:szCs w:val="16"/>
              </w:rPr>
              <w:t>13 113</w:t>
            </w:r>
          </w:p>
        </w:tc>
      </w:tr>
      <w:tr w:rsidR="00446C2A" w:rsidRPr="00446C2A" w14:paraId="3A40C4BF" w14:textId="77777777" w:rsidTr="00784AFD">
        <w:trPr>
          <w:trHeight w:val="177"/>
          <w:jc w:val="center"/>
        </w:trPr>
        <w:tc>
          <w:tcPr>
            <w:tcW w:w="231" w:type="pct"/>
            <w:shd w:val="clear" w:color="auto" w:fill="auto"/>
            <w:noWrap/>
            <w:vAlign w:val="center"/>
            <w:hideMark/>
          </w:tcPr>
          <w:p w14:paraId="3A496154" w14:textId="77777777" w:rsidR="004A71EF" w:rsidRPr="00446C2A" w:rsidRDefault="004A71EF">
            <w:pPr>
              <w:rPr>
                <w:sz w:val="16"/>
                <w:szCs w:val="16"/>
              </w:rPr>
            </w:pPr>
            <w:r w:rsidRPr="00446C2A">
              <w:rPr>
                <w:sz w:val="16"/>
                <w:szCs w:val="16"/>
              </w:rPr>
              <w:t> </w:t>
            </w:r>
          </w:p>
        </w:tc>
        <w:tc>
          <w:tcPr>
            <w:tcW w:w="3295" w:type="pct"/>
            <w:shd w:val="clear" w:color="auto" w:fill="auto"/>
            <w:noWrap/>
            <w:vAlign w:val="center"/>
            <w:hideMark/>
          </w:tcPr>
          <w:p w14:paraId="2C27B6A6" w14:textId="342B5365" w:rsidR="004A71EF" w:rsidRPr="00446C2A" w:rsidRDefault="004A71EF" w:rsidP="00513178">
            <w:pPr>
              <w:ind w:firstLineChars="356" w:firstLine="570"/>
              <w:rPr>
                <w:sz w:val="16"/>
                <w:szCs w:val="16"/>
              </w:rPr>
            </w:pPr>
            <w:r w:rsidRPr="00446C2A">
              <w:rPr>
                <w:sz w:val="16"/>
                <w:szCs w:val="16"/>
              </w:rPr>
              <w:t>Издръжка</w:t>
            </w:r>
          </w:p>
        </w:tc>
        <w:tc>
          <w:tcPr>
            <w:tcW w:w="466" w:type="pct"/>
            <w:shd w:val="clear" w:color="auto" w:fill="auto"/>
            <w:noWrap/>
            <w:vAlign w:val="center"/>
            <w:hideMark/>
          </w:tcPr>
          <w:p w14:paraId="0A96BDB3" w14:textId="77777777" w:rsidR="004A71EF" w:rsidRPr="00446C2A" w:rsidRDefault="004A71EF">
            <w:pPr>
              <w:jc w:val="right"/>
              <w:rPr>
                <w:sz w:val="16"/>
                <w:szCs w:val="16"/>
              </w:rPr>
            </w:pPr>
            <w:r w:rsidRPr="00446C2A">
              <w:rPr>
                <w:sz w:val="16"/>
                <w:szCs w:val="16"/>
              </w:rPr>
              <w:t> </w:t>
            </w:r>
          </w:p>
        </w:tc>
        <w:tc>
          <w:tcPr>
            <w:tcW w:w="466" w:type="pct"/>
            <w:shd w:val="clear" w:color="auto" w:fill="auto"/>
            <w:noWrap/>
            <w:vAlign w:val="center"/>
            <w:hideMark/>
          </w:tcPr>
          <w:p w14:paraId="53F822C4" w14:textId="77777777" w:rsidR="004A71EF" w:rsidRPr="00446C2A" w:rsidRDefault="004A71EF">
            <w:pPr>
              <w:jc w:val="right"/>
              <w:rPr>
                <w:sz w:val="16"/>
                <w:szCs w:val="16"/>
              </w:rPr>
            </w:pPr>
            <w:r w:rsidRPr="00446C2A">
              <w:rPr>
                <w:sz w:val="16"/>
                <w:szCs w:val="16"/>
              </w:rPr>
              <w:t> </w:t>
            </w:r>
          </w:p>
        </w:tc>
        <w:tc>
          <w:tcPr>
            <w:tcW w:w="543" w:type="pct"/>
            <w:shd w:val="clear" w:color="auto" w:fill="auto"/>
            <w:noWrap/>
            <w:vAlign w:val="center"/>
            <w:hideMark/>
          </w:tcPr>
          <w:p w14:paraId="715A8F85" w14:textId="77777777" w:rsidR="004A71EF" w:rsidRPr="00446C2A" w:rsidRDefault="004A71EF">
            <w:pPr>
              <w:jc w:val="right"/>
              <w:rPr>
                <w:sz w:val="16"/>
                <w:szCs w:val="16"/>
              </w:rPr>
            </w:pPr>
            <w:r w:rsidRPr="00446C2A">
              <w:rPr>
                <w:sz w:val="16"/>
                <w:szCs w:val="16"/>
              </w:rPr>
              <w:t>47 862</w:t>
            </w:r>
          </w:p>
        </w:tc>
      </w:tr>
      <w:tr w:rsidR="00446C2A" w:rsidRPr="00446C2A" w14:paraId="510A8FB8" w14:textId="77777777" w:rsidTr="00784AFD">
        <w:trPr>
          <w:trHeight w:val="110"/>
          <w:jc w:val="center"/>
        </w:trPr>
        <w:tc>
          <w:tcPr>
            <w:tcW w:w="231" w:type="pct"/>
            <w:shd w:val="clear" w:color="auto" w:fill="auto"/>
            <w:noWrap/>
            <w:vAlign w:val="center"/>
            <w:hideMark/>
          </w:tcPr>
          <w:p w14:paraId="61C8AEB9" w14:textId="77777777" w:rsidR="004A71EF" w:rsidRPr="00446C2A" w:rsidRDefault="004A71EF">
            <w:pPr>
              <w:rPr>
                <w:sz w:val="16"/>
                <w:szCs w:val="16"/>
              </w:rPr>
            </w:pPr>
            <w:r w:rsidRPr="00446C2A">
              <w:rPr>
                <w:sz w:val="16"/>
                <w:szCs w:val="16"/>
              </w:rPr>
              <w:t> </w:t>
            </w:r>
          </w:p>
        </w:tc>
        <w:tc>
          <w:tcPr>
            <w:tcW w:w="3295" w:type="pct"/>
            <w:shd w:val="clear" w:color="auto" w:fill="auto"/>
            <w:noWrap/>
            <w:vAlign w:val="center"/>
            <w:hideMark/>
          </w:tcPr>
          <w:p w14:paraId="6AE3D927" w14:textId="2047BDA0" w:rsidR="004A71EF" w:rsidRPr="00446C2A" w:rsidRDefault="004A71EF" w:rsidP="00513178">
            <w:pPr>
              <w:ind w:firstLineChars="356" w:firstLine="570"/>
              <w:rPr>
                <w:sz w:val="16"/>
                <w:szCs w:val="16"/>
              </w:rPr>
            </w:pPr>
            <w:r w:rsidRPr="00446C2A">
              <w:rPr>
                <w:sz w:val="16"/>
                <w:szCs w:val="16"/>
              </w:rPr>
              <w:t>Капиталови разходи</w:t>
            </w:r>
          </w:p>
        </w:tc>
        <w:tc>
          <w:tcPr>
            <w:tcW w:w="466" w:type="pct"/>
            <w:shd w:val="clear" w:color="auto" w:fill="auto"/>
            <w:noWrap/>
            <w:vAlign w:val="center"/>
            <w:hideMark/>
          </w:tcPr>
          <w:p w14:paraId="420EA73A" w14:textId="77777777" w:rsidR="004A71EF" w:rsidRPr="00446C2A" w:rsidRDefault="004A71EF">
            <w:pPr>
              <w:jc w:val="right"/>
              <w:rPr>
                <w:sz w:val="16"/>
                <w:szCs w:val="16"/>
              </w:rPr>
            </w:pPr>
            <w:r w:rsidRPr="00446C2A">
              <w:rPr>
                <w:sz w:val="16"/>
                <w:szCs w:val="16"/>
              </w:rPr>
              <w:t> </w:t>
            </w:r>
          </w:p>
        </w:tc>
        <w:tc>
          <w:tcPr>
            <w:tcW w:w="466" w:type="pct"/>
            <w:shd w:val="clear" w:color="auto" w:fill="auto"/>
            <w:noWrap/>
            <w:vAlign w:val="center"/>
            <w:hideMark/>
          </w:tcPr>
          <w:p w14:paraId="473231DD" w14:textId="77777777" w:rsidR="004A71EF" w:rsidRPr="00446C2A" w:rsidRDefault="004A71EF">
            <w:pPr>
              <w:jc w:val="right"/>
              <w:rPr>
                <w:sz w:val="16"/>
                <w:szCs w:val="16"/>
              </w:rPr>
            </w:pPr>
            <w:r w:rsidRPr="00446C2A">
              <w:rPr>
                <w:sz w:val="16"/>
                <w:szCs w:val="16"/>
              </w:rPr>
              <w:t> </w:t>
            </w:r>
          </w:p>
        </w:tc>
        <w:tc>
          <w:tcPr>
            <w:tcW w:w="543" w:type="pct"/>
            <w:shd w:val="clear" w:color="auto" w:fill="auto"/>
            <w:noWrap/>
            <w:vAlign w:val="center"/>
            <w:hideMark/>
          </w:tcPr>
          <w:p w14:paraId="6BAFC44C" w14:textId="77777777" w:rsidR="004A71EF" w:rsidRPr="00446C2A" w:rsidRDefault="004A71EF">
            <w:pPr>
              <w:jc w:val="right"/>
              <w:rPr>
                <w:sz w:val="16"/>
                <w:szCs w:val="16"/>
              </w:rPr>
            </w:pPr>
            <w:r w:rsidRPr="00446C2A">
              <w:rPr>
                <w:sz w:val="16"/>
                <w:szCs w:val="16"/>
              </w:rPr>
              <w:t>135 892</w:t>
            </w:r>
          </w:p>
        </w:tc>
      </w:tr>
      <w:tr w:rsidR="00446C2A" w:rsidRPr="00446C2A" w14:paraId="2BEA0DC9" w14:textId="77777777" w:rsidTr="00784AFD">
        <w:trPr>
          <w:trHeight w:val="212"/>
          <w:jc w:val="center"/>
        </w:trPr>
        <w:tc>
          <w:tcPr>
            <w:tcW w:w="231" w:type="pct"/>
            <w:shd w:val="clear" w:color="auto" w:fill="auto"/>
            <w:noWrap/>
            <w:vAlign w:val="center"/>
            <w:hideMark/>
          </w:tcPr>
          <w:p w14:paraId="1D386647" w14:textId="77777777" w:rsidR="004A71EF" w:rsidRPr="00446C2A" w:rsidRDefault="004A71EF">
            <w:pPr>
              <w:rPr>
                <w:sz w:val="16"/>
                <w:szCs w:val="16"/>
              </w:rPr>
            </w:pPr>
            <w:r w:rsidRPr="00446C2A">
              <w:rPr>
                <w:sz w:val="16"/>
                <w:szCs w:val="16"/>
              </w:rPr>
              <w:t> </w:t>
            </w:r>
          </w:p>
        </w:tc>
        <w:tc>
          <w:tcPr>
            <w:tcW w:w="3295" w:type="pct"/>
            <w:shd w:val="clear" w:color="auto" w:fill="auto"/>
            <w:noWrap/>
            <w:vAlign w:val="center"/>
            <w:hideMark/>
          </w:tcPr>
          <w:p w14:paraId="17B882DE" w14:textId="77777777" w:rsidR="004A71EF" w:rsidRPr="00446C2A" w:rsidRDefault="004A71EF">
            <w:pPr>
              <w:ind w:firstLineChars="200" w:firstLine="320"/>
              <w:rPr>
                <w:sz w:val="16"/>
                <w:szCs w:val="16"/>
              </w:rPr>
            </w:pPr>
            <w:r w:rsidRPr="00446C2A">
              <w:rPr>
                <w:sz w:val="16"/>
                <w:szCs w:val="16"/>
              </w:rPr>
              <w:t xml:space="preserve">От тях за: * </w:t>
            </w:r>
          </w:p>
        </w:tc>
        <w:tc>
          <w:tcPr>
            <w:tcW w:w="466" w:type="pct"/>
            <w:shd w:val="clear" w:color="auto" w:fill="auto"/>
            <w:noWrap/>
            <w:vAlign w:val="center"/>
            <w:hideMark/>
          </w:tcPr>
          <w:p w14:paraId="1C8146A8" w14:textId="77777777" w:rsidR="004A71EF" w:rsidRPr="00446C2A" w:rsidRDefault="004A71EF">
            <w:pPr>
              <w:jc w:val="right"/>
              <w:rPr>
                <w:sz w:val="16"/>
                <w:szCs w:val="16"/>
              </w:rPr>
            </w:pPr>
            <w:r w:rsidRPr="00446C2A">
              <w:rPr>
                <w:sz w:val="16"/>
                <w:szCs w:val="16"/>
              </w:rPr>
              <w:t> </w:t>
            </w:r>
          </w:p>
        </w:tc>
        <w:tc>
          <w:tcPr>
            <w:tcW w:w="466" w:type="pct"/>
            <w:shd w:val="clear" w:color="auto" w:fill="auto"/>
            <w:noWrap/>
            <w:vAlign w:val="center"/>
            <w:hideMark/>
          </w:tcPr>
          <w:p w14:paraId="268063DD" w14:textId="77777777" w:rsidR="004A71EF" w:rsidRPr="00446C2A" w:rsidRDefault="004A71EF">
            <w:pPr>
              <w:jc w:val="right"/>
              <w:rPr>
                <w:sz w:val="16"/>
                <w:szCs w:val="16"/>
              </w:rPr>
            </w:pPr>
            <w:r w:rsidRPr="00446C2A">
              <w:rPr>
                <w:sz w:val="16"/>
                <w:szCs w:val="16"/>
              </w:rPr>
              <w:t> </w:t>
            </w:r>
          </w:p>
        </w:tc>
        <w:tc>
          <w:tcPr>
            <w:tcW w:w="543" w:type="pct"/>
            <w:shd w:val="clear" w:color="auto" w:fill="auto"/>
            <w:noWrap/>
            <w:vAlign w:val="center"/>
            <w:hideMark/>
          </w:tcPr>
          <w:p w14:paraId="2683DE0B" w14:textId="77777777" w:rsidR="004A71EF" w:rsidRPr="00446C2A" w:rsidRDefault="004A71EF">
            <w:pPr>
              <w:jc w:val="right"/>
              <w:rPr>
                <w:sz w:val="16"/>
                <w:szCs w:val="16"/>
              </w:rPr>
            </w:pPr>
            <w:r w:rsidRPr="00446C2A">
              <w:rPr>
                <w:sz w:val="16"/>
                <w:szCs w:val="16"/>
              </w:rPr>
              <w:t> </w:t>
            </w:r>
          </w:p>
        </w:tc>
      </w:tr>
      <w:tr w:rsidR="00446C2A" w:rsidRPr="00446C2A" w14:paraId="0F97A891" w14:textId="77777777" w:rsidTr="00784AFD">
        <w:trPr>
          <w:trHeight w:val="130"/>
          <w:jc w:val="center"/>
        </w:trPr>
        <w:tc>
          <w:tcPr>
            <w:tcW w:w="231" w:type="pct"/>
            <w:shd w:val="clear" w:color="auto" w:fill="auto"/>
            <w:noWrap/>
            <w:vAlign w:val="center"/>
            <w:hideMark/>
          </w:tcPr>
          <w:p w14:paraId="4D1F9DED" w14:textId="77777777" w:rsidR="004A71EF" w:rsidRPr="00446C2A" w:rsidRDefault="004A71EF">
            <w:pPr>
              <w:rPr>
                <w:sz w:val="16"/>
                <w:szCs w:val="16"/>
              </w:rPr>
            </w:pPr>
            <w:r w:rsidRPr="00446C2A">
              <w:rPr>
                <w:sz w:val="16"/>
                <w:szCs w:val="16"/>
              </w:rPr>
              <w:t> 2.1</w:t>
            </w:r>
          </w:p>
        </w:tc>
        <w:tc>
          <w:tcPr>
            <w:tcW w:w="3295" w:type="pct"/>
            <w:shd w:val="clear" w:color="auto" w:fill="auto"/>
            <w:vAlign w:val="center"/>
            <w:hideMark/>
          </w:tcPr>
          <w:p w14:paraId="50FA78FE" w14:textId="04C5FBA0" w:rsidR="004A71EF" w:rsidRPr="00446C2A" w:rsidRDefault="004A71EF">
            <w:pPr>
              <w:ind w:firstLineChars="200" w:firstLine="320"/>
              <w:rPr>
                <w:sz w:val="16"/>
                <w:szCs w:val="16"/>
              </w:rPr>
            </w:pPr>
            <w:r w:rsidRPr="00446C2A">
              <w:rPr>
                <w:sz w:val="16"/>
                <w:szCs w:val="16"/>
              </w:rPr>
              <w:t xml:space="preserve">ЕФРР </w:t>
            </w:r>
            <w:r w:rsidR="000365D8">
              <w:rPr>
                <w:sz w:val="16"/>
                <w:szCs w:val="16"/>
              </w:rPr>
              <w:t>–</w:t>
            </w:r>
            <w:r w:rsidRPr="00446C2A">
              <w:rPr>
                <w:sz w:val="16"/>
                <w:szCs w:val="16"/>
              </w:rPr>
              <w:t xml:space="preserve"> ОП "Техническа помощ"</w:t>
            </w:r>
          </w:p>
        </w:tc>
        <w:tc>
          <w:tcPr>
            <w:tcW w:w="466" w:type="pct"/>
            <w:shd w:val="clear" w:color="auto" w:fill="auto"/>
            <w:noWrap/>
            <w:vAlign w:val="center"/>
            <w:hideMark/>
          </w:tcPr>
          <w:p w14:paraId="340097B1" w14:textId="77777777" w:rsidR="004A71EF" w:rsidRPr="00446C2A" w:rsidRDefault="004A71EF">
            <w:pPr>
              <w:jc w:val="right"/>
              <w:rPr>
                <w:sz w:val="16"/>
                <w:szCs w:val="16"/>
              </w:rPr>
            </w:pPr>
            <w:r w:rsidRPr="00446C2A">
              <w:rPr>
                <w:sz w:val="16"/>
                <w:szCs w:val="16"/>
              </w:rPr>
              <w:t> </w:t>
            </w:r>
          </w:p>
        </w:tc>
        <w:tc>
          <w:tcPr>
            <w:tcW w:w="466" w:type="pct"/>
            <w:shd w:val="clear" w:color="auto" w:fill="auto"/>
            <w:noWrap/>
            <w:vAlign w:val="center"/>
            <w:hideMark/>
          </w:tcPr>
          <w:p w14:paraId="15C83EF7" w14:textId="77777777" w:rsidR="004A71EF" w:rsidRPr="00446C2A" w:rsidRDefault="004A71EF">
            <w:pPr>
              <w:jc w:val="right"/>
              <w:rPr>
                <w:sz w:val="16"/>
                <w:szCs w:val="16"/>
              </w:rPr>
            </w:pPr>
            <w:r w:rsidRPr="00446C2A">
              <w:rPr>
                <w:sz w:val="16"/>
                <w:szCs w:val="16"/>
              </w:rPr>
              <w:t> </w:t>
            </w:r>
          </w:p>
        </w:tc>
        <w:tc>
          <w:tcPr>
            <w:tcW w:w="543" w:type="pct"/>
            <w:shd w:val="clear" w:color="auto" w:fill="auto"/>
            <w:noWrap/>
            <w:vAlign w:val="center"/>
            <w:hideMark/>
          </w:tcPr>
          <w:p w14:paraId="3E243F28" w14:textId="77777777" w:rsidR="004A71EF" w:rsidRPr="00446C2A" w:rsidRDefault="004A71EF">
            <w:pPr>
              <w:jc w:val="right"/>
              <w:rPr>
                <w:sz w:val="16"/>
                <w:szCs w:val="16"/>
              </w:rPr>
            </w:pPr>
            <w:r w:rsidRPr="00446C2A">
              <w:rPr>
                <w:sz w:val="16"/>
                <w:szCs w:val="16"/>
              </w:rPr>
              <w:t>64 870</w:t>
            </w:r>
          </w:p>
        </w:tc>
      </w:tr>
      <w:tr w:rsidR="00446C2A" w:rsidRPr="00446C2A" w14:paraId="58E41DD4" w14:textId="77777777" w:rsidTr="00784AFD">
        <w:trPr>
          <w:trHeight w:val="330"/>
          <w:jc w:val="center"/>
        </w:trPr>
        <w:tc>
          <w:tcPr>
            <w:tcW w:w="231" w:type="pct"/>
            <w:shd w:val="clear" w:color="auto" w:fill="auto"/>
            <w:noWrap/>
            <w:vAlign w:val="center"/>
            <w:hideMark/>
          </w:tcPr>
          <w:p w14:paraId="482A7DA5" w14:textId="77777777" w:rsidR="004A71EF" w:rsidRPr="00446C2A" w:rsidRDefault="004A71EF">
            <w:pPr>
              <w:rPr>
                <w:sz w:val="16"/>
                <w:szCs w:val="16"/>
              </w:rPr>
            </w:pPr>
            <w:r w:rsidRPr="00446C2A">
              <w:rPr>
                <w:sz w:val="16"/>
                <w:szCs w:val="16"/>
              </w:rPr>
              <w:t> 2.2</w:t>
            </w:r>
          </w:p>
        </w:tc>
        <w:tc>
          <w:tcPr>
            <w:tcW w:w="3295" w:type="pct"/>
            <w:shd w:val="clear" w:color="auto" w:fill="auto"/>
            <w:vAlign w:val="center"/>
            <w:hideMark/>
          </w:tcPr>
          <w:p w14:paraId="2122FAE9" w14:textId="7EBD3351" w:rsidR="004A71EF" w:rsidRPr="00446C2A" w:rsidRDefault="004A71EF" w:rsidP="00E5373E">
            <w:pPr>
              <w:ind w:left="288"/>
              <w:rPr>
                <w:sz w:val="16"/>
                <w:szCs w:val="16"/>
              </w:rPr>
            </w:pPr>
            <w:r w:rsidRPr="00446C2A">
              <w:rPr>
                <w:sz w:val="16"/>
                <w:szCs w:val="16"/>
              </w:rPr>
              <w:t xml:space="preserve">ЕФРР </w:t>
            </w:r>
            <w:r w:rsidR="000365D8">
              <w:rPr>
                <w:sz w:val="16"/>
                <w:szCs w:val="16"/>
              </w:rPr>
              <w:t>–</w:t>
            </w:r>
            <w:r w:rsidRPr="00446C2A">
              <w:rPr>
                <w:sz w:val="16"/>
                <w:szCs w:val="16"/>
              </w:rPr>
              <w:t xml:space="preserve"> Програма за научни изследвания, иновации и дигитализация за интелигентна трансформация</w:t>
            </w:r>
          </w:p>
        </w:tc>
        <w:tc>
          <w:tcPr>
            <w:tcW w:w="466" w:type="pct"/>
            <w:shd w:val="clear" w:color="auto" w:fill="auto"/>
            <w:noWrap/>
            <w:vAlign w:val="center"/>
            <w:hideMark/>
          </w:tcPr>
          <w:p w14:paraId="5600798F" w14:textId="77777777" w:rsidR="004A71EF" w:rsidRPr="00446C2A" w:rsidRDefault="004A71EF">
            <w:pPr>
              <w:jc w:val="right"/>
              <w:rPr>
                <w:sz w:val="16"/>
                <w:szCs w:val="16"/>
              </w:rPr>
            </w:pPr>
            <w:r w:rsidRPr="00446C2A">
              <w:rPr>
                <w:sz w:val="16"/>
                <w:szCs w:val="16"/>
              </w:rPr>
              <w:t> </w:t>
            </w:r>
          </w:p>
        </w:tc>
        <w:tc>
          <w:tcPr>
            <w:tcW w:w="466" w:type="pct"/>
            <w:shd w:val="clear" w:color="auto" w:fill="auto"/>
            <w:noWrap/>
            <w:vAlign w:val="center"/>
            <w:hideMark/>
          </w:tcPr>
          <w:p w14:paraId="6B4456A3" w14:textId="77777777" w:rsidR="004A71EF" w:rsidRPr="00446C2A" w:rsidRDefault="004A71EF">
            <w:pPr>
              <w:jc w:val="right"/>
              <w:rPr>
                <w:sz w:val="16"/>
                <w:szCs w:val="16"/>
              </w:rPr>
            </w:pPr>
            <w:r w:rsidRPr="00446C2A">
              <w:rPr>
                <w:sz w:val="16"/>
                <w:szCs w:val="16"/>
              </w:rPr>
              <w:t> </w:t>
            </w:r>
          </w:p>
        </w:tc>
        <w:tc>
          <w:tcPr>
            <w:tcW w:w="543" w:type="pct"/>
            <w:shd w:val="clear" w:color="auto" w:fill="auto"/>
            <w:noWrap/>
            <w:vAlign w:val="center"/>
            <w:hideMark/>
          </w:tcPr>
          <w:p w14:paraId="37BC9670" w14:textId="77777777" w:rsidR="004A71EF" w:rsidRPr="00446C2A" w:rsidRDefault="004A71EF">
            <w:pPr>
              <w:jc w:val="right"/>
              <w:rPr>
                <w:sz w:val="16"/>
                <w:szCs w:val="16"/>
              </w:rPr>
            </w:pPr>
            <w:r w:rsidRPr="00446C2A">
              <w:rPr>
                <w:sz w:val="16"/>
                <w:szCs w:val="16"/>
              </w:rPr>
              <w:t>13 113</w:t>
            </w:r>
          </w:p>
        </w:tc>
      </w:tr>
      <w:tr w:rsidR="00446C2A" w:rsidRPr="00446C2A" w14:paraId="5FC2BFBD" w14:textId="77777777" w:rsidTr="00784AFD">
        <w:trPr>
          <w:trHeight w:val="124"/>
          <w:jc w:val="center"/>
        </w:trPr>
        <w:tc>
          <w:tcPr>
            <w:tcW w:w="231" w:type="pct"/>
            <w:shd w:val="clear" w:color="auto" w:fill="auto"/>
            <w:noWrap/>
            <w:vAlign w:val="center"/>
            <w:hideMark/>
          </w:tcPr>
          <w:p w14:paraId="4259315F" w14:textId="77777777" w:rsidR="004A71EF" w:rsidRPr="00446C2A" w:rsidRDefault="004A71EF">
            <w:pPr>
              <w:rPr>
                <w:sz w:val="16"/>
                <w:szCs w:val="16"/>
              </w:rPr>
            </w:pPr>
            <w:r w:rsidRPr="00446C2A">
              <w:rPr>
                <w:sz w:val="16"/>
                <w:szCs w:val="16"/>
              </w:rPr>
              <w:t> 2.3</w:t>
            </w:r>
          </w:p>
        </w:tc>
        <w:tc>
          <w:tcPr>
            <w:tcW w:w="3295" w:type="pct"/>
            <w:shd w:val="clear" w:color="auto" w:fill="auto"/>
            <w:noWrap/>
            <w:vAlign w:val="center"/>
            <w:hideMark/>
          </w:tcPr>
          <w:p w14:paraId="72C7DDCE" w14:textId="77777777" w:rsidR="004A71EF" w:rsidRPr="00446C2A" w:rsidRDefault="004A71EF">
            <w:pPr>
              <w:ind w:firstLineChars="200" w:firstLine="320"/>
              <w:rPr>
                <w:sz w:val="16"/>
                <w:szCs w:val="16"/>
              </w:rPr>
            </w:pPr>
            <w:r w:rsidRPr="00446C2A">
              <w:rPr>
                <w:sz w:val="16"/>
                <w:szCs w:val="16"/>
              </w:rPr>
              <w:t>Разходи по Плана за възстановяване и устойчивост на РБ</w:t>
            </w:r>
          </w:p>
        </w:tc>
        <w:tc>
          <w:tcPr>
            <w:tcW w:w="466" w:type="pct"/>
            <w:shd w:val="clear" w:color="auto" w:fill="auto"/>
            <w:noWrap/>
            <w:vAlign w:val="center"/>
            <w:hideMark/>
          </w:tcPr>
          <w:p w14:paraId="78950EEF" w14:textId="77777777" w:rsidR="004A71EF" w:rsidRPr="00446C2A" w:rsidRDefault="004A71EF">
            <w:pPr>
              <w:jc w:val="right"/>
              <w:rPr>
                <w:sz w:val="16"/>
                <w:szCs w:val="16"/>
              </w:rPr>
            </w:pPr>
            <w:r w:rsidRPr="00446C2A">
              <w:rPr>
                <w:sz w:val="16"/>
                <w:szCs w:val="16"/>
              </w:rPr>
              <w:t> </w:t>
            </w:r>
          </w:p>
        </w:tc>
        <w:tc>
          <w:tcPr>
            <w:tcW w:w="466" w:type="pct"/>
            <w:shd w:val="clear" w:color="auto" w:fill="auto"/>
            <w:noWrap/>
            <w:vAlign w:val="center"/>
            <w:hideMark/>
          </w:tcPr>
          <w:p w14:paraId="096AE4A2" w14:textId="77777777" w:rsidR="004A71EF" w:rsidRPr="00446C2A" w:rsidRDefault="004A71EF">
            <w:pPr>
              <w:jc w:val="right"/>
              <w:rPr>
                <w:sz w:val="16"/>
                <w:szCs w:val="16"/>
              </w:rPr>
            </w:pPr>
            <w:r w:rsidRPr="00446C2A">
              <w:rPr>
                <w:sz w:val="16"/>
                <w:szCs w:val="16"/>
              </w:rPr>
              <w:t> </w:t>
            </w:r>
          </w:p>
        </w:tc>
        <w:tc>
          <w:tcPr>
            <w:tcW w:w="543" w:type="pct"/>
            <w:shd w:val="clear" w:color="auto" w:fill="auto"/>
            <w:noWrap/>
            <w:vAlign w:val="center"/>
            <w:hideMark/>
          </w:tcPr>
          <w:p w14:paraId="64D1CD6D" w14:textId="77777777" w:rsidR="004A71EF" w:rsidRPr="00446C2A" w:rsidRDefault="004A71EF">
            <w:pPr>
              <w:jc w:val="right"/>
              <w:rPr>
                <w:sz w:val="16"/>
                <w:szCs w:val="16"/>
              </w:rPr>
            </w:pPr>
            <w:r w:rsidRPr="00446C2A">
              <w:rPr>
                <w:sz w:val="16"/>
                <w:szCs w:val="16"/>
              </w:rPr>
              <w:t>118 884</w:t>
            </w:r>
          </w:p>
        </w:tc>
      </w:tr>
      <w:tr w:rsidR="00446C2A" w:rsidRPr="00446C2A" w14:paraId="7715EB4B" w14:textId="77777777" w:rsidTr="00784AFD">
        <w:trPr>
          <w:trHeight w:val="70"/>
          <w:jc w:val="center"/>
        </w:trPr>
        <w:tc>
          <w:tcPr>
            <w:tcW w:w="231" w:type="pct"/>
            <w:shd w:val="clear" w:color="auto" w:fill="auto"/>
            <w:noWrap/>
            <w:vAlign w:val="center"/>
            <w:hideMark/>
          </w:tcPr>
          <w:p w14:paraId="4D429A23" w14:textId="77777777" w:rsidR="004A71EF" w:rsidRPr="00446C2A" w:rsidRDefault="004A71EF">
            <w:pPr>
              <w:rPr>
                <w:sz w:val="16"/>
                <w:szCs w:val="16"/>
              </w:rPr>
            </w:pPr>
            <w:r w:rsidRPr="00446C2A">
              <w:rPr>
                <w:sz w:val="16"/>
                <w:szCs w:val="16"/>
              </w:rPr>
              <w:t> </w:t>
            </w:r>
          </w:p>
        </w:tc>
        <w:tc>
          <w:tcPr>
            <w:tcW w:w="3295" w:type="pct"/>
            <w:shd w:val="clear" w:color="auto" w:fill="auto"/>
            <w:noWrap/>
            <w:vAlign w:val="center"/>
            <w:hideMark/>
          </w:tcPr>
          <w:p w14:paraId="0F2020D0" w14:textId="77777777" w:rsidR="004A71EF" w:rsidRPr="00446C2A" w:rsidRDefault="004A71EF">
            <w:pPr>
              <w:ind w:firstLineChars="500" w:firstLine="800"/>
              <w:rPr>
                <w:sz w:val="16"/>
                <w:szCs w:val="16"/>
              </w:rPr>
            </w:pPr>
            <w:r w:rsidRPr="00446C2A">
              <w:rPr>
                <w:sz w:val="16"/>
                <w:szCs w:val="16"/>
              </w:rPr>
              <w:t> </w:t>
            </w:r>
          </w:p>
        </w:tc>
        <w:tc>
          <w:tcPr>
            <w:tcW w:w="466" w:type="pct"/>
            <w:shd w:val="clear" w:color="auto" w:fill="auto"/>
            <w:noWrap/>
            <w:vAlign w:val="center"/>
            <w:hideMark/>
          </w:tcPr>
          <w:p w14:paraId="5E9774D9" w14:textId="77777777" w:rsidR="004A71EF" w:rsidRPr="00446C2A" w:rsidRDefault="004A71EF">
            <w:pPr>
              <w:jc w:val="right"/>
              <w:rPr>
                <w:sz w:val="16"/>
                <w:szCs w:val="16"/>
              </w:rPr>
            </w:pPr>
            <w:r w:rsidRPr="00446C2A">
              <w:rPr>
                <w:sz w:val="16"/>
                <w:szCs w:val="16"/>
              </w:rPr>
              <w:t> </w:t>
            </w:r>
          </w:p>
        </w:tc>
        <w:tc>
          <w:tcPr>
            <w:tcW w:w="466" w:type="pct"/>
            <w:shd w:val="clear" w:color="auto" w:fill="auto"/>
            <w:noWrap/>
            <w:vAlign w:val="center"/>
            <w:hideMark/>
          </w:tcPr>
          <w:p w14:paraId="736A85E4" w14:textId="77777777" w:rsidR="004A71EF" w:rsidRPr="00446C2A" w:rsidRDefault="004A71EF">
            <w:pPr>
              <w:jc w:val="right"/>
              <w:rPr>
                <w:sz w:val="16"/>
                <w:szCs w:val="16"/>
              </w:rPr>
            </w:pPr>
            <w:r w:rsidRPr="00446C2A">
              <w:rPr>
                <w:sz w:val="16"/>
                <w:szCs w:val="16"/>
              </w:rPr>
              <w:t> </w:t>
            </w:r>
          </w:p>
        </w:tc>
        <w:tc>
          <w:tcPr>
            <w:tcW w:w="543" w:type="pct"/>
            <w:shd w:val="clear" w:color="auto" w:fill="auto"/>
            <w:noWrap/>
            <w:vAlign w:val="center"/>
            <w:hideMark/>
          </w:tcPr>
          <w:p w14:paraId="589F6C98" w14:textId="77777777" w:rsidR="004A71EF" w:rsidRPr="00446C2A" w:rsidRDefault="004A71EF">
            <w:pPr>
              <w:jc w:val="right"/>
              <w:rPr>
                <w:sz w:val="16"/>
                <w:szCs w:val="16"/>
              </w:rPr>
            </w:pPr>
            <w:r w:rsidRPr="00446C2A">
              <w:rPr>
                <w:sz w:val="16"/>
                <w:szCs w:val="16"/>
              </w:rPr>
              <w:t> </w:t>
            </w:r>
          </w:p>
        </w:tc>
      </w:tr>
      <w:tr w:rsidR="00446C2A" w:rsidRPr="00446C2A" w14:paraId="36C36C0F" w14:textId="77777777" w:rsidTr="00784AFD">
        <w:trPr>
          <w:trHeight w:val="158"/>
          <w:jc w:val="center"/>
        </w:trPr>
        <w:tc>
          <w:tcPr>
            <w:tcW w:w="231" w:type="pct"/>
            <w:shd w:val="clear" w:color="auto" w:fill="auto"/>
            <w:noWrap/>
            <w:vAlign w:val="center"/>
            <w:hideMark/>
          </w:tcPr>
          <w:p w14:paraId="1EF0818D" w14:textId="77777777" w:rsidR="004A71EF" w:rsidRPr="00446C2A" w:rsidRDefault="004A71EF">
            <w:pPr>
              <w:rPr>
                <w:sz w:val="16"/>
                <w:szCs w:val="16"/>
              </w:rPr>
            </w:pPr>
            <w:r w:rsidRPr="00446C2A">
              <w:rPr>
                <w:sz w:val="16"/>
                <w:szCs w:val="16"/>
              </w:rPr>
              <w:t> </w:t>
            </w:r>
          </w:p>
        </w:tc>
        <w:tc>
          <w:tcPr>
            <w:tcW w:w="3295" w:type="pct"/>
            <w:shd w:val="clear" w:color="auto" w:fill="auto"/>
            <w:noWrap/>
            <w:vAlign w:val="center"/>
            <w:hideMark/>
          </w:tcPr>
          <w:p w14:paraId="0BA6C7E1" w14:textId="77777777" w:rsidR="004A71EF" w:rsidRPr="00446C2A" w:rsidRDefault="004A71EF">
            <w:pPr>
              <w:rPr>
                <w:i/>
                <w:iCs/>
                <w:sz w:val="16"/>
                <w:szCs w:val="16"/>
              </w:rPr>
            </w:pPr>
            <w:r w:rsidRPr="00446C2A">
              <w:rPr>
                <w:i/>
                <w:iCs/>
                <w:sz w:val="16"/>
                <w:szCs w:val="16"/>
              </w:rPr>
              <w:t xml:space="preserve">Администрирани разходни показатели </w:t>
            </w:r>
            <w:r w:rsidRPr="00446C2A">
              <w:rPr>
                <w:sz w:val="16"/>
                <w:szCs w:val="16"/>
              </w:rPr>
              <w:t>**</w:t>
            </w:r>
          </w:p>
        </w:tc>
        <w:tc>
          <w:tcPr>
            <w:tcW w:w="466" w:type="pct"/>
            <w:shd w:val="clear" w:color="auto" w:fill="auto"/>
            <w:noWrap/>
            <w:vAlign w:val="center"/>
            <w:hideMark/>
          </w:tcPr>
          <w:p w14:paraId="184ECB6C" w14:textId="77777777" w:rsidR="004A71EF" w:rsidRPr="00446C2A" w:rsidRDefault="004A71EF">
            <w:pPr>
              <w:jc w:val="right"/>
              <w:rPr>
                <w:sz w:val="16"/>
                <w:szCs w:val="16"/>
              </w:rPr>
            </w:pPr>
            <w:r w:rsidRPr="00446C2A">
              <w:rPr>
                <w:sz w:val="16"/>
                <w:szCs w:val="16"/>
              </w:rPr>
              <w:t> </w:t>
            </w:r>
          </w:p>
        </w:tc>
        <w:tc>
          <w:tcPr>
            <w:tcW w:w="466" w:type="pct"/>
            <w:shd w:val="clear" w:color="auto" w:fill="auto"/>
            <w:noWrap/>
            <w:vAlign w:val="center"/>
            <w:hideMark/>
          </w:tcPr>
          <w:p w14:paraId="21DEA90E" w14:textId="77777777" w:rsidR="004A71EF" w:rsidRPr="00446C2A" w:rsidRDefault="004A71EF">
            <w:pPr>
              <w:jc w:val="right"/>
              <w:rPr>
                <w:sz w:val="16"/>
                <w:szCs w:val="16"/>
              </w:rPr>
            </w:pPr>
            <w:r w:rsidRPr="00446C2A">
              <w:rPr>
                <w:sz w:val="16"/>
                <w:szCs w:val="16"/>
              </w:rPr>
              <w:t> </w:t>
            </w:r>
          </w:p>
        </w:tc>
        <w:tc>
          <w:tcPr>
            <w:tcW w:w="543" w:type="pct"/>
            <w:shd w:val="clear" w:color="auto" w:fill="auto"/>
            <w:noWrap/>
            <w:vAlign w:val="center"/>
            <w:hideMark/>
          </w:tcPr>
          <w:p w14:paraId="7608481D" w14:textId="77777777" w:rsidR="004A71EF" w:rsidRPr="00446C2A" w:rsidRDefault="004A71EF">
            <w:pPr>
              <w:jc w:val="right"/>
              <w:rPr>
                <w:sz w:val="16"/>
                <w:szCs w:val="16"/>
              </w:rPr>
            </w:pPr>
            <w:r w:rsidRPr="00446C2A">
              <w:rPr>
                <w:sz w:val="16"/>
                <w:szCs w:val="16"/>
              </w:rPr>
              <w:t> </w:t>
            </w:r>
          </w:p>
        </w:tc>
      </w:tr>
      <w:tr w:rsidR="00446C2A" w:rsidRPr="00446C2A" w14:paraId="22663E19" w14:textId="77777777" w:rsidTr="00784AFD">
        <w:trPr>
          <w:trHeight w:val="117"/>
          <w:jc w:val="center"/>
        </w:trPr>
        <w:tc>
          <w:tcPr>
            <w:tcW w:w="231" w:type="pct"/>
            <w:shd w:val="clear" w:color="000000" w:fill="E6E6E6"/>
            <w:noWrap/>
            <w:vAlign w:val="center"/>
            <w:hideMark/>
          </w:tcPr>
          <w:p w14:paraId="0215481B" w14:textId="77777777" w:rsidR="004A71EF" w:rsidRPr="00446C2A" w:rsidRDefault="004A71EF">
            <w:pPr>
              <w:rPr>
                <w:b/>
                <w:bCs/>
                <w:sz w:val="16"/>
                <w:szCs w:val="16"/>
              </w:rPr>
            </w:pPr>
            <w:r w:rsidRPr="00446C2A">
              <w:rPr>
                <w:b/>
                <w:bCs/>
                <w:sz w:val="16"/>
                <w:szCs w:val="16"/>
              </w:rPr>
              <w:t>ІІ.</w:t>
            </w:r>
          </w:p>
        </w:tc>
        <w:tc>
          <w:tcPr>
            <w:tcW w:w="3295" w:type="pct"/>
            <w:shd w:val="clear" w:color="000000" w:fill="E6E6E6"/>
            <w:noWrap/>
            <w:vAlign w:val="center"/>
            <w:hideMark/>
          </w:tcPr>
          <w:p w14:paraId="057BE052" w14:textId="77777777" w:rsidR="004A71EF" w:rsidRPr="00446C2A" w:rsidRDefault="004A71EF">
            <w:pPr>
              <w:rPr>
                <w:b/>
                <w:bCs/>
                <w:sz w:val="16"/>
                <w:szCs w:val="16"/>
              </w:rPr>
            </w:pPr>
            <w:r w:rsidRPr="00446C2A">
              <w:rPr>
                <w:b/>
                <w:bCs/>
                <w:sz w:val="16"/>
                <w:szCs w:val="16"/>
              </w:rPr>
              <w:t xml:space="preserve">Администрирани разходни параграфи по бюджета </w:t>
            </w:r>
          </w:p>
        </w:tc>
        <w:tc>
          <w:tcPr>
            <w:tcW w:w="466" w:type="pct"/>
            <w:shd w:val="clear" w:color="000000" w:fill="E6E6E6"/>
            <w:noWrap/>
            <w:vAlign w:val="center"/>
            <w:hideMark/>
          </w:tcPr>
          <w:p w14:paraId="7C595938" w14:textId="77777777" w:rsidR="004A71EF" w:rsidRPr="00446C2A" w:rsidRDefault="004A71EF">
            <w:pPr>
              <w:jc w:val="right"/>
              <w:rPr>
                <w:b/>
                <w:bCs/>
                <w:sz w:val="16"/>
                <w:szCs w:val="16"/>
              </w:rPr>
            </w:pPr>
            <w:r w:rsidRPr="00446C2A">
              <w:rPr>
                <w:b/>
                <w:bCs/>
                <w:sz w:val="16"/>
                <w:szCs w:val="16"/>
              </w:rPr>
              <w:t>22 034 900</w:t>
            </w:r>
          </w:p>
        </w:tc>
        <w:tc>
          <w:tcPr>
            <w:tcW w:w="466" w:type="pct"/>
            <w:shd w:val="clear" w:color="000000" w:fill="E6E6E6"/>
            <w:noWrap/>
            <w:vAlign w:val="center"/>
            <w:hideMark/>
          </w:tcPr>
          <w:p w14:paraId="0AC0A95B" w14:textId="77777777" w:rsidR="004A71EF" w:rsidRPr="00446C2A" w:rsidRDefault="004A71EF">
            <w:pPr>
              <w:jc w:val="right"/>
              <w:rPr>
                <w:b/>
                <w:bCs/>
                <w:sz w:val="16"/>
                <w:szCs w:val="16"/>
              </w:rPr>
            </w:pPr>
            <w:r w:rsidRPr="00446C2A">
              <w:rPr>
                <w:b/>
                <w:bCs/>
                <w:sz w:val="16"/>
                <w:szCs w:val="16"/>
              </w:rPr>
              <w:t>22 355 597</w:t>
            </w:r>
          </w:p>
        </w:tc>
        <w:tc>
          <w:tcPr>
            <w:tcW w:w="543" w:type="pct"/>
            <w:shd w:val="clear" w:color="000000" w:fill="E6E6E6"/>
            <w:noWrap/>
            <w:vAlign w:val="center"/>
            <w:hideMark/>
          </w:tcPr>
          <w:p w14:paraId="1C2DC188" w14:textId="77777777" w:rsidR="004A71EF" w:rsidRPr="00446C2A" w:rsidRDefault="004A71EF">
            <w:pPr>
              <w:jc w:val="right"/>
              <w:rPr>
                <w:b/>
                <w:bCs/>
                <w:sz w:val="16"/>
                <w:szCs w:val="16"/>
              </w:rPr>
            </w:pPr>
            <w:r w:rsidRPr="00446C2A">
              <w:rPr>
                <w:b/>
                <w:bCs/>
                <w:sz w:val="16"/>
                <w:szCs w:val="16"/>
              </w:rPr>
              <w:t>870 719</w:t>
            </w:r>
          </w:p>
        </w:tc>
      </w:tr>
      <w:tr w:rsidR="00446C2A" w:rsidRPr="00446C2A" w14:paraId="70F5E07D" w14:textId="77777777" w:rsidTr="00784AFD">
        <w:trPr>
          <w:trHeight w:val="192"/>
          <w:jc w:val="center"/>
        </w:trPr>
        <w:tc>
          <w:tcPr>
            <w:tcW w:w="231" w:type="pct"/>
            <w:shd w:val="clear" w:color="auto" w:fill="auto"/>
            <w:noWrap/>
            <w:vAlign w:val="center"/>
            <w:hideMark/>
          </w:tcPr>
          <w:p w14:paraId="476907B1" w14:textId="77777777" w:rsidR="004A71EF" w:rsidRPr="00446C2A" w:rsidRDefault="004A71EF">
            <w:pPr>
              <w:rPr>
                <w:sz w:val="16"/>
                <w:szCs w:val="16"/>
              </w:rPr>
            </w:pPr>
            <w:r w:rsidRPr="00446C2A">
              <w:rPr>
                <w:sz w:val="16"/>
                <w:szCs w:val="16"/>
              </w:rPr>
              <w:t>1</w:t>
            </w:r>
          </w:p>
        </w:tc>
        <w:tc>
          <w:tcPr>
            <w:tcW w:w="3295" w:type="pct"/>
            <w:shd w:val="clear" w:color="auto" w:fill="auto"/>
            <w:vAlign w:val="center"/>
            <w:hideMark/>
          </w:tcPr>
          <w:p w14:paraId="2358FD80" w14:textId="77777777" w:rsidR="004A71EF" w:rsidRPr="00446C2A" w:rsidRDefault="004A71EF">
            <w:pPr>
              <w:rPr>
                <w:sz w:val="16"/>
                <w:szCs w:val="16"/>
              </w:rPr>
            </w:pPr>
            <w:r w:rsidRPr="00446C2A">
              <w:rPr>
                <w:sz w:val="16"/>
                <w:szCs w:val="16"/>
              </w:rPr>
              <w:t>Изграждане на ГКПП</w:t>
            </w:r>
          </w:p>
        </w:tc>
        <w:tc>
          <w:tcPr>
            <w:tcW w:w="466" w:type="pct"/>
            <w:shd w:val="clear" w:color="auto" w:fill="auto"/>
            <w:noWrap/>
            <w:vAlign w:val="center"/>
            <w:hideMark/>
          </w:tcPr>
          <w:p w14:paraId="2801D611" w14:textId="77777777" w:rsidR="004A71EF" w:rsidRPr="00446C2A" w:rsidRDefault="004A71EF">
            <w:pPr>
              <w:jc w:val="right"/>
              <w:rPr>
                <w:sz w:val="16"/>
                <w:szCs w:val="16"/>
              </w:rPr>
            </w:pPr>
            <w:r w:rsidRPr="00446C2A">
              <w:rPr>
                <w:sz w:val="16"/>
                <w:szCs w:val="16"/>
              </w:rPr>
              <w:t>132 000</w:t>
            </w:r>
          </w:p>
        </w:tc>
        <w:tc>
          <w:tcPr>
            <w:tcW w:w="466" w:type="pct"/>
            <w:shd w:val="clear" w:color="auto" w:fill="auto"/>
            <w:noWrap/>
            <w:vAlign w:val="center"/>
            <w:hideMark/>
          </w:tcPr>
          <w:p w14:paraId="697E175A" w14:textId="77777777" w:rsidR="004A71EF" w:rsidRPr="00446C2A" w:rsidRDefault="004A71EF">
            <w:pPr>
              <w:jc w:val="right"/>
              <w:rPr>
                <w:sz w:val="16"/>
                <w:szCs w:val="16"/>
              </w:rPr>
            </w:pPr>
            <w:r w:rsidRPr="00446C2A">
              <w:rPr>
                <w:sz w:val="16"/>
                <w:szCs w:val="16"/>
              </w:rPr>
              <w:t>132 000</w:t>
            </w:r>
          </w:p>
        </w:tc>
        <w:tc>
          <w:tcPr>
            <w:tcW w:w="543" w:type="pct"/>
            <w:shd w:val="clear" w:color="auto" w:fill="auto"/>
            <w:noWrap/>
            <w:vAlign w:val="center"/>
            <w:hideMark/>
          </w:tcPr>
          <w:p w14:paraId="2552B4FC" w14:textId="77777777" w:rsidR="004A71EF" w:rsidRPr="00446C2A" w:rsidRDefault="004A71EF">
            <w:pPr>
              <w:jc w:val="right"/>
              <w:rPr>
                <w:sz w:val="16"/>
                <w:szCs w:val="16"/>
              </w:rPr>
            </w:pPr>
            <w:r w:rsidRPr="00446C2A">
              <w:rPr>
                <w:sz w:val="16"/>
                <w:szCs w:val="16"/>
              </w:rPr>
              <w:t> </w:t>
            </w:r>
          </w:p>
        </w:tc>
      </w:tr>
      <w:tr w:rsidR="00446C2A" w:rsidRPr="00446C2A" w14:paraId="2AE666C6" w14:textId="77777777" w:rsidTr="00784AFD">
        <w:trPr>
          <w:trHeight w:val="421"/>
          <w:jc w:val="center"/>
        </w:trPr>
        <w:tc>
          <w:tcPr>
            <w:tcW w:w="231" w:type="pct"/>
            <w:shd w:val="clear" w:color="auto" w:fill="auto"/>
            <w:noWrap/>
            <w:vAlign w:val="center"/>
            <w:hideMark/>
          </w:tcPr>
          <w:p w14:paraId="23B21D6A" w14:textId="77777777" w:rsidR="004A71EF" w:rsidRPr="00446C2A" w:rsidRDefault="004A71EF">
            <w:pPr>
              <w:rPr>
                <w:sz w:val="16"/>
                <w:szCs w:val="16"/>
              </w:rPr>
            </w:pPr>
            <w:r w:rsidRPr="00446C2A">
              <w:rPr>
                <w:sz w:val="16"/>
                <w:szCs w:val="16"/>
              </w:rPr>
              <w:t>2</w:t>
            </w:r>
          </w:p>
        </w:tc>
        <w:tc>
          <w:tcPr>
            <w:tcW w:w="3295" w:type="pct"/>
            <w:shd w:val="clear" w:color="auto" w:fill="auto"/>
            <w:vAlign w:val="center"/>
            <w:hideMark/>
          </w:tcPr>
          <w:p w14:paraId="031F24AF" w14:textId="77777777" w:rsidR="004A71EF" w:rsidRPr="00446C2A" w:rsidRDefault="004A71EF">
            <w:pPr>
              <w:rPr>
                <w:sz w:val="16"/>
                <w:szCs w:val="16"/>
              </w:rPr>
            </w:pPr>
            <w:r w:rsidRPr="00446C2A">
              <w:rPr>
                <w:sz w:val="16"/>
                <w:szCs w:val="16"/>
              </w:rPr>
              <w:t>Провеждане на национален туристически поход „По пътя на Ботевата чета“, Козлодуй – Околчица и честване на Шипченските боеве</w:t>
            </w:r>
          </w:p>
        </w:tc>
        <w:tc>
          <w:tcPr>
            <w:tcW w:w="466" w:type="pct"/>
            <w:shd w:val="clear" w:color="auto" w:fill="auto"/>
            <w:vAlign w:val="center"/>
            <w:hideMark/>
          </w:tcPr>
          <w:p w14:paraId="5CCEF163" w14:textId="77777777" w:rsidR="004A71EF" w:rsidRPr="00446C2A" w:rsidRDefault="004A71EF">
            <w:pPr>
              <w:jc w:val="right"/>
              <w:rPr>
                <w:sz w:val="16"/>
                <w:szCs w:val="16"/>
              </w:rPr>
            </w:pPr>
            <w:r w:rsidRPr="00446C2A">
              <w:rPr>
                <w:sz w:val="16"/>
                <w:szCs w:val="16"/>
              </w:rPr>
              <w:t>165 000</w:t>
            </w:r>
          </w:p>
        </w:tc>
        <w:tc>
          <w:tcPr>
            <w:tcW w:w="466" w:type="pct"/>
            <w:shd w:val="clear" w:color="auto" w:fill="auto"/>
            <w:vAlign w:val="center"/>
            <w:hideMark/>
          </w:tcPr>
          <w:p w14:paraId="0A0F5C6E" w14:textId="77777777" w:rsidR="004A71EF" w:rsidRPr="00446C2A" w:rsidRDefault="004A71EF">
            <w:pPr>
              <w:jc w:val="right"/>
              <w:rPr>
                <w:sz w:val="16"/>
                <w:szCs w:val="16"/>
              </w:rPr>
            </w:pPr>
            <w:r w:rsidRPr="00446C2A">
              <w:rPr>
                <w:sz w:val="16"/>
                <w:szCs w:val="16"/>
              </w:rPr>
              <w:t>286 500</w:t>
            </w:r>
          </w:p>
        </w:tc>
        <w:tc>
          <w:tcPr>
            <w:tcW w:w="543" w:type="pct"/>
            <w:shd w:val="clear" w:color="auto" w:fill="auto"/>
            <w:noWrap/>
            <w:vAlign w:val="center"/>
            <w:hideMark/>
          </w:tcPr>
          <w:p w14:paraId="0A599CF0" w14:textId="77777777" w:rsidR="004A71EF" w:rsidRPr="00446C2A" w:rsidRDefault="004A71EF">
            <w:pPr>
              <w:jc w:val="right"/>
              <w:rPr>
                <w:sz w:val="16"/>
                <w:szCs w:val="16"/>
              </w:rPr>
            </w:pPr>
            <w:r w:rsidRPr="00446C2A">
              <w:rPr>
                <w:sz w:val="16"/>
                <w:szCs w:val="16"/>
              </w:rPr>
              <w:t>256 514</w:t>
            </w:r>
          </w:p>
        </w:tc>
      </w:tr>
      <w:tr w:rsidR="00446C2A" w:rsidRPr="00446C2A" w14:paraId="5F7B0021" w14:textId="77777777" w:rsidTr="00784AFD">
        <w:trPr>
          <w:trHeight w:val="330"/>
          <w:jc w:val="center"/>
        </w:trPr>
        <w:tc>
          <w:tcPr>
            <w:tcW w:w="231" w:type="pct"/>
            <w:shd w:val="clear" w:color="auto" w:fill="auto"/>
            <w:noWrap/>
            <w:vAlign w:val="center"/>
            <w:hideMark/>
          </w:tcPr>
          <w:p w14:paraId="64018D9F" w14:textId="77777777" w:rsidR="004A71EF" w:rsidRPr="00446C2A" w:rsidRDefault="004A71EF">
            <w:pPr>
              <w:rPr>
                <w:sz w:val="16"/>
                <w:szCs w:val="16"/>
              </w:rPr>
            </w:pPr>
            <w:r w:rsidRPr="00446C2A">
              <w:rPr>
                <w:sz w:val="16"/>
                <w:szCs w:val="16"/>
              </w:rPr>
              <w:lastRenderedPageBreak/>
              <w:t>3</w:t>
            </w:r>
          </w:p>
        </w:tc>
        <w:tc>
          <w:tcPr>
            <w:tcW w:w="3295" w:type="pct"/>
            <w:shd w:val="clear" w:color="auto" w:fill="auto"/>
            <w:vAlign w:val="center"/>
            <w:hideMark/>
          </w:tcPr>
          <w:p w14:paraId="2AA308D8" w14:textId="77777777" w:rsidR="004A71EF" w:rsidRPr="00446C2A" w:rsidRDefault="004A71EF">
            <w:pPr>
              <w:rPr>
                <w:sz w:val="16"/>
                <w:szCs w:val="16"/>
              </w:rPr>
            </w:pPr>
            <w:r w:rsidRPr="00446C2A">
              <w:rPr>
                <w:sz w:val="16"/>
                <w:szCs w:val="16"/>
              </w:rPr>
              <w:t>Изработване на кадастрални планове по § 4 от ПЗР на Закона за собствеността и ползването на земеделските земи</w:t>
            </w:r>
          </w:p>
        </w:tc>
        <w:tc>
          <w:tcPr>
            <w:tcW w:w="466" w:type="pct"/>
            <w:shd w:val="clear" w:color="auto" w:fill="auto"/>
            <w:vAlign w:val="center"/>
            <w:hideMark/>
          </w:tcPr>
          <w:p w14:paraId="4B971884" w14:textId="77777777" w:rsidR="004A71EF" w:rsidRPr="00446C2A" w:rsidRDefault="004A71EF">
            <w:pPr>
              <w:jc w:val="right"/>
              <w:rPr>
                <w:sz w:val="16"/>
                <w:szCs w:val="16"/>
              </w:rPr>
            </w:pPr>
            <w:r w:rsidRPr="00446C2A">
              <w:rPr>
                <w:sz w:val="16"/>
                <w:szCs w:val="16"/>
              </w:rPr>
              <w:t>300 300</w:t>
            </w:r>
          </w:p>
        </w:tc>
        <w:tc>
          <w:tcPr>
            <w:tcW w:w="466" w:type="pct"/>
            <w:shd w:val="clear" w:color="auto" w:fill="auto"/>
            <w:vAlign w:val="center"/>
            <w:hideMark/>
          </w:tcPr>
          <w:p w14:paraId="7E9455D1" w14:textId="77777777" w:rsidR="004A71EF" w:rsidRPr="00446C2A" w:rsidRDefault="004A71EF">
            <w:pPr>
              <w:jc w:val="right"/>
              <w:rPr>
                <w:sz w:val="16"/>
                <w:szCs w:val="16"/>
              </w:rPr>
            </w:pPr>
            <w:r w:rsidRPr="00446C2A">
              <w:rPr>
                <w:sz w:val="16"/>
                <w:szCs w:val="16"/>
              </w:rPr>
              <w:t>300 300</w:t>
            </w:r>
          </w:p>
        </w:tc>
        <w:tc>
          <w:tcPr>
            <w:tcW w:w="543" w:type="pct"/>
            <w:shd w:val="clear" w:color="auto" w:fill="auto"/>
            <w:noWrap/>
            <w:vAlign w:val="center"/>
            <w:hideMark/>
          </w:tcPr>
          <w:p w14:paraId="1BAD3946" w14:textId="77777777" w:rsidR="004A71EF" w:rsidRPr="00446C2A" w:rsidRDefault="004A71EF">
            <w:pPr>
              <w:jc w:val="right"/>
              <w:rPr>
                <w:sz w:val="16"/>
                <w:szCs w:val="16"/>
              </w:rPr>
            </w:pPr>
            <w:r w:rsidRPr="00446C2A">
              <w:rPr>
                <w:sz w:val="16"/>
                <w:szCs w:val="16"/>
              </w:rPr>
              <w:t>26 760</w:t>
            </w:r>
          </w:p>
        </w:tc>
      </w:tr>
      <w:tr w:rsidR="00446C2A" w:rsidRPr="00446C2A" w14:paraId="7186B1F6" w14:textId="77777777" w:rsidTr="00784AFD">
        <w:trPr>
          <w:trHeight w:val="319"/>
          <w:jc w:val="center"/>
        </w:trPr>
        <w:tc>
          <w:tcPr>
            <w:tcW w:w="231" w:type="pct"/>
            <w:shd w:val="clear" w:color="auto" w:fill="auto"/>
            <w:noWrap/>
            <w:vAlign w:val="center"/>
            <w:hideMark/>
          </w:tcPr>
          <w:p w14:paraId="0CC0D9B1" w14:textId="77777777" w:rsidR="004A71EF" w:rsidRPr="00446C2A" w:rsidRDefault="004A71EF">
            <w:pPr>
              <w:rPr>
                <w:sz w:val="16"/>
                <w:szCs w:val="16"/>
              </w:rPr>
            </w:pPr>
            <w:r w:rsidRPr="00446C2A">
              <w:rPr>
                <w:sz w:val="16"/>
                <w:szCs w:val="16"/>
              </w:rPr>
              <w:t>4</w:t>
            </w:r>
          </w:p>
        </w:tc>
        <w:tc>
          <w:tcPr>
            <w:tcW w:w="3295" w:type="pct"/>
            <w:shd w:val="clear" w:color="auto" w:fill="auto"/>
            <w:vAlign w:val="center"/>
            <w:hideMark/>
          </w:tcPr>
          <w:p w14:paraId="5D6C1DC3" w14:textId="77777777" w:rsidR="004A71EF" w:rsidRPr="00446C2A" w:rsidRDefault="004A71EF">
            <w:pPr>
              <w:rPr>
                <w:sz w:val="16"/>
                <w:szCs w:val="16"/>
              </w:rPr>
            </w:pPr>
            <w:r w:rsidRPr="00446C2A">
              <w:rPr>
                <w:sz w:val="16"/>
                <w:szCs w:val="16"/>
              </w:rPr>
              <w:t>За изпълнение на ангажиментите на областните управители на областите Бургас, Варна и Добрич по Закона за устройството на Черноморското крайбрежие през активния летен сезон</w:t>
            </w:r>
          </w:p>
        </w:tc>
        <w:tc>
          <w:tcPr>
            <w:tcW w:w="466" w:type="pct"/>
            <w:shd w:val="clear" w:color="auto" w:fill="auto"/>
            <w:vAlign w:val="center"/>
            <w:hideMark/>
          </w:tcPr>
          <w:p w14:paraId="17BEA01A" w14:textId="77777777" w:rsidR="004A71EF" w:rsidRPr="00446C2A" w:rsidRDefault="004A71EF">
            <w:pPr>
              <w:jc w:val="right"/>
              <w:rPr>
                <w:sz w:val="16"/>
                <w:szCs w:val="16"/>
              </w:rPr>
            </w:pPr>
            <w:r w:rsidRPr="00446C2A">
              <w:rPr>
                <w:sz w:val="16"/>
                <w:szCs w:val="16"/>
              </w:rPr>
              <w:t>837 500</w:t>
            </w:r>
          </w:p>
        </w:tc>
        <w:tc>
          <w:tcPr>
            <w:tcW w:w="466" w:type="pct"/>
            <w:shd w:val="clear" w:color="auto" w:fill="auto"/>
            <w:vAlign w:val="center"/>
            <w:hideMark/>
          </w:tcPr>
          <w:p w14:paraId="0710CC42" w14:textId="77777777" w:rsidR="004A71EF" w:rsidRPr="00446C2A" w:rsidRDefault="004A71EF">
            <w:pPr>
              <w:jc w:val="right"/>
              <w:rPr>
                <w:sz w:val="16"/>
                <w:szCs w:val="16"/>
              </w:rPr>
            </w:pPr>
            <w:r w:rsidRPr="00446C2A">
              <w:rPr>
                <w:sz w:val="16"/>
                <w:szCs w:val="16"/>
              </w:rPr>
              <w:t>837 500</w:t>
            </w:r>
          </w:p>
        </w:tc>
        <w:tc>
          <w:tcPr>
            <w:tcW w:w="543" w:type="pct"/>
            <w:shd w:val="clear" w:color="auto" w:fill="auto"/>
            <w:noWrap/>
            <w:vAlign w:val="center"/>
            <w:hideMark/>
          </w:tcPr>
          <w:p w14:paraId="2A78A60B" w14:textId="77777777" w:rsidR="004A71EF" w:rsidRPr="00446C2A" w:rsidRDefault="004A71EF">
            <w:pPr>
              <w:jc w:val="right"/>
              <w:rPr>
                <w:sz w:val="16"/>
                <w:szCs w:val="16"/>
              </w:rPr>
            </w:pPr>
            <w:r w:rsidRPr="00446C2A">
              <w:rPr>
                <w:sz w:val="16"/>
                <w:szCs w:val="16"/>
              </w:rPr>
              <w:t> </w:t>
            </w:r>
          </w:p>
        </w:tc>
      </w:tr>
      <w:tr w:rsidR="00446C2A" w:rsidRPr="00446C2A" w14:paraId="763B43B6" w14:textId="77777777" w:rsidTr="00784AFD">
        <w:trPr>
          <w:trHeight w:val="367"/>
          <w:jc w:val="center"/>
        </w:trPr>
        <w:tc>
          <w:tcPr>
            <w:tcW w:w="231" w:type="pct"/>
            <w:shd w:val="clear" w:color="auto" w:fill="auto"/>
            <w:noWrap/>
            <w:vAlign w:val="center"/>
            <w:hideMark/>
          </w:tcPr>
          <w:p w14:paraId="57660C86" w14:textId="77777777" w:rsidR="004A71EF" w:rsidRPr="00446C2A" w:rsidRDefault="004A71EF">
            <w:pPr>
              <w:rPr>
                <w:sz w:val="16"/>
                <w:szCs w:val="16"/>
              </w:rPr>
            </w:pPr>
            <w:r w:rsidRPr="00446C2A">
              <w:rPr>
                <w:sz w:val="16"/>
                <w:szCs w:val="16"/>
              </w:rPr>
              <w:t>5</w:t>
            </w:r>
          </w:p>
        </w:tc>
        <w:tc>
          <w:tcPr>
            <w:tcW w:w="3295" w:type="pct"/>
            <w:shd w:val="clear" w:color="auto" w:fill="auto"/>
            <w:vAlign w:val="center"/>
            <w:hideMark/>
          </w:tcPr>
          <w:p w14:paraId="00FB48B9" w14:textId="77777777" w:rsidR="004A71EF" w:rsidRPr="00446C2A" w:rsidRDefault="004A71EF">
            <w:pPr>
              <w:rPr>
                <w:sz w:val="16"/>
                <w:szCs w:val="16"/>
              </w:rPr>
            </w:pPr>
            <w:r w:rsidRPr="00446C2A">
              <w:rPr>
                <w:sz w:val="16"/>
                <w:szCs w:val="16"/>
              </w:rPr>
              <w:t>За изпълнение на ангажиментите на областните управители на областите Бургас, Варна и Добрич по чл. 7, ал. 11 и ал. 12 от Закона за устройството на Черноморското крайбрежие</w:t>
            </w:r>
          </w:p>
        </w:tc>
        <w:tc>
          <w:tcPr>
            <w:tcW w:w="466" w:type="pct"/>
            <w:shd w:val="clear" w:color="auto" w:fill="auto"/>
            <w:vAlign w:val="center"/>
            <w:hideMark/>
          </w:tcPr>
          <w:p w14:paraId="4321A518" w14:textId="77777777" w:rsidR="004A71EF" w:rsidRPr="00446C2A" w:rsidRDefault="004A71EF">
            <w:pPr>
              <w:jc w:val="right"/>
              <w:rPr>
                <w:sz w:val="16"/>
                <w:szCs w:val="16"/>
              </w:rPr>
            </w:pPr>
            <w:r w:rsidRPr="00446C2A">
              <w:rPr>
                <w:sz w:val="16"/>
                <w:szCs w:val="16"/>
              </w:rPr>
              <w:t>20 176 600</w:t>
            </w:r>
          </w:p>
        </w:tc>
        <w:tc>
          <w:tcPr>
            <w:tcW w:w="466" w:type="pct"/>
            <w:shd w:val="clear" w:color="auto" w:fill="auto"/>
            <w:vAlign w:val="center"/>
            <w:hideMark/>
          </w:tcPr>
          <w:p w14:paraId="7CC752EC" w14:textId="77777777" w:rsidR="004A71EF" w:rsidRPr="00446C2A" w:rsidRDefault="004A71EF">
            <w:pPr>
              <w:jc w:val="right"/>
              <w:rPr>
                <w:sz w:val="16"/>
                <w:szCs w:val="16"/>
              </w:rPr>
            </w:pPr>
            <w:r w:rsidRPr="00446C2A">
              <w:rPr>
                <w:sz w:val="16"/>
                <w:szCs w:val="16"/>
              </w:rPr>
              <w:t>20 176 600</w:t>
            </w:r>
          </w:p>
        </w:tc>
        <w:tc>
          <w:tcPr>
            <w:tcW w:w="543" w:type="pct"/>
            <w:shd w:val="clear" w:color="auto" w:fill="auto"/>
            <w:noWrap/>
            <w:vAlign w:val="center"/>
            <w:hideMark/>
          </w:tcPr>
          <w:p w14:paraId="05C51ECD" w14:textId="77777777" w:rsidR="004A71EF" w:rsidRPr="00446C2A" w:rsidRDefault="004A71EF">
            <w:pPr>
              <w:jc w:val="right"/>
              <w:rPr>
                <w:sz w:val="16"/>
                <w:szCs w:val="16"/>
              </w:rPr>
            </w:pPr>
            <w:r w:rsidRPr="00446C2A">
              <w:rPr>
                <w:sz w:val="16"/>
                <w:szCs w:val="16"/>
              </w:rPr>
              <w:t> </w:t>
            </w:r>
          </w:p>
        </w:tc>
      </w:tr>
      <w:tr w:rsidR="00446C2A" w:rsidRPr="00446C2A" w14:paraId="49C96795" w14:textId="77777777" w:rsidTr="00784AFD">
        <w:trPr>
          <w:trHeight w:val="132"/>
          <w:jc w:val="center"/>
        </w:trPr>
        <w:tc>
          <w:tcPr>
            <w:tcW w:w="231" w:type="pct"/>
            <w:shd w:val="clear" w:color="auto" w:fill="auto"/>
            <w:noWrap/>
            <w:vAlign w:val="center"/>
            <w:hideMark/>
          </w:tcPr>
          <w:p w14:paraId="5AA18185" w14:textId="77777777" w:rsidR="004A71EF" w:rsidRPr="00446C2A" w:rsidRDefault="004A71EF">
            <w:pPr>
              <w:rPr>
                <w:sz w:val="16"/>
                <w:szCs w:val="16"/>
              </w:rPr>
            </w:pPr>
            <w:r w:rsidRPr="00446C2A">
              <w:rPr>
                <w:sz w:val="16"/>
                <w:szCs w:val="16"/>
              </w:rPr>
              <w:t>6</w:t>
            </w:r>
          </w:p>
        </w:tc>
        <w:tc>
          <w:tcPr>
            <w:tcW w:w="3295" w:type="pct"/>
            <w:shd w:val="clear" w:color="auto" w:fill="auto"/>
            <w:vAlign w:val="center"/>
            <w:hideMark/>
          </w:tcPr>
          <w:p w14:paraId="00F2B472" w14:textId="77777777" w:rsidR="004A71EF" w:rsidRPr="00446C2A" w:rsidRDefault="004A71EF">
            <w:pPr>
              <w:rPr>
                <w:sz w:val="16"/>
                <w:szCs w:val="16"/>
              </w:rPr>
            </w:pPr>
            <w:r w:rsidRPr="00446C2A">
              <w:rPr>
                <w:sz w:val="16"/>
                <w:szCs w:val="16"/>
              </w:rPr>
              <w:t>Обезщетения по Закона за политическа и гражданска реабилитация на репресирани лица</w:t>
            </w:r>
          </w:p>
        </w:tc>
        <w:tc>
          <w:tcPr>
            <w:tcW w:w="466" w:type="pct"/>
            <w:shd w:val="clear" w:color="auto" w:fill="auto"/>
            <w:vAlign w:val="center"/>
            <w:hideMark/>
          </w:tcPr>
          <w:p w14:paraId="7A0126D1" w14:textId="77777777" w:rsidR="004A71EF" w:rsidRPr="00446C2A" w:rsidRDefault="004A71EF">
            <w:pPr>
              <w:jc w:val="right"/>
              <w:rPr>
                <w:sz w:val="16"/>
                <w:szCs w:val="16"/>
              </w:rPr>
            </w:pPr>
            <w:r w:rsidRPr="00446C2A">
              <w:rPr>
                <w:sz w:val="16"/>
                <w:szCs w:val="16"/>
              </w:rPr>
              <w:t>23 900</w:t>
            </w:r>
          </w:p>
        </w:tc>
        <w:tc>
          <w:tcPr>
            <w:tcW w:w="466" w:type="pct"/>
            <w:shd w:val="clear" w:color="auto" w:fill="auto"/>
            <w:vAlign w:val="center"/>
            <w:hideMark/>
          </w:tcPr>
          <w:p w14:paraId="193B22FB" w14:textId="77777777" w:rsidR="004A71EF" w:rsidRPr="00446C2A" w:rsidRDefault="004A71EF">
            <w:pPr>
              <w:jc w:val="right"/>
              <w:rPr>
                <w:sz w:val="16"/>
                <w:szCs w:val="16"/>
              </w:rPr>
            </w:pPr>
            <w:r w:rsidRPr="00446C2A">
              <w:rPr>
                <w:sz w:val="16"/>
                <w:szCs w:val="16"/>
              </w:rPr>
              <w:t>23 900</w:t>
            </w:r>
          </w:p>
        </w:tc>
        <w:tc>
          <w:tcPr>
            <w:tcW w:w="543" w:type="pct"/>
            <w:shd w:val="clear" w:color="auto" w:fill="auto"/>
            <w:noWrap/>
            <w:vAlign w:val="center"/>
            <w:hideMark/>
          </w:tcPr>
          <w:p w14:paraId="0CB9AA5D" w14:textId="77777777" w:rsidR="004A71EF" w:rsidRPr="00446C2A" w:rsidRDefault="004A71EF">
            <w:pPr>
              <w:jc w:val="right"/>
              <w:rPr>
                <w:sz w:val="16"/>
                <w:szCs w:val="16"/>
              </w:rPr>
            </w:pPr>
            <w:r w:rsidRPr="00446C2A">
              <w:rPr>
                <w:sz w:val="16"/>
                <w:szCs w:val="16"/>
              </w:rPr>
              <w:t>2 523</w:t>
            </w:r>
          </w:p>
        </w:tc>
      </w:tr>
      <w:tr w:rsidR="00446C2A" w:rsidRPr="00446C2A" w14:paraId="6A16A093" w14:textId="77777777" w:rsidTr="00784AFD">
        <w:trPr>
          <w:trHeight w:val="78"/>
          <w:jc w:val="center"/>
        </w:trPr>
        <w:tc>
          <w:tcPr>
            <w:tcW w:w="231" w:type="pct"/>
            <w:shd w:val="clear" w:color="auto" w:fill="auto"/>
            <w:noWrap/>
            <w:vAlign w:val="center"/>
            <w:hideMark/>
          </w:tcPr>
          <w:p w14:paraId="4E97A901" w14:textId="77777777" w:rsidR="004A71EF" w:rsidRPr="00446C2A" w:rsidRDefault="004A71EF">
            <w:pPr>
              <w:rPr>
                <w:sz w:val="16"/>
                <w:szCs w:val="16"/>
              </w:rPr>
            </w:pPr>
            <w:r w:rsidRPr="00446C2A">
              <w:rPr>
                <w:sz w:val="16"/>
                <w:szCs w:val="16"/>
              </w:rPr>
              <w:t>7</w:t>
            </w:r>
          </w:p>
        </w:tc>
        <w:tc>
          <w:tcPr>
            <w:tcW w:w="3295" w:type="pct"/>
            <w:shd w:val="clear" w:color="auto" w:fill="auto"/>
            <w:vAlign w:val="center"/>
            <w:hideMark/>
          </w:tcPr>
          <w:p w14:paraId="2B3B5817" w14:textId="77777777" w:rsidR="004A71EF" w:rsidRPr="00446C2A" w:rsidRDefault="004A71EF">
            <w:pPr>
              <w:rPr>
                <w:sz w:val="16"/>
                <w:szCs w:val="16"/>
              </w:rPr>
            </w:pPr>
            <w:r w:rsidRPr="00446C2A">
              <w:rPr>
                <w:sz w:val="16"/>
                <w:szCs w:val="16"/>
              </w:rPr>
              <w:t>Програми за временна заетост</w:t>
            </w:r>
          </w:p>
        </w:tc>
        <w:tc>
          <w:tcPr>
            <w:tcW w:w="466" w:type="pct"/>
            <w:shd w:val="clear" w:color="auto" w:fill="auto"/>
            <w:noWrap/>
            <w:vAlign w:val="center"/>
            <w:hideMark/>
          </w:tcPr>
          <w:p w14:paraId="1EAF4432" w14:textId="77777777" w:rsidR="004A71EF" w:rsidRPr="00446C2A" w:rsidRDefault="004A71EF">
            <w:pPr>
              <w:jc w:val="right"/>
              <w:rPr>
                <w:sz w:val="16"/>
                <w:szCs w:val="16"/>
              </w:rPr>
            </w:pPr>
            <w:r w:rsidRPr="00446C2A">
              <w:rPr>
                <w:sz w:val="16"/>
                <w:szCs w:val="16"/>
              </w:rPr>
              <w:t> </w:t>
            </w:r>
          </w:p>
        </w:tc>
        <w:tc>
          <w:tcPr>
            <w:tcW w:w="466" w:type="pct"/>
            <w:shd w:val="clear" w:color="auto" w:fill="auto"/>
            <w:vAlign w:val="center"/>
            <w:hideMark/>
          </w:tcPr>
          <w:p w14:paraId="44D803D6" w14:textId="77777777" w:rsidR="004A71EF" w:rsidRPr="00446C2A" w:rsidRDefault="004A71EF">
            <w:pPr>
              <w:jc w:val="right"/>
              <w:rPr>
                <w:sz w:val="16"/>
                <w:szCs w:val="16"/>
              </w:rPr>
            </w:pPr>
            <w:r w:rsidRPr="00446C2A">
              <w:rPr>
                <w:sz w:val="16"/>
                <w:szCs w:val="16"/>
              </w:rPr>
              <w:t>199 197</w:t>
            </w:r>
          </w:p>
        </w:tc>
        <w:tc>
          <w:tcPr>
            <w:tcW w:w="543" w:type="pct"/>
            <w:shd w:val="clear" w:color="auto" w:fill="auto"/>
            <w:noWrap/>
            <w:vAlign w:val="center"/>
            <w:hideMark/>
          </w:tcPr>
          <w:p w14:paraId="2E180222" w14:textId="77777777" w:rsidR="004A71EF" w:rsidRPr="00446C2A" w:rsidRDefault="004A71EF">
            <w:pPr>
              <w:jc w:val="right"/>
              <w:rPr>
                <w:sz w:val="16"/>
                <w:szCs w:val="16"/>
              </w:rPr>
            </w:pPr>
            <w:r w:rsidRPr="00446C2A">
              <w:rPr>
                <w:sz w:val="16"/>
                <w:szCs w:val="16"/>
              </w:rPr>
              <w:t>518 470</w:t>
            </w:r>
          </w:p>
        </w:tc>
      </w:tr>
      <w:tr w:rsidR="00446C2A" w:rsidRPr="00446C2A" w14:paraId="0F0D5F60" w14:textId="77777777" w:rsidTr="00784AFD">
        <w:trPr>
          <w:trHeight w:val="330"/>
          <w:jc w:val="center"/>
        </w:trPr>
        <w:tc>
          <w:tcPr>
            <w:tcW w:w="231" w:type="pct"/>
            <w:shd w:val="clear" w:color="auto" w:fill="auto"/>
            <w:noWrap/>
            <w:vAlign w:val="center"/>
            <w:hideMark/>
          </w:tcPr>
          <w:p w14:paraId="011B1986" w14:textId="77777777" w:rsidR="004A71EF" w:rsidRPr="00446C2A" w:rsidRDefault="004A71EF">
            <w:pPr>
              <w:rPr>
                <w:sz w:val="16"/>
                <w:szCs w:val="16"/>
              </w:rPr>
            </w:pPr>
            <w:r w:rsidRPr="00446C2A">
              <w:rPr>
                <w:sz w:val="16"/>
                <w:szCs w:val="16"/>
              </w:rPr>
              <w:t>8</w:t>
            </w:r>
          </w:p>
        </w:tc>
        <w:tc>
          <w:tcPr>
            <w:tcW w:w="3295" w:type="pct"/>
            <w:shd w:val="clear" w:color="auto" w:fill="auto"/>
            <w:vAlign w:val="center"/>
            <w:hideMark/>
          </w:tcPr>
          <w:p w14:paraId="07AECF4C" w14:textId="77777777" w:rsidR="004A71EF" w:rsidRPr="00446C2A" w:rsidRDefault="004A71EF">
            <w:pPr>
              <w:rPr>
                <w:sz w:val="16"/>
                <w:szCs w:val="16"/>
              </w:rPr>
            </w:pPr>
            <w:r w:rsidRPr="00446C2A">
              <w:rPr>
                <w:sz w:val="16"/>
                <w:szCs w:val="16"/>
              </w:rPr>
              <w:t>Разходи за лица, търсещи временна закрила в Република България вследствие на военните действия в Украйна</w:t>
            </w:r>
          </w:p>
        </w:tc>
        <w:tc>
          <w:tcPr>
            <w:tcW w:w="466" w:type="pct"/>
            <w:shd w:val="clear" w:color="auto" w:fill="auto"/>
            <w:noWrap/>
            <w:vAlign w:val="center"/>
            <w:hideMark/>
          </w:tcPr>
          <w:p w14:paraId="58535121" w14:textId="77777777" w:rsidR="004A71EF" w:rsidRPr="00446C2A" w:rsidRDefault="004A71EF">
            <w:pPr>
              <w:jc w:val="right"/>
              <w:rPr>
                <w:sz w:val="16"/>
                <w:szCs w:val="16"/>
              </w:rPr>
            </w:pPr>
            <w:r w:rsidRPr="00446C2A">
              <w:rPr>
                <w:sz w:val="16"/>
                <w:szCs w:val="16"/>
              </w:rPr>
              <w:t> </w:t>
            </w:r>
          </w:p>
        </w:tc>
        <w:tc>
          <w:tcPr>
            <w:tcW w:w="466" w:type="pct"/>
            <w:shd w:val="clear" w:color="auto" w:fill="auto"/>
            <w:noWrap/>
            <w:vAlign w:val="center"/>
            <w:hideMark/>
          </w:tcPr>
          <w:p w14:paraId="0F5C3F03" w14:textId="77777777" w:rsidR="004A71EF" w:rsidRPr="00446C2A" w:rsidRDefault="004A71EF">
            <w:pPr>
              <w:jc w:val="right"/>
              <w:rPr>
                <w:sz w:val="16"/>
                <w:szCs w:val="16"/>
              </w:rPr>
            </w:pPr>
            <w:r w:rsidRPr="00446C2A">
              <w:rPr>
                <w:sz w:val="16"/>
                <w:szCs w:val="16"/>
              </w:rPr>
              <w:t> </w:t>
            </w:r>
          </w:p>
        </w:tc>
        <w:tc>
          <w:tcPr>
            <w:tcW w:w="543" w:type="pct"/>
            <w:shd w:val="clear" w:color="auto" w:fill="auto"/>
            <w:noWrap/>
            <w:vAlign w:val="center"/>
            <w:hideMark/>
          </w:tcPr>
          <w:p w14:paraId="60EA13FB" w14:textId="77777777" w:rsidR="004A71EF" w:rsidRPr="00446C2A" w:rsidRDefault="004A71EF">
            <w:pPr>
              <w:jc w:val="right"/>
              <w:rPr>
                <w:sz w:val="16"/>
                <w:szCs w:val="16"/>
              </w:rPr>
            </w:pPr>
            <w:r w:rsidRPr="00446C2A">
              <w:rPr>
                <w:sz w:val="16"/>
                <w:szCs w:val="16"/>
              </w:rPr>
              <w:t>66 452</w:t>
            </w:r>
          </w:p>
        </w:tc>
      </w:tr>
      <w:tr w:rsidR="00446C2A" w:rsidRPr="00446C2A" w14:paraId="4919999D" w14:textId="77777777" w:rsidTr="00784AFD">
        <w:trPr>
          <w:trHeight w:val="355"/>
          <w:jc w:val="center"/>
        </w:trPr>
        <w:tc>
          <w:tcPr>
            <w:tcW w:w="231" w:type="pct"/>
            <w:shd w:val="clear" w:color="auto" w:fill="auto"/>
            <w:noWrap/>
            <w:vAlign w:val="center"/>
            <w:hideMark/>
          </w:tcPr>
          <w:p w14:paraId="0F109B87" w14:textId="77777777" w:rsidR="004A71EF" w:rsidRPr="00446C2A" w:rsidRDefault="004A71EF">
            <w:pPr>
              <w:rPr>
                <w:sz w:val="16"/>
                <w:szCs w:val="16"/>
              </w:rPr>
            </w:pPr>
            <w:r w:rsidRPr="00446C2A">
              <w:rPr>
                <w:sz w:val="16"/>
                <w:szCs w:val="16"/>
              </w:rPr>
              <w:t>9</w:t>
            </w:r>
          </w:p>
        </w:tc>
        <w:tc>
          <w:tcPr>
            <w:tcW w:w="3295" w:type="pct"/>
            <w:shd w:val="clear" w:color="auto" w:fill="auto"/>
            <w:vAlign w:val="center"/>
            <w:hideMark/>
          </w:tcPr>
          <w:p w14:paraId="0B2B3F9F" w14:textId="77777777" w:rsidR="004A71EF" w:rsidRPr="00446C2A" w:rsidRDefault="004A71EF">
            <w:pPr>
              <w:rPr>
                <w:sz w:val="16"/>
                <w:szCs w:val="16"/>
              </w:rPr>
            </w:pPr>
            <w:r w:rsidRPr="00446C2A">
              <w:rPr>
                <w:sz w:val="16"/>
                <w:szCs w:val="16"/>
              </w:rPr>
              <w:t>Консервация, реставрация и аварийно укрепване на част от „Крепостни стени на турско кале“, град Видин</w:t>
            </w:r>
          </w:p>
        </w:tc>
        <w:tc>
          <w:tcPr>
            <w:tcW w:w="466" w:type="pct"/>
            <w:shd w:val="clear" w:color="auto" w:fill="auto"/>
            <w:noWrap/>
            <w:vAlign w:val="center"/>
            <w:hideMark/>
          </w:tcPr>
          <w:p w14:paraId="1534655F" w14:textId="77777777" w:rsidR="004A71EF" w:rsidRPr="00446C2A" w:rsidRDefault="004A71EF">
            <w:pPr>
              <w:jc w:val="right"/>
              <w:rPr>
                <w:sz w:val="16"/>
                <w:szCs w:val="16"/>
              </w:rPr>
            </w:pPr>
            <w:r w:rsidRPr="00446C2A">
              <w:rPr>
                <w:sz w:val="16"/>
                <w:szCs w:val="16"/>
              </w:rPr>
              <w:t>399 600</w:t>
            </w:r>
          </w:p>
        </w:tc>
        <w:tc>
          <w:tcPr>
            <w:tcW w:w="466" w:type="pct"/>
            <w:shd w:val="clear" w:color="auto" w:fill="auto"/>
            <w:noWrap/>
            <w:vAlign w:val="center"/>
            <w:hideMark/>
          </w:tcPr>
          <w:p w14:paraId="1621A03E" w14:textId="77777777" w:rsidR="004A71EF" w:rsidRPr="00446C2A" w:rsidRDefault="004A71EF">
            <w:pPr>
              <w:jc w:val="right"/>
              <w:rPr>
                <w:sz w:val="16"/>
                <w:szCs w:val="16"/>
              </w:rPr>
            </w:pPr>
            <w:r w:rsidRPr="00446C2A">
              <w:rPr>
                <w:sz w:val="16"/>
                <w:szCs w:val="16"/>
              </w:rPr>
              <w:t>399 600</w:t>
            </w:r>
          </w:p>
        </w:tc>
        <w:tc>
          <w:tcPr>
            <w:tcW w:w="543" w:type="pct"/>
            <w:shd w:val="clear" w:color="auto" w:fill="auto"/>
            <w:noWrap/>
            <w:vAlign w:val="center"/>
            <w:hideMark/>
          </w:tcPr>
          <w:p w14:paraId="230D1CE1" w14:textId="77777777" w:rsidR="004A71EF" w:rsidRPr="00446C2A" w:rsidRDefault="004A71EF">
            <w:pPr>
              <w:jc w:val="right"/>
              <w:rPr>
                <w:sz w:val="16"/>
                <w:szCs w:val="16"/>
              </w:rPr>
            </w:pPr>
            <w:r w:rsidRPr="00446C2A">
              <w:rPr>
                <w:sz w:val="16"/>
                <w:szCs w:val="16"/>
              </w:rPr>
              <w:t> </w:t>
            </w:r>
          </w:p>
        </w:tc>
      </w:tr>
      <w:tr w:rsidR="00446C2A" w:rsidRPr="00446C2A" w14:paraId="63A6D1C3" w14:textId="77777777" w:rsidTr="00784AFD">
        <w:trPr>
          <w:trHeight w:val="330"/>
          <w:jc w:val="center"/>
        </w:trPr>
        <w:tc>
          <w:tcPr>
            <w:tcW w:w="231" w:type="pct"/>
            <w:shd w:val="clear" w:color="auto" w:fill="auto"/>
            <w:noWrap/>
            <w:vAlign w:val="center"/>
            <w:hideMark/>
          </w:tcPr>
          <w:p w14:paraId="7626E683" w14:textId="77777777" w:rsidR="004A71EF" w:rsidRPr="00446C2A" w:rsidRDefault="004A71EF">
            <w:pPr>
              <w:rPr>
                <w:sz w:val="16"/>
                <w:szCs w:val="16"/>
              </w:rPr>
            </w:pPr>
            <w:r w:rsidRPr="00446C2A">
              <w:rPr>
                <w:sz w:val="16"/>
                <w:szCs w:val="16"/>
              </w:rPr>
              <w:t> </w:t>
            </w:r>
          </w:p>
        </w:tc>
        <w:tc>
          <w:tcPr>
            <w:tcW w:w="3295" w:type="pct"/>
            <w:shd w:val="clear" w:color="auto" w:fill="auto"/>
            <w:noWrap/>
            <w:vAlign w:val="center"/>
            <w:hideMark/>
          </w:tcPr>
          <w:p w14:paraId="4D661E8F" w14:textId="77777777" w:rsidR="004A71EF" w:rsidRPr="00446C2A" w:rsidRDefault="004A71EF">
            <w:pPr>
              <w:ind w:firstLineChars="200" w:firstLine="320"/>
              <w:rPr>
                <w:sz w:val="16"/>
                <w:szCs w:val="16"/>
              </w:rPr>
            </w:pPr>
            <w:r w:rsidRPr="00446C2A">
              <w:rPr>
                <w:sz w:val="16"/>
                <w:szCs w:val="16"/>
              </w:rPr>
              <w:t> </w:t>
            </w:r>
          </w:p>
        </w:tc>
        <w:tc>
          <w:tcPr>
            <w:tcW w:w="466" w:type="pct"/>
            <w:shd w:val="clear" w:color="auto" w:fill="auto"/>
            <w:noWrap/>
            <w:vAlign w:val="center"/>
            <w:hideMark/>
          </w:tcPr>
          <w:p w14:paraId="61AF2E3C" w14:textId="77777777" w:rsidR="004A71EF" w:rsidRPr="00446C2A" w:rsidRDefault="004A71EF">
            <w:pPr>
              <w:jc w:val="right"/>
              <w:rPr>
                <w:sz w:val="16"/>
                <w:szCs w:val="16"/>
              </w:rPr>
            </w:pPr>
            <w:r w:rsidRPr="00446C2A">
              <w:rPr>
                <w:sz w:val="16"/>
                <w:szCs w:val="16"/>
              </w:rPr>
              <w:t> </w:t>
            </w:r>
          </w:p>
        </w:tc>
        <w:tc>
          <w:tcPr>
            <w:tcW w:w="466" w:type="pct"/>
            <w:shd w:val="clear" w:color="auto" w:fill="auto"/>
            <w:noWrap/>
            <w:vAlign w:val="center"/>
            <w:hideMark/>
          </w:tcPr>
          <w:p w14:paraId="188DAF48" w14:textId="77777777" w:rsidR="004A71EF" w:rsidRPr="00446C2A" w:rsidRDefault="004A71EF">
            <w:pPr>
              <w:jc w:val="right"/>
              <w:rPr>
                <w:sz w:val="16"/>
                <w:szCs w:val="16"/>
              </w:rPr>
            </w:pPr>
            <w:r w:rsidRPr="00446C2A">
              <w:rPr>
                <w:sz w:val="16"/>
                <w:szCs w:val="16"/>
              </w:rPr>
              <w:t> </w:t>
            </w:r>
          </w:p>
        </w:tc>
        <w:tc>
          <w:tcPr>
            <w:tcW w:w="543" w:type="pct"/>
            <w:shd w:val="clear" w:color="auto" w:fill="auto"/>
            <w:noWrap/>
            <w:vAlign w:val="center"/>
            <w:hideMark/>
          </w:tcPr>
          <w:p w14:paraId="0E8A1DD3" w14:textId="77777777" w:rsidR="004A71EF" w:rsidRPr="00446C2A" w:rsidRDefault="004A71EF">
            <w:pPr>
              <w:jc w:val="right"/>
              <w:rPr>
                <w:sz w:val="16"/>
                <w:szCs w:val="16"/>
              </w:rPr>
            </w:pPr>
            <w:r w:rsidRPr="00446C2A">
              <w:rPr>
                <w:sz w:val="16"/>
                <w:szCs w:val="16"/>
              </w:rPr>
              <w:t> </w:t>
            </w:r>
          </w:p>
        </w:tc>
      </w:tr>
      <w:tr w:rsidR="00446C2A" w:rsidRPr="00446C2A" w14:paraId="042C6B3D" w14:textId="77777777" w:rsidTr="00784AFD">
        <w:trPr>
          <w:trHeight w:val="273"/>
          <w:jc w:val="center"/>
        </w:trPr>
        <w:tc>
          <w:tcPr>
            <w:tcW w:w="231" w:type="pct"/>
            <w:shd w:val="clear" w:color="000000" w:fill="E6E6E6"/>
            <w:noWrap/>
            <w:vAlign w:val="center"/>
            <w:hideMark/>
          </w:tcPr>
          <w:p w14:paraId="11CA02D4" w14:textId="77777777" w:rsidR="004A71EF" w:rsidRPr="00446C2A" w:rsidRDefault="004A71EF">
            <w:pPr>
              <w:rPr>
                <w:b/>
                <w:bCs/>
                <w:sz w:val="16"/>
                <w:szCs w:val="16"/>
              </w:rPr>
            </w:pPr>
            <w:r w:rsidRPr="00446C2A">
              <w:rPr>
                <w:b/>
                <w:bCs/>
                <w:sz w:val="16"/>
                <w:szCs w:val="16"/>
              </w:rPr>
              <w:t>ІІІ.</w:t>
            </w:r>
          </w:p>
        </w:tc>
        <w:tc>
          <w:tcPr>
            <w:tcW w:w="3295" w:type="pct"/>
            <w:shd w:val="clear" w:color="000000" w:fill="E6E6E6"/>
            <w:noWrap/>
            <w:vAlign w:val="center"/>
            <w:hideMark/>
          </w:tcPr>
          <w:p w14:paraId="0DDB4274" w14:textId="77777777" w:rsidR="004A71EF" w:rsidRPr="00446C2A" w:rsidRDefault="004A71EF">
            <w:pPr>
              <w:rPr>
                <w:b/>
                <w:bCs/>
                <w:sz w:val="16"/>
                <w:szCs w:val="16"/>
              </w:rPr>
            </w:pPr>
            <w:r w:rsidRPr="00446C2A">
              <w:rPr>
                <w:b/>
                <w:bCs/>
                <w:sz w:val="16"/>
                <w:szCs w:val="16"/>
              </w:rPr>
              <w:t>Администрирани разходни параграфи по други бюджети и сметки за средства от ЕС</w:t>
            </w:r>
          </w:p>
        </w:tc>
        <w:tc>
          <w:tcPr>
            <w:tcW w:w="466" w:type="pct"/>
            <w:shd w:val="clear" w:color="000000" w:fill="E6E6E6"/>
            <w:noWrap/>
            <w:vAlign w:val="center"/>
            <w:hideMark/>
          </w:tcPr>
          <w:p w14:paraId="2F9121E6" w14:textId="77777777" w:rsidR="004A71EF" w:rsidRPr="00446C2A" w:rsidRDefault="004A71EF">
            <w:pPr>
              <w:jc w:val="right"/>
              <w:rPr>
                <w:b/>
                <w:bCs/>
                <w:sz w:val="16"/>
                <w:szCs w:val="16"/>
              </w:rPr>
            </w:pPr>
            <w:r w:rsidRPr="00446C2A">
              <w:rPr>
                <w:b/>
                <w:bCs/>
                <w:sz w:val="16"/>
                <w:szCs w:val="16"/>
              </w:rPr>
              <w:t>0</w:t>
            </w:r>
          </w:p>
        </w:tc>
        <w:tc>
          <w:tcPr>
            <w:tcW w:w="466" w:type="pct"/>
            <w:shd w:val="clear" w:color="000000" w:fill="E6E6E6"/>
            <w:noWrap/>
            <w:vAlign w:val="center"/>
            <w:hideMark/>
          </w:tcPr>
          <w:p w14:paraId="6DCE5283" w14:textId="77777777" w:rsidR="004A71EF" w:rsidRPr="00446C2A" w:rsidRDefault="004A71EF">
            <w:pPr>
              <w:jc w:val="right"/>
              <w:rPr>
                <w:b/>
                <w:bCs/>
                <w:sz w:val="16"/>
                <w:szCs w:val="16"/>
              </w:rPr>
            </w:pPr>
            <w:r w:rsidRPr="00446C2A">
              <w:rPr>
                <w:b/>
                <w:bCs/>
                <w:sz w:val="16"/>
                <w:szCs w:val="16"/>
              </w:rPr>
              <w:t>0</w:t>
            </w:r>
          </w:p>
        </w:tc>
        <w:tc>
          <w:tcPr>
            <w:tcW w:w="543" w:type="pct"/>
            <w:shd w:val="clear" w:color="000000" w:fill="E6E6E6"/>
            <w:noWrap/>
            <w:vAlign w:val="center"/>
            <w:hideMark/>
          </w:tcPr>
          <w:p w14:paraId="1F406341" w14:textId="77777777" w:rsidR="004A71EF" w:rsidRPr="00446C2A" w:rsidRDefault="004A71EF">
            <w:pPr>
              <w:jc w:val="right"/>
              <w:rPr>
                <w:b/>
                <w:bCs/>
                <w:sz w:val="16"/>
                <w:szCs w:val="16"/>
              </w:rPr>
            </w:pPr>
            <w:r w:rsidRPr="00446C2A">
              <w:rPr>
                <w:b/>
                <w:bCs/>
                <w:sz w:val="16"/>
                <w:szCs w:val="16"/>
              </w:rPr>
              <w:t>244 887</w:t>
            </w:r>
          </w:p>
        </w:tc>
      </w:tr>
      <w:tr w:rsidR="00446C2A" w:rsidRPr="00446C2A" w14:paraId="421668FB" w14:textId="77777777" w:rsidTr="0061663E">
        <w:trPr>
          <w:trHeight w:val="263"/>
          <w:jc w:val="center"/>
        </w:trPr>
        <w:tc>
          <w:tcPr>
            <w:tcW w:w="231" w:type="pct"/>
            <w:shd w:val="clear" w:color="auto" w:fill="auto"/>
            <w:noWrap/>
            <w:vAlign w:val="center"/>
            <w:hideMark/>
          </w:tcPr>
          <w:p w14:paraId="371AC699" w14:textId="77777777" w:rsidR="004A71EF" w:rsidRPr="00446C2A" w:rsidRDefault="004A71EF">
            <w:pPr>
              <w:rPr>
                <w:sz w:val="16"/>
                <w:szCs w:val="16"/>
              </w:rPr>
            </w:pPr>
            <w:r w:rsidRPr="00446C2A">
              <w:rPr>
                <w:sz w:val="16"/>
                <w:szCs w:val="16"/>
              </w:rPr>
              <w:t>1</w:t>
            </w:r>
          </w:p>
        </w:tc>
        <w:tc>
          <w:tcPr>
            <w:tcW w:w="3295" w:type="pct"/>
            <w:shd w:val="clear" w:color="auto" w:fill="auto"/>
            <w:noWrap/>
            <w:vAlign w:val="center"/>
            <w:hideMark/>
          </w:tcPr>
          <w:p w14:paraId="1941A158" w14:textId="77777777" w:rsidR="004A71EF" w:rsidRPr="00446C2A" w:rsidRDefault="004A71EF">
            <w:pPr>
              <w:rPr>
                <w:sz w:val="16"/>
                <w:szCs w:val="16"/>
              </w:rPr>
            </w:pPr>
            <w:r w:rsidRPr="00446C2A">
              <w:rPr>
                <w:sz w:val="16"/>
                <w:szCs w:val="16"/>
              </w:rPr>
              <w:t>Други програми и проекти финансирани от фондове и институции на Европейския съюз (ДЕС)</w:t>
            </w:r>
          </w:p>
        </w:tc>
        <w:tc>
          <w:tcPr>
            <w:tcW w:w="466" w:type="pct"/>
            <w:shd w:val="clear" w:color="auto" w:fill="auto"/>
            <w:noWrap/>
            <w:vAlign w:val="center"/>
            <w:hideMark/>
          </w:tcPr>
          <w:p w14:paraId="05D76492" w14:textId="77777777" w:rsidR="004A71EF" w:rsidRPr="00446C2A" w:rsidRDefault="004A71EF">
            <w:pPr>
              <w:jc w:val="right"/>
              <w:rPr>
                <w:sz w:val="16"/>
                <w:szCs w:val="16"/>
              </w:rPr>
            </w:pPr>
            <w:r w:rsidRPr="00446C2A">
              <w:rPr>
                <w:sz w:val="16"/>
                <w:szCs w:val="16"/>
              </w:rPr>
              <w:t> </w:t>
            </w:r>
          </w:p>
        </w:tc>
        <w:tc>
          <w:tcPr>
            <w:tcW w:w="466" w:type="pct"/>
            <w:shd w:val="clear" w:color="auto" w:fill="auto"/>
            <w:noWrap/>
            <w:vAlign w:val="center"/>
            <w:hideMark/>
          </w:tcPr>
          <w:p w14:paraId="3339DFF9" w14:textId="77777777" w:rsidR="004A71EF" w:rsidRPr="00446C2A" w:rsidRDefault="004A71EF">
            <w:pPr>
              <w:jc w:val="right"/>
              <w:rPr>
                <w:sz w:val="16"/>
                <w:szCs w:val="16"/>
              </w:rPr>
            </w:pPr>
            <w:r w:rsidRPr="00446C2A">
              <w:rPr>
                <w:sz w:val="16"/>
                <w:szCs w:val="16"/>
              </w:rPr>
              <w:t> </w:t>
            </w:r>
          </w:p>
        </w:tc>
        <w:tc>
          <w:tcPr>
            <w:tcW w:w="543" w:type="pct"/>
            <w:shd w:val="clear" w:color="auto" w:fill="auto"/>
            <w:noWrap/>
            <w:vAlign w:val="center"/>
            <w:hideMark/>
          </w:tcPr>
          <w:p w14:paraId="4E52305E" w14:textId="77777777" w:rsidR="004A71EF" w:rsidRPr="00446C2A" w:rsidRDefault="004A71EF">
            <w:pPr>
              <w:jc w:val="right"/>
              <w:rPr>
                <w:sz w:val="16"/>
                <w:szCs w:val="16"/>
              </w:rPr>
            </w:pPr>
            <w:r w:rsidRPr="00446C2A">
              <w:rPr>
                <w:sz w:val="16"/>
                <w:szCs w:val="16"/>
              </w:rPr>
              <w:t>244 887</w:t>
            </w:r>
          </w:p>
        </w:tc>
      </w:tr>
      <w:tr w:rsidR="00446C2A" w:rsidRPr="00446C2A" w14:paraId="6BBDC494" w14:textId="77777777" w:rsidTr="00784AFD">
        <w:trPr>
          <w:trHeight w:val="127"/>
          <w:jc w:val="center"/>
        </w:trPr>
        <w:tc>
          <w:tcPr>
            <w:tcW w:w="231" w:type="pct"/>
            <w:shd w:val="clear" w:color="auto" w:fill="auto"/>
            <w:noWrap/>
            <w:vAlign w:val="center"/>
            <w:hideMark/>
          </w:tcPr>
          <w:p w14:paraId="70C62F0F" w14:textId="77777777" w:rsidR="004A71EF" w:rsidRPr="00446C2A" w:rsidRDefault="004A71EF">
            <w:pPr>
              <w:rPr>
                <w:sz w:val="16"/>
                <w:szCs w:val="16"/>
              </w:rPr>
            </w:pPr>
            <w:r w:rsidRPr="00446C2A">
              <w:rPr>
                <w:sz w:val="16"/>
                <w:szCs w:val="16"/>
              </w:rPr>
              <w:t> </w:t>
            </w:r>
          </w:p>
        </w:tc>
        <w:tc>
          <w:tcPr>
            <w:tcW w:w="3295" w:type="pct"/>
            <w:shd w:val="clear" w:color="auto" w:fill="auto"/>
            <w:noWrap/>
            <w:vAlign w:val="center"/>
            <w:hideMark/>
          </w:tcPr>
          <w:p w14:paraId="7E085665" w14:textId="77777777" w:rsidR="004A71EF" w:rsidRPr="00446C2A" w:rsidRDefault="004A71EF">
            <w:pPr>
              <w:ind w:firstLineChars="200" w:firstLine="320"/>
              <w:rPr>
                <w:sz w:val="16"/>
                <w:szCs w:val="16"/>
              </w:rPr>
            </w:pPr>
            <w:r w:rsidRPr="00446C2A">
              <w:rPr>
                <w:sz w:val="16"/>
                <w:szCs w:val="16"/>
              </w:rPr>
              <w:t> </w:t>
            </w:r>
          </w:p>
        </w:tc>
        <w:tc>
          <w:tcPr>
            <w:tcW w:w="466" w:type="pct"/>
            <w:shd w:val="clear" w:color="auto" w:fill="auto"/>
            <w:noWrap/>
            <w:vAlign w:val="center"/>
            <w:hideMark/>
          </w:tcPr>
          <w:p w14:paraId="20E75BF3" w14:textId="77777777" w:rsidR="004A71EF" w:rsidRPr="00446C2A" w:rsidRDefault="004A71EF">
            <w:pPr>
              <w:jc w:val="right"/>
              <w:rPr>
                <w:sz w:val="16"/>
                <w:szCs w:val="16"/>
              </w:rPr>
            </w:pPr>
            <w:r w:rsidRPr="00446C2A">
              <w:rPr>
                <w:sz w:val="16"/>
                <w:szCs w:val="16"/>
              </w:rPr>
              <w:t> </w:t>
            </w:r>
          </w:p>
        </w:tc>
        <w:tc>
          <w:tcPr>
            <w:tcW w:w="466" w:type="pct"/>
            <w:shd w:val="clear" w:color="auto" w:fill="auto"/>
            <w:noWrap/>
            <w:vAlign w:val="center"/>
            <w:hideMark/>
          </w:tcPr>
          <w:p w14:paraId="66BF4B79" w14:textId="77777777" w:rsidR="004A71EF" w:rsidRPr="00446C2A" w:rsidRDefault="004A71EF">
            <w:pPr>
              <w:jc w:val="right"/>
              <w:rPr>
                <w:sz w:val="16"/>
                <w:szCs w:val="16"/>
              </w:rPr>
            </w:pPr>
            <w:r w:rsidRPr="00446C2A">
              <w:rPr>
                <w:sz w:val="16"/>
                <w:szCs w:val="16"/>
              </w:rPr>
              <w:t> </w:t>
            </w:r>
          </w:p>
        </w:tc>
        <w:tc>
          <w:tcPr>
            <w:tcW w:w="543" w:type="pct"/>
            <w:shd w:val="clear" w:color="auto" w:fill="auto"/>
            <w:noWrap/>
            <w:vAlign w:val="center"/>
            <w:hideMark/>
          </w:tcPr>
          <w:p w14:paraId="53BF44C3" w14:textId="77777777" w:rsidR="004A71EF" w:rsidRPr="00446C2A" w:rsidRDefault="004A71EF">
            <w:pPr>
              <w:jc w:val="right"/>
              <w:rPr>
                <w:sz w:val="16"/>
                <w:szCs w:val="16"/>
              </w:rPr>
            </w:pPr>
            <w:r w:rsidRPr="00446C2A">
              <w:rPr>
                <w:sz w:val="16"/>
                <w:szCs w:val="16"/>
              </w:rPr>
              <w:t> </w:t>
            </w:r>
          </w:p>
        </w:tc>
      </w:tr>
      <w:tr w:rsidR="00446C2A" w:rsidRPr="00446C2A" w14:paraId="5A2B79A6" w14:textId="77777777" w:rsidTr="0061663E">
        <w:trPr>
          <w:trHeight w:val="227"/>
          <w:jc w:val="center"/>
        </w:trPr>
        <w:tc>
          <w:tcPr>
            <w:tcW w:w="231" w:type="pct"/>
            <w:shd w:val="clear" w:color="000000" w:fill="E6E6E6"/>
            <w:noWrap/>
            <w:vAlign w:val="center"/>
            <w:hideMark/>
          </w:tcPr>
          <w:p w14:paraId="6A2B5680" w14:textId="77777777" w:rsidR="004A71EF" w:rsidRPr="00446C2A" w:rsidRDefault="004A71EF">
            <w:pPr>
              <w:rPr>
                <w:b/>
                <w:bCs/>
                <w:sz w:val="16"/>
                <w:szCs w:val="16"/>
              </w:rPr>
            </w:pPr>
            <w:r w:rsidRPr="00446C2A">
              <w:rPr>
                <w:b/>
                <w:bCs/>
                <w:sz w:val="16"/>
                <w:szCs w:val="16"/>
              </w:rPr>
              <w:t> </w:t>
            </w:r>
          </w:p>
        </w:tc>
        <w:tc>
          <w:tcPr>
            <w:tcW w:w="3295" w:type="pct"/>
            <w:shd w:val="clear" w:color="000000" w:fill="E6E6E6"/>
            <w:noWrap/>
            <w:vAlign w:val="center"/>
            <w:hideMark/>
          </w:tcPr>
          <w:p w14:paraId="1BA26CB4" w14:textId="77777777" w:rsidR="004A71EF" w:rsidRPr="00446C2A" w:rsidRDefault="004A71EF">
            <w:pPr>
              <w:rPr>
                <w:b/>
                <w:bCs/>
                <w:sz w:val="16"/>
                <w:szCs w:val="16"/>
              </w:rPr>
            </w:pPr>
            <w:r w:rsidRPr="00446C2A">
              <w:rPr>
                <w:b/>
                <w:bCs/>
                <w:sz w:val="16"/>
                <w:szCs w:val="16"/>
              </w:rPr>
              <w:t>Общо администрирани разходи (ІІ.+ІІІ.):</w:t>
            </w:r>
          </w:p>
        </w:tc>
        <w:tc>
          <w:tcPr>
            <w:tcW w:w="466" w:type="pct"/>
            <w:shd w:val="clear" w:color="000000" w:fill="E6E6E6"/>
            <w:noWrap/>
            <w:vAlign w:val="center"/>
            <w:hideMark/>
          </w:tcPr>
          <w:p w14:paraId="41310710" w14:textId="77777777" w:rsidR="004A71EF" w:rsidRPr="00446C2A" w:rsidRDefault="004A71EF">
            <w:pPr>
              <w:jc w:val="right"/>
              <w:rPr>
                <w:b/>
                <w:bCs/>
                <w:sz w:val="16"/>
                <w:szCs w:val="16"/>
              </w:rPr>
            </w:pPr>
            <w:r w:rsidRPr="00446C2A">
              <w:rPr>
                <w:b/>
                <w:bCs/>
                <w:sz w:val="16"/>
                <w:szCs w:val="16"/>
              </w:rPr>
              <w:t>22 034 900</w:t>
            </w:r>
          </w:p>
        </w:tc>
        <w:tc>
          <w:tcPr>
            <w:tcW w:w="466" w:type="pct"/>
            <w:shd w:val="clear" w:color="000000" w:fill="E6E6E6"/>
            <w:noWrap/>
            <w:vAlign w:val="center"/>
            <w:hideMark/>
          </w:tcPr>
          <w:p w14:paraId="10E8CA35" w14:textId="77777777" w:rsidR="004A71EF" w:rsidRPr="00446C2A" w:rsidRDefault="004A71EF">
            <w:pPr>
              <w:jc w:val="right"/>
              <w:rPr>
                <w:b/>
                <w:bCs/>
                <w:sz w:val="16"/>
                <w:szCs w:val="16"/>
              </w:rPr>
            </w:pPr>
            <w:r w:rsidRPr="00446C2A">
              <w:rPr>
                <w:b/>
                <w:bCs/>
                <w:sz w:val="16"/>
                <w:szCs w:val="16"/>
              </w:rPr>
              <w:t>22 355 597</w:t>
            </w:r>
          </w:p>
        </w:tc>
        <w:tc>
          <w:tcPr>
            <w:tcW w:w="543" w:type="pct"/>
            <w:shd w:val="clear" w:color="000000" w:fill="E6E6E6"/>
            <w:noWrap/>
            <w:vAlign w:val="center"/>
            <w:hideMark/>
          </w:tcPr>
          <w:p w14:paraId="4DA1FB1E" w14:textId="77777777" w:rsidR="004A71EF" w:rsidRPr="00446C2A" w:rsidRDefault="004A71EF">
            <w:pPr>
              <w:jc w:val="right"/>
              <w:rPr>
                <w:b/>
                <w:bCs/>
                <w:sz w:val="16"/>
                <w:szCs w:val="16"/>
              </w:rPr>
            </w:pPr>
            <w:r w:rsidRPr="00446C2A">
              <w:rPr>
                <w:b/>
                <w:bCs/>
                <w:sz w:val="16"/>
                <w:szCs w:val="16"/>
              </w:rPr>
              <w:t>1 115 606</w:t>
            </w:r>
          </w:p>
        </w:tc>
      </w:tr>
      <w:tr w:rsidR="00446C2A" w:rsidRPr="00446C2A" w14:paraId="16539C9D" w14:textId="77777777" w:rsidTr="00784AFD">
        <w:trPr>
          <w:trHeight w:val="148"/>
          <w:jc w:val="center"/>
        </w:trPr>
        <w:tc>
          <w:tcPr>
            <w:tcW w:w="231" w:type="pct"/>
            <w:shd w:val="clear" w:color="auto" w:fill="auto"/>
            <w:noWrap/>
            <w:vAlign w:val="center"/>
            <w:hideMark/>
          </w:tcPr>
          <w:p w14:paraId="50E6C7A5" w14:textId="77777777" w:rsidR="004A71EF" w:rsidRPr="00446C2A" w:rsidRDefault="004A71EF">
            <w:pPr>
              <w:rPr>
                <w:sz w:val="16"/>
                <w:szCs w:val="16"/>
              </w:rPr>
            </w:pPr>
            <w:r w:rsidRPr="00446C2A">
              <w:rPr>
                <w:sz w:val="16"/>
                <w:szCs w:val="16"/>
              </w:rPr>
              <w:t> </w:t>
            </w:r>
          </w:p>
        </w:tc>
        <w:tc>
          <w:tcPr>
            <w:tcW w:w="3295" w:type="pct"/>
            <w:shd w:val="clear" w:color="auto" w:fill="auto"/>
            <w:noWrap/>
            <w:vAlign w:val="center"/>
            <w:hideMark/>
          </w:tcPr>
          <w:p w14:paraId="4085E5D3" w14:textId="77777777" w:rsidR="004A71EF" w:rsidRPr="00446C2A" w:rsidRDefault="004A71EF">
            <w:pPr>
              <w:rPr>
                <w:sz w:val="16"/>
                <w:szCs w:val="16"/>
              </w:rPr>
            </w:pPr>
            <w:r w:rsidRPr="00446C2A">
              <w:rPr>
                <w:sz w:val="16"/>
                <w:szCs w:val="16"/>
              </w:rPr>
              <w:t> </w:t>
            </w:r>
          </w:p>
        </w:tc>
        <w:tc>
          <w:tcPr>
            <w:tcW w:w="466" w:type="pct"/>
            <w:shd w:val="clear" w:color="auto" w:fill="auto"/>
            <w:noWrap/>
            <w:vAlign w:val="center"/>
            <w:hideMark/>
          </w:tcPr>
          <w:p w14:paraId="6BCEA42B" w14:textId="77777777" w:rsidR="004A71EF" w:rsidRPr="00446C2A" w:rsidRDefault="004A71EF">
            <w:pPr>
              <w:jc w:val="right"/>
              <w:rPr>
                <w:sz w:val="16"/>
                <w:szCs w:val="16"/>
              </w:rPr>
            </w:pPr>
            <w:r w:rsidRPr="00446C2A">
              <w:rPr>
                <w:sz w:val="16"/>
                <w:szCs w:val="16"/>
              </w:rPr>
              <w:t> </w:t>
            </w:r>
          </w:p>
        </w:tc>
        <w:tc>
          <w:tcPr>
            <w:tcW w:w="466" w:type="pct"/>
            <w:shd w:val="clear" w:color="auto" w:fill="auto"/>
            <w:noWrap/>
            <w:vAlign w:val="center"/>
            <w:hideMark/>
          </w:tcPr>
          <w:p w14:paraId="717D01A0" w14:textId="77777777" w:rsidR="004A71EF" w:rsidRPr="00446C2A" w:rsidRDefault="004A71EF">
            <w:pPr>
              <w:jc w:val="right"/>
              <w:rPr>
                <w:sz w:val="16"/>
                <w:szCs w:val="16"/>
              </w:rPr>
            </w:pPr>
            <w:r w:rsidRPr="00446C2A">
              <w:rPr>
                <w:sz w:val="16"/>
                <w:szCs w:val="16"/>
              </w:rPr>
              <w:t> </w:t>
            </w:r>
          </w:p>
        </w:tc>
        <w:tc>
          <w:tcPr>
            <w:tcW w:w="543" w:type="pct"/>
            <w:shd w:val="clear" w:color="auto" w:fill="auto"/>
            <w:noWrap/>
            <w:vAlign w:val="center"/>
            <w:hideMark/>
          </w:tcPr>
          <w:p w14:paraId="63B448A4" w14:textId="77777777" w:rsidR="004A71EF" w:rsidRPr="00446C2A" w:rsidRDefault="004A71EF">
            <w:pPr>
              <w:jc w:val="right"/>
              <w:rPr>
                <w:sz w:val="16"/>
                <w:szCs w:val="16"/>
              </w:rPr>
            </w:pPr>
            <w:r w:rsidRPr="00446C2A">
              <w:rPr>
                <w:sz w:val="16"/>
                <w:szCs w:val="16"/>
              </w:rPr>
              <w:t> </w:t>
            </w:r>
          </w:p>
        </w:tc>
      </w:tr>
      <w:tr w:rsidR="00446C2A" w:rsidRPr="00446C2A" w14:paraId="4FC57E65" w14:textId="77777777" w:rsidTr="0061663E">
        <w:trPr>
          <w:trHeight w:val="218"/>
          <w:jc w:val="center"/>
        </w:trPr>
        <w:tc>
          <w:tcPr>
            <w:tcW w:w="231" w:type="pct"/>
            <w:shd w:val="clear" w:color="000000" w:fill="E6E6E6"/>
            <w:noWrap/>
            <w:vAlign w:val="center"/>
            <w:hideMark/>
          </w:tcPr>
          <w:p w14:paraId="20ABEF21" w14:textId="77777777" w:rsidR="004A71EF" w:rsidRPr="00446C2A" w:rsidRDefault="004A71EF">
            <w:pPr>
              <w:rPr>
                <w:b/>
                <w:bCs/>
                <w:sz w:val="16"/>
                <w:szCs w:val="16"/>
              </w:rPr>
            </w:pPr>
            <w:r w:rsidRPr="00446C2A">
              <w:rPr>
                <w:b/>
                <w:bCs/>
                <w:sz w:val="16"/>
                <w:szCs w:val="16"/>
              </w:rPr>
              <w:t> </w:t>
            </w:r>
          </w:p>
        </w:tc>
        <w:tc>
          <w:tcPr>
            <w:tcW w:w="3295" w:type="pct"/>
            <w:shd w:val="clear" w:color="000000" w:fill="E6E6E6"/>
            <w:noWrap/>
            <w:vAlign w:val="center"/>
            <w:hideMark/>
          </w:tcPr>
          <w:p w14:paraId="7F019263" w14:textId="77777777" w:rsidR="004A71EF" w:rsidRPr="00446C2A" w:rsidRDefault="004A71EF">
            <w:pPr>
              <w:rPr>
                <w:b/>
                <w:bCs/>
                <w:sz w:val="16"/>
                <w:szCs w:val="16"/>
              </w:rPr>
            </w:pPr>
            <w:r w:rsidRPr="00446C2A">
              <w:rPr>
                <w:b/>
                <w:bCs/>
                <w:sz w:val="16"/>
                <w:szCs w:val="16"/>
              </w:rPr>
              <w:t>Общо разходи по бюджета (І.1+ІІ.):</w:t>
            </w:r>
          </w:p>
        </w:tc>
        <w:tc>
          <w:tcPr>
            <w:tcW w:w="466" w:type="pct"/>
            <w:shd w:val="clear" w:color="000000" w:fill="E6E6E6"/>
            <w:noWrap/>
            <w:vAlign w:val="center"/>
            <w:hideMark/>
          </w:tcPr>
          <w:p w14:paraId="7A59D227" w14:textId="77777777" w:rsidR="004A71EF" w:rsidRPr="00446C2A" w:rsidRDefault="004A71EF">
            <w:pPr>
              <w:jc w:val="right"/>
              <w:rPr>
                <w:b/>
                <w:bCs/>
                <w:sz w:val="16"/>
                <w:szCs w:val="16"/>
              </w:rPr>
            </w:pPr>
            <w:r w:rsidRPr="00446C2A">
              <w:rPr>
                <w:b/>
                <w:bCs/>
                <w:sz w:val="16"/>
                <w:szCs w:val="16"/>
              </w:rPr>
              <w:t>72 493 600</w:t>
            </w:r>
          </w:p>
        </w:tc>
        <w:tc>
          <w:tcPr>
            <w:tcW w:w="466" w:type="pct"/>
            <w:shd w:val="clear" w:color="000000" w:fill="E6E6E6"/>
            <w:noWrap/>
            <w:vAlign w:val="center"/>
            <w:hideMark/>
          </w:tcPr>
          <w:p w14:paraId="62E01B7A" w14:textId="77777777" w:rsidR="004A71EF" w:rsidRPr="00446C2A" w:rsidRDefault="004A71EF">
            <w:pPr>
              <w:jc w:val="right"/>
              <w:rPr>
                <w:b/>
                <w:bCs/>
                <w:sz w:val="16"/>
                <w:szCs w:val="16"/>
              </w:rPr>
            </w:pPr>
            <w:r w:rsidRPr="00446C2A">
              <w:rPr>
                <w:b/>
                <w:bCs/>
                <w:sz w:val="16"/>
                <w:szCs w:val="16"/>
              </w:rPr>
              <w:t>73 197 760</w:t>
            </w:r>
          </w:p>
        </w:tc>
        <w:tc>
          <w:tcPr>
            <w:tcW w:w="543" w:type="pct"/>
            <w:shd w:val="clear" w:color="000000" w:fill="E6E6E6"/>
            <w:noWrap/>
            <w:vAlign w:val="center"/>
            <w:hideMark/>
          </w:tcPr>
          <w:p w14:paraId="4A8AF428" w14:textId="77777777" w:rsidR="004A71EF" w:rsidRPr="00446C2A" w:rsidRDefault="004A71EF">
            <w:pPr>
              <w:jc w:val="right"/>
              <w:rPr>
                <w:b/>
                <w:bCs/>
                <w:sz w:val="16"/>
                <w:szCs w:val="16"/>
              </w:rPr>
            </w:pPr>
            <w:r w:rsidRPr="00446C2A">
              <w:rPr>
                <w:b/>
                <w:bCs/>
                <w:sz w:val="16"/>
                <w:szCs w:val="16"/>
              </w:rPr>
              <w:t>22 873 568</w:t>
            </w:r>
          </w:p>
        </w:tc>
      </w:tr>
      <w:tr w:rsidR="00446C2A" w:rsidRPr="00446C2A" w14:paraId="37BA616F" w14:textId="77777777" w:rsidTr="00784AFD">
        <w:trPr>
          <w:trHeight w:val="60"/>
          <w:jc w:val="center"/>
        </w:trPr>
        <w:tc>
          <w:tcPr>
            <w:tcW w:w="231" w:type="pct"/>
            <w:shd w:val="clear" w:color="auto" w:fill="auto"/>
            <w:noWrap/>
            <w:vAlign w:val="center"/>
            <w:hideMark/>
          </w:tcPr>
          <w:p w14:paraId="668EB6B1" w14:textId="77777777" w:rsidR="004A71EF" w:rsidRPr="00446C2A" w:rsidRDefault="004A71EF">
            <w:pPr>
              <w:rPr>
                <w:sz w:val="16"/>
                <w:szCs w:val="16"/>
              </w:rPr>
            </w:pPr>
            <w:r w:rsidRPr="00446C2A">
              <w:rPr>
                <w:sz w:val="16"/>
                <w:szCs w:val="16"/>
              </w:rPr>
              <w:t> </w:t>
            </w:r>
          </w:p>
        </w:tc>
        <w:tc>
          <w:tcPr>
            <w:tcW w:w="3295" w:type="pct"/>
            <w:shd w:val="clear" w:color="auto" w:fill="auto"/>
            <w:noWrap/>
            <w:vAlign w:val="center"/>
            <w:hideMark/>
          </w:tcPr>
          <w:p w14:paraId="0C038184" w14:textId="77777777" w:rsidR="004A71EF" w:rsidRPr="00446C2A" w:rsidRDefault="004A71EF">
            <w:pPr>
              <w:rPr>
                <w:sz w:val="16"/>
                <w:szCs w:val="16"/>
              </w:rPr>
            </w:pPr>
            <w:r w:rsidRPr="00446C2A">
              <w:rPr>
                <w:sz w:val="16"/>
                <w:szCs w:val="16"/>
              </w:rPr>
              <w:t> </w:t>
            </w:r>
          </w:p>
        </w:tc>
        <w:tc>
          <w:tcPr>
            <w:tcW w:w="466" w:type="pct"/>
            <w:shd w:val="clear" w:color="auto" w:fill="auto"/>
            <w:noWrap/>
            <w:vAlign w:val="center"/>
            <w:hideMark/>
          </w:tcPr>
          <w:p w14:paraId="7D8C56ED" w14:textId="77777777" w:rsidR="004A71EF" w:rsidRPr="00446C2A" w:rsidRDefault="004A71EF">
            <w:pPr>
              <w:jc w:val="right"/>
              <w:rPr>
                <w:sz w:val="16"/>
                <w:szCs w:val="16"/>
              </w:rPr>
            </w:pPr>
            <w:r w:rsidRPr="00446C2A">
              <w:rPr>
                <w:sz w:val="16"/>
                <w:szCs w:val="16"/>
              </w:rPr>
              <w:t> </w:t>
            </w:r>
          </w:p>
        </w:tc>
        <w:tc>
          <w:tcPr>
            <w:tcW w:w="466" w:type="pct"/>
            <w:shd w:val="clear" w:color="auto" w:fill="auto"/>
            <w:noWrap/>
            <w:vAlign w:val="center"/>
            <w:hideMark/>
          </w:tcPr>
          <w:p w14:paraId="0BEFC839" w14:textId="77777777" w:rsidR="004A71EF" w:rsidRPr="00446C2A" w:rsidRDefault="004A71EF">
            <w:pPr>
              <w:jc w:val="right"/>
              <w:rPr>
                <w:sz w:val="16"/>
                <w:szCs w:val="16"/>
              </w:rPr>
            </w:pPr>
            <w:r w:rsidRPr="00446C2A">
              <w:rPr>
                <w:sz w:val="16"/>
                <w:szCs w:val="16"/>
              </w:rPr>
              <w:t> </w:t>
            </w:r>
          </w:p>
        </w:tc>
        <w:tc>
          <w:tcPr>
            <w:tcW w:w="543" w:type="pct"/>
            <w:shd w:val="clear" w:color="auto" w:fill="auto"/>
            <w:noWrap/>
            <w:vAlign w:val="center"/>
            <w:hideMark/>
          </w:tcPr>
          <w:p w14:paraId="08E0EB95" w14:textId="77777777" w:rsidR="004A71EF" w:rsidRPr="00446C2A" w:rsidRDefault="004A71EF">
            <w:pPr>
              <w:jc w:val="right"/>
              <w:rPr>
                <w:sz w:val="16"/>
                <w:szCs w:val="16"/>
              </w:rPr>
            </w:pPr>
            <w:r w:rsidRPr="00446C2A">
              <w:rPr>
                <w:sz w:val="16"/>
                <w:szCs w:val="16"/>
              </w:rPr>
              <w:t> </w:t>
            </w:r>
          </w:p>
        </w:tc>
      </w:tr>
      <w:tr w:rsidR="00446C2A" w:rsidRPr="00446C2A" w14:paraId="3659F28B" w14:textId="77777777" w:rsidTr="0061663E">
        <w:trPr>
          <w:trHeight w:val="223"/>
          <w:jc w:val="center"/>
        </w:trPr>
        <w:tc>
          <w:tcPr>
            <w:tcW w:w="231" w:type="pct"/>
            <w:shd w:val="clear" w:color="000000" w:fill="E6E6E6"/>
            <w:noWrap/>
            <w:vAlign w:val="center"/>
            <w:hideMark/>
          </w:tcPr>
          <w:p w14:paraId="0438C2E8" w14:textId="77777777" w:rsidR="004A71EF" w:rsidRPr="00446C2A" w:rsidRDefault="004A71EF">
            <w:pPr>
              <w:rPr>
                <w:b/>
                <w:bCs/>
                <w:sz w:val="16"/>
                <w:szCs w:val="16"/>
              </w:rPr>
            </w:pPr>
            <w:r w:rsidRPr="00446C2A">
              <w:rPr>
                <w:b/>
                <w:bCs/>
                <w:sz w:val="16"/>
                <w:szCs w:val="16"/>
              </w:rPr>
              <w:t> </w:t>
            </w:r>
          </w:p>
        </w:tc>
        <w:tc>
          <w:tcPr>
            <w:tcW w:w="3295" w:type="pct"/>
            <w:shd w:val="clear" w:color="000000" w:fill="E6E6E6"/>
            <w:noWrap/>
            <w:vAlign w:val="center"/>
            <w:hideMark/>
          </w:tcPr>
          <w:p w14:paraId="109A011F" w14:textId="77777777" w:rsidR="004A71EF" w:rsidRPr="00446C2A" w:rsidRDefault="004A71EF">
            <w:pPr>
              <w:rPr>
                <w:b/>
                <w:bCs/>
                <w:sz w:val="16"/>
                <w:szCs w:val="16"/>
              </w:rPr>
            </w:pPr>
            <w:r w:rsidRPr="00446C2A">
              <w:rPr>
                <w:b/>
                <w:bCs/>
                <w:sz w:val="16"/>
                <w:szCs w:val="16"/>
              </w:rPr>
              <w:t>Общо разходи (І.+ІІ.+ІІІ.):</w:t>
            </w:r>
          </w:p>
        </w:tc>
        <w:tc>
          <w:tcPr>
            <w:tcW w:w="466" w:type="pct"/>
            <w:shd w:val="clear" w:color="000000" w:fill="E6E6E6"/>
            <w:noWrap/>
            <w:vAlign w:val="center"/>
            <w:hideMark/>
          </w:tcPr>
          <w:p w14:paraId="7F29B6A2" w14:textId="77777777" w:rsidR="004A71EF" w:rsidRPr="00446C2A" w:rsidRDefault="004A71EF">
            <w:pPr>
              <w:jc w:val="right"/>
              <w:rPr>
                <w:b/>
                <w:bCs/>
                <w:sz w:val="16"/>
                <w:szCs w:val="16"/>
              </w:rPr>
            </w:pPr>
            <w:r w:rsidRPr="00446C2A">
              <w:rPr>
                <w:b/>
                <w:bCs/>
                <w:sz w:val="16"/>
                <w:szCs w:val="16"/>
              </w:rPr>
              <w:t>72 493 600</w:t>
            </w:r>
          </w:p>
        </w:tc>
        <w:tc>
          <w:tcPr>
            <w:tcW w:w="466" w:type="pct"/>
            <w:shd w:val="clear" w:color="000000" w:fill="E6E6E6"/>
            <w:noWrap/>
            <w:vAlign w:val="center"/>
            <w:hideMark/>
          </w:tcPr>
          <w:p w14:paraId="7E5063C7" w14:textId="77777777" w:rsidR="004A71EF" w:rsidRPr="00446C2A" w:rsidRDefault="004A71EF">
            <w:pPr>
              <w:jc w:val="right"/>
              <w:rPr>
                <w:b/>
                <w:bCs/>
                <w:sz w:val="16"/>
                <w:szCs w:val="16"/>
              </w:rPr>
            </w:pPr>
            <w:r w:rsidRPr="00446C2A">
              <w:rPr>
                <w:b/>
                <w:bCs/>
                <w:sz w:val="16"/>
                <w:szCs w:val="16"/>
              </w:rPr>
              <w:t>73 197 760</w:t>
            </w:r>
          </w:p>
        </w:tc>
        <w:tc>
          <w:tcPr>
            <w:tcW w:w="543" w:type="pct"/>
            <w:shd w:val="clear" w:color="000000" w:fill="E6E6E6"/>
            <w:noWrap/>
            <w:vAlign w:val="center"/>
            <w:hideMark/>
          </w:tcPr>
          <w:p w14:paraId="6D10BE1B" w14:textId="77777777" w:rsidR="004A71EF" w:rsidRPr="00446C2A" w:rsidRDefault="004A71EF">
            <w:pPr>
              <w:jc w:val="right"/>
              <w:rPr>
                <w:b/>
                <w:bCs/>
                <w:sz w:val="16"/>
                <w:szCs w:val="16"/>
              </w:rPr>
            </w:pPr>
            <w:r w:rsidRPr="00446C2A">
              <w:rPr>
                <w:b/>
                <w:bCs/>
                <w:sz w:val="16"/>
                <w:szCs w:val="16"/>
              </w:rPr>
              <w:t>23 315 322</w:t>
            </w:r>
          </w:p>
        </w:tc>
      </w:tr>
      <w:tr w:rsidR="00446C2A" w:rsidRPr="00446C2A" w14:paraId="432B3C93" w14:textId="77777777" w:rsidTr="00784AFD">
        <w:trPr>
          <w:trHeight w:val="220"/>
          <w:jc w:val="center"/>
        </w:trPr>
        <w:tc>
          <w:tcPr>
            <w:tcW w:w="231" w:type="pct"/>
            <w:shd w:val="clear" w:color="auto" w:fill="auto"/>
            <w:noWrap/>
            <w:vAlign w:val="center"/>
            <w:hideMark/>
          </w:tcPr>
          <w:p w14:paraId="33BA8528" w14:textId="77777777" w:rsidR="004A71EF" w:rsidRPr="00446C2A" w:rsidRDefault="004A71EF">
            <w:pPr>
              <w:rPr>
                <w:sz w:val="16"/>
                <w:szCs w:val="16"/>
              </w:rPr>
            </w:pPr>
            <w:r w:rsidRPr="00446C2A">
              <w:rPr>
                <w:sz w:val="16"/>
                <w:szCs w:val="16"/>
              </w:rPr>
              <w:t> </w:t>
            </w:r>
          </w:p>
        </w:tc>
        <w:tc>
          <w:tcPr>
            <w:tcW w:w="3295" w:type="pct"/>
            <w:shd w:val="clear" w:color="auto" w:fill="auto"/>
            <w:noWrap/>
            <w:vAlign w:val="center"/>
            <w:hideMark/>
          </w:tcPr>
          <w:p w14:paraId="15930E06" w14:textId="77777777" w:rsidR="004A71EF" w:rsidRPr="00446C2A" w:rsidRDefault="004A71EF">
            <w:pPr>
              <w:rPr>
                <w:sz w:val="16"/>
                <w:szCs w:val="16"/>
              </w:rPr>
            </w:pPr>
            <w:r w:rsidRPr="00446C2A">
              <w:rPr>
                <w:sz w:val="16"/>
                <w:szCs w:val="16"/>
              </w:rPr>
              <w:t>Численост на щатния персонал</w:t>
            </w:r>
          </w:p>
        </w:tc>
        <w:tc>
          <w:tcPr>
            <w:tcW w:w="466" w:type="pct"/>
            <w:shd w:val="clear" w:color="auto" w:fill="auto"/>
            <w:noWrap/>
            <w:vAlign w:val="center"/>
            <w:hideMark/>
          </w:tcPr>
          <w:p w14:paraId="458DC263" w14:textId="77777777" w:rsidR="004A71EF" w:rsidRPr="00446C2A" w:rsidRDefault="004A71EF">
            <w:pPr>
              <w:jc w:val="right"/>
              <w:rPr>
                <w:sz w:val="16"/>
                <w:szCs w:val="16"/>
              </w:rPr>
            </w:pPr>
            <w:r w:rsidRPr="00446C2A">
              <w:rPr>
                <w:sz w:val="16"/>
                <w:szCs w:val="16"/>
              </w:rPr>
              <w:t>871</w:t>
            </w:r>
          </w:p>
        </w:tc>
        <w:tc>
          <w:tcPr>
            <w:tcW w:w="466" w:type="pct"/>
            <w:shd w:val="clear" w:color="auto" w:fill="auto"/>
            <w:noWrap/>
            <w:vAlign w:val="center"/>
            <w:hideMark/>
          </w:tcPr>
          <w:p w14:paraId="6A67315F" w14:textId="77777777" w:rsidR="004A71EF" w:rsidRPr="00446C2A" w:rsidRDefault="004A71EF">
            <w:pPr>
              <w:jc w:val="right"/>
              <w:rPr>
                <w:sz w:val="16"/>
                <w:szCs w:val="16"/>
              </w:rPr>
            </w:pPr>
            <w:r w:rsidRPr="00446C2A">
              <w:rPr>
                <w:sz w:val="16"/>
                <w:szCs w:val="16"/>
              </w:rPr>
              <w:t>872</w:t>
            </w:r>
          </w:p>
        </w:tc>
        <w:tc>
          <w:tcPr>
            <w:tcW w:w="543" w:type="pct"/>
            <w:shd w:val="clear" w:color="auto" w:fill="auto"/>
            <w:noWrap/>
            <w:vAlign w:val="center"/>
            <w:hideMark/>
          </w:tcPr>
          <w:p w14:paraId="13DDE873" w14:textId="77777777" w:rsidR="004A71EF" w:rsidRPr="00446C2A" w:rsidRDefault="004A71EF">
            <w:pPr>
              <w:jc w:val="right"/>
              <w:rPr>
                <w:sz w:val="16"/>
                <w:szCs w:val="16"/>
              </w:rPr>
            </w:pPr>
            <w:r w:rsidRPr="00446C2A">
              <w:rPr>
                <w:sz w:val="16"/>
                <w:szCs w:val="16"/>
              </w:rPr>
              <w:t>806</w:t>
            </w:r>
          </w:p>
        </w:tc>
      </w:tr>
    </w:tbl>
    <w:p w14:paraId="5D105F88" w14:textId="77777777" w:rsidR="000E36A1" w:rsidRPr="000C3896" w:rsidRDefault="00A87FDE" w:rsidP="000C3896">
      <w:pPr>
        <w:shd w:val="clear" w:color="auto" w:fill="FFFFFF" w:themeFill="background1"/>
        <w:tabs>
          <w:tab w:val="left" w:pos="709"/>
        </w:tabs>
        <w:spacing w:before="120"/>
        <w:ind w:left="425"/>
        <w:jc w:val="both"/>
        <w:rPr>
          <w:b/>
          <w:color w:val="215E99" w:themeColor="text2" w:themeTint="BF"/>
          <w:sz w:val="22"/>
          <w:szCs w:val="22"/>
        </w:rPr>
      </w:pPr>
      <w:r w:rsidRPr="000C3896">
        <w:rPr>
          <w:b/>
          <w:color w:val="215E99" w:themeColor="text2" w:themeTint="BF"/>
          <w:sz w:val="22"/>
          <w:szCs w:val="22"/>
        </w:rPr>
        <w:t>Отговорност за изпълнението на програмата</w:t>
      </w:r>
    </w:p>
    <w:p w14:paraId="5C74B6E3" w14:textId="0FAF8F12" w:rsidR="00287D2E" w:rsidRPr="00B31E9D" w:rsidRDefault="00287D2E" w:rsidP="000C3896">
      <w:pPr>
        <w:shd w:val="clear" w:color="auto" w:fill="FFFFFF" w:themeFill="background1"/>
        <w:tabs>
          <w:tab w:val="left" w:pos="709"/>
        </w:tabs>
        <w:spacing w:after="240"/>
        <w:ind w:left="425"/>
        <w:jc w:val="both"/>
        <w:rPr>
          <w:sz w:val="22"/>
          <w:szCs w:val="22"/>
        </w:rPr>
      </w:pPr>
      <w:r w:rsidRPr="00287D2E">
        <w:rPr>
          <w:sz w:val="22"/>
          <w:szCs w:val="22"/>
        </w:rPr>
        <w:t>Отговорност за изпълнението на програмата имат всичките 28 областни управители.</w:t>
      </w:r>
    </w:p>
    <w:p w14:paraId="1A6D6347" w14:textId="77777777" w:rsidR="00A92AEF" w:rsidRPr="00667B09" w:rsidRDefault="002B14A6" w:rsidP="00FE5CDF">
      <w:pPr>
        <w:pStyle w:val="Heading1"/>
      </w:pPr>
      <w:r w:rsidRPr="00667B09">
        <w:t>9</w:t>
      </w:r>
      <w:r w:rsidR="00A92AEF" w:rsidRPr="00667B09">
        <w:t>.</w:t>
      </w:r>
      <w:r w:rsidR="00392901" w:rsidRPr="00667B09">
        <w:t>5</w:t>
      </w:r>
      <w:r w:rsidR="009F2804" w:rsidRPr="00667B09">
        <w:t xml:space="preserve"> </w:t>
      </w:r>
      <w:r w:rsidR="00B427DC" w:rsidRPr="00667B09">
        <w:t>Бюджетна п</w:t>
      </w:r>
      <w:r w:rsidR="009F2804" w:rsidRPr="00667B09">
        <w:t>рограма</w:t>
      </w:r>
      <w:r w:rsidR="00A92AEF" w:rsidRPr="00667B09">
        <w:t xml:space="preserve"> </w:t>
      </w:r>
      <w:r w:rsidR="005A2EF0" w:rsidRPr="00667B09">
        <w:t xml:space="preserve">0300.04.01 </w:t>
      </w:r>
      <w:r w:rsidR="00A92AEF" w:rsidRPr="00667B09">
        <w:t>“Вероизповедания”</w:t>
      </w:r>
    </w:p>
    <w:p w14:paraId="4A8666F1" w14:textId="77777777" w:rsidR="00034E52" w:rsidRPr="00EA1BB6" w:rsidRDefault="00034E52" w:rsidP="000C3896">
      <w:pPr>
        <w:widowControl w:val="0"/>
        <w:shd w:val="clear" w:color="auto" w:fill="FFFFFF" w:themeFill="background1"/>
        <w:ind w:firstLine="426"/>
        <w:jc w:val="both"/>
        <w:outlineLvl w:val="3"/>
        <w:rPr>
          <w:b/>
          <w:i/>
          <w:color w:val="800000"/>
          <w:sz w:val="22"/>
          <w:szCs w:val="22"/>
        </w:rPr>
      </w:pPr>
      <w:r w:rsidRPr="00EA1BB6">
        <w:rPr>
          <w:b/>
          <w:i/>
          <w:color w:val="800000"/>
          <w:sz w:val="22"/>
          <w:szCs w:val="22"/>
        </w:rPr>
        <w:t>Описание на степента на изпълнение на заложените в програмата цели</w:t>
      </w:r>
    </w:p>
    <w:p w14:paraId="21280E15" w14:textId="77777777" w:rsidR="008E269A" w:rsidRPr="00667B09" w:rsidRDefault="008E269A" w:rsidP="009C4D63">
      <w:pPr>
        <w:shd w:val="clear" w:color="auto" w:fill="FFFFFF" w:themeFill="background1"/>
        <w:tabs>
          <w:tab w:val="left" w:pos="709"/>
        </w:tabs>
        <w:ind w:left="425"/>
        <w:jc w:val="both"/>
        <w:rPr>
          <w:sz w:val="22"/>
          <w:szCs w:val="22"/>
        </w:rPr>
      </w:pPr>
      <w:r w:rsidRPr="00667B09">
        <w:rPr>
          <w:sz w:val="22"/>
          <w:szCs w:val="22"/>
        </w:rPr>
        <w:t>Координиране на отношенията между изпълнителната власт и вероизповеданията</w:t>
      </w:r>
      <w:r w:rsidR="00931E0A" w:rsidRPr="00667B09">
        <w:rPr>
          <w:sz w:val="22"/>
          <w:szCs w:val="22"/>
        </w:rPr>
        <w:t>.</w:t>
      </w:r>
    </w:p>
    <w:p w14:paraId="18B11000" w14:textId="77777777" w:rsidR="00034E52" w:rsidRPr="001600C3" w:rsidRDefault="00034E52" w:rsidP="000C3896">
      <w:pPr>
        <w:widowControl w:val="0"/>
        <w:shd w:val="clear" w:color="auto" w:fill="FFFFFF" w:themeFill="background1"/>
        <w:spacing w:before="120"/>
        <w:ind w:firstLine="425"/>
        <w:jc w:val="both"/>
        <w:outlineLvl w:val="3"/>
        <w:rPr>
          <w:b/>
          <w:i/>
          <w:color w:val="800000"/>
          <w:sz w:val="22"/>
          <w:szCs w:val="22"/>
        </w:rPr>
      </w:pPr>
      <w:r w:rsidRPr="001600C3">
        <w:rPr>
          <w:b/>
          <w:i/>
          <w:color w:val="800000"/>
          <w:sz w:val="22"/>
          <w:szCs w:val="22"/>
        </w:rPr>
        <w:t>Продукти/усл</w:t>
      </w:r>
      <w:r w:rsidR="00176B1D" w:rsidRPr="001600C3">
        <w:rPr>
          <w:b/>
          <w:i/>
          <w:color w:val="800000"/>
          <w:sz w:val="22"/>
          <w:szCs w:val="22"/>
        </w:rPr>
        <w:t>уги, предоставяне по програмата</w:t>
      </w:r>
    </w:p>
    <w:p w14:paraId="5BBF97B4" w14:textId="77777777" w:rsidR="008E269A" w:rsidRPr="000C3896" w:rsidRDefault="008E269A" w:rsidP="000C3896">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0C3896">
        <w:rPr>
          <w:b/>
          <w:bCs/>
          <w:i/>
          <w:iCs/>
          <w:color w:val="215E99" w:themeColor="text2" w:themeTint="BF"/>
          <w:sz w:val="22"/>
          <w:szCs w:val="22"/>
        </w:rPr>
        <w:t>Регулиране на взаимоотношенията между вероизповеданията и държавата и между самите вероизповедания</w:t>
      </w:r>
    </w:p>
    <w:p w14:paraId="602BCE13" w14:textId="77777777" w:rsidR="00067F8F" w:rsidRPr="00667B09" w:rsidRDefault="00067F8F" w:rsidP="000C3896">
      <w:pPr>
        <w:widowControl w:val="0"/>
        <w:shd w:val="clear" w:color="auto" w:fill="FFFFFF" w:themeFill="background1"/>
        <w:ind w:firstLine="425"/>
        <w:jc w:val="both"/>
        <w:outlineLvl w:val="3"/>
        <w:rPr>
          <w:b/>
          <w:i/>
          <w:color w:val="800000"/>
          <w:sz w:val="22"/>
          <w:szCs w:val="22"/>
        </w:rPr>
      </w:pPr>
      <w:r w:rsidRPr="00667B09">
        <w:rPr>
          <w:b/>
          <w:i/>
          <w:color w:val="800000"/>
          <w:sz w:val="22"/>
          <w:szCs w:val="22"/>
        </w:rPr>
        <w:t>Постигнати резултати и изпълнени дейности за предоставяне на продукта/услугата:</w:t>
      </w:r>
    </w:p>
    <w:p w14:paraId="67156D9C" w14:textId="4D5DA041" w:rsidR="00D908A0" w:rsidRPr="00D908A0" w:rsidRDefault="00D908A0" w:rsidP="000C3896">
      <w:pPr>
        <w:numPr>
          <w:ilvl w:val="0"/>
          <w:numId w:val="42"/>
        </w:numPr>
        <w:shd w:val="clear" w:color="auto" w:fill="FFFFFF" w:themeFill="background1"/>
        <w:tabs>
          <w:tab w:val="left" w:pos="709"/>
        </w:tabs>
        <w:ind w:left="0" w:firstLine="425"/>
        <w:jc w:val="both"/>
        <w:rPr>
          <w:sz w:val="22"/>
          <w:szCs w:val="22"/>
        </w:rPr>
      </w:pPr>
      <w:r w:rsidRPr="00D908A0">
        <w:rPr>
          <w:sz w:val="22"/>
          <w:szCs w:val="22"/>
        </w:rPr>
        <w:t xml:space="preserve">Когато и </w:t>
      </w:r>
      <w:r>
        <w:rPr>
          <w:sz w:val="22"/>
          <w:szCs w:val="22"/>
        </w:rPr>
        <w:t xml:space="preserve">да </w:t>
      </w:r>
      <w:r w:rsidRPr="00D908A0">
        <w:rPr>
          <w:sz w:val="22"/>
          <w:szCs w:val="22"/>
        </w:rPr>
        <w:t>бъде възложено, участва в разработването на законопроекти, проекти за постановления, решения и разпор</w:t>
      </w:r>
      <w:r>
        <w:rPr>
          <w:sz w:val="22"/>
          <w:szCs w:val="22"/>
        </w:rPr>
        <w:t>еждания по религиозните въпроси;</w:t>
      </w:r>
    </w:p>
    <w:p w14:paraId="3C1AF7B4" w14:textId="7412D2F2" w:rsidR="00D908A0" w:rsidRPr="00D908A0" w:rsidRDefault="00D908A0" w:rsidP="000C3896">
      <w:pPr>
        <w:numPr>
          <w:ilvl w:val="0"/>
          <w:numId w:val="42"/>
        </w:numPr>
        <w:shd w:val="clear" w:color="auto" w:fill="FFFFFF" w:themeFill="background1"/>
        <w:tabs>
          <w:tab w:val="left" w:pos="709"/>
        </w:tabs>
        <w:ind w:left="0" w:firstLine="425"/>
        <w:jc w:val="both"/>
        <w:rPr>
          <w:sz w:val="22"/>
          <w:szCs w:val="22"/>
        </w:rPr>
      </w:pPr>
      <w:r w:rsidRPr="00D908A0">
        <w:rPr>
          <w:sz w:val="22"/>
          <w:szCs w:val="22"/>
        </w:rPr>
        <w:t>Координира отношенията на изпълните</w:t>
      </w:r>
      <w:r>
        <w:rPr>
          <w:sz w:val="22"/>
          <w:szCs w:val="22"/>
        </w:rPr>
        <w:t>лната власт с вероизповеданията;</w:t>
      </w:r>
    </w:p>
    <w:p w14:paraId="719D7BCB" w14:textId="593BA282" w:rsidR="00D908A0" w:rsidRPr="00D908A0" w:rsidRDefault="00D908A0" w:rsidP="000C3896">
      <w:pPr>
        <w:numPr>
          <w:ilvl w:val="0"/>
          <w:numId w:val="42"/>
        </w:numPr>
        <w:shd w:val="clear" w:color="auto" w:fill="FFFFFF" w:themeFill="background1"/>
        <w:tabs>
          <w:tab w:val="left" w:pos="709"/>
        </w:tabs>
        <w:ind w:left="0" w:firstLine="425"/>
        <w:jc w:val="both"/>
        <w:rPr>
          <w:sz w:val="22"/>
          <w:szCs w:val="22"/>
        </w:rPr>
      </w:pPr>
      <w:r w:rsidRPr="00D908A0">
        <w:rPr>
          <w:sz w:val="22"/>
          <w:szCs w:val="22"/>
        </w:rPr>
        <w:t>Когато и бъде възложено, участва в обсъждането на законопроекти в постояннит</w:t>
      </w:r>
      <w:r>
        <w:rPr>
          <w:sz w:val="22"/>
          <w:szCs w:val="22"/>
        </w:rPr>
        <w:t>е комисии на Народното събрание;</w:t>
      </w:r>
    </w:p>
    <w:p w14:paraId="41A31EEB" w14:textId="20359382" w:rsidR="00D908A0" w:rsidRPr="00D908A0" w:rsidRDefault="00D908A0" w:rsidP="000C3896">
      <w:pPr>
        <w:numPr>
          <w:ilvl w:val="0"/>
          <w:numId w:val="42"/>
        </w:numPr>
        <w:shd w:val="clear" w:color="auto" w:fill="FFFFFF" w:themeFill="background1"/>
        <w:tabs>
          <w:tab w:val="left" w:pos="709"/>
        </w:tabs>
        <w:ind w:left="0" w:firstLine="425"/>
        <w:jc w:val="both"/>
        <w:rPr>
          <w:sz w:val="22"/>
          <w:szCs w:val="22"/>
        </w:rPr>
      </w:pPr>
      <w:r w:rsidRPr="00D908A0">
        <w:rPr>
          <w:sz w:val="22"/>
          <w:szCs w:val="22"/>
        </w:rPr>
        <w:t>Изготвя отговори, които министър-председателят дава по отправените от народните представители питания по религиознит</w:t>
      </w:r>
      <w:r w:rsidR="00BF1CA8">
        <w:rPr>
          <w:sz w:val="22"/>
          <w:szCs w:val="22"/>
        </w:rPr>
        <w:t>е въпроси към Министерски съвет;</w:t>
      </w:r>
    </w:p>
    <w:p w14:paraId="29E60719" w14:textId="0E0F7CF7" w:rsidR="00D908A0" w:rsidRPr="00D908A0" w:rsidRDefault="00D908A0" w:rsidP="000C3896">
      <w:pPr>
        <w:numPr>
          <w:ilvl w:val="0"/>
          <w:numId w:val="42"/>
        </w:numPr>
        <w:shd w:val="clear" w:color="auto" w:fill="FFFFFF" w:themeFill="background1"/>
        <w:tabs>
          <w:tab w:val="left" w:pos="709"/>
        </w:tabs>
        <w:ind w:left="0" w:firstLine="425"/>
        <w:jc w:val="both"/>
        <w:rPr>
          <w:sz w:val="22"/>
          <w:szCs w:val="22"/>
        </w:rPr>
      </w:pPr>
      <w:r w:rsidRPr="00D908A0">
        <w:rPr>
          <w:sz w:val="22"/>
          <w:szCs w:val="22"/>
        </w:rPr>
        <w:t>Издава удостоверения относно правоприемството на вероизповеданията и съществували религиозни, религиозно-просветни и социално-благотворителни юридически лица в периода до 1949 г. (Към настоящия момент тази услуга не се предоставя.)</w:t>
      </w:r>
      <w:r w:rsidR="00BF1CA8">
        <w:rPr>
          <w:sz w:val="22"/>
          <w:szCs w:val="22"/>
        </w:rPr>
        <w:t>;</w:t>
      </w:r>
    </w:p>
    <w:p w14:paraId="78AB08DE" w14:textId="3D41D5A9" w:rsidR="00D908A0" w:rsidRPr="00D908A0" w:rsidRDefault="00D908A0" w:rsidP="000C3896">
      <w:pPr>
        <w:numPr>
          <w:ilvl w:val="0"/>
          <w:numId w:val="42"/>
        </w:numPr>
        <w:shd w:val="clear" w:color="auto" w:fill="FFFFFF" w:themeFill="background1"/>
        <w:tabs>
          <w:tab w:val="left" w:pos="709"/>
        </w:tabs>
        <w:ind w:left="0" w:firstLine="425"/>
        <w:jc w:val="both"/>
        <w:rPr>
          <w:sz w:val="22"/>
          <w:szCs w:val="22"/>
        </w:rPr>
      </w:pPr>
      <w:r w:rsidRPr="00D908A0">
        <w:rPr>
          <w:sz w:val="22"/>
          <w:szCs w:val="22"/>
        </w:rPr>
        <w:t>Изготвя становища до Софийски градски съд при регистрац</w:t>
      </w:r>
      <w:r w:rsidR="00BF1CA8">
        <w:rPr>
          <w:sz w:val="22"/>
          <w:szCs w:val="22"/>
        </w:rPr>
        <w:t>ията на вероизповеданията;</w:t>
      </w:r>
    </w:p>
    <w:p w14:paraId="54803518" w14:textId="1E72BD9A" w:rsidR="00D908A0" w:rsidRPr="00D908A0" w:rsidRDefault="00D908A0" w:rsidP="000C3896">
      <w:pPr>
        <w:numPr>
          <w:ilvl w:val="0"/>
          <w:numId w:val="42"/>
        </w:numPr>
        <w:shd w:val="clear" w:color="auto" w:fill="FFFFFF" w:themeFill="background1"/>
        <w:tabs>
          <w:tab w:val="left" w:pos="709"/>
        </w:tabs>
        <w:ind w:left="0" w:firstLine="425"/>
        <w:jc w:val="both"/>
        <w:rPr>
          <w:sz w:val="22"/>
          <w:szCs w:val="22"/>
        </w:rPr>
      </w:pPr>
      <w:r w:rsidRPr="00D908A0">
        <w:rPr>
          <w:sz w:val="22"/>
          <w:szCs w:val="22"/>
        </w:rPr>
        <w:t xml:space="preserve">Организира и ръководи работата на експертна консултативна комисия по </w:t>
      </w:r>
      <w:r w:rsidR="00BF1CA8">
        <w:rPr>
          <w:sz w:val="22"/>
          <w:szCs w:val="22"/>
        </w:rPr>
        <w:t>проблемите на вероизповеданията;</w:t>
      </w:r>
    </w:p>
    <w:p w14:paraId="5581AAB7" w14:textId="0994D819" w:rsidR="00D908A0" w:rsidRPr="00D908A0" w:rsidRDefault="00D908A0" w:rsidP="000C3896">
      <w:pPr>
        <w:numPr>
          <w:ilvl w:val="0"/>
          <w:numId w:val="42"/>
        </w:numPr>
        <w:shd w:val="clear" w:color="auto" w:fill="FFFFFF" w:themeFill="background1"/>
        <w:tabs>
          <w:tab w:val="left" w:pos="709"/>
        </w:tabs>
        <w:ind w:left="0" w:firstLine="425"/>
        <w:jc w:val="both"/>
        <w:rPr>
          <w:sz w:val="22"/>
          <w:szCs w:val="22"/>
        </w:rPr>
      </w:pPr>
      <w:r w:rsidRPr="00D908A0">
        <w:rPr>
          <w:sz w:val="22"/>
          <w:szCs w:val="22"/>
        </w:rPr>
        <w:t>Подпомага Министерския съвет при осъществяване на държавната политика на поддържане на търпимост и уважение между различнит</w:t>
      </w:r>
      <w:r w:rsidR="00FF4A22">
        <w:rPr>
          <w:sz w:val="22"/>
          <w:szCs w:val="22"/>
        </w:rPr>
        <w:t>е вероизповедания;</w:t>
      </w:r>
    </w:p>
    <w:p w14:paraId="6A7F15E1" w14:textId="7EA776BC" w:rsidR="00D908A0" w:rsidRPr="00D908A0" w:rsidRDefault="00D908A0" w:rsidP="000C3896">
      <w:pPr>
        <w:numPr>
          <w:ilvl w:val="0"/>
          <w:numId w:val="42"/>
        </w:numPr>
        <w:shd w:val="clear" w:color="auto" w:fill="FFFFFF" w:themeFill="background1"/>
        <w:tabs>
          <w:tab w:val="left" w:pos="709"/>
        </w:tabs>
        <w:ind w:left="0" w:firstLine="425"/>
        <w:jc w:val="both"/>
        <w:rPr>
          <w:sz w:val="22"/>
          <w:szCs w:val="22"/>
        </w:rPr>
      </w:pPr>
      <w:r w:rsidRPr="00D908A0">
        <w:rPr>
          <w:sz w:val="22"/>
          <w:szCs w:val="22"/>
        </w:rPr>
        <w:t>Участва в международни и национални форуми, посветени на религиозни проблеми и състоянието на религиозните права</w:t>
      </w:r>
      <w:r w:rsidR="00FF4A22">
        <w:rPr>
          <w:sz w:val="22"/>
          <w:szCs w:val="22"/>
        </w:rPr>
        <w:t xml:space="preserve"> и свободи в Република България;</w:t>
      </w:r>
    </w:p>
    <w:p w14:paraId="28774C0E" w14:textId="64D29984" w:rsidR="00D908A0" w:rsidRPr="00D908A0" w:rsidRDefault="00D908A0" w:rsidP="000C3896">
      <w:pPr>
        <w:numPr>
          <w:ilvl w:val="0"/>
          <w:numId w:val="42"/>
        </w:numPr>
        <w:shd w:val="clear" w:color="auto" w:fill="FFFFFF" w:themeFill="background1"/>
        <w:tabs>
          <w:tab w:val="left" w:pos="709"/>
        </w:tabs>
        <w:ind w:left="0" w:firstLine="425"/>
        <w:jc w:val="both"/>
        <w:rPr>
          <w:sz w:val="22"/>
          <w:szCs w:val="22"/>
        </w:rPr>
      </w:pPr>
      <w:r w:rsidRPr="00D908A0">
        <w:rPr>
          <w:sz w:val="22"/>
          <w:szCs w:val="22"/>
        </w:rPr>
        <w:t>Осъществява контакти и координационни връзки с аналогични учреждения в чужбина, с международни религи</w:t>
      </w:r>
      <w:r w:rsidR="00FF4A22">
        <w:rPr>
          <w:sz w:val="22"/>
          <w:szCs w:val="22"/>
        </w:rPr>
        <w:t>озни и правозащитни организации;</w:t>
      </w:r>
    </w:p>
    <w:p w14:paraId="03AD7D78" w14:textId="6BFC96E6" w:rsidR="00D908A0" w:rsidRPr="00D908A0" w:rsidRDefault="00D908A0" w:rsidP="000C3896">
      <w:pPr>
        <w:numPr>
          <w:ilvl w:val="0"/>
          <w:numId w:val="42"/>
        </w:numPr>
        <w:shd w:val="clear" w:color="auto" w:fill="FFFFFF" w:themeFill="background1"/>
        <w:tabs>
          <w:tab w:val="left" w:pos="709"/>
        </w:tabs>
        <w:ind w:left="0" w:firstLine="425"/>
        <w:jc w:val="both"/>
        <w:rPr>
          <w:sz w:val="22"/>
          <w:szCs w:val="22"/>
        </w:rPr>
      </w:pPr>
      <w:r w:rsidRPr="00D908A0">
        <w:rPr>
          <w:sz w:val="22"/>
          <w:szCs w:val="22"/>
        </w:rPr>
        <w:t>Оказва методическа помощ по прилагането на Закона за вероизповеда</w:t>
      </w:r>
      <w:r w:rsidR="00FF4A22">
        <w:rPr>
          <w:sz w:val="22"/>
          <w:szCs w:val="22"/>
        </w:rPr>
        <w:t>нията на местната администрация;</w:t>
      </w:r>
    </w:p>
    <w:p w14:paraId="31B329E7" w14:textId="570A4D82" w:rsidR="00D908A0" w:rsidRPr="00D908A0" w:rsidRDefault="00D908A0" w:rsidP="000C3896">
      <w:pPr>
        <w:numPr>
          <w:ilvl w:val="0"/>
          <w:numId w:val="42"/>
        </w:numPr>
        <w:shd w:val="clear" w:color="auto" w:fill="FFFFFF" w:themeFill="background1"/>
        <w:tabs>
          <w:tab w:val="left" w:pos="709"/>
        </w:tabs>
        <w:ind w:left="0" w:firstLine="425"/>
        <w:jc w:val="both"/>
        <w:rPr>
          <w:sz w:val="22"/>
          <w:szCs w:val="22"/>
        </w:rPr>
      </w:pPr>
      <w:r w:rsidRPr="00D908A0">
        <w:rPr>
          <w:sz w:val="22"/>
          <w:szCs w:val="22"/>
        </w:rPr>
        <w:lastRenderedPageBreak/>
        <w:t>Осъществява дейност по ежедневната кореспонденция на Министерския съвет с организации и граждани по принципни въпроси в рамките н</w:t>
      </w:r>
      <w:r w:rsidR="001B7821">
        <w:rPr>
          <w:sz w:val="22"/>
          <w:szCs w:val="22"/>
        </w:rPr>
        <w:t>а специализацията на Дирекцията;</w:t>
      </w:r>
    </w:p>
    <w:p w14:paraId="415B5D6E" w14:textId="72EEFD4A" w:rsidR="00D908A0" w:rsidRPr="00D908A0" w:rsidRDefault="00D908A0" w:rsidP="000C3896">
      <w:pPr>
        <w:numPr>
          <w:ilvl w:val="0"/>
          <w:numId w:val="42"/>
        </w:numPr>
        <w:shd w:val="clear" w:color="auto" w:fill="FFFFFF" w:themeFill="background1"/>
        <w:tabs>
          <w:tab w:val="left" w:pos="709"/>
        </w:tabs>
        <w:ind w:left="0" w:firstLine="425"/>
        <w:jc w:val="both"/>
        <w:rPr>
          <w:sz w:val="22"/>
          <w:szCs w:val="22"/>
        </w:rPr>
      </w:pPr>
      <w:r w:rsidRPr="00D908A0">
        <w:rPr>
          <w:sz w:val="22"/>
          <w:szCs w:val="22"/>
        </w:rPr>
        <w:t>Дава становища на компетентните държавни органи при издаване на разрешения за пребиваване в България на чужди религиозни служители, поканени от централните ръководства на вероизповеданията. Съдейства за получаването на визи и разрешения за престоя на бълга</w:t>
      </w:r>
      <w:r w:rsidR="001B7821">
        <w:rPr>
          <w:sz w:val="22"/>
          <w:szCs w:val="22"/>
        </w:rPr>
        <w:t>рски свещенослужители в чужбина;</w:t>
      </w:r>
    </w:p>
    <w:p w14:paraId="691C2EFB" w14:textId="7F30C68A" w:rsidR="00D908A0" w:rsidRPr="00D908A0" w:rsidRDefault="00D908A0" w:rsidP="000C3896">
      <w:pPr>
        <w:numPr>
          <w:ilvl w:val="0"/>
          <w:numId w:val="42"/>
        </w:numPr>
        <w:shd w:val="clear" w:color="auto" w:fill="FFFFFF" w:themeFill="background1"/>
        <w:tabs>
          <w:tab w:val="left" w:pos="709"/>
        </w:tabs>
        <w:ind w:left="0" w:firstLine="425"/>
        <w:jc w:val="both"/>
        <w:rPr>
          <w:sz w:val="22"/>
          <w:szCs w:val="22"/>
        </w:rPr>
      </w:pPr>
      <w:r w:rsidRPr="00D908A0">
        <w:rPr>
          <w:sz w:val="22"/>
          <w:szCs w:val="22"/>
        </w:rPr>
        <w:t xml:space="preserve">Проучва нуждите и прави предложения пред Министерския съвет по проекта на държавния бюджет за размера на държавната субсидия за подпомагане на вероизповеданията. Предоставя средствата одобрени със Закона за държавния бюджет на централните ръководства на конкретните вероизповедания. Осигурява отчетността при разходването на средствата на основата на обобщени справки на вероизповеданията, като при необходимост може да изисква и първични счетоводни документи </w:t>
      </w:r>
      <w:r w:rsidR="001B7821">
        <w:rPr>
          <w:sz w:val="22"/>
          <w:szCs w:val="22"/>
        </w:rPr>
        <w:t>към тях за доказване на разходи;</w:t>
      </w:r>
    </w:p>
    <w:p w14:paraId="79435435" w14:textId="10CEDE0F" w:rsidR="00D908A0" w:rsidRPr="00D908A0" w:rsidRDefault="00D908A0" w:rsidP="000C3896">
      <w:pPr>
        <w:numPr>
          <w:ilvl w:val="0"/>
          <w:numId w:val="42"/>
        </w:numPr>
        <w:shd w:val="clear" w:color="auto" w:fill="FFFFFF" w:themeFill="background1"/>
        <w:tabs>
          <w:tab w:val="left" w:pos="709"/>
        </w:tabs>
        <w:ind w:left="0" w:firstLine="425"/>
        <w:jc w:val="both"/>
        <w:rPr>
          <w:sz w:val="22"/>
          <w:szCs w:val="22"/>
        </w:rPr>
      </w:pPr>
      <w:r w:rsidRPr="00D908A0">
        <w:rPr>
          <w:sz w:val="22"/>
          <w:szCs w:val="22"/>
        </w:rPr>
        <w:t>Поддържа и актуализира публичен регистър на молитвените домове, храмовете и манастирите на религиозните институции, вписани в СГС. За тази цел през 2019 г. беше изработен сайт на дир</w:t>
      </w:r>
      <w:r w:rsidR="001B7821">
        <w:rPr>
          <w:sz w:val="22"/>
          <w:szCs w:val="22"/>
        </w:rPr>
        <w:t>екция „Вероизповедания“;</w:t>
      </w:r>
    </w:p>
    <w:p w14:paraId="27026D37" w14:textId="5F795B04" w:rsidR="00D908A0" w:rsidRPr="00D908A0" w:rsidRDefault="00D908A0" w:rsidP="000C3896">
      <w:pPr>
        <w:numPr>
          <w:ilvl w:val="0"/>
          <w:numId w:val="42"/>
        </w:numPr>
        <w:shd w:val="clear" w:color="auto" w:fill="FFFFFF" w:themeFill="background1"/>
        <w:tabs>
          <w:tab w:val="left" w:pos="709"/>
        </w:tabs>
        <w:ind w:left="0" w:firstLine="425"/>
        <w:jc w:val="both"/>
        <w:rPr>
          <w:sz w:val="22"/>
          <w:szCs w:val="22"/>
        </w:rPr>
      </w:pPr>
      <w:r w:rsidRPr="00D908A0">
        <w:rPr>
          <w:sz w:val="22"/>
          <w:szCs w:val="22"/>
        </w:rPr>
        <w:t>Осъществява контрол по спазването</w:t>
      </w:r>
      <w:r w:rsidR="001B7821">
        <w:rPr>
          <w:sz w:val="22"/>
          <w:szCs w:val="22"/>
        </w:rPr>
        <w:t xml:space="preserve"> на Закона за вероизповеданията;</w:t>
      </w:r>
    </w:p>
    <w:p w14:paraId="2324A97B" w14:textId="27636A2B" w:rsidR="00D908A0" w:rsidRPr="00D908A0" w:rsidRDefault="00D908A0" w:rsidP="000C3896">
      <w:pPr>
        <w:numPr>
          <w:ilvl w:val="0"/>
          <w:numId w:val="42"/>
        </w:numPr>
        <w:shd w:val="clear" w:color="auto" w:fill="FFFFFF" w:themeFill="background1"/>
        <w:tabs>
          <w:tab w:val="left" w:pos="709"/>
        </w:tabs>
        <w:ind w:left="0" w:firstLine="425"/>
        <w:jc w:val="both"/>
        <w:rPr>
          <w:sz w:val="22"/>
          <w:szCs w:val="22"/>
        </w:rPr>
      </w:pPr>
      <w:r w:rsidRPr="00D908A0">
        <w:rPr>
          <w:sz w:val="22"/>
          <w:szCs w:val="22"/>
        </w:rPr>
        <w:t>Проверява сигнали и жалби за нарушаване на религиозните права и свободи и извършването на незак</w:t>
      </w:r>
      <w:r w:rsidR="001B7821">
        <w:rPr>
          <w:sz w:val="22"/>
          <w:szCs w:val="22"/>
        </w:rPr>
        <w:t>оносъобразна религиозна дейност;</w:t>
      </w:r>
    </w:p>
    <w:p w14:paraId="508686A2" w14:textId="036078B2" w:rsidR="00D908A0" w:rsidRPr="00D908A0" w:rsidRDefault="00D908A0" w:rsidP="000C3896">
      <w:pPr>
        <w:numPr>
          <w:ilvl w:val="0"/>
          <w:numId w:val="42"/>
        </w:numPr>
        <w:shd w:val="clear" w:color="auto" w:fill="FFFFFF" w:themeFill="background1"/>
        <w:tabs>
          <w:tab w:val="left" w:pos="709"/>
        </w:tabs>
        <w:ind w:left="0" w:firstLine="425"/>
        <w:jc w:val="both"/>
        <w:rPr>
          <w:sz w:val="22"/>
          <w:szCs w:val="22"/>
        </w:rPr>
      </w:pPr>
      <w:r w:rsidRPr="00D908A0">
        <w:rPr>
          <w:sz w:val="22"/>
          <w:szCs w:val="22"/>
        </w:rPr>
        <w:t>Съблюдава за спазването на религиозните права и свободи</w:t>
      </w:r>
      <w:r w:rsidR="001B7821">
        <w:rPr>
          <w:sz w:val="22"/>
          <w:szCs w:val="22"/>
        </w:rPr>
        <w:t xml:space="preserve"> от задължените длъжностни лица;</w:t>
      </w:r>
    </w:p>
    <w:p w14:paraId="085DD066" w14:textId="1026FD02" w:rsidR="001600C3" w:rsidRDefault="00D908A0" w:rsidP="000C3896">
      <w:pPr>
        <w:numPr>
          <w:ilvl w:val="0"/>
          <w:numId w:val="42"/>
        </w:numPr>
        <w:shd w:val="clear" w:color="auto" w:fill="FFFFFF" w:themeFill="background1"/>
        <w:tabs>
          <w:tab w:val="left" w:pos="709"/>
        </w:tabs>
        <w:ind w:left="0" w:firstLine="425"/>
        <w:jc w:val="both"/>
        <w:rPr>
          <w:sz w:val="22"/>
          <w:szCs w:val="22"/>
        </w:rPr>
      </w:pPr>
      <w:r w:rsidRPr="00D908A0">
        <w:rPr>
          <w:sz w:val="22"/>
          <w:szCs w:val="22"/>
        </w:rPr>
        <w:t>Констатира с актове нарушенията на Закона за вероизповеданията и в предвидените случаи издава наказателни постановления.</w:t>
      </w:r>
    </w:p>
    <w:p w14:paraId="2E63D4B7" w14:textId="77777777" w:rsidR="00353DDE" w:rsidRPr="00353DDE" w:rsidRDefault="00353DDE" w:rsidP="000C3896">
      <w:pPr>
        <w:widowControl w:val="0"/>
        <w:shd w:val="clear" w:color="auto" w:fill="FFFFFF" w:themeFill="background1"/>
        <w:spacing w:before="120"/>
        <w:ind w:firstLine="425"/>
        <w:jc w:val="both"/>
        <w:outlineLvl w:val="3"/>
        <w:rPr>
          <w:b/>
          <w:i/>
          <w:color w:val="800000"/>
          <w:sz w:val="22"/>
          <w:szCs w:val="22"/>
        </w:rPr>
      </w:pPr>
      <w:r w:rsidRPr="00353DDE">
        <w:rPr>
          <w:b/>
          <w:i/>
          <w:color w:val="800000"/>
          <w:sz w:val="22"/>
          <w:szCs w:val="22"/>
        </w:rPr>
        <w:t>Описание на постигнатите резултати и изпълнените дейности за тяхното предоставяне</w:t>
      </w:r>
    </w:p>
    <w:p w14:paraId="483D3D64" w14:textId="7B8EDC5B" w:rsidR="00353DDE" w:rsidRPr="00A632BD" w:rsidRDefault="00353DDE" w:rsidP="000C3896">
      <w:pPr>
        <w:shd w:val="clear" w:color="auto" w:fill="FFFFFF" w:themeFill="background1"/>
        <w:autoSpaceDE w:val="0"/>
        <w:autoSpaceDN w:val="0"/>
        <w:adjustRightInd w:val="0"/>
        <w:ind w:firstLine="426"/>
        <w:jc w:val="both"/>
        <w:rPr>
          <w:sz w:val="22"/>
          <w:szCs w:val="22"/>
        </w:rPr>
      </w:pPr>
      <w:r w:rsidRPr="00A632BD">
        <w:rPr>
          <w:sz w:val="22"/>
          <w:szCs w:val="22"/>
        </w:rPr>
        <w:t xml:space="preserve">Дирекция „Вероизповедания“ извършва административни услуги, свързани със </w:t>
      </w:r>
      <w:r w:rsidRPr="0058063A">
        <w:rPr>
          <w:b/>
          <w:bCs/>
          <w:sz w:val="22"/>
          <w:szCs w:val="22"/>
        </w:rPr>
        <w:t>252</w:t>
      </w:r>
      <w:r w:rsidRPr="0058063A">
        <w:rPr>
          <w:sz w:val="22"/>
          <w:szCs w:val="22"/>
        </w:rPr>
        <w:t xml:space="preserve"> </w:t>
      </w:r>
      <w:r w:rsidRPr="00A632BD">
        <w:rPr>
          <w:sz w:val="22"/>
          <w:szCs w:val="22"/>
        </w:rPr>
        <w:t>регистрирани вероизповеда</w:t>
      </w:r>
      <w:r w:rsidR="006F1187">
        <w:rPr>
          <w:sz w:val="22"/>
          <w:szCs w:val="22"/>
        </w:rPr>
        <w:t>ния и техните местни поделения.</w:t>
      </w:r>
    </w:p>
    <w:p w14:paraId="70690B3A" w14:textId="77777777" w:rsidR="00353DDE" w:rsidRPr="00A632BD" w:rsidRDefault="00353DDE" w:rsidP="000C3896">
      <w:pPr>
        <w:shd w:val="clear" w:color="auto" w:fill="FFFFFF" w:themeFill="background1"/>
        <w:autoSpaceDE w:val="0"/>
        <w:autoSpaceDN w:val="0"/>
        <w:adjustRightInd w:val="0"/>
        <w:ind w:firstLine="426"/>
        <w:jc w:val="both"/>
        <w:rPr>
          <w:sz w:val="22"/>
          <w:szCs w:val="22"/>
        </w:rPr>
      </w:pPr>
      <w:r w:rsidRPr="00A632BD">
        <w:rPr>
          <w:sz w:val="22"/>
          <w:szCs w:val="22"/>
        </w:rPr>
        <w:t>От 01.01.202</w:t>
      </w:r>
      <w:r w:rsidRPr="0058063A">
        <w:rPr>
          <w:sz w:val="22"/>
          <w:szCs w:val="22"/>
        </w:rPr>
        <w:t>5</w:t>
      </w:r>
      <w:r w:rsidRPr="00A632BD">
        <w:rPr>
          <w:sz w:val="22"/>
          <w:szCs w:val="22"/>
        </w:rPr>
        <w:t xml:space="preserve"> до 3</w:t>
      </w:r>
      <w:r w:rsidRPr="0058063A">
        <w:rPr>
          <w:sz w:val="22"/>
          <w:szCs w:val="22"/>
        </w:rPr>
        <w:t>0</w:t>
      </w:r>
      <w:r w:rsidRPr="00A632BD">
        <w:rPr>
          <w:sz w:val="22"/>
          <w:szCs w:val="22"/>
        </w:rPr>
        <w:t>.</w:t>
      </w:r>
      <w:r w:rsidRPr="0058063A">
        <w:rPr>
          <w:sz w:val="22"/>
          <w:szCs w:val="22"/>
        </w:rPr>
        <w:t>06</w:t>
      </w:r>
      <w:r w:rsidRPr="00A632BD">
        <w:rPr>
          <w:sz w:val="22"/>
          <w:szCs w:val="22"/>
        </w:rPr>
        <w:t>.202</w:t>
      </w:r>
      <w:r w:rsidRPr="0058063A">
        <w:rPr>
          <w:sz w:val="22"/>
          <w:szCs w:val="22"/>
        </w:rPr>
        <w:t>5</w:t>
      </w:r>
      <w:r w:rsidRPr="00A632BD">
        <w:rPr>
          <w:sz w:val="22"/>
          <w:szCs w:val="22"/>
        </w:rPr>
        <w:t xml:space="preserve"> г. дирекция „Вероизповедания” на МС по предоставяните от нея продукти/услуги „</w:t>
      </w:r>
      <w:r w:rsidRPr="0058063A">
        <w:rPr>
          <w:sz w:val="22"/>
          <w:szCs w:val="22"/>
        </w:rPr>
        <w:t xml:space="preserve">Регулиране на взаимоотношенията между вероизповеданията и държавата и между самите вероизповедания“ и </w:t>
      </w:r>
      <w:r w:rsidRPr="00A632BD">
        <w:rPr>
          <w:sz w:val="22"/>
          <w:szCs w:val="22"/>
        </w:rPr>
        <w:t>„Разпределение и контрол по усвояване на държавната субсидия за вероизповеданията</w:t>
      </w:r>
      <w:r w:rsidRPr="0058063A">
        <w:rPr>
          <w:sz w:val="22"/>
          <w:szCs w:val="22"/>
        </w:rPr>
        <w:t xml:space="preserve">“ е </w:t>
      </w:r>
      <w:r w:rsidRPr="00A632BD">
        <w:rPr>
          <w:sz w:val="22"/>
          <w:szCs w:val="22"/>
        </w:rPr>
        <w:t xml:space="preserve">обработила </w:t>
      </w:r>
      <w:r w:rsidRPr="0058063A">
        <w:rPr>
          <w:b/>
          <w:bCs/>
          <w:sz w:val="22"/>
          <w:szCs w:val="22"/>
        </w:rPr>
        <w:t>683</w:t>
      </w:r>
      <w:r w:rsidRPr="0058063A">
        <w:rPr>
          <w:sz w:val="22"/>
          <w:szCs w:val="22"/>
        </w:rPr>
        <w:t xml:space="preserve"> </w:t>
      </w:r>
      <w:r w:rsidRPr="00A632BD">
        <w:rPr>
          <w:sz w:val="22"/>
          <w:szCs w:val="22"/>
        </w:rPr>
        <w:t>преписки с общ брой издадени документи</w:t>
      </w:r>
      <w:r w:rsidRPr="0058063A">
        <w:rPr>
          <w:sz w:val="22"/>
          <w:szCs w:val="22"/>
        </w:rPr>
        <w:t xml:space="preserve"> </w:t>
      </w:r>
      <w:r w:rsidRPr="0058063A">
        <w:rPr>
          <w:b/>
          <w:bCs/>
          <w:sz w:val="22"/>
          <w:szCs w:val="22"/>
        </w:rPr>
        <w:t>417</w:t>
      </w:r>
      <w:r w:rsidRPr="0058063A">
        <w:rPr>
          <w:sz w:val="22"/>
          <w:szCs w:val="22"/>
        </w:rPr>
        <w:t>.</w:t>
      </w:r>
      <w:r w:rsidRPr="00A632BD">
        <w:rPr>
          <w:sz w:val="22"/>
          <w:szCs w:val="22"/>
        </w:rPr>
        <w:t xml:space="preserve"> </w:t>
      </w:r>
    </w:p>
    <w:p w14:paraId="2F053D1C" w14:textId="7238C7A8" w:rsidR="00353DDE" w:rsidRPr="00A632BD" w:rsidRDefault="00353DDE" w:rsidP="000C3896">
      <w:pPr>
        <w:shd w:val="clear" w:color="auto" w:fill="FFFFFF" w:themeFill="background1"/>
        <w:autoSpaceDE w:val="0"/>
        <w:autoSpaceDN w:val="0"/>
        <w:adjustRightInd w:val="0"/>
        <w:ind w:firstLine="426"/>
        <w:jc w:val="both"/>
        <w:rPr>
          <w:sz w:val="22"/>
          <w:szCs w:val="22"/>
        </w:rPr>
      </w:pPr>
      <w:r w:rsidRPr="00A632BD">
        <w:rPr>
          <w:sz w:val="22"/>
          <w:szCs w:val="22"/>
        </w:rPr>
        <w:t xml:space="preserve">Предоставянето на продукта/услугата „Регулиране на взаимоотношенията между вероизповеданията и държавата и между самите вероизповедания“ и „Разпределение и контрол по усвояване на държавната субсидия за вероизповеданията“ са проведени </w:t>
      </w:r>
      <w:r w:rsidRPr="0058063A">
        <w:rPr>
          <w:b/>
          <w:bCs/>
          <w:sz w:val="22"/>
          <w:szCs w:val="22"/>
        </w:rPr>
        <w:t>77</w:t>
      </w:r>
      <w:r w:rsidRPr="00A632BD">
        <w:rPr>
          <w:sz w:val="22"/>
          <w:szCs w:val="22"/>
        </w:rPr>
        <w:t xml:space="preserve"> срещи на директора и служителите на дирекция „Вероизповедания“ с представители на държавни</w:t>
      </w:r>
      <w:r w:rsidR="00521E2E">
        <w:rPr>
          <w:sz w:val="22"/>
          <w:szCs w:val="22"/>
        </w:rPr>
        <w:t xml:space="preserve"> </w:t>
      </w:r>
      <w:r w:rsidRPr="00A632BD">
        <w:rPr>
          <w:sz w:val="22"/>
          <w:szCs w:val="22"/>
        </w:rPr>
        <w:t>институции, общински администрации, религиозни институции и техни местни поделения, научни учреждения и граждани.</w:t>
      </w:r>
    </w:p>
    <w:p w14:paraId="77061FF4" w14:textId="32E7A5B4" w:rsidR="00353DDE" w:rsidRPr="0058063A" w:rsidRDefault="00353DDE" w:rsidP="000C3896">
      <w:pPr>
        <w:shd w:val="clear" w:color="auto" w:fill="FFFFFF" w:themeFill="background1"/>
        <w:autoSpaceDE w:val="0"/>
        <w:autoSpaceDN w:val="0"/>
        <w:adjustRightInd w:val="0"/>
        <w:ind w:firstLine="425"/>
        <w:jc w:val="both"/>
        <w:rPr>
          <w:sz w:val="22"/>
          <w:szCs w:val="22"/>
        </w:rPr>
      </w:pPr>
      <w:r w:rsidRPr="00A632BD">
        <w:rPr>
          <w:sz w:val="22"/>
          <w:szCs w:val="22"/>
        </w:rPr>
        <w:t xml:space="preserve">По продукта </w:t>
      </w:r>
      <w:r w:rsidRPr="007C48F5">
        <w:rPr>
          <w:b/>
          <w:bCs/>
          <w:i/>
          <w:iCs/>
          <w:sz w:val="22"/>
          <w:szCs w:val="22"/>
        </w:rPr>
        <w:t>„Регулиране на взаимоотношенията между вероизповеданията и държавата и между самите вероизповедания“</w:t>
      </w:r>
      <w:r w:rsidRPr="0058063A">
        <w:rPr>
          <w:sz w:val="22"/>
          <w:szCs w:val="22"/>
        </w:rPr>
        <w:t xml:space="preserve"> са обработени </w:t>
      </w:r>
      <w:r w:rsidRPr="007C48F5">
        <w:rPr>
          <w:b/>
          <w:bCs/>
          <w:sz w:val="22"/>
          <w:szCs w:val="22"/>
        </w:rPr>
        <w:t>624</w:t>
      </w:r>
      <w:r w:rsidRPr="0058063A">
        <w:rPr>
          <w:sz w:val="22"/>
          <w:szCs w:val="22"/>
        </w:rPr>
        <w:t xml:space="preserve"> преписки и са издадени </w:t>
      </w:r>
      <w:r w:rsidRPr="007C48F5">
        <w:rPr>
          <w:b/>
          <w:bCs/>
          <w:sz w:val="22"/>
          <w:szCs w:val="22"/>
        </w:rPr>
        <w:t>401</w:t>
      </w:r>
      <w:r w:rsidRPr="0058063A">
        <w:rPr>
          <w:sz w:val="22"/>
          <w:szCs w:val="22"/>
        </w:rPr>
        <w:t xml:space="preserve"> документа, както следва:</w:t>
      </w:r>
    </w:p>
    <w:p w14:paraId="486669B7" w14:textId="77777777" w:rsidR="00641163" w:rsidRDefault="00641163">
      <w:pPr>
        <w:rPr>
          <w:b/>
          <w:i/>
        </w:rPr>
      </w:pPr>
      <w:r>
        <w:rPr>
          <w:b/>
          <w:i/>
        </w:rPr>
        <w:br w:type="page"/>
      </w:r>
    </w:p>
    <w:p w14:paraId="7BCCCA25" w14:textId="1D6BB75F" w:rsidR="000171DF" w:rsidRPr="00641163" w:rsidRDefault="00D26B9B" w:rsidP="00C9451B">
      <w:pPr>
        <w:numPr>
          <w:ilvl w:val="0"/>
          <w:numId w:val="10"/>
        </w:numPr>
        <w:shd w:val="clear" w:color="auto" w:fill="FFFFFF" w:themeFill="background1"/>
        <w:tabs>
          <w:tab w:val="clear" w:pos="1068"/>
        </w:tabs>
        <w:spacing w:before="120"/>
        <w:ind w:left="0" w:firstLine="425"/>
        <w:jc w:val="both"/>
        <w:rPr>
          <w:i/>
          <w:sz w:val="22"/>
          <w:szCs w:val="22"/>
        </w:rPr>
      </w:pPr>
      <w:r w:rsidRPr="00641163">
        <w:rPr>
          <w:b/>
          <w:i/>
          <w:sz w:val="22"/>
          <w:szCs w:val="22"/>
        </w:rPr>
        <w:lastRenderedPageBreak/>
        <w:t xml:space="preserve">Кореспонденция с държавни институции </w:t>
      </w:r>
      <w:r w:rsidRPr="00641163">
        <w:rPr>
          <w:i/>
          <w:sz w:val="22"/>
          <w:szCs w:val="22"/>
        </w:rPr>
        <w:t>(чл. 35, т. 1 от Закона за вероизповеданията)</w:t>
      </w:r>
    </w:p>
    <w:tbl>
      <w:tblPr>
        <w:tblStyle w:val="TableGrid"/>
        <w:tblW w:w="9351" w:type="dxa"/>
        <w:tblLayout w:type="fixed"/>
        <w:tblLook w:val="04A0" w:firstRow="1" w:lastRow="0" w:firstColumn="1" w:lastColumn="0" w:noHBand="0" w:noVBand="1"/>
      </w:tblPr>
      <w:tblGrid>
        <w:gridCol w:w="1812"/>
        <w:gridCol w:w="3286"/>
        <w:gridCol w:w="376"/>
        <w:gridCol w:w="3593"/>
        <w:gridCol w:w="284"/>
      </w:tblGrid>
      <w:tr w:rsidR="00F67189" w14:paraId="19A0B35A" w14:textId="77777777" w:rsidTr="00FB0D72">
        <w:tc>
          <w:tcPr>
            <w:tcW w:w="1812" w:type="dxa"/>
            <w:shd w:val="clear" w:color="auto" w:fill="F6C5AC" w:themeFill="accent2" w:themeFillTint="66"/>
          </w:tcPr>
          <w:p w14:paraId="2F9033E2" w14:textId="77777777" w:rsidR="00F67189" w:rsidRDefault="00F67189" w:rsidP="000820D8">
            <w:pPr>
              <w:jc w:val="both"/>
              <w:rPr>
                <w:b/>
                <w:sz w:val="18"/>
                <w:szCs w:val="18"/>
              </w:rPr>
            </w:pPr>
            <w:r w:rsidRPr="002E5109">
              <w:rPr>
                <w:b/>
                <w:sz w:val="18"/>
                <w:szCs w:val="18"/>
              </w:rPr>
              <w:t>ПОКАЗАТЕЛИ</w:t>
            </w:r>
          </w:p>
          <w:p w14:paraId="61495674" w14:textId="36C49B8D" w:rsidR="001F0C10" w:rsidRPr="002E5109" w:rsidRDefault="001F0C10" w:rsidP="000820D8">
            <w:pPr>
              <w:jc w:val="both"/>
              <w:rPr>
                <w:b/>
                <w:sz w:val="18"/>
                <w:szCs w:val="18"/>
              </w:rPr>
            </w:pPr>
          </w:p>
        </w:tc>
        <w:tc>
          <w:tcPr>
            <w:tcW w:w="3662" w:type="dxa"/>
            <w:gridSpan w:val="2"/>
            <w:shd w:val="clear" w:color="auto" w:fill="F6C5AC" w:themeFill="accent2" w:themeFillTint="66"/>
          </w:tcPr>
          <w:p w14:paraId="55868AD6" w14:textId="77777777" w:rsidR="00F67189" w:rsidRPr="004E5D06" w:rsidRDefault="00F67189" w:rsidP="000820D8">
            <w:pPr>
              <w:jc w:val="center"/>
              <w:rPr>
                <w:b/>
                <w:sz w:val="18"/>
                <w:szCs w:val="18"/>
              </w:rPr>
            </w:pPr>
            <w:r w:rsidRPr="004E5D06">
              <w:rPr>
                <w:b/>
                <w:sz w:val="18"/>
                <w:szCs w:val="18"/>
              </w:rPr>
              <w:t>ПРЕПИСКИ</w:t>
            </w:r>
          </w:p>
        </w:tc>
        <w:tc>
          <w:tcPr>
            <w:tcW w:w="3877" w:type="dxa"/>
            <w:gridSpan w:val="2"/>
            <w:shd w:val="clear" w:color="auto" w:fill="F6C5AC" w:themeFill="accent2" w:themeFillTint="66"/>
          </w:tcPr>
          <w:p w14:paraId="258926C2" w14:textId="77777777" w:rsidR="00F67189" w:rsidRPr="004E5D06" w:rsidRDefault="00F67189" w:rsidP="000820D8">
            <w:pPr>
              <w:jc w:val="center"/>
              <w:rPr>
                <w:b/>
                <w:sz w:val="18"/>
                <w:szCs w:val="18"/>
              </w:rPr>
            </w:pPr>
            <w:r w:rsidRPr="004E5D06">
              <w:rPr>
                <w:b/>
                <w:sz w:val="18"/>
                <w:szCs w:val="18"/>
              </w:rPr>
              <w:t>СРЕЩИ</w:t>
            </w:r>
          </w:p>
        </w:tc>
      </w:tr>
      <w:tr w:rsidR="00F67189" w14:paraId="59B4C482" w14:textId="77777777" w:rsidTr="00665887">
        <w:tc>
          <w:tcPr>
            <w:tcW w:w="1812" w:type="dxa"/>
            <w:shd w:val="clear" w:color="auto" w:fill="F6C5AC" w:themeFill="accent2" w:themeFillTint="66"/>
          </w:tcPr>
          <w:p w14:paraId="450D3320" w14:textId="77777777" w:rsidR="00F67189" w:rsidRPr="004E5D06" w:rsidRDefault="00F67189" w:rsidP="000820D8">
            <w:pPr>
              <w:jc w:val="both"/>
              <w:rPr>
                <w:b/>
                <w:sz w:val="18"/>
                <w:szCs w:val="18"/>
              </w:rPr>
            </w:pPr>
            <w:r w:rsidRPr="004E5D06">
              <w:rPr>
                <w:b/>
                <w:sz w:val="18"/>
                <w:szCs w:val="18"/>
              </w:rPr>
              <w:t>КОЛИЧЕСТВЕНИ</w:t>
            </w:r>
          </w:p>
        </w:tc>
        <w:tc>
          <w:tcPr>
            <w:tcW w:w="3662" w:type="dxa"/>
            <w:gridSpan w:val="2"/>
          </w:tcPr>
          <w:p w14:paraId="266F2BA4" w14:textId="77777777" w:rsidR="00F67189" w:rsidRPr="004E5D06" w:rsidRDefault="00F67189" w:rsidP="000820D8">
            <w:pPr>
              <w:jc w:val="center"/>
              <w:rPr>
                <w:b/>
                <w:sz w:val="16"/>
                <w:szCs w:val="16"/>
              </w:rPr>
            </w:pPr>
            <w:r w:rsidRPr="004E5D06">
              <w:rPr>
                <w:b/>
                <w:sz w:val="16"/>
                <w:szCs w:val="16"/>
              </w:rPr>
              <w:t>1</w:t>
            </w:r>
            <w:r>
              <w:rPr>
                <w:b/>
                <w:sz w:val="16"/>
                <w:szCs w:val="16"/>
              </w:rPr>
              <w:t>49</w:t>
            </w:r>
          </w:p>
        </w:tc>
        <w:tc>
          <w:tcPr>
            <w:tcW w:w="3877" w:type="dxa"/>
            <w:gridSpan w:val="2"/>
          </w:tcPr>
          <w:p w14:paraId="11EA0454" w14:textId="77777777" w:rsidR="00F67189" w:rsidRPr="004E5D06" w:rsidRDefault="00F67189" w:rsidP="000820D8">
            <w:pPr>
              <w:jc w:val="center"/>
              <w:rPr>
                <w:b/>
                <w:sz w:val="16"/>
                <w:szCs w:val="16"/>
              </w:rPr>
            </w:pPr>
            <w:r w:rsidRPr="004E5D06">
              <w:rPr>
                <w:b/>
                <w:sz w:val="16"/>
                <w:szCs w:val="16"/>
              </w:rPr>
              <w:t>2</w:t>
            </w:r>
            <w:r>
              <w:rPr>
                <w:b/>
                <w:sz w:val="16"/>
                <w:szCs w:val="16"/>
              </w:rPr>
              <w:t>2</w:t>
            </w:r>
          </w:p>
        </w:tc>
      </w:tr>
      <w:tr w:rsidR="00F67189" w14:paraId="6FE4A993" w14:textId="77777777" w:rsidTr="00665887">
        <w:tc>
          <w:tcPr>
            <w:tcW w:w="1812" w:type="dxa"/>
            <w:vMerge w:val="restart"/>
            <w:shd w:val="clear" w:color="auto" w:fill="F6C5AC" w:themeFill="accent2" w:themeFillTint="66"/>
          </w:tcPr>
          <w:p w14:paraId="06E39FB3" w14:textId="77777777" w:rsidR="00F67189" w:rsidRPr="004E5D06" w:rsidRDefault="00F67189" w:rsidP="000820D8">
            <w:pPr>
              <w:jc w:val="both"/>
              <w:rPr>
                <w:b/>
                <w:sz w:val="18"/>
                <w:szCs w:val="18"/>
              </w:rPr>
            </w:pPr>
            <w:r w:rsidRPr="004E5D06">
              <w:rPr>
                <w:b/>
                <w:sz w:val="18"/>
                <w:szCs w:val="18"/>
              </w:rPr>
              <w:t>КАЧЕСТВЕНИ</w:t>
            </w:r>
          </w:p>
        </w:tc>
        <w:tc>
          <w:tcPr>
            <w:tcW w:w="3286" w:type="dxa"/>
            <w:tcBorders>
              <w:bottom w:val="nil"/>
            </w:tcBorders>
          </w:tcPr>
          <w:p w14:paraId="65723BCA" w14:textId="77777777" w:rsidR="00F67189" w:rsidRPr="000663D2" w:rsidRDefault="00F67189" w:rsidP="000820D8">
            <w:pPr>
              <w:jc w:val="both"/>
              <w:rPr>
                <w:sz w:val="18"/>
                <w:szCs w:val="18"/>
              </w:rPr>
            </w:pPr>
            <w:r w:rsidRPr="000663D2">
              <w:rPr>
                <w:sz w:val="18"/>
                <w:szCs w:val="18"/>
              </w:rPr>
              <w:t xml:space="preserve">Дипломатически представителства на Р. България в чужбина </w:t>
            </w:r>
          </w:p>
          <w:p w14:paraId="6A6CA333" w14:textId="77777777" w:rsidR="00F67189" w:rsidRPr="004E5D06" w:rsidRDefault="00F67189" w:rsidP="000820D8">
            <w:pPr>
              <w:jc w:val="both"/>
              <w:rPr>
                <w:sz w:val="18"/>
                <w:szCs w:val="18"/>
              </w:rPr>
            </w:pPr>
          </w:p>
        </w:tc>
        <w:tc>
          <w:tcPr>
            <w:tcW w:w="376" w:type="dxa"/>
            <w:tcBorders>
              <w:bottom w:val="nil"/>
            </w:tcBorders>
          </w:tcPr>
          <w:p w14:paraId="64BDCE2A" w14:textId="77777777" w:rsidR="00F67189" w:rsidRPr="003A5F6F" w:rsidRDefault="00F67189" w:rsidP="000820D8">
            <w:pPr>
              <w:jc w:val="center"/>
              <w:rPr>
                <w:b/>
                <w:sz w:val="16"/>
                <w:szCs w:val="16"/>
              </w:rPr>
            </w:pPr>
            <w:r w:rsidRPr="003A5F6F">
              <w:rPr>
                <w:b/>
                <w:sz w:val="16"/>
                <w:szCs w:val="16"/>
              </w:rPr>
              <w:t>44</w:t>
            </w:r>
          </w:p>
        </w:tc>
        <w:tc>
          <w:tcPr>
            <w:tcW w:w="3593" w:type="dxa"/>
            <w:tcBorders>
              <w:bottom w:val="nil"/>
            </w:tcBorders>
          </w:tcPr>
          <w:p w14:paraId="609B1E03" w14:textId="77777777" w:rsidR="00F67189" w:rsidRPr="000663D2" w:rsidRDefault="00F67189" w:rsidP="000820D8">
            <w:pPr>
              <w:jc w:val="both"/>
              <w:rPr>
                <w:sz w:val="18"/>
                <w:szCs w:val="18"/>
              </w:rPr>
            </w:pPr>
            <w:r w:rsidRPr="000663D2">
              <w:rPr>
                <w:sz w:val="18"/>
                <w:szCs w:val="18"/>
              </w:rPr>
              <w:t>Проведени работни срещи на директора с министър-председателя на Р. България</w:t>
            </w:r>
          </w:p>
          <w:p w14:paraId="39DB437D" w14:textId="77777777" w:rsidR="00F67189" w:rsidRPr="004E5D06" w:rsidRDefault="00F67189" w:rsidP="000820D8">
            <w:pPr>
              <w:rPr>
                <w:b/>
                <w:sz w:val="18"/>
                <w:szCs w:val="18"/>
              </w:rPr>
            </w:pPr>
          </w:p>
        </w:tc>
        <w:tc>
          <w:tcPr>
            <w:tcW w:w="284" w:type="dxa"/>
            <w:tcBorders>
              <w:bottom w:val="nil"/>
            </w:tcBorders>
          </w:tcPr>
          <w:p w14:paraId="2BB8E98E" w14:textId="77777777" w:rsidR="00F67189" w:rsidRPr="003A5F6F" w:rsidRDefault="00F67189" w:rsidP="000820D8">
            <w:pPr>
              <w:jc w:val="center"/>
              <w:rPr>
                <w:b/>
                <w:sz w:val="16"/>
                <w:szCs w:val="16"/>
              </w:rPr>
            </w:pPr>
            <w:r w:rsidRPr="003A5F6F">
              <w:rPr>
                <w:b/>
                <w:sz w:val="16"/>
                <w:szCs w:val="16"/>
              </w:rPr>
              <w:t>2</w:t>
            </w:r>
          </w:p>
        </w:tc>
      </w:tr>
      <w:tr w:rsidR="00F67189" w14:paraId="5DE7FF2B" w14:textId="77777777" w:rsidTr="00665887">
        <w:tc>
          <w:tcPr>
            <w:tcW w:w="1812" w:type="dxa"/>
            <w:vMerge/>
            <w:shd w:val="clear" w:color="auto" w:fill="F6C5AC" w:themeFill="accent2" w:themeFillTint="66"/>
          </w:tcPr>
          <w:p w14:paraId="324A6710" w14:textId="77777777" w:rsidR="00F67189" w:rsidRDefault="00F67189" w:rsidP="000820D8">
            <w:pPr>
              <w:rPr>
                <w:sz w:val="16"/>
                <w:szCs w:val="16"/>
              </w:rPr>
            </w:pPr>
          </w:p>
        </w:tc>
        <w:tc>
          <w:tcPr>
            <w:tcW w:w="3286" w:type="dxa"/>
            <w:tcBorders>
              <w:top w:val="nil"/>
              <w:bottom w:val="nil"/>
            </w:tcBorders>
          </w:tcPr>
          <w:p w14:paraId="6B6091A0" w14:textId="77777777" w:rsidR="00F67189" w:rsidRPr="000663D2" w:rsidRDefault="00F67189" w:rsidP="000820D8">
            <w:pPr>
              <w:jc w:val="both"/>
              <w:rPr>
                <w:sz w:val="18"/>
                <w:szCs w:val="18"/>
              </w:rPr>
            </w:pPr>
            <w:r w:rsidRPr="000663D2">
              <w:rPr>
                <w:sz w:val="18"/>
                <w:szCs w:val="18"/>
              </w:rPr>
              <w:t xml:space="preserve">Софийски градски съд (СГС), Фирмено отделение с искане за предоставяне на актуална информация за регистрираните религиозни институции в страната </w:t>
            </w:r>
          </w:p>
          <w:p w14:paraId="72BF8588" w14:textId="77777777" w:rsidR="00F67189" w:rsidRPr="004E5D06" w:rsidRDefault="00F67189" w:rsidP="000820D8">
            <w:pPr>
              <w:jc w:val="both"/>
              <w:rPr>
                <w:sz w:val="18"/>
                <w:szCs w:val="18"/>
              </w:rPr>
            </w:pPr>
          </w:p>
        </w:tc>
        <w:tc>
          <w:tcPr>
            <w:tcW w:w="376" w:type="dxa"/>
            <w:tcBorders>
              <w:top w:val="nil"/>
              <w:bottom w:val="nil"/>
            </w:tcBorders>
          </w:tcPr>
          <w:p w14:paraId="3872AD84" w14:textId="77777777" w:rsidR="00F67189" w:rsidRPr="003A5F6F" w:rsidRDefault="00F67189" w:rsidP="000820D8">
            <w:pPr>
              <w:jc w:val="center"/>
              <w:rPr>
                <w:b/>
                <w:sz w:val="16"/>
                <w:szCs w:val="16"/>
              </w:rPr>
            </w:pPr>
            <w:r w:rsidRPr="003A5F6F">
              <w:rPr>
                <w:b/>
                <w:sz w:val="16"/>
                <w:szCs w:val="16"/>
              </w:rPr>
              <w:t>2</w:t>
            </w:r>
          </w:p>
        </w:tc>
        <w:tc>
          <w:tcPr>
            <w:tcW w:w="3593" w:type="dxa"/>
            <w:tcBorders>
              <w:top w:val="nil"/>
              <w:bottom w:val="nil"/>
            </w:tcBorders>
          </w:tcPr>
          <w:p w14:paraId="22776537" w14:textId="77777777" w:rsidR="00F67189" w:rsidRPr="000663D2" w:rsidRDefault="00F67189" w:rsidP="000820D8">
            <w:pPr>
              <w:jc w:val="both"/>
              <w:rPr>
                <w:b/>
                <w:sz w:val="18"/>
                <w:szCs w:val="18"/>
              </w:rPr>
            </w:pPr>
            <w:r w:rsidRPr="000663D2">
              <w:rPr>
                <w:sz w:val="18"/>
                <w:szCs w:val="18"/>
              </w:rPr>
              <w:t xml:space="preserve">Проведени работни срещи на директора със заместник министър-председатели, ръководители, съветници и служители от политическия кабинет на АМС </w:t>
            </w:r>
          </w:p>
          <w:p w14:paraId="5972B4AA" w14:textId="77777777" w:rsidR="00F67189" w:rsidRDefault="00F67189" w:rsidP="000820D8">
            <w:pPr>
              <w:rPr>
                <w:sz w:val="16"/>
                <w:szCs w:val="16"/>
              </w:rPr>
            </w:pPr>
          </w:p>
        </w:tc>
        <w:tc>
          <w:tcPr>
            <w:tcW w:w="284" w:type="dxa"/>
            <w:tcBorders>
              <w:top w:val="nil"/>
              <w:bottom w:val="nil"/>
            </w:tcBorders>
          </w:tcPr>
          <w:p w14:paraId="2089B4C0" w14:textId="77777777" w:rsidR="00F67189" w:rsidRPr="003A5F6F" w:rsidRDefault="00F67189" w:rsidP="000820D8">
            <w:pPr>
              <w:jc w:val="center"/>
              <w:rPr>
                <w:b/>
                <w:sz w:val="16"/>
                <w:szCs w:val="16"/>
              </w:rPr>
            </w:pPr>
            <w:r>
              <w:rPr>
                <w:b/>
                <w:sz w:val="16"/>
                <w:szCs w:val="16"/>
              </w:rPr>
              <w:t>2</w:t>
            </w:r>
          </w:p>
        </w:tc>
      </w:tr>
      <w:tr w:rsidR="00F67189" w14:paraId="2B127852" w14:textId="77777777" w:rsidTr="00665887">
        <w:tc>
          <w:tcPr>
            <w:tcW w:w="1812" w:type="dxa"/>
            <w:vMerge/>
            <w:shd w:val="clear" w:color="auto" w:fill="F6C5AC" w:themeFill="accent2" w:themeFillTint="66"/>
          </w:tcPr>
          <w:p w14:paraId="2834F129" w14:textId="77777777" w:rsidR="00F67189" w:rsidRDefault="00F67189" w:rsidP="000820D8">
            <w:pPr>
              <w:rPr>
                <w:sz w:val="16"/>
                <w:szCs w:val="16"/>
              </w:rPr>
            </w:pPr>
          </w:p>
        </w:tc>
        <w:tc>
          <w:tcPr>
            <w:tcW w:w="3286" w:type="dxa"/>
            <w:tcBorders>
              <w:top w:val="nil"/>
              <w:bottom w:val="nil"/>
            </w:tcBorders>
          </w:tcPr>
          <w:p w14:paraId="121471E3" w14:textId="77777777" w:rsidR="00F67189" w:rsidRPr="000663D2" w:rsidRDefault="00F67189" w:rsidP="000820D8">
            <w:pPr>
              <w:jc w:val="both"/>
              <w:rPr>
                <w:sz w:val="18"/>
                <w:szCs w:val="18"/>
              </w:rPr>
            </w:pPr>
            <w:r w:rsidRPr="000663D2">
              <w:rPr>
                <w:sz w:val="18"/>
                <w:szCs w:val="18"/>
              </w:rPr>
              <w:t>Министерство на финансите относно държавната субсидия за регистрираните вероизповедания</w:t>
            </w:r>
          </w:p>
          <w:p w14:paraId="3561C996" w14:textId="77777777" w:rsidR="00F67189" w:rsidRDefault="00F67189" w:rsidP="000820D8">
            <w:pPr>
              <w:rPr>
                <w:sz w:val="16"/>
                <w:szCs w:val="16"/>
              </w:rPr>
            </w:pPr>
          </w:p>
        </w:tc>
        <w:tc>
          <w:tcPr>
            <w:tcW w:w="376" w:type="dxa"/>
            <w:tcBorders>
              <w:top w:val="nil"/>
              <w:bottom w:val="nil"/>
            </w:tcBorders>
          </w:tcPr>
          <w:p w14:paraId="037F5B35" w14:textId="77777777" w:rsidR="00F67189" w:rsidRPr="003A5F6F" w:rsidRDefault="00F67189" w:rsidP="000820D8">
            <w:pPr>
              <w:jc w:val="center"/>
              <w:rPr>
                <w:b/>
                <w:sz w:val="16"/>
                <w:szCs w:val="16"/>
              </w:rPr>
            </w:pPr>
            <w:r w:rsidRPr="003A5F6F">
              <w:rPr>
                <w:b/>
                <w:sz w:val="16"/>
                <w:szCs w:val="16"/>
              </w:rPr>
              <w:t>1</w:t>
            </w:r>
          </w:p>
        </w:tc>
        <w:tc>
          <w:tcPr>
            <w:tcW w:w="3593" w:type="dxa"/>
            <w:tcBorders>
              <w:top w:val="nil"/>
              <w:bottom w:val="nil"/>
            </w:tcBorders>
          </w:tcPr>
          <w:p w14:paraId="47DAC051" w14:textId="77777777" w:rsidR="00F67189" w:rsidRPr="000663D2" w:rsidRDefault="00F67189" w:rsidP="000820D8">
            <w:pPr>
              <w:jc w:val="both"/>
              <w:rPr>
                <w:sz w:val="18"/>
                <w:szCs w:val="18"/>
              </w:rPr>
            </w:pPr>
            <w:r w:rsidRPr="000663D2">
              <w:rPr>
                <w:sz w:val="18"/>
                <w:szCs w:val="18"/>
              </w:rPr>
              <w:t xml:space="preserve">Проведени работни срещи на директора и служители от дирекцията с представители на законодателната власт, областни управители, представители на местната власт в страната </w:t>
            </w:r>
          </w:p>
          <w:p w14:paraId="2E10C8E1" w14:textId="77777777" w:rsidR="00F67189" w:rsidRPr="004E5D06" w:rsidRDefault="00F67189" w:rsidP="000820D8">
            <w:pPr>
              <w:jc w:val="both"/>
              <w:rPr>
                <w:sz w:val="18"/>
                <w:szCs w:val="18"/>
              </w:rPr>
            </w:pPr>
          </w:p>
        </w:tc>
        <w:tc>
          <w:tcPr>
            <w:tcW w:w="284" w:type="dxa"/>
            <w:tcBorders>
              <w:top w:val="nil"/>
              <w:bottom w:val="nil"/>
            </w:tcBorders>
          </w:tcPr>
          <w:p w14:paraId="54F73754" w14:textId="77777777" w:rsidR="00F67189" w:rsidRPr="003A5F6F" w:rsidRDefault="00F67189" w:rsidP="000820D8">
            <w:pPr>
              <w:jc w:val="center"/>
              <w:rPr>
                <w:b/>
                <w:sz w:val="16"/>
                <w:szCs w:val="16"/>
              </w:rPr>
            </w:pPr>
            <w:r>
              <w:rPr>
                <w:b/>
                <w:sz w:val="16"/>
                <w:szCs w:val="16"/>
              </w:rPr>
              <w:t>7</w:t>
            </w:r>
          </w:p>
        </w:tc>
      </w:tr>
      <w:tr w:rsidR="00F67189" w14:paraId="6E6BE17D" w14:textId="77777777" w:rsidTr="00665887">
        <w:tc>
          <w:tcPr>
            <w:tcW w:w="1812" w:type="dxa"/>
            <w:vMerge/>
            <w:shd w:val="clear" w:color="auto" w:fill="F6C5AC" w:themeFill="accent2" w:themeFillTint="66"/>
          </w:tcPr>
          <w:p w14:paraId="7E9E9D5B" w14:textId="77777777" w:rsidR="00F67189" w:rsidRDefault="00F67189" w:rsidP="000820D8">
            <w:pPr>
              <w:rPr>
                <w:sz w:val="16"/>
                <w:szCs w:val="16"/>
              </w:rPr>
            </w:pPr>
          </w:p>
        </w:tc>
        <w:tc>
          <w:tcPr>
            <w:tcW w:w="3286" w:type="dxa"/>
            <w:tcBorders>
              <w:top w:val="nil"/>
              <w:bottom w:val="nil"/>
            </w:tcBorders>
          </w:tcPr>
          <w:p w14:paraId="26079569" w14:textId="77777777" w:rsidR="00F67189" w:rsidRPr="000663D2" w:rsidRDefault="00F67189" w:rsidP="000820D8">
            <w:pPr>
              <w:jc w:val="both"/>
              <w:rPr>
                <w:sz w:val="18"/>
                <w:szCs w:val="18"/>
              </w:rPr>
            </w:pPr>
            <w:r w:rsidRPr="000663D2">
              <w:rPr>
                <w:sz w:val="18"/>
                <w:szCs w:val="18"/>
              </w:rPr>
              <w:t>Обработени преписки и извършени проверки, уведомления и съдействия по сигнали и въпроси, поставени от държавни институции</w:t>
            </w:r>
          </w:p>
          <w:p w14:paraId="0BFB9F9C" w14:textId="77777777" w:rsidR="00F67189" w:rsidRDefault="00F67189" w:rsidP="000820D8">
            <w:pPr>
              <w:rPr>
                <w:sz w:val="16"/>
                <w:szCs w:val="16"/>
              </w:rPr>
            </w:pPr>
          </w:p>
        </w:tc>
        <w:tc>
          <w:tcPr>
            <w:tcW w:w="376" w:type="dxa"/>
            <w:tcBorders>
              <w:top w:val="nil"/>
              <w:bottom w:val="nil"/>
            </w:tcBorders>
          </w:tcPr>
          <w:p w14:paraId="4F26DB91" w14:textId="77777777" w:rsidR="00F67189" w:rsidRPr="003A5F6F" w:rsidRDefault="00F67189" w:rsidP="000820D8">
            <w:pPr>
              <w:jc w:val="center"/>
              <w:rPr>
                <w:b/>
                <w:sz w:val="16"/>
                <w:szCs w:val="16"/>
              </w:rPr>
            </w:pPr>
            <w:r w:rsidRPr="003A5F6F">
              <w:rPr>
                <w:b/>
                <w:sz w:val="16"/>
                <w:szCs w:val="16"/>
              </w:rPr>
              <w:t>5</w:t>
            </w:r>
          </w:p>
        </w:tc>
        <w:tc>
          <w:tcPr>
            <w:tcW w:w="3593" w:type="dxa"/>
            <w:tcBorders>
              <w:top w:val="nil"/>
              <w:bottom w:val="nil"/>
            </w:tcBorders>
          </w:tcPr>
          <w:p w14:paraId="20C236D9" w14:textId="77777777" w:rsidR="00F67189" w:rsidRPr="000663D2" w:rsidRDefault="00F67189" w:rsidP="000820D8">
            <w:pPr>
              <w:jc w:val="both"/>
              <w:rPr>
                <w:sz w:val="18"/>
                <w:szCs w:val="18"/>
              </w:rPr>
            </w:pPr>
            <w:r w:rsidRPr="000663D2">
              <w:rPr>
                <w:sz w:val="18"/>
                <w:szCs w:val="18"/>
              </w:rPr>
              <w:t xml:space="preserve">Проведени работни срещи на директора и служители от дирекцията с представители на Министерство на културата </w:t>
            </w:r>
          </w:p>
          <w:p w14:paraId="55BEEF42" w14:textId="77777777" w:rsidR="00F67189" w:rsidRPr="004E5D06" w:rsidRDefault="00F67189" w:rsidP="000820D8">
            <w:pPr>
              <w:jc w:val="both"/>
              <w:rPr>
                <w:sz w:val="18"/>
                <w:szCs w:val="18"/>
              </w:rPr>
            </w:pPr>
          </w:p>
        </w:tc>
        <w:tc>
          <w:tcPr>
            <w:tcW w:w="284" w:type="dxa"/>
            <w:tcBorders>
              <w:top w:val="nil"/>
              <w:bottom w:val="nil"/>
            </w:tcBorders>
          </w:tcPr>
          <w:p w14:paraId="18ED9B4F" w14:textId="77777777" w:rsidR="00F67189" w:rsidRPr="003A5F6F" w:rsidRDefault="00F67189" w:rsidP="000820D8">
            <w:pPr>
              <w:jc w:val="center"/>
              <w:rPr>
                <w:b/>
                <w:sz w:val="16"/>
                <w:szCs w:val="16"/>
              </w:rPr>
            </w:pPr>
            <w:r>
              <w:rPr>
                <w:b/>
                <w:sz w:val="16"/>
                <w:szCs w:val="16"/>
              </w:rPr>
              <w:t>1</w:t>
            </w:r>
          </w:p>
        </w:tc>
      </w:tr>
      <w:tr w:rsidR="00F67189" w14:paraId="3AAA8938" w14:textId="77777777" w:rsidTr="00665887">
        <w:tc>
          <w:tcPr>
            <w:tcW w:w="1812" w:type="dxa"/>
            <w:vMerge/>
            <w:shd w:val="clear" w:color="auto" w:fill="F6C5AC" w:themeFill="accent2" w:themeFillTint="66"/>
          </w:tcPr>
          <w:p w14:paraId="3BB676AA" w14:textId="77777777" w:rsidR="00F67189" w:rsidRDefault="00F67189" w:rsidP="000820D8">
            <w:pPr>
              <w:rPr>
                <w:sz w:val="16"/>
                <w:szCs w:val="16"/>
              </w:rPr>
            </w:pPr>
          </w:p>
        </w:tc>
        <w:tc>
          <w:tcPr>
            <w:tcW w:w="3286" w:type="dxa"/>
            <w:tcBorders>
              <w:top w:val="nil"/>
              <w:bottom w:val="nil"/>
            </w:tcBorders>
          </w:tcPr>
          <w:p w14:paraId="61F33425" w14:textId="77777777" w:rsidR="00F67189" w:rsidRPr="000663D2" w:rsidRDefault="00F67189" w:rsidP="000820D8">
            <w:pPr>
              <w:jc w:val="both"/>
              <w:rPr>
                <w:sz w:val="18"/>
                <w:szCs w:val="18"/>
              </w:rPr>
            </w:pPr>
            <w:r w:rsidRPr="000663D2">
              <w:rPr>
                <w:sz w:val="18"/>
                <w:szCs w:val="18"/>
              </w:rPr>
              <w:t xml:space="preserve">Столична община </w:t>
            </w:r>
          </w:p>
          <w:p w14:paraId="4A2447DB" w14:textId="77777777" w:rsidR="00F67189" w:rsidRDefault="00F67189" w:rsidP="000820D8">
            <w:pPr>
              <w:rPr>
                <w:sz w:val="16"/>
                <w:szCs w:val="16"/>
              </w:rPr>
            </w:pPr>
          </w:p>
        </w:tc>
        <w:tc>
          <w:tcPr>
            <w:tcW w:w="376" w:type="dxa"/>
            <w:tcBorders>
              <w:top w:val="nil"/>
              <w:bottom w:val="nil"/>
            </w:tcBorders>
          </w:tcPr>
          <w:p w14:paraId="6CE58348" w14:textId="77777777" w:rsidR="00F67189" w:rsidRPr="003A5F6F" w:rsidRDefault="00F67189" w:rsidP="000820D8">
            <w:pPr>
              <w:jc w:val="center"/>
              <w:rPr>
                <w:b/>
                <w:sz w:val="16"/>
                <w:szCs w:val="16"/>
              </w:rPr>
            </w:pPr>
            <w:r>
              <w:rPr>
                <w:b/>
                <w:sz w:val="16"/>
                <w:szCs w:val="16"/>
              </w:rPr>
              <w:t>77</w:t>
            </w:r>
          </w:p>
        </w:tc>
        <w:tc>
          <w:tcPr>
            <w:tcW w:w="3593" w:type="dxa"/>
            <w:tcBorders>
              <w:top w:val="nil"/>
              <w:bottom w:val="nil"/>
            </w:tcBorders>
          </w:tcPr>
          <w:p w14:paraId="3BEA627C" w14:textId="77777777" w:rsidR="00F67189" w:rsidRPr="000663D2" w:rsidRDefault="00F67189" w:rsidP="000820D8">
            <w:pPr>
              <w:jc w:val="both"/>
              <w:rPr>
                <w:sz w:val="18"/>
                <w:szCs w:val="18"/>
              </w:rPr>
            </w:pPr>
            <w:r w:rsidRPr="000663D2">
              <w:rPr>
                <w:sz w:val="18"/>
                <w:szCs w:val="18"/>
              </w:rPr>
              <w:t xml:space="preserve">Проведени работни срещи на директора и служители от дирекцията с представители на съдебната власт </w:t>
            </w:r>
          </w:p>
          <w:p w14:paraId="29D0F64E" w14:textId="77777777" w:rsidR="00F67189" w:rsidRPr="004E5D06" w:rsidRDefault="00F67189" w:rsidP="000820D8">
            <w:pPr>
              <w:jc w:val="both"/>
              <w:rPr>
                <w:sz w:val="18"/>
                <w:szCs w:val="18"/>
              </w:rPr>
            </w:pPr>
          </w:p>
        </w:tc>
        <w:tc>
          <w:tcPr>
            <w:tcW w:w="284" w:type="dxa"/>
            <w:tcBorders>
              <w:top w:val="nil"/>
              <w:bottom w:val="nil"/>
            </w:tcBorders>
          </w:tcPr>
          <w:p w14:paraId="5085DE35" w14:textId="77777777" w:rsidR="00F67189" w:rsidRPr="003A5F6F" w:rsidRDefault="00F67189" w:rsidP="000820D8">
            <w:pPr>
              <w:jc w:val="center"/>
              <w:rPr>
                <w:b/>
                <w:sz w:val="16"/>
                <w:szCs w:val="16"/>
              </w:rPr>
            </w:pPr>
            <w:r>
              <w:rPr>
                <w:b/>
                <w:sz w:val="16"/>
                <w:szCs w:val="16"/>
              </w:rPr>
              <w:t>1</w:t>
            </w:r>
          </w:p>
        </w:tc>
      </w:tr>
      <w:tr w:rsidR="00F67189" w14:paraId="00D92F6C" w14:textId="77777777" w:rsidTr="00665887">
        <w:tc>
          <w:tcPr>
            <w:tcW w:w="1812" w:type="dxa"/>
            <w:vMerge/>
            <w:shd w:val="clear" w:color="auto" w:fill="F6C5AC" w:themeFill="accent2" w:themeFillTint="66"/>
          </w:tcPr>
          <w:p w14:paraId="3B5F0DC0" w14:textId="77777777" w:rsidR="00F67189" w:rsidRDefault="00F67189" w:rsidP="000820D8">
            <w:pPr>
              <w:rPr>
                <w:sz w:val="16"/>
                <w:szCs w:val="16"/>
              </w:rPr>
            </w:pPr>
          </w:p>
        </w:tc>
        <w:tc>
          <w:tcPr>
            <w:tcW w:w="3286" w:type="dxa"/>
            <w:tcBorders>
              <w:top w:val="nil"/>
              <w:bottom w:val="nil"/>
            </w:tcBorders>
          </w:tcPr>
          <w:p w14:paraId="489F4183" w14:textId="77777777" w:rsidR="00F67189" w:rsidRPr="000663D2" w:rsidRDefault="00F67189" w:rsidP="000820D8">
            <w:pPr>
              <w:jc w:val="both"/>
              <w:rPr>
                <w:sz w:val="18"/>
                <w:szCs w:val="18"/>
              </w:rPr>
            </w:pPr>
            <w:r w:rsidRPr="000663D2">
              <w:rPr>
                <w:sz w:val="18"/>
                <w:szCs w:val="18"/>
              </w:rPr>
              <w:t>Министерство на външните работи</w:t>
            </w:r>
          </w:p>
          <w:p w14:paraId="20A1125D" w14:textId="77777777" w:rsidR="00F67189" w:rsidRDefault="00F67189" w:rsidP="000820D8">
            <w:pPr>
              <w:rPr>
                <w:sz w:val="16"/>
                <w:szCs w:val="16"/>
              </w:rPr>
            </w:pPr>
          </w:p>
        </w:tc>
        <w:tc>
          <w:tcPr>
            <w:tcW w:w="376" w:type="dxa"/>
            <w:tcBorders>
              <w:top w:val="nil"/>
              <w:bottom w:val="nil"/>
            </w:tcBorders>
          </w:tcPr>
          <w:p w14:paraId="5E4A301B" w14:textId="77777777" w:rsidR="00F67189" w:rsidRPr="003A5F6F" w:rsidRDefault="00F67189" w:rsidP="000820D8">
            <w:pPr>
              <w:jc w:val="center"/>
              <w:rPr>
                <w:b/>
                <w:sz w:val="16"/>
                <w:szCs w:val="16"/>
              </w:rPr>
            </w:pPr>
            <w:r>
              <w:rPr>
                <w:b/>
                <w:sz w:val="16"/>
                <w:szCs w:val="16"/>
              </w:rPr>
              <w:t>9</w:t>
            </w:r>
          </w:p>
        </w:tc>
        <w:tc>
          <w:tcPr>
            <w:tcW w:w="3593" w:type="dxa"/>
            <w:tcBorders>
              <w:top w:val="nil"/>
              <w:bottom w:val="nil"/>
            </w:tcBorders>
          </w:tcPr>
          <w:p w14:paraId="5F247019" w14:textId="77777777" w:rsidR="00F67189" w:rsidRPr="000663D2" w:rsidRDefault="00F67189" w:rsidP="000820D8">
            <w:pPr>
              <w:ind w:right="-144"/>
              <w:rPr>
                <w:b/>
                <w:sz w:val="18"/>
                <w:szCs w:val="18"/>
              </w:rPr>
            </w:pPr>
            <w:r w:rsidRPr="000663D2">
              <w:rPr>
                <w:sz w:val="18"/>
                <w:szCs w:val="18"/>
              </w:rPr>
              <w:t xml:space="preserve">Проведени работни срещи със служители на Държавната агенция за национална сигурност </w:t>
            </w:r>
          </w:p>
          <w:p w14:paraId="13ED4554" w14:textId="77777777" w:rsidR="00F67189" w:rsidRPr="004E5D06" w:rsidRDefault="00F67189" w:rsidP="000820D8">
            <w:pPr>
              <w:jc w:val="both"/>
              <w:rPr>
                <w:sz w:val="18"/>
                <w:szCs w:val="18"/>
              </w:rPr>
            </w:pPr>
          </w:p>
        </w:tc>
        <w:tc>
          <w:tcPr>
            <w:tcW w:w="284" w:type="dxa"/>
            <w:tcBorders>
              <w:top w:val="nil"/>
              <w:bottom w:val="nil"/>
            </w:tcBorders>
          </w:tcPr>
          <w:p w14:paraId="10895D9E" w14:textId="77777777" w:rsidR="00F67189" w:rsidRPr="003A5F6F" w:rsidRDefault="00F67189" w:rsidP="000820D8">
            <w:pPr>
              <w:jc w:val="center"/>
              <w:rPr>
                <w:b/>
                <w:sz w:val="16"/>
                <w:szCs w:val="16"/>
              </w:rPr>
            </w:pPr>
            <w:r>
              <w:rPr>
                <w:b/>
                <w:sz w:val="16"/>
                <w:szCs w:val="16"/>
              </w:rPr>
              <w:t>5</w:t>
            </w:r>
          </w:p>
        </w:tc>
      </w:tr>
      <w:tr w:rsidR="00F67189" w14:paraId="51AE39CB" w14:textId="77777777" w:rsidTr="00665887">
        <w:tc>
          <w:tcPr>
            <w:tcW w:w="1812" w:type="dxa"/>
            <w:vMerge/>
            <w:shd w:val="clear" w:color="auto" w:fill="F6C5AC" w:themeFill="accent2" w:themeFillTint="66"/>
          </w:tcPr>
          <w:p w14:paraId="26FCFE7B" w14:textId="77777777" w:rsidR="00F67189" w:rsidRDefault="00F67189" w:rsidP="000820D8">
            <w:pPr>
              <w:rPr>
                <w:sz w:val="16"/>
                <w:szCs w:val="16"/>
              </w:rPr>
            </w:pPr>
          </w:p>
        </w:tc>
        <w:tc>
          <w:tcPr>
            <w:tcW w:w="3286" w:type="dxa"/>
            <w:tcBorders>
              <w:top w:val="nil"/>
              <w:bottom w:val="nil"/>
            </w:tcBorders>
          </w:tcPr>
          <w:p w14:paraId="52BB69A9" w14:textId="77777777" w:rsidR="00F67189" w:rsidRPr="000663D2" w:rsidRDefault="00F67189" w:rsidP="000820D8">
            <w:pPr>
              <w:jc w:val="both"/>
              <w:rPr>
                <w:sz w:val="18"/>
                <w:szCs w:val="18"/>
              </w:rPr>
            </w:pPr>
            <w:r w:rsidRPr="000663D2">
              <w:rPr>
                <w:sz w:val="18"/>
                <w:szCs w:val="18"/>
              </w:rPr>
              <w:t>Министерство на културата</w:t>
            </w:r>
          </w:p>
          <w:p w14:paraId="7AD1477A" w14:textId="77777777" w:rsidR="00F67189" w:rsidRDefault="00F67189" w:rsidP="000820D8">
            <w:pPr>
              <w:rPr>
                <w:sz w:val="16"/>
                <w:szCs w:val="16"/>
              </w:rPr>
            </w:pPr>
          </w:p>
        </w:tc>
        <w:tc>
          <w:tcPr>
            <w:tcW w:w="376" w:type="dxa"/>
            <w:tcBorders>
              <w:top w:val="nil"/>
              <w:bottom w:val="nil"/>
            </w:tcBorders>
          </w:tcPr>
          <w:p w14:paraId="49B01BFD" w14:textId="77777777" w:rsidR="00F67189" w:rsidRPr="003A5F6F" w:rsidRDefault="00F67189" w:rsidP="000820D8">
            <w:pPr>
              <w:jc w:val="center"/>
              <w:rPr>
                <w:b/>
                <w:sz w:val="16"/>
                <w:szCs w:val="16"/>
              </w:rPr>
            </w:pPr>
            <w:r>
              <w:rPr>
                <w:b/>
                <w:sz w:val="16"/>
                <w:szCs w:val="16"/>
              </w:rPr>
              <w:t>3</w:t>
            </w:r>
          </w:p>
        </w:tc>
        <w:tc>
          <w:tcPr>
            <w:tcW w:w="3593" w:type="dxa"/>
            <w:tcBorders>
              <w:top w:val="nil"/>
              <w:bottom w:val="nil"/>
            </w:tcBorders>
          </w:tcPr>
          <w:p w14:paraId="042E9EBE" w14:textId="77777777" w:rsidR="00F67189" w:rsidRPr="000663D2" w:rsidRDefault="00F67189" w:rsidP="000820D8">
            <w:pPr>
              <w:rPr>
                <w:sz w:val="18"/>
                <w:szCs w:val="18"/>
              </w:rPr>
            </w:pPr>
            <w:r w:rsidRPr="000663D2">
              <w:rPr>
                <w:sz w:val="18"/>
                <w:szCs w:val="18"/>
              </w:rPr>
              <w:t xml:space="preserve">Проведени работни срещи на директора и служители от дирекцията с представители на Министерство на външните работи  </w:t>
            </w:r>
          </w:p>
          <w:p w14:paraId="0B8C8CBC" w14:textId="77777777" w:rsidR="00F67189" w:rsidRPr="004E5D06" w:rsidRDefault="00F67189" w:rsidP="000820D8">
            <w:pPr>
              <w:jc w:val="both"/>
              <w:rPr>
                <w:sz w:val="18"/>
                <w:szCs w:val="18"/>
              </w:rPr>
            </w:pPr>
          </w:p>
        </w:tc>
        <w:tc>
          <w:tcPr>
            <w:tcW w:w="284" w:type="dxa"/>
            <w:tcBorders>
              <w:top w:val="nil"/>
              <w:bottom w:val="nil"/>
            </w:tcBorders>
          </w:tcPr>
          <w:p w14:paraId="29FFB422" w14:textId="77777777" w:rsidR="00F67189" w:rsidRPr="003A5F6F" w:rsidRDefault="00F67189" w:rsidP="000820D8">
            <w:pPr>
              <w:jc w:val="center"/>
              <w:rPr>
                <w:b/>
                <w:sz w:val="16"/>
                <w:szCs w:val="16"/>
              </w:rPr>
            </w:pPr>
            <w:r>
              <w:rPr>
                <w:b/>
                <w:sz w:val="16"/>
                <w:szCs w:val="16"/>
              </w:rPr>
              <w:t>1</w:t>
            </w:r>
          </w:p>
        </w:tc>
      </w:tr>
      <w:tr w:rsidR="00F67189" w14:paraId="39E91BDD" w14:textId="77777777" w:rsidTr="00665887">
        <w:tc>
          <w:tcPr>
            <w:tcW w:w="1812" w:type="dxa"/>
            <w:vMerge/>
            <w:shd w:val="clear" w:color="auto" w:fill="F6C5AC" w:themeFill="accent2" w:themeFillTint="66"/>
          </w:tcPr>
          <w:p w14:paraId="23EBF87D" w14:textId="77777777" w:rsidR="00F67189" w:rsidRDefault="00F67189" w:rsidP="000820D8">
            <w:pPr>
              <w:rPr>
                <w:sz w:val="16"/>
                <w:szCs w:val="16"/>
              </w:rPr>
            </w:pPr>
          </w:p>
        </w:tc>
        <w:tc>
          <w:tcPr>
            <w:tcW w:w="3286" w:type="dxa"/>
            <w:tcBorders>
              <w:top w:val="nil"/>
              <w:bottom w:val="nil"/>
            </w:tcBorders>
          </w:tcPr>
          <w:p w14:paraId="2EA8A1C9" w14:textId="77777777" w:rsidR="00F67189" w:rsidRPr="000663D2" w:rsidRDefault="00F67189" w:rsidP="000820D8">
            <w:pPr>
              <w:jc w:val="both"/>
              <w:rPr>
                <w:sz w:val="18"/>
                <w:szCs w:val="18"/>
              </w:rPr>
            </w:pPr>
            <w:r w:rsidRPr="000663D2">
              <w:rPr>
                <w:sz w:val="18"/>
                <w:szCs w:val="18"/>
              </w:rPr>
              <w:t>Министерство на правосъдието</w:t>
            </w:r>
          </w:p>
          <w:p w14:paraId="165375B6" w14:textId="77777777" w:rsidR="00F67189" w:rsidRDefault="00F67189" w:rsidP="000820D8">
            <w:pPr>
              <w:rPr>
                <w:sz w:val="16"/>
                <w:szCs w:val="16"/>
              </w:rPr>
            </w:pPr>
          </w:p>
        </w:tc>
        <w:tc>
          <w:tcPr>
            <w:tcW w:w="376" w:type="dxa"/>
            <w:tcBorders>
              <w:top w:val="nil"/>
              <w:bottom w:val="nil"/>
            </w:tcBorders>
          </w:tcPr>
          <w:p w14:paraId="1AD78ADB" w14:textId="77777777" w:rsidR="00F67189" w:rsidRPr="003A5F6F" w:rsidRDefault="00F67189" w:rsidP="000820D8">
            <w:pPr>
              <w:jc w:val="center"/>
              <w:rPr>
                <w:b/>
                <w:sz w:val="16"/>
                <w:szCs w:val="16"/>
              </w:rPr>
            </w:pPr>
            <w:r>
              <w:rPr>
                <w:b/>
                <w:sz w:val="16"/>
                <w:szCs w:val="16"/>
              </w:rPr>
              <w:t>1</w:t>
            </w:r>
          </w:p>
        </w:tc>
        <w:tc>
          <w:tcPr>
            <w:tcW w:w="3593" w:type="dxa"/>
            <w:tcBorders>
              <w:top w:val="nil"/>
              <w:bottom w:val="nil"/>
            </w:tcBorders>
          </w:tcPr>
          <w:p w14:paraId="59F6AED3" w14:textId="77777777" w:rsidR="00F67189" w:rsidRPr="000663D2" w:rsidRDefault="00F67189" w:rsidP="000820D8">
            <w:pPr>
              <w:ind w:right="-144"/>
              <w:contextualSpacing/>
              <w:rPr>
                <w:sz w:val="18"/>
                <w:szCs w:val="18"/>
              </w:rPr>
            </w:pPr>
            <w:r w:rsidRPr="000663D2">
              <w:rPr>
                <w:sz w:val="18"/>
                <w:szCs w:val="18"/>
              </w:rPr>
              <w:t>Проведени срещи с представители на дипломатически представителства  на Р. България в чужбина</w:t>
            </w:r>
          </w:p>
          <w:p w14:paraId="679DC87D" w14:textId="77777777" w:rsidR="00F67189" w:rsidRPr="004E5D06" w:rsidRDefault="00F67189" w:rsidP="000820D8">
            <w:pPr>
              <w:jc w:val="both"/>
              <w:rPr>
                <w:sz w:val="18"/>
                <w:szCs w:val="18"/>
              </w:rPr>
            </w:pPr>
          </w:p>
        </w:tc>
        <w:tc>
          <w:tcPr>
            <w:tcW w:w="284" w:type="dxa"/>
            <w:tcBorders>
              <w:top w:val="nil"/>
              <w:bottom w:val="nil"/>
            </w:tcBorders>
          </w:tcPr>
          <w:p w14:paraId="2B215C92" w14:textId="77777777" w:rsidR="00F67189" w:rsidRPr="003A5F6F" w:rsidRDefault="00F67189" w:rsidP="000820D8">
            <w:pPr>
              <w:jc w:val="center"/>
              <w:rPr>
                <w:b/>
                <w:sz w:val="16"/>
                <w:szCs w:val="16"/>
              </w:rPr>
            </w:pPr>
            <w:r>
              <w:rPr>
                <w:b/>
                <w:sz w:val="16"/>
                <w:szCs w:val="16"/>
              </w:rPr>
              <w:t>2</w:t>
            </w:r>
          </w:p>
        </w:tc>
      </w:tr>
      <w:tr w:rsidR="00F67189" w14:paraId="585B1BA5" w14:textId="77777777" w:rsidTr="00665887">
        <w:tc>
          <w:tcPr>
            <w:tcW w:w="1812" w:type="dxa"/>
            <w:vMerge/>
            <w:shd w:val="clear" w:color="auto" w:fill="F6C5AC" w:themeFill="accent2" w:themeFillTint="66"/>
          </w:tcPr>
          <w:p w14:paraId="3EDECA6C" w14:textId="77777777" w:rsidR="00F67189" w:rsidRDefault="00F67189" w:rsidP="000820D8">
            <w:pPr>
              <w:rPr>
                <w:sz w:val="16"/>
                <w:szCs w:val="16"/>
              </w:rPr>
            </w:pPr>
          </w:p>
        </w:tc>
        <w:tc>
          <w:tcPr>
            <w:tcW w:w="3286" w:type="dxa"/>
            <w:tcBorders>
              <w:top w:val="nil"/>
              <w:bottom w:val="nil"/>
            </w:tcBorders>
          </w:tcPr>
          <w:p w14:paraId="0408629C" w14:textId="77777777" w:rsidR="00F67189" w:rsidRPr="000663D2" w:rsidRDefault="00F67189" w:rsidP="000820D8">
            <w:pPr>
              <w:jc w:val="both"/>
              <w:rPr>
                <w:sz w:val="18"/>
                <w:szCs w:val="18"/>
              </w:rPr>
            </w:pPr>
            <w:r w:rsidRPr="000663D2">
              <w:rPr>
                <w:sz w:val="18"/>
                <w:szCs w:val="18"/>
              </w:rPr>
              <w:t>Министерство на</w:t>
            </w:r>
            <w:r w:rsidRPr="000663D2">
              <w:rPr>
                <w:sz w:val="18"/>
                <w:szCs w:val="18"/>
                <w:lang w:val="en-US"/>
              </w:rPr>
              <w:t xml:space="preserve"> </w:t>
            </w:r>
            <w:r w:rsidRPr="000663D2">
              <w:rPr>
                <w:sz w:val="18"/>
                <w:szCs w:val="18"/>
              </w:rPr>
              <w:t>регионалното развитие и  благоустройството</w:t>
            </w:r>
          </w:p>
          <w:p w14:paraId="50BBB830" w14:textId="77777777" w:rsidR="00F67189" w:rsidRDefault="00F67189" w:rsidP="000820D8">
            <w:pPr>
              <w:rPr>
                <w:sz w:val="16"/>
                <w:szCs w:val="16"/>
              </w:rPr>
            </w:pPr>
          </w:p>
        </w:tc>
        <w:tc>
          <w:tcPr>
            <w:tcW w:w="376" w:type="dxa"/>
            <w:tcBorders>
              <w:top w:val="nil"/>
              <w:bottom w:val="nil"/>
            </w:tcBorders>
          </w:tcPr>
          <w:p w14:paraId="4C95E825" w14:textId="77777777" w:rsidR="00F67189" w:rsidRPr="003A5F6F" w:rsidRDefault="00F67189" w:rsidP="000820D8">
            <w:pPr>
              <w:jc w:val="center"/>
              <w:rPr>
                <w:b/>
                <w:sz w:val="16"/>
                <w:szCs w:val="16"/>
              </w:rPr>
            </w:pPr>
            <w:r>
              <w:rPr>
                <w:b/>
                <w:sz w:val="16"/>
                <w:szCs w:val="16"/>
              </w:rPr>
              <w:t>1</w:t>
            </w:r>
          </w:p>
        </w:tc>
        <w:tc>
          <w:tcPr>
            <w:tcW w:w="3593" w:type="dxa"/>
            <w:tcBorders>
              <w:top w:val="nil"/>
              <w:bottom w:val="nil"/>
            </w:tcBorders>
          </w:tcPr>
          <w:p w14:paraId="2DF7C40F" w14:textId="77777777" w:rsidR="00F67189" w:rsidRPr="000663D2" w:rsidRDefault="00F67189" w:rsidP="000820D8">
            <w:pPr>
              <w:ind w:right="-144"/>
              <w:contextualSpacing/>
              <w:rPr>
                <w:sz w:val="18"/>
                <w:szCs w:val="18"/>
              </w:rPr>
            </w:pPr>
            <w:r w:rsidRPr="000663D2">
              <w:rPr>
                <w:sz w:val="18"/>
                <w:szCs w:val="18"/>
              </w:rPr>
              <w:t>Проведени срещи с представители на чужди  дипломатически представителства в Р. България</w:t>
            </w:r>
          </w:p>
          <w:p w14:paraId="15294D84" w14:textId="77777777" w:rsidR="00F67189" w:rsidRPr="004E5D06" w:rsidRDefault="00F67189" w:rsidP="000820D8">
            <w:pPr>
              <w:jc w:val="both"/>
              <w:rPr>
                <w:sz w:val="18"/>
                <w:szCs w:val="18"/>
              </w:rPr>
            </w:pPr>
          </w:p>
        </w:tc>
        <w:tc>
          <w:tcPr>
            <w:tcW w:w="284" w:type="dxa"/>
            <w:tcBorders>
              <w:top w:val="nil"/>
              <w:bottom w:val="nil"/>
            </w:tcBorders>
          </w:tcPr>
          <w:p w14:paraId="6C8F812A" w14:textId="77777777" w:rsidR="00F67189" w:rsidRPr="003A5F6F" w:rsidRDefault="00F67189" w:rsidP="000820D8">
            <w:pPr>
              <w:jc w:val="center"/>
              <w:rPr>
                <w:b/>
                <w:sz w:val="16"/>
                <w:szCs w:val="16"/>
              </w:rPr>
            </w:pPr>
            <w:r>
              <w:rPr>
                <w:b/>
                <w:sz w:val="16"/>
                <w:szCs w:val="16"/>
              </w:rPr>
              <w:t>1</w:t>
            </w:r>
          </w:p>
        </w:tc>
      </w:tr>
      <w:tr w:rsidR="00F67189" w14:paraId="386E673C" w14:textId="77777777" w:rsidTr="00665887">
        <w:tc>
          <w:tcPr>
            <w:tcW w:w="1812" w:type="dxa"/>
            <w:vMerge/>
            <w:shd w:val="clear" w:color="auto" w:fill="F6C5AC" w:themeFill="accent2" w:themeFillTint="66"/>
          </w:tcPr>
          <w:p w14:paraId="3A407EA8" w14:textId="77777777" w:rsidR="00F67189" w:rsidRDefault="00F67189" w:rsidP="000820D8">
            <w:pPr>
              <w:rPr>
                <w:sz w:val="16"/>
                <w:szCs w:val="16"/>
              </w:rPr>
            </w:pPr>
          </w:p>
        </w:tc>
        <w:tc>
          <w:tcPr>
            <w:tcW w:w="3286" w:type="dxa"/>
            <w:tcBorders>
              <w:top w:val="nil"/>
              <w:bottom w:val="nil"/>
            </w:tcBorders>
          </w:tcPr>
          <w:p w14:paraId="5747B438" w14:textId="77777777" w:rsidR="00F67189" w:rsidRPr="000663D2" w:rsidRDefault="00F67189" w:rsidP="000820D8">
            <w:pPr>
              <w:jc w:val="both"/>
              <w:rPr>
                <w:sz w:val="18"/>
                <w:szCs w:val="18"/>
              </w:rPr>
            </w:pPr>
            <w:r w:rsidRPr="000663D2">
              <w:rPr>
                <w:sz w:val="18"/>
                <w:szCs w:val="18"/>
              </w:rPr>
              <w:t>Народно събрание на Република България</w:t>
            </w:r>
          </w:p>
          <w:p w14:paraId="74D9A33B" w14:textId="77777777" w:rsidR="00F67189" w:rsidRDefault="00F67189" w:rsidP="000820D8">
            <w:pPr>
              <w:rPr>
                <w:sz w:val="16"/>
                <w:szCs w:val="16"/>
              </w:rPr>
            </w:pPr>
          </w:p>
        </w:tc>
        <w:tc>
          <w:tcPr>
            <w:tcW w:w="376" w:type="dxa"/>
            <w:tcBorders>
              <w:top w:val="nil"/>
              <w:bottom w:val="nil"/>
            </w:tcBorders>
          </w:tcPr>
          <w:p w14:paraId="5C57F4EF" w14:textId="77777777" w:rsidR="00F67189" w:rsidRPr="003A5F6F" w:rsidRDefault="00F67189" w:rsidP="000820D8">
            <w:pPr>
              <w:jc w:val="center"/>
              <w:rPr>
                <w:b/>
                <w:sz w:val="16"/>
                <w:szCs w:val="16"/>
              </w:rPr>
            </w:pPr>
            <w:r>
              <w:rPr>
                <w:b/>
                <w:sz w:val="16"/>
                <w:szCs w:val="16"/>
              </w:rPr>
              <w:t>2</w:t>
            </w:r>
          </w:p>
        </w:tc>
        <w:tc>
          <w:tcPr>
            <w:tcW w:w="3593" w:type="dxa"/>
            <w:tcBorders>
              <w:top w:val="nil"/>
              <w:bottom w:val="nil"/>
            </w:tcBorders>
          </w:tcPr>
          <w:p w14:paraId="355C613F" w14:textId="77777777" w:rsidR="00F67189" w:rsidRPr="004E5D06" w:rsidRDefault="00F67189" w:rsidP="000820D8">
            <w:pPr>
              <w:jc w:val="both"/>
              <w:rPr>
                <w:sz w:val="18"/>
                <w:szCs w:val="18"/>
              </w:rPr>
            </w:pPr>
          </w:p>
        </w:tc>
        <w:tc>
          <w:tcPr>
            <w:tcW w:w="284" w:type="dxa"/>
            <w:tcBorders>
              <w:top w:val="nil"/>
              <w:bottom w:val="nil"/>
            </w:tcBorders>
          </w:tcPr>
          <w:p w14:paraId="340B815C" w14:textId="77777777" w:rsidR="00F67189" w:rsidRPr="003A5F6F" w:rsidRDefault="00F67189" w:rsidP="000820D8">
            <w:pPr>
              <w:jc w:val="center"/>
              <w:rPr>
                <w:b/>
                <w:sz w:val="16"/>
                <w:szCs w:val="16"/>
              </w:rPr>
            </w:pPr>
          </w:p>
        </w:tc>
      </w:tr>
      <w:tr w:rsidR="00F67189" w14:paraId="09457AE7" w14:textId="77777777" w:rsidTr="00665887">
        <w:tc>
          <w:tcPr>
            <w:tcW w:w="1812" w:type="dxa"/>
            <w:vMerge/>
            <w:shd w:val="clear" w:color="auto" w:fill="F6C5AC" w:themeFill="accent2" w:themeFillTint="66"/>
          </w:tcPr>
          <w:p w14:paraId="7E7B4734" w14:textId="77777777" w:rsidR="00F67189" w:rsidRDefault="00F67189" w:rsidP="000820D8">
            <w:pPr>
              <w:rPr>
                <w:sz w:val="16"/>
                <w:szCs w:val="16"/>
              </w:rPr>
            </w:pPr>
          </w:p>
        </w:tc>
        <w:tc>
          <w:tcPr>
            <w:tcW w:w="3286" w:type="dxa"/>
            <w:tcBorders>
              <w:top w:val="nil"/>
              <w:bottom w:val="nil"/>
            </w:tcBorders>
          </w:tcPr>
          <w:p w14:paraId="5A6790FF" w14:textId="77777777" w:rsidR="00F67189" w:rsidRPr="000663D2" w:rsidRDefault="00F67189" w:rsidP="000820D8">
            <w:pPr>
              <w:jc w:val="both"/>
              <w:rPr>
                <w:sz w:val="18"/>
                <w:szCs w:val="18"/>
              </w:rPr>
            </w:pPr>
            <w:r w:rsidRPr="000663D2">
              <w:rPr>
                <w:sz w:val="18"/>
                <w:szCs w:val="18"/>
              </w:rPr>
              <w:t>Държавна агенция „Национална сигурност“</w:t>
            </w:r>
          </w:p>
          <w:p w14:paraId="52327142" w14:textId="77777777" w:rsidR="00F67189" w:rsidRDefault="00F67189" w:rsidP="000820D8">
            <w:pPr>
              <w:rPr>
                <w:sz w:val="16"/>
                <w:szCs w:val="16"/>
              </w:rPr>
            </w:pPr>
          </w:p>
        </w:tc>
        <w:tc>
          <w:tcPr>
            <w:tcW w:w="376" w:type="dxa"/>
            <w:tcBorders>
              <w:top w:val="nil"/>
              <w:bottom w:val="nil"/>
            </w:tcBorders>
          </w:tcPr>
          <w:p w14:paraId="742FDD05" w14:textId="77777777" w:rsidR="00F67189" w:rsidRPr="003A5F6F" w:rsidRDefault="00F67189" w:rsidP="000820D8">
            <w:pPr>
              <w:jc w:val="center"/>
              <w:rPr>
                <w:b/>
                <w:sz w:val="16"/>
                <w:szCs w:val="16"/>
              </w:rPr>
            </w:pPr>
            <w:r>
              <w:rPr>
                <w:b/>
                <w:sz w:val="16"/>
                <w:szCs w:val="16"/>
              </w:rPr>
              <w:t>1</w:t>
            </w:r>
          </w:p>
        </w:tc>
        <w:tc>
          <w:tcPr>
            <w:tcW w:w="3593" w:type="dxa"/>
            <w:tcBorders>
              <w:top w:val="nil"/>
              <w:bottom w:val="nil"/>
            </w:tcBorders>
          </w:tcPr>
          <w:p w14:paraId="6B3F062B" w14:textId="77777777" w:rsidR="00F67189" w:rsidRPr="00257C23" w:rsidRDefault="00F67189" w:rsidP="000820D8">
            <w:pPr>
              <w:jc w:val="both"/>
              <w:rPr>
                <w:sz w:val="18"/>
                <w:szCs w:val="18"/>
              </w:rPr>
            </w:pPr>
          </w:p>
        </w:tc>
        <w:tc>
          <w:tcPr>
            <w:tcW w:w="284" w:type="dxa"/>
            <w:tcBorders>
              <w:top w:val="nil"/>
              <w:bottom w:val="nil"/>
            </w:tcBorders>
          </w:tcPr>
          <w:p w14:paraId="6BDC9B7A" w14:textId="77777777" w:rsidR="00F67189" w:rsidRPr="003A5F6F" w:rsidRDefault="00F67189" w:rsidP="000820D8">
            <w:pPr>
              <w:jc w:val="center"/>
              <w:rPr>
                <w:b/>
                <w:sz w:val="16"/>
                <w:szCs w:val="16"/>
              </w:rPr>
            </w:pPr>
          </w:p>
        </w:tc>
      </w:tr>
      <w:tr w:rsidR="00F67189" w14:paraId="4918ACED" w14:textId="77777777" w:rsidTr="00665887">
        <w:tc>
          <w:tcPr>
            <w:tcW w:w="1812" w:type="dxa"/>
            <w:vMerge/>
            <w:shd w:val="clear" w:color="auto" w:fill="F6C5AC" w:themeFill="accent2" w:themeFillTint="66"/>
          </w:tcPr>
          <w:p w14:paraId="4988B2D4" w14:textId="77777777" w:rsidR="00F67189" w:rsidRDefault="00F67189" w:rsidP="000820D8">
            <w:pPr>
              <w:rPr>
                <w:sz w:val="16"/>
                <w:szCs w:val="16"/>
              </w:rPr>
            </w:pPr>
          </w:p>
        </w:tc>
        <w:tc>
          <w:tcPr>
            <w:tcW w:w="3286" w:type="dxa"/>
            <w:tcBorders>
              <w:top w:val="nil"/>
              <w:bottom w:val="nil"/>
            </w:tcBorders>
          </w:tcPr>
          <w:p w14:paraId="1C4150BA" w14:textId="77777777" w:rsidR="00F67189" w:rsidRPr="000663D2" w:rsidRDefault="00F67189" w:rsidP="000820D8">
            <w:pPr>
              <w:jc w:val="both"/>
              <w:rPr>
                <w:sz w:val="18"/>
                <w:szCs w:val="18"/>
              </w:rPr>
            </w:pPr>
            <w:r w:rsidRPr="000663D2">
              <w:rPr>
                <w:sz w:val="18"/>
                <w:szCs w:val="18"/>
              </w:rPr>
              <w:t>Министерство на вътрешните работи</w:t>
            </w:r>
          </w:p>
          <w:p w14:paraId="10C29DA8" w14:textId="77777777" w:rsidR="00F67189" w:rsidRDefault="00F67189" w:rsidP="000820D8">
            <w:pPr>
              <w:rPr>
                <w:sz w:val="16"/>
                <w:szCs w:val="16"/>
              </w:rPr>
            </w:pPr>
          </w:p>
        </w:tc>
        <w:tc>
          <w:tcPr>
            <w:tcW w:w="376" w:type="dxa"/>
            <w:tcBorders>
              <w:top w:val="nil"/>
              <w:bottom w:val="nil"/>
            </w:tcBorders>
          </w:tcPr>
          <w:p w14:paraId="1526DE58" w14:textId="77777777" w:rsidR="00F67189" w:rsidRPr="003A5F6F" w:rsidRDefault="00F67189" w:rsidP="000820D8">
            <w:pPr>
              <w:jc w:val="center"/>
              <w:rPr>
                <w:b/>
                <w:sz w:val="16"/>
                <w:szCs w:val="16"/>
              </w:rPr>
            </w:pPr>
            <w:r>
              <w:rPr>
                <w:b/>
                <w:sz w:val="16"/>
                <w:szCs w:val="16"/>
              </w:rPr>
              <w:t>1</w:t>
            </w:r>
          </w:p>
        </w:tc>
        <w:tc>
          <w:tcPr>
            <w:tcW w:w="3593" w:type="dxa"/>
            <w:tcBorders>
              <w:top w:val="nil"/>
              <w:bottom w:val="nil"/>
            </w:tcBorders>
          </w:tcPr>
          <w:p w14:paraId="0F2CA52C" w14:textId="77777777" w:rsidR="00F67189" w:rsidRPr="00257C23" w:rsidRDefault="00F67189" w:rsidP="000820D8">
            <w:pPr>
              <w:jc w:val="both"/>
              <w:rPr>
                <w:sz w:val="18"/>
                <w:szCs w:val="18"/>
              </w:rPr>
            </w:pPr>
          </w:p>
        </w:tc>
        <w:tc>
          <w:tcPr>
            <w:tcW w:w="284" w:type="dxa"/>
            <w:tcBorders>
              <w:top w:val="nil"/>
              <w:bottom w:val="nil"/>
            </w:tcBorders>
          </w:tcPr>
          <w:p w14:paraId="3EC93C3C" w14:textId="77777777" w:rsidR="00F67189" w:rsidRPr="003A5F6F" w:rsidRDefault="00F67189" w:rsidP="000820D8">
            <w:pPr>
              <w:jc w:val="center"/>
              <w:rPr>
                <w:b/>
                <w:sz w:val="16"/>
                <w:szCs w:val="16"/>
              </w:rPr>
            </w:pPr>
          </w:p>
        </w:tc>
      </w:tr>
      <w:tr w:rsidR="00F67189" w14:paraId="3B9268FC" w14:textId="77777777" w:rsidTr="00665887">
        <w:trPr>
          <w:trHeight w:val="54"/>
        </w:trPr>
        <w:tc>
          <w:tcPr>
            <w:tcW w:w="1812" w:type="dxa"/>
            <w:vMerge/>
            <w:shd w:val="clear" w:color="auto" w:fill="F6C5AC" w:themeFill="accent2" w:themeFillTint="66"/>
          </w:tcPr>
          <w:p w14:paraId="52AEE5D9" w14:textId="77777777" w:rsidR="00F67189" w:rsidRDefault="00F67189" w:rsidP="000820D8">
            <w:pPr>
              <w:rPr>
                <w:sz w:val="16"/>
                <w:szCs w:val="16"/>
              </w:rPr>
            </w:pPr>
          </w:p>
        </w:tc>
        <w:tc>
          <w:tcPr>
            <w:tcW w:w="3286" w:type="dxa"/>
            <w:tcBorders>
              <w:top w:val="nil"/>
              <w:bottom w:val="nil"/>
            </w:tcBorders>
          </w:tcPr>
          <w:p w14:paraId="1AB4A94D" w14:textId="77777777" w:rsidR="00F67189" w:rsidRPr="000663D2" w:rsidRDefault="00F67189" w:rsidP="000820D8">
            <w:pPr>
              <w:jc w:val="both"/>
              <w:rPr>
                <w:sz w:val="18"/>
                <w:szCs w:val="18"/>
              </w:rPr>
            </w:pPr>
            <w:r w:rsidRPr="000663D2">
              <w:rPr>
                <w:sz w:val="18"/>
                <w:szCs w:val="18"/>
              </w:rPr>
              <w:t>Прокуратура на Република България</w:t>
            </w:r>
          </w:p>
          <w:p w14:paraId="1FCF9EEE" w14:textId="77777777" w:rsidR="00F67189" w:rsidRDefault="00F67189" w:rsidP="000820D8">
            <w:pPr>
              <w:rPr>
                <w:sz w:val="16"/>
                <w:szCs w:val="16"/>
              </w:rPr>
            </w:pPr>
          </w:p>
        </w:tc>
        <w:tc>
          <w:tcPr>
            <w:tcW w:w="376" w:type="dxa"/>
            <w:tcBorders>
              <w:top w:val="nil"/>
              <w:bottom w:val="nil"/>
            </w:tcBorders>
          </w:tcPr>
          <w:p w14:paraId="7B10CD86" w14:textId="77777777" w:rsidR="00F67189" w:rsidRPr="003A5F6F" w:rsidRDefault="00F67189" w:rsidP="000820D8">
            <w:pPr>
              <w:jc w:val="center"/>
              <w:rPr>
                <w:b/>
                <w:sz w:val="16"/>
                <w:szCs w:val="16"/>
              </w:rPr>
            </w:pPr>
            <w:r>
              <w:rPr>
                <w:b/>
                <w:sz w:val="16"/>
                <w:szCs w:val="16"/>
              </w:rPr>
              <w:t>1</w:t>
            </w:r>
          </w:p>
        </w:tc>
        <w:tc>
          <w:tcPr>
            <w:tcW w:w="3593" w:type="dxa"/>
            <w:tcBorders>
              <w:top w:val="nil"/>
              <w:bottom w:val="nil"/>
            </w:tcBorders>
          </w:tcPr>
          <w:p w14:paraId="4EA98F4E" w14:textId="77777777" w:rsidR="00F67189" w:rsidRDefault="00F67189" w:rsidP="000820D8">
            <w:pPr>
              <w:rPr>
                <w:sz w:val="16"/>
                <w:szCs w:val="16"/>
              </w:rPr>
            </w:pPr>
          </w:p>
        </w:tc>
        <w:tc>
          <w:tcPr>
            <w:tcW w:w="284" w:type="dxa"/>
            <w:tcBorders>
              <w:top w:val="nil"/>
              <w:bottom w:val="nil"/>
            </w:tcBorders>
          </w:tcPr>
          <w:p w14:paraId="59EB8677" w14:textId="77777777" w:rsidR="00F67189" w:rsidRPr="003A5F6F" w:rsidRDefault="00F67189" w:rsidP="000820D8">
            <w:pPr>
              <w:jc w:val="center"/>
              <w:rPr>
                <w:b/>
                <w:sz w:val="16"/>
                <w:szCs w:val="16"/>
              </w:rPr>
            </w:pPr>
          </w:p>
        </w:tc>
      </w:tr>
      <w:tr w:rsidR="00F67189" w14:paraId="62F97EBF" w14:textId="77777777" w:rsidTr="00665887">
        <w:tc>
          <w:tcPr>
            <w:tcW w:w="1812" w:type="dxa"/>
            <w:vMerge/>
            <w:shd w:val="clear" w:color="auto" w:fill="F6C5AC" w:themeFill="accent2" w:themeFillTint="66"/>
          </w:tcPr>
          <w:p w14:paraId="7AD258A5" w14:textId="77777777" w:rsidR="00F67189" w:rsidRDefault="00F67189" w:rsidP="000820D8">
            <w:pPr>
              <w:rPr>
                <w:sz w:val="16"/>
                <w:szCs w:val="16"/>
              </w:rPr>
            </w:pPr>
          </w:p>
        </w:tc>
        <w:tc>
          <w:tcPr>
            <w:tcW w:w="3286" w:type="dxa"/>
            <w:tcBorders>
              <w:top w:val="nil"/>
            </w:tcBorders>
          </w:tcPr>
          <w:p w14:paraId="729FAE9F" w14:textId="77777777" w:rsidR="00F67189" w:rsidRPr="000663D2" w:rsidRDefault="00F67189" w:rsidP="000820D8">
            <w:pPr>
              <w:jc w:val="both"/>
              <w:rPr>
                <w:sz w:val="18"/>
                <w:szCs w:val="18"/>
              </w:rPr>
            </w:pPr>
            <w:r w:rsidRPr="000663D2">
              <w:rPr>
                <w:sz w:val="18"/>
                <w:szCs w:val="18"/>
              </w:rPr>
              <w:t xml:space="preserve">Министерство на земеделието и храните </w:t>
            </w:r>
          </w:p>
          <w:p w14:paraId="72FAED30" w14:textId="77777777" w:rsidR="00F67189" w:rsidRDefault="00F67189" w:rsidP="000820D8">
            <w:pPr>
              <w:rPr>
                <w:sz w:val="16"/>
                <w:szCs w:val="16"/>
              </w:rPr>
            </w:pPr>
          </w:p>
        </w:tc>
        <w:tc>
          <w:tcPr>
            <w:tcW w:w="376" w:type="dxa"/>
            <w:tcBorders>
              <w:top w:val="nil"/>
            </w:tcBorders>
          </w:tcPr>
          <w:p w14:paraId="1F6A4C24" w14:textId="77777777" w:rsidR="00F67189" w:rsidRPr="003A5F6F" w:rsidRDefault="00F67189" w:rsidP="000820D8">
            <w:pPr>
              <w:jc w:val="center"/>
              <w:rPr>
                <w:b/>
                <w:sz w:val="16"/>
                <w:szCs w:val="16"/>
              </w:rPr>
            </w:pPr>
            <w:r>
              <w:rPr>
                <w:b/>
                <w:sz w:val="16"/>
                <w:szCs w:val="16"/>
              </w:rPr>
              <w:t>1</w:t>
            </w:r>
          </w:p>
        </w:tc>
        <w:tc>
          <w:tcPr>
            <w:tcW w:w="3593" w:type="dxa"/>
            <w:tcBorders>
              <w:top w:val="nil"/>
            </w:tcBorders>
          </w:tcPr>
          <w:p w14:paraId="4BF7C4BD" w14:textId="77777777" w:rsidR="00F67189" w:rsidRDefault="00F67189" w:rsidP="000820D8">
            <w:pPr>
              <w:rPr>
                <w:sz w:val="16"/>
                <w:szCs w:val="16"/>
              </w:rPr>
            </w:pPr>
          </w:p>
        </w:tc>
        <w:tc>
          <w:tcPr>
            <w:tcW w:w="284" w:type="dxa"/>
            <w:tcBorders>
              <w:top w:val="nil"/>
            </w:tcBorders>
          </w:tcPr>
          <w:p w14:paraId="7B436152" w14:textId="77777777" w:rsidR="00F67189" w:rsidRPr="003A5F6F" w:rsidRDefault="00F67189" w:rsidP="000820D8">
            <w:pPr>
              <w:jc w:val="center"/>
              <w:rPr>
                <w:b/>
                <w:sz w:val="16"/>
                <w:szCs w:val="16"/>
              </w:rPr>
            </w:pPr>
          </w:p>
        </w:tc>
      </w:tr>
    </w:tbl>
    <w:p w14:paraId="7B90C739" w14:textId="77777777" w:rsidR="00641163" w:rsidRDefault="00641163" w:rsidP="00641163">
      <w:pPr>
        <w:shd w:val="clear" w:color="auto" w:fill="FFFFFF" w:themeFill="background1"/>
        <w:spacing w:before="240"/>
        <w:ind w:left="709"/>
        <w:jc w:val="both"/>
        <w:rPr>
          <w:b/>
          <w:i/>
        </w:rPr>
      </w:pPr>
    </w:p>
    <w:p w14:paraId="0643EFBE" w14:textId="77777777" w:rsidR="00641163" w:rsidRDefault="00641163">
      <w:pPr>
        <w:rPr>
          <w:b/>
          <w:i/>
        </w:rPr>
      </w:pPr>
      <w:r>
        <w:rPr>
          <w:b/>
          <w:i/>
        </w:rPr>
        <w:br w:type="page"/>
      </w:r>
    </w:p>
    <w:p w14:paraId="37648E1F" w14:textId="7C37DDC6" w:rsidR="00674008" w:rsidRPr="00641163" w:rsidRDefault="00674008" w:rsidP="00641163">
      <w:pPr>
        <w:numPr>
          <w:ilvl w:val="0"/>
          <w:numId w:val="10"/>
        </w:numPr>
        <w:shd w:val="clear" w:color="auto" w:fill="FFFFFF" w:themeFill="background1"/>
        <w:tabs>
          <w:tab w:val="clear" w:pos="1068"/>
          <w:tab w:val="num" w:pos="709"/>
        </w:tabs>
        <w:spacing w:before="240"/>
        <w:ind w:left="709" w:hanging="284"/>
        <w:jc w:val="both"/>
        <w:rPr>
          <w:i/>
          <w:sz w:val="22"/>
          <w:szCs w:val="22"/>
        </w:rPr>
      </w:pPr>
      <w:r w:rsidRPr="00641163">
        <w:rPr>
          <w:b/>
          <w:i/>
          <w:sz w:val="22"/>
          <w:szCs w:val="22"/>
        </w:rPr>
        <w:lastRenderedPageBreak/>
        <w:t xml:space="preserve">Кореспонденция с религиозни институции </w:t>
      </w:r>
      <w:r w:rsidRPr="00641163">
        <w:rPr>
          <w:i/>
          <w:sz w:val="22"/>
          <w:szCs w:val="22"/>
        </w:rPr>
        <w:t xml:space="preserve">(чл. 35, т. 1 от Закона за вероизповеданията) </w:t>
      </w:r>
    </w:p>
    <w:tbl>
      <w:tblPr>
        <w:tblStyle w:val="TableGrid"/>
        <w:tblW w:w="9351" w:type="dxa"/>
        <w:tblLook w:val="04A0" w:firstRow="1" w:lastRow="0" w:firstColumn="1" w:lastColumn="0" w:noHBand="0" w:noVBand="1"/>
      </w:tblPr>
      <w:tblGrid>
        <w:gridCol w:w="1812"/>
        <w:gridCol w:w="3003"/>
        <w:gridCol w:w="621"/>
        <w:gridCol w:w="3348"/>
        <w:gridCol w:w="567"/>
      </w:tblGrid>
      <w:tr w:rsidR="00543F23" w14:paraId="18FEC110" w14:textId="77777777" w:rsidTr="00641163">
        <w:trPr>
          <w:trHeight w:val="305"/>
        </w:trPr>
        <w:tc>
          <w:tcPr>
            <w:tcW w:w="1812" w:type="dxa"/>
            <w:shd w:val="clear" w:color="auto" w:fill="F6C5AC" w:themeFill="accent2" w:themeFillTint="66"/>
          </w:tcPr>
          <w:p w14:paraId="53CCC301" w14:textId="0229A69F" w:rsidR="001F0C10" w:rsidRPr="002E5109" w:rsidRDefault="00543F23" w:rsidP="000820D8">
            <w:pPr>
              <w:jc w:val="both"/>
              <w:rPr>
                <w:b/>
                <w:sz w:val="18"/>
                <w:szCs w:val="18"/>
              </w:rPr>
            </w:pPr>
            <w:r w:rsidRPr="002E5109">
              <w:rPr>
                <w:b/>
                <w:sz w:val="18"/>
                <w:szCs w:val="18"/>
              </w:rPr>
              <w:t>ПОКАЗАТЕЛИ</w:t>
            </w:r>
          </w:p>
        </w:tc>
        <w:tc>
          <w:tcPr>
            <w:tcW w:w="3624" w:type="dxa"/>
            <w:gridSpan w:val="2"/>
            <w:shd w:val="clear" w:color="auto" w:fill="F6C5AC" w:themeFill="accent2" w:themeFillTint="66"/>
          </w:tcPr>
          <w:p w14:paraId="7161EFA0" w14:textId="77777777" w:rsidR="00543F23" w:rsidRPr="004E5D06" w:rsidRDefault="00543F23" w:rsidP="000820D8">
            <w:pPr>
              <w:jc w:val="center"/>
              <w:rPr>
                <w:b/>
                <w:sz w:val="18"/>
                <w:szCs w:val="18"/>
              </w:rPr>
            </w:pPr>
            <w:r w:rsidRPr="004E5D06">
              <w:rPr>
                <w:b/>
                <w:sz w:val="18"/>
                <w:szCs w:val="18"/>
              </w:rPr>
              <w:t>ПРЕПИСКИ</w:t>
            </w:r>
          </w:p>
        </w:tc>
        <w:tc>
          <w:tcPr>
            <w:tcW w:w="3915" w:type="dxa"/>
            <w:gridSpan w:val="2"/>
            <w:shd w:val="clear" w:color="auto" w:fill="F6C5AC" w:themeFill="accent2" w:themeFillTint="66"/>
          </w:tcPr>
          <w:p w14:paraId="5532CD67" w14:textId="77777777" w:rsidR="00543F23" w:rsidRPr="004E5D06" w:rsidRDefault="00543F23" w:rsidP="000820D8">
            <w:pPr>
              <w:jc w:val="center"/>
              <w:rPr>
                <w:b/>
                <w:sz w:val="18"/>
                <w:szCs w:val="18"/>
              </w:rPr>
            </w:pPr>
            <w:r w:rsidRPr="004E5D06">
              <w:rPr>
                <w:b/>
                <w:sz w:val="18"/>
                <w:szCs w:val="18"/>
              </w:rPr>
              <w:t>СРЕЩИ</w:t>
            </w:r>
          </w:p>
        </w:tc>
      </w:tr>
      <w:tr w:rsidR="00543F23" w14:paraId="37AC0D10" w14:textId="77777777" w:rsidTr="00DE22EF">
        <w:tc>
          <w:tcPr>
            <w:tcW w:w="1812" w:type="dxa"/>
            <w:shd w:val="clear" w:color="auto" w:fill="F6C5AC" w:themeFill="accent2" w:themeFillTint="66"/>
          </w:tcPr>
          <w:p w14:paraId="004131B9" w14:textId="77777777" w:rsidR="00543F23" w:rsidRPr="004E5D06" w:rsidRDefault="00543F23" w:rsidP="000820D8">
            <w:pPr>
              <w:jc w:val="both"/>
              <w:rPr>
                <w:b/>
                <w:sz w:val="18"/>
                <w:szCs w:val="18"/>
              </w:rPr>
            </w:pPr>
            <w:r w:rsidRPr="004E5D06">
              <w:rPr>
                <w:b/>
                <w:sz w:val="18"/>
                <w:szCs w:val="18"/>
              </w:rPr>
              <w:t>КОЛИЧЕСТВЕНИ</w:t>
            </w:r>
          </w:p>
        </w:tc>
        <w:tc>
          <w:tcPr>
            <w:tcW w:w="3624" w:type="dxa"/>
            <w:gridSpan w:val="2"/>
          </w:tcPr>
          <w:p w14:paraId="601D2E71" w14:textId="77777777" w:rsidR="00543F23" w:rsidRPr="004E5D06" w:rsidRDefault="00543F23" w:rsidP="000820D8">
            <w:pPr>
              <w:jc w:val="center"/>
              <w:rPr>
                <w:b/>
                <w:sz w:val="16"/>
                <w:szCs w:val="16"/>
              </w:rPr>
            </w:pPr>
            <w:r w:rsidRPr="004E5D06">
              <w:rPr>
                <w:b/>
                <w:sz w:val="16"/>
                <w:szCs w:val="16"/>
              </w:rPr>
              <w:t>15</w:t>
            </w:r>
          </w:p>
        </w:tc>
        <w:tc>
          <w:tcPr>
            <w:tcW w:w="3915" w:type="dxa"/>
            <w:gridSpan w:val="2"/>
          </w:tcPr>
          <w:p w14:paraId="5A8B93A5" w14:textId="77777777" w:rsidR="00543F23" w:rsidRPr="004E5D06" w:rsidRDefault="00543F23" w:rsidP="000820D8">
            <w:pPr>
              <w:jc w:val="center"/>
              <w:rPr>
                <w:b/>
                <w:sz w:val="16"/>
                <w:szCs w:val="16"/>
              </w:rPr>
            </w:pPr>
            <w:r w:rsidRPr="004E5D06">
              <w:rPr>
                <w:b/>
                <w:sz w:val="16"/>
                <w:szCs w:val="16"/>
              </w:rPr>
              <w:t>29</w:t>
            </w:r>
          </w:p>
        </w:tc>
      </w:tr>
      <w:tr w:rsidR="00543F23" w14:paraId="2E852D39" w14:textId="77777777" w:rsidTr="008E13AF">
        <w:tc>
          <w:tcPr>
            <w:tcW w:w="1812" w:type="dxa"/>
            <w:vMerge w:val="restart"/>
            <w:shd w:val="clear" w:color="auto" w:fill="F6C5AC" w:themeFill="accent2" w:themeFillTint="66"/>
          </w:tcPr>
          <w:p w14:paraId="5E7DFCC5" w14:textId="77777777" w:rsidR="00543F23" w:rsidRPr="004E5D06" w:rsidRDefault="00543F23" w:rsidP="000820D8">
            <w:pPr>
              <w:jc w:val="both"/>
              <w:rPr>
                <w:b/>
                <w:sz w:val="18"/>
                <w:szCs w:val="18"/>
              </w:rPr>
            </w:pPr>
            <w:r w:rsidRPr="004E5D06">
              <w:rPr>
                <w:b/>
                <w:sz w:val="18"/>
                <w:szCs w:val="18"/>
              </w:rPr>
              <w:t>КАЧЕСТВЕНИ</w:t>
            </w:r>
          </w:p>
        </w:tc>
        <w:tc>
          <w:tcPr>
            <w:tcW w:w="3003" w:type="dxa"/>
            <w:tcBorders>
              <w:bottom w:val="nil"/>
            </w:tcBorders>
          </w:tcPr>
          <w:p w14:paraId="2257093B" w14:textId="77777777" w:rsidR="00543F23" w:rsidRDefault="00543F23" w:rsidP="000820D8">
            <w:pPr>
              <w:jc w:val="both"/>
              <w:rPr>
                <w:sz w:val="18"/>
                <w:szCs w:val="18"/>
              </w:rPr>
            </w:pPr>
            <w:r w:rsidRPr="002E5109">
              <w:rPr>
                <w:sz w:val="18"/>
                <w:szCs w:val="18"/>
              </w:rPr>
              <w:t>С религиозни институции и граждани отн</w:t>
            </w:r>
            <w:r>
              <w:rPr>
                <w:sz w:val="18"/>
                <w:szCs w:val="18"/>
              </w:rPr>
              <w:t>осно правото на вероизповедания</w:t>
            </w:r>
          </w:p>
          <w:p w14:paraId="0009D2FC" w14:textId="77777777" w:rsidR="00543F23" w:rsidRPr="004E5D06" w:rsidRDefault="00543F23" w:rsidP="000820D8">
            <w:pPr>
              <w:jc w:val="both"/>
              <w:rPr>
                <w:sz w:val="18"/>
                <w:szCs w:val="18"/>
              </w:rPr>
            </w:pPr>
          </w:p>
        </w:tc>
        <w:tc>
          <w:tcPr>
            <w:tcW w:w="621" w:type="dxa"/>
            <w:tcBorders>
              <w:bottom w:val="nil"/>
            </w:tcBorders>
          </w:tcPr>
          <w:p w14:paraId="13EFCA04" w14:textId="77777777" w:rsidR="00543F23" w:rsidRDefault="00543F23" w:rsidP="00ED42B6">
            <w:pPr>
              <w:jc w:val="center"/>
              <w:rPr>
                <w:sz w:val="16"/>
                <w:szCs w:val="16"/>
              </w:rPr>
            </w:pPr>
            <w:r>
              <w:rPr>
                <w:sz w:val="16"/>
                <w:szCs w:val="16"/>
              </w:rPr>
              <w:t>6</w:t>
            </w:r>
          </w:p>
        </w:tc>
        <w:tc>
          <w:tcPr>
            <w:tcW w:w="3348" w:type="dxa"/>
            <w:tcBorders>
              <w:bottom w:val="nil"/>
            </w:tcBorders>
          </w:tcPr>
          <w:p w14:paraId="7125C555" w14:textId="77777777" w:rsidR="00543F23" w:rsidRDefault="00543F23" w:rsidP="000820D8">
            <w:pPr>
              <w:rPr>
                <w:sz w:val="18"/>
                <w:szCs w:val="18"/>
              </w:rPr>
            </w:pPr>
            <w:r w:rsidRPr="002E5109">
              <w:rPr>
                <w:sz w:val="18"/>
                <w:szCs w:val="18"/>
              </w:rPr>
              <w:t>Проведени срещи на директора или служители на дирекцията с представители на висшия клир, свещеници, монаси, монахини от Българската православна църква</w:t>
            </w:r>
          </w:p>
          <w:p w14:paraId="5110391F" w14:textId="77777777" w:rsidR="00543F23" w:rsidRPr="004E5D06" w:rsidRDefault="00543F23" w:rsidP="000820D8">
            <w:pPr>
              <w:rPr>
                <w:b/>
                <w:sz w:val="18"/>
                <w:szCs w:val="18"/>
              </w:rPr>
            </w:pPr>
          </w:p>
        </w:tc>
        <w:tc>
          <w:tcPr>
            <w:tcW w:w="567" w:type="dxa"/>
            <w:tcBorders>
              <w:bottom w:val="nil"/>
            </w:tcBorders>
          </w:tcPr>
          <w:p w14:paraId="766C299C" w14:textId="77777777" w:rsidR="00543F23" w:rsidRDefault="00543F23" w:rsidP="00ED42B6">
            <w:pPr>
              <w:jc w:val="center"/>
              <w:rPr>
                <w:sz w:val="16"/>
                <w:szCs w:val="16"/>
              </w:rPr>
            </w:pPr>
            <w:r>
              <w:rPr>
                <w:sz w:val="16"/>
                <w:szCs w:val="16"/>
              </w:rPr>
              <w:t>13</w:t>
            </w:r>
          </w:p>
        </w:tc>
      </w:tr>
      <w:tr w:rsidR="00543F23" w14:paraId="1A734D64" w14:textId="77777777" w:rsidTr="008E13AF">
        <w:tc>
          <w:tcPr>
            <w:tcW w:w="1812" w:type="dxa"/>
            <w:vMerge/>
            <w:shd w:val="clear" w:color="auto" w:fill="F6C5AC" w:themeFill="accent2" w:themeFillTint="66"/>
          </w:tcPr>
          <w:p w14:paraId="4624BEBF" w14:textId="77777777" w:rsidR="00543F23" w:rsidRDefault="00543F23" w:rsidP="000820D8">
            <w:pPr>
              <w:rPr>
                <w:sz w:val="16"/>
                <w:szCs w:val="16"/>
              </w:rPr>
            </w:pPr>
          </w:p>
        </w:tc>
        <w:tc>
          <w:tcPr>
            <w:tcW w:w="3003" w:type="dxa"/>
            <w:tcBorders>
              <w:top w:val="nil"/>
              <w:bottom w:val="nil"/>
            </w:tcBorders>
          </w:tcPr>
          <w:p w14:paraId="0AB67377" w14:textId="77777777" w:rsidR="00543F23" w:rsidRPr="004E5D06" w:rsidRDefault="00543F23" w:rsidP="000820D8">
            <w:pPr>
              <w:jc w:val="both"/>
              <w:rPr>
                <w:sz w:val="18"/>
                <w:szCs w:val="18"/>
              </w:rPr>
            </w:pPr>
            <w:r w:rsidRPr="002E5109">
              <w:rPr>
                <w:sz w:val="18"/>
                <w:szCs w:val="18"/>
              </w:rPr>
              <w:t>С религиозни институции и граждани относно извършени проверк</w:t>
            </w:r>
            <w:r>
              <w:rPr>
                <w:sz w:val="18"/>
                <w:szCs w:val="18"/>
              </w:rPr>
              <w:t>и и съдействия по техни сигнали</w:t>
            </w:r>
          </w:p>
        </w:tc>
        <w:tc>
          <w:tcPr>
            <w:tcW w:w="621" w:type="dxa"/>
            <w:tcBorders>
              <w:top w:val="nil"/>
              <w:bottom w:val="nil"/>
            </w:tcBorders>
          </w:tcPr>
          <w:p w14:paraId="14785A0D" w14:textId="77777777" w:rsidR="00543F23" w:rsidRDefault="00543F23" w:rsidP="00ED42B6">
            <w:pPr>
              <w:jc w:val="center"/>
              <w:rPr>
                <w:sz w:val="16"/>
                <w:szCs w:val="16"/>
              </w:rPr>
            </w:pPr>
            <w:r>
              <w:rPr>
                <w:sz w:val="16"/>
                <w:szCs w:val="16"/>
              </w:rPr>
              <w:t>9</w:t>
            </w:r>
          </w:p>
        </w:tc>
        <w:tc>
          <w:tcPr>
            <w:tcW w:w="3348" w:type="dxa"/>
            <w:tcBorders>
              <w:top w:val="nil"/>
              <w:bottom w:val="nil"/>
            </w:tcBorders>
          </w:tcPr>
          <w:p w14:paraId="68235294" w14:textId="77777777" w:rsidR="00543F23" w:rsidRDefault="00543F23" w:rsidP="000820D8">
            <w:pPr>
              <w:rPr>
                <w:sz w:val="18"/>
                <w:szCs w:val="18"/>
              </w:rPr>
            </w:pPr>
            <w:r w:rsidRPr="002E5109">
              <w:rPr>
                <w:sz w:val="18"/>
                <w:szCs w:val="18"/>
              </w:rPr>
              <w:t xml:space="preserve">Проведени срещи на директора и служители на дирекцията с представители на Мюсюлманското вероизповедание </w:t>
            </w:r>
          </w:p>
          <w:p w14:paraId="2E23D7E6" w14:textId="77777777" w:rsidR="00543F23" w:rsidRDefault="00543F23" w:rsidP="000820D8">
            <w:pPr>
              <w:rPr>
                <w:sz w:val="16"/>
                <w:szCs w:val="16"/>
              </w:rPr>
            </w:pPr>
          </w:p>
        </w:tc>
        <w:tc>
          <w:tcPr>
            <w:tcW w:w="567" w:type="dxa"/>
            <w:tcBorders>
              <w:top w:val="nil"/>
              <w:bottom w:val="nil"/>
            </w:tcBorders>
          </w:tcPr>
          <w:p w14:paraId="301E6E1E" w14:textId="77777777" w:rsidR="00543F23" w:rsidRDefault="00543F23" w:rsidP="00ED42B6">
            <w:pPr>
              <w:jc w:val="center"/>
              <w:rPr>
                <w:sz w:val="16"/>
                <w:szCs w:val="16"/>
              </w:rPr>
            </w:pPr>
            <w:r>
              <w:rPr>
                <w:sz w:val="16"/>
                <w:szCs w:val="16"/>
              </w:rPr>
              <w:t>3</w:t>
            </w:r>
          </w:p>
        </w:tc>
      </w:tr>
      <w:tr w:rsidR="00543F23" w14:paraId="655E372F" w14:textId="77777777" w:rsidTr="008E13AF">
        <w:tc>
          <w:tcPr>
            <w:tcW w:w="1812" w:type="dxa"/>
            <w:vMerge/>
            <w:shd w:val="clear" w:color="auto" w:fill="F6C5AC" w:themeFill="accent2" w:themeFillTint="66"/>
          </w:tcPr>
          <w:p w14:paraId="546CBCA9" w14:textId="77777777" w:rsidR="00543F23" w:rsidRDefault="00543F23" w:rsidP="000820D8">
            <w:pPr>
              <w:rPr>
                <w:sz w:val="16"/>
                <w:szCs w:val="16"/>
              </w:rPr>
            </w:pPr>
          </w:p>
        </w:tc>
        <w:tc>
          <w:tcPr>
            <w:tcW w:w="3003" w:type="dxa"/>
            <w:tcBorders>
              <w:top w:val="nil"/>
              <w:bottom w:val="nil"/>
            </w:tcBorders>
          </w:tcPr>
          <w:p w14:paraId="6A8E763C" w14:textId="77777777" w:rsidR="00543F23" w:rsidRDefault="00543F23" w:rsidP="000820D8">
            <w:pPr>
              <w:rPr>
                <w:sz w:val="16"/>
                <w:szCs w:val="16"/>
              </w:rPr>
            </w:pPr>
          </w:p>
        </w:tc>
        <w:tc>
          <w:tcPr>
            <w:tcW w:w="621" w:type="dxa"/>
            <w:tcBorders>
              <w:top w:val="nil"/>
              <w:bottom w:val="nil"/>
            </w:tcBorders>
          </w:tcPr>
          <w:p w14:paraId="765AC9A4" w14:textId="77777777" w:rsidR="00543F23" w:rsidRDefault="00543F23" w:rsidP="00ED42B6">
            <w:pPr>
              <w:jc w:val="center"/>
              <w:rPr>
                <w:sz w:val="16"/>
                <w:szCs w:val="16"/>
              </w:rPr>
            </w:pPr>
          </w:p>
        </w:tc>
        <w:tc>
          <w:tcPr>
            <w:tcW w:w="3348" w:type="dxa"/>
            <w:tcBorders>
              <w:top w:val="nil"/>
              <w:bottom w:val="nil"/>
            </w:tcBorders>
          </w:tcPr>
          <w:p w14:paraId="13F67D5C" w14:textId="77777777" w:rsidR="00543F23" w:rsidRDefault="00543F23" w:rsidP="000820D8">
            <w:pPr>
              <w:jc w:val="both"/>
              <w:rPr>
                <w:sz w:val="18"/>
                <w:szCs w:val="18"/>
              </w:rPr>
            </w:pPr>
            <w:r w:rsidRPr="002E5109">
              <w:rPr>
                <w:sz w:val="18"/>
                <w:szCs w:val="18"/>
              </w:rPr>
              <w:t>Проведени работни срещи на директора и служители от дирекцията с представители на</w:t>
            </w:r>
            <w:r w:rsidRPr="002E5109">
              <w:rPr>
                <w:sz w:val="18"/>
                <w:szCs w:val="18"/>
                <w:lang w:val="en-US"/>
              </w:rPr>
              <w:t xml:space="preserve"> </w:t>
            </w:r>
            <w:r w:rsidRPr="002E5109">
              <w:rPr>
                <w:sz w:val="18"/>
                <w:szCs w:val="18"/>
              </w:rPr>
              <w:t xml:space="preserve">от манастир „Св. </w:t>
            </w:r>
            <w:proofErr w:type="spellStart"/>
            <w:r w:rsidRPr="002E5109">
              <w:rPr>
                <w:sz w:val="18"/>
                <w:szCs w:val="18"/>
              </w:rPr>
              <w:t>вмчк</w:t>
            </w:r>
            <w:proofErr w:type="spellEnd"/>
            <w:r w:rsidRPr="002E5109">
              <w:rPr>
                <w:sz w:val="18"/>
                <w:szCs w:val="18"/>
              </w:rPr>
              <w:t>. Георги Зограф“ в Света гора, Атон</w:t>
            </w:r>
          </w:p>
          <w:p w14:paraId="7233F1BC" w14:textId="77777777" w:rsidR="00543F23" w:rsidRPr="004E5D06" w:rsidRDefault="00543F23" w:rsidP="000820D8">
            <w:pPr>
              <w:jc w:val="both"/>
              <w:rPr>
                <w:sz w:val="18"/>
                <w:szCs w:val="18"/>
              </w:rPr>
            </w:pPr>
          </w:p>
        </w:tc>
        <w:tc>
          <w:tcPr>
            <w:tcW w:w="567" w:type="dxa"/>
            <w:tcBorders>
              <w:top w:val="nil"/>
              <w:bottom w:val="nil"/>
            </w:tcBorders>
          </w:tcPr>
          <w:p w14:paraId="4DCDA5CB" w14:textId="77777777" w:rsidR="00543F23" w:rsidRDefault="00543F23" w:rsidP="00ED42B6">
            <w:pPr>
              <w:jc w:val="center"/>
              <w:rPr>
                <w:sz w:val="16"/>
                <w:szCs w:val="16"/>
              </w:rPr>
            </w:pPr>
            <w:r>
              <w:rPr>
                <w:sz w:val="16"/>
                <w:szCs w:val="16"/>
              </w:rPr>
              <w:t>1</w:t>
            </w:r>
          </w:p>
        </w:tc>
      </w:tr>
      <w:tr w:rsidR="00543F23" w14:paraId="67005918" w14:textId="77777777" w:rsidTr="008E13AF">
        <w:tc>
          <w:tcPr>
            <w:tcW w:w="1812" w:type="dxa"/>
            <w:vMerge/>
            <w:shd w:val="clear" w:color="auto" w:fill="F6C5AC" w:themeFill="accent2" w:themeFillTint="66"/>
          </w:tcPr>
          <w:p w14:paraId="6A77E921" w14:textId="77777777" w:rsidR="00543F23" w:rsidRDefault="00543F23" w:rsidP="000820D8">
            <w:pPr>
              <w:rPr>
                <w:sz w:val="16"/>
                <w:szCs w:val="16"/>
              </w:rPr>
            </w:pPr>
          </w:p>
        </w:tc>
        <w:tc>
          <w:tcPr>
            <w:tcW w:w="3003" w:type="dxa"/>
            <w:tcBorders>
              <w:top w:val="nil"/>
              <w:bottom w:val="nil"/>
            </w:tcBorders>
          </w:tcPr>
          <w:p w14:paraId="153775C7" w14:textId="77777777" w:rsidR="00543F23" w:rsidRDefault="00543F23" w:rsidP="000820D8">
            <w:pPr>
              <w:rPr>
                <w:sz w:val="16"/>
                <w:szCs w:val="16"/>
              </w:rPr>
            </w:pPr>
          </w:p>
        </w:tc>
        <w:tc>
          <w:tcPr>
            <w:tcW w:w="621" w:type="dxa"/>
            <w:tcBorders>
              <w:top w:val="nil"/>
              <w:bottom w:val="nil"/>
            </w:tcBorders>
          </w:tcPr>
          <w:p w14:paraId="0BADFE28" w14:textId="77777777" w:rsidR="00543F23" w:rsidRDefault="00543F23" w:rsidP="000820D8">
            <w:pPr>
              <w:rPr>
                <w:sz w:val="16"/>
                <w:szCs w:val="16"/>
              </w:rPr>
            </w:pPr>
          </w:p>
        </w:tc>
        <w:tc>
          <w:tcPr>
            <w:tcW w:w="3348" w:type="dxa"/>
            <w:tcBorders>
              <w:top w:val="nil"/>
              <w:bottom w:val="nil"/>
            </w:tcBorders>
          </w:tcPr>
          <w:p w14:paraId="2CFBF41D" w14:textId="77777777" w:rsidR="00543F23" w:rsidRDefault="00543F23" w:rsidP="000820D8">
            <w:pPr>
              <w:jc w:val="both"/>
              <w:rPr>
                <w:sz w:val="18"/>
                <w:szCs w:val="18"/>
              </w:rPr>
            </w:pPr>
            <w:r w:rsidRPr="002E5109">
              <w:rPr>
                <w:sz w:val="18"/>
                <w:szCs w:val="18"/>
              </w:rPr>
              <w:t>Проведени работни срещи на директора и служители от дирекцията с представители н</w:t>
            </w:r>
            <w:r>
              <w:rPr>
                <w:sz w:val="18"/>
                <w:szCs w:val="18"/>
              </w:rPr>
              <w:t>а Религиозна общност на евреите</w:t>
            </w:r>
          </w:p>
          <w:p w14:paraId="58D0BD1F" w14:textId="77777777" w:rsidR="00543F23" w:rsidRPr="004E5D06" w:rsidRDefault="00543F23" w:rsidP="000820D8">
            <w:pPr>
              <w:jc w:val="both"/>
              <w:rPr>
                <w:sz w:val="18"/>
                <w:szCs w:val="18"/>
              </w:rPr>
            </w:pPr>
          </w:p>
        </w:tc>
        <w:tc>
          <w:tcPr>
            <w:tcW w:w="567" w:type="dxa"/>
            <w:tcBorders>
              <w:top w:val="nil"/>
              <w:bottom w:val="nil"/>
            </w:tcBorders>
          </w:tcPr>
          <w:p w14:paraId="5AF43E21" w14:textId="77777777" w:rsidR="00543F23" w:rsidRDefault="00543F23" w:rsidP="00ED42B6">
            <w:pPr>
              <w:jc w:val="center"/>
              <w:rPr>
                <w:sz w:val="16"/>
                <w:szCs w:val="16"/>
              </w:rPr>
            </w:pPr>
            <w:r>
              <w:rPr>
                <w:sz w:val="16"/>
                <w:szCs w:val="16"/>
              </w:rPr>
              <w:t>1</w:t>
            </w:r>
          </w:p>
        </w:tc>
      </w:tr>
      <w:tr w:rsidR="00543F23" w14:paraId="3874258B" w14:textId="77777777" w:rsidTr="008E13AF">
        <w:tc>
          <w:tcPr>
            <w:tcW w:w="1812" w:type="dxa"/>
            <w:vMerge/>
            <w:shd w:val="clear" w:color="auto" w:fill="F6C5AC" w:themeFill="accent2" w:themeFillTint="66"/>
          </w:tcPr>
          <w:p w14:paraId="1366D725" w14:textId="77777777" w:rsidR="00543F23" w:rsidRDefault="00543F23" w:rsidP="000820D8">
            <w:pPr>
              <w:rPr>
                <w:sz w:val="16"/>
                <w:szCs w:val="16"/>
              </w:rPr>
            </w:pPr>
          </w:p>
        </w:tc>
        <w:tc>
          <w:tcPr>
            <w:tcW w:w="3003" w:type="dxa"/>
            <w:tcBorders>
              <w:top w:val="nil"/>
              <w:bottom w:val="nil"/>
            </w:tcBorders>
          </w:tcPr>
          <w:p w14:paraId="6B586FB8" w14:textId="77777777" w:rsidR="00543F23" w:rsidRDefault="00543F23" w:rsidP="000820D8">
            <w:pPr>
              <w:rPr>
                <w:sz w:val="16"/>
                <w:szCs w:val="16"/>
              </w:rPr>
            </w:pPr>
          </w:p>
        </w:tc>
        <w:tc>
          <w:tcPr>
            <w:tcW w:w="621" w:type="dxa"/>
            <w:tcBorders>
              <w:top w:val="nil"/>
              <w:bottom w:val="nil"/>
            </w:tcBorders>
          </w:tcPr>
          <w:p w14:paraId="3AC2D869" w14:textId="77777777" w:rsidR="00543F23" w:rsidRDefault="00543F23" w:rsidP="000820D8">
            <w:pPr>
              <w:rPr>
                <w:sz w:val="16"/>
                <w:szCs w:val="16"/>
              </w:rPr>
            </w:pPr>
          </w:p>
        </w:tc>
        <w:tc>
          <w:tcPr>
            <w:tcW w:w="3348" w:type="dxa"/>
            <w:tcBorders>
              <w:top w:val="nil"/>
              <w:bottom w:val="nil"/>
            </w:tcBorders>
          </w:tcPr>
          <w:p w14:paraId="5FF503A4" w14:textId="77777777" w:rsidR="00543F23" w:rsidRDefault="00543F23" w:rsidP="000820D8">
            <w:pPr>
              <w:jc w:val="both"/>
              <w:rPr>
                <w:sz w:val="18"/>
                <w:szCs w:val="18"/>
              </w:rPr>
            </w:pPr>
            <w:r w:rsidRPr="002E5109">
              <w:rPr>
                <w:sz w:val="18"/>
                <w:szCs w:val="18"/>
              </w:rPr>
              <w:t>Проведени работни срещи на директора и служители от дирекцията с представите</w:t>
            </w:r>
            <w:r>
              <w:rPr>
                <w:sz w:val="18"/>
                <w:szCs w:val="18"/>
              </w:rPr>
              <w:t>ли на Българска свободна църква</w:t>
            </w:r>
          </w:p>
          <w:p w14:paraId="5599A011" w14:textId="77777777" w:rsidR="00543F23" w:rsidRPr="004E5D06" w:rsidRDefault="00543F23" w:rsidP="000820D8">
            <w:pPr>
              <w:jc w:val="both"/>
              <w:rPr>
                <w:sz w:val="18"/>
                <w:szCs w:val="18"/>
              </w:rPr>
            </w:pPr>
          </w:p>
        </w:tc>
        <w:tc>
          <w:tcPr>
            <w:tcW w:w="567" w:type="dxa"/>
            <w:tcBorders>
              <w:top w:val="nil"/>
              <w:bottom w:val="nil"/>
            </w:tcBorders>
          </w:tcPr>
          <w:p w14:paraId="019E7ED3" w14:textId="77777777" w:rsidR="00543F23" w:rsidRDefault="00543F23" w:rsidP="00ED42B6">
            <w:pPr>
              <w:jc w:val="center"/>
              <w:rPr>
                <w:sz w:val="16"/>
                <w:szCs w:val="16"/>
              </w:rPr>
            </w:pPr>
            <w:r>
              <w:rPr>
                <w:sz w:val="16"/>
                <w:szCs w:val="16"/>
              </w:rPr>
              <w:t>1</w:t>
            </w:r>
          </w:p>
        </w:tc>
      </w:tr>
      <w:tr w:rsidR="00543F23" w14:paraId="697C3D08" w14:textId="77777777" w:rsidTr="008E13AF">
        <w:tc>
          <w:tcPr>
            <w:tcW w:w="1812" w:type="dxa"/>
            <w:vMerge/>
            <w:shd w:val="clear" w:color="auto" w:fill="F6C5AC" w:themeFill="accent2" w:themeFillTint="66"/>
          </w:tcPr>
          <w:p w14:paraId="5AD10483" w14:textId="77777777" w:rsidR="00543F23" w:rsidRDefault="00543F23" w:rsidP="000820D8">
            <w:pPr>
              <w:rPr>
                <w:sz w:val="16"/>
                <w:szCs w:val="16"/>
              </w:rPr>
            </w:pPr>
          </w:p>
        </w:tc>
        <w:tc>
          <w:tcPr>
            <w:tcW w:w="3003" w:type="dxa"/>
            <w:tcBorders>
              <w:top w:val="nil"/>
              <w:bottom w:val="nil"/>
            </w:tcBorders>
          </w:tcPr>
          <w:p w14:paraId="1FA6F1AE" w14:textId="77777777" w:rsidR="00543F23" w:rsidRDefault="00543F23" w:rsidP="000820D8">
            <w:pPr>
              <w:rPr>
                <w:sz w:val="16"/>
                <w:szCs w:val="16"/>
              </w:rPr>
            </w:pPr>
          </w:p>
        </w:tc>
        <w:tc>
          <w:tcPr>
            <w:tcW w:w="621" w:type="dxa"/>
            <w:tcBorders>
              <w:top w:val="nil"/>
              <w:bottom w:val="nil"/>
            </w:tcBorders>
          </w:tcPr>
          <w:p w14:paraId="62925CC0" w14:textId="77777777" w:rsidR="00543F23" w:rsidRDefault="00543F23" w:rsidP="000820D8">
            <w:pPr>
              <w:rPr>
                <w:sz w:val="16"/>
                <w:szCs w:val="16"/>
              </w:rPr>
            </w:pPr>
          </w:p>
        </w:tc>
        <w:tc>
          <w:tcPr>
            <w:tcW w:w="3348" w:type="dxa"/>
            <w:tcBorders>
              <w:top w:val="nil"/>
              <w:bottom w:val="nil"/>
            </w:tcBorders>
          </w:tcPr>
          <w:p w14:paraId="23FD28F7" w14:textId="77777777" w:rsidR="00543F23" w:rsidRDefault="00543F23" w:rsidP="000820D8">
            <w:pPr>
              <w:jc w:val="both"/>
              <w:rPr>
                <w:sz w:val="18"/>
                <w:szCs w:val="18"/>
              </w:rPr>
            </w:pPr>
            <w:r w:rsidRPr="002E5109">
              <w:rPr>
                <w:sz w:val="18"/>
                <w:szCs w:val="18"/>
              </w:rPr>
              <w:t>Проведени срещи на директора и служители от дирекцията с представители на БПЦО И</w:t>
            </w:r>
            <w:r>
              <w:rPr>
                <w:sz w:val="18"/>
                <w:szCs w:val="18"/>
              </w:rPr>
              <w:t>станбул – Турция</w:t>
            </w:r>
          </w:p>
          <w:p w14:paraId="42193ED5" w14:textId="77777777" w:rsidR="00543F23" w:rsidRPr="004E5D06" w:rsidRDefault="00543F23" w:rsidP="000820D8">
            <w:pPr>
              <w:jc w:val="both"/>
              <w:rPr>
                <w:sz w:val="18"/>
                <w:szCs w:val="18"/>
              </w:rPr>
            </w:pPr>
          </w:p>
        </w:tc>
        <w:tc>
          <w:tcPr>
            <w:tcW w:w="567" w:type="dxa"/>
            <w:tcBorders>
              <w:top w:val="nil"/>
              <w:bottom w:val="nil"/>
            </w:tcBorders>
          </w:tcPr>
          <w:p w14:paraId="5D8C4692" w14:textId="77777777" w:rsidR="00543F23" w:rsidRDefault="00543F23" w:rsidP="00ED42B6">
            <w:pPr>
              <w:jc w:val="center"/>
              <w:rPr>
                <w:sz w:val="16"/>
                <w:szCs w:val="16"/>
              </w:rPr>
            </w:pPr>
            <w:r>
              <w:rPr>
                <w:sz w:val="16"/>
                <w:szCs w:val="16"/>
              </w:rPr>
              <w:t>1</w:t>
            </w:r>
          </w:p>
        </w:tc>
      </w:tr>
      <w:tr w:rsidR="00543F23" w14:paraId="2AB5AB2E" w14:textId="77777777" w:rsidTr="008E13AF">
        <w:tc>
          <w:tcPr>
            <w:tcW w:w="1812" w:type="dxa"/>
            <w:vMerge/>
            <w:shd w:val="clear" w:color="auto" w:fill="F6C5AC" w:themeFill="accent2" w:themeFillTint="66"/>
          </w:tcPr>
          <w:p w14:paraId="5E3E4E9F" w14:textId="77777777" w:rsidR="00543F23" w:rsidRDefault="00543F23" w:rsidP="000820D8">
            <w:pPr>
              <w:rPr>
                <w:sz w:val="16"/>
                <w:szCs w:val="16"/>
              </w:rPr>
            </w:pPr>
          </w:p>
        </w:tc>
        <w:tc>
          <w:tcPr>
            <w:tcW w:w="3003" w:type="dxa"/>
            <w:tcBorders>
              <w:top w:val="nil"/>
              <w:bottom w:val="nil"/>
            </w:tcBorders>
          </w:tcPr>
          <w:p w14:paraId="175B0720" w14:textId="77777777" w:rsidR="00543F23" w:rsidRDefault="00543F23" w:rsidP="000820D8">
            <w:pPr>
              <w:rPr>
                <w:sz w:val="16"/>
                <w:szCs w:val="16"/>
              </w:rPr>
            </w:pPr>
          </w:p>
        </w:tc>
        <w:tc>
          <w:tcPr>
            <w:tcW w:w="621" w:type="dxa"/>
            <w:tcBorders>
              <w:top w:val="nil"/>
              <w:bottom w:val="nil"/>
            </w:tcBorders>
          </w:tcPr>
          <w:p w14:paraId="1A2D168B" w14:textId="77777777" w:rsidR="00543F23" w:rsidRDefault="00543F23" w:rsidP="000820D8">
            <w:pPr>
              <w:rPr>
                <w:sz w:val="16"/>
                <w:szCs w:val="16"/>
              </w:rPr>
            </w:pPr>
          </w:p>
        </w:tc>
        <w:tc>
          <w:tcPr>
            <w:tcW w:w="3348" w:type="dxa"/>
            <w:tcBorders>
              <w:top w:val="nil"/>
              <w:bottom w:val="nil"/>
            </w:tcBorders>
          </w:tcPr>
          <w:p w14:paraId="4EC683A6" w14:textId="77777777" w:rsidR="00543F23" w:rsidRDefault="00543F23" w:rsidP="000820D8">
            <w:pPr>
              <w:jc w:val="both"/>
              <w:rPr>
                <w:sz w:val="18"/>
                <w:szCs w:val="18"/>
              </w:rPr>
            </w:pPr>
            <w:r w:rsidRPr="002E5109">
              <w:rPr>
                <w:sz w:val="18"/>
                <w:szCs w:val="18"/>
              </w:rPr>
              <w:t>Проведени работни срещи на директора и служители от дирекцията с Националния съвет на религиозните общности в България</w:t>
            </w:r>
          </w:p>
          <w:p w14:paraId="30B55724" w14:textId="77777777" w:rsidR="00543F23" w:rsidRPr="004E5D06" w:rsidRDefault="00543F23" w:rsidP="000820D8">
            <w:pPr>
              <w:jc w:val="both"/>
              <w:rPr>
                <w:sz w:val="18"/>
                <w:szCs w:val="18"/>
              </w:rPr>
            </w:pPr>
          </w:p>
        </w:tc>
        <w:tc>
          <w:tcPr>
            <w:tcW w:w="567" w:type="dxa"/>
            <w:tcBorders>
              <w:top w:val="nil"/>
              <w:bottom w:val="nil"/>
            </w:tcBorders>
          </w:tcPr>
          <w:p w14:paraId="37DCBFC5" w14:textId="77777777" w:rsidR="00543F23" w:rsidRDefault="00543F23" w:rsidP="00ED42B6">
            <w:pPr>
              <w:jc w:val="center"/>
              <w:rPr>
                <w:sz w:val="16"/>
                <w:szCs w:val="16"/>
              </w:rPr>
            </w:pPr>
            <w:r>
              <w:rPr>
                <w:sz w:val="16"/>
                <w:szCs w:val="16"/>
              </w:rPr>
              <w:t>1</w:t>
            </w:r>
          </w:p>
        </w:tc>
      </w:tr>
      <w:tr w:rsidR="00543F23" w14:paraId="68DBD1C6" w14:textId="77777777" w:rsidTr="008E13AF">
        <w:tc>
          <w:tcPr>
            <w:tcW w:w="1812" w:type="dxa"/>
            <w:vMerge/>
            <w:shd w:val="clear" w:color="auto" w:fill="F6C5AC" w:themeFill="accent2" w:themeFillTint="66"/>
          </w:tcPr>
          <w:p w14:paraId="1674C98C" w14:textId="77777777" w:rsidR="00543F23" w:rsidRDefault="00543F23" w:rsidP="000820D8">
            <w:pPr>
              <w:rPr>
                <w:sz w:val="16"/>
                <w:szCs w:val="16"/>
              </w:rPr>
            </w:pPr>
          </w:p>
        </w:tc>
        <w:tc>
          <w:tcPr>
            <w:tcW w:w="3003" w:type="dxa"/>
            <w:tcBorders>
              <w:top w:val="nil"/>
              <w:bottom w:val="nil"/>
            </w:tcBorders>
          </w:tcPr>
          <w:p w14:paraId="1964BE6D" w14:textId="77777777" w:rsidR="00543F23" w:rsidRDefault="00543F23" w:rsidP="000820D8">
            <w:pPr>
              <w:rPr>
                <w:sz w:val="16"/>
                <w:szCs w:val="16"/>
              </w:rPr>
            </w:pPr>
          </w:p>
        </w:tc>
        <w:tc>
          <w:tcPr>
            <w:tcW w:w="621" w:type="dxa"/>
            <w:tcBorders>
              <w:top w:val="nil"/>
              <w:bottom w:val="nil"/>
            </w:tcBorders>
          </w:tcPr>
          <w:p w14:paraId="48EA28C6" w14:textId="77777777" w:rsidR="00543F23" w:rsidRDefault="00543F23" w:rsidP="000820D8">
            <w:pPr>
              <w:rPr>
                <w:sz w:val="16"/>
                <w:szCs w:val="16"/>
              </w:rPr>
            </w:pPr>
          </w:p>
        </w:tc>
        <w:tc>
          <w:tcPr>
            <w:tcW w:w="3348" w:type="dxa"/>
            <w:tcBorders>
              <w:top w:val="nil"/>
              <w:bottom w:val="nil"/>
            </w:tcBorders>
          </w:tcPr>
          <w:p w14:paraId="5A2B1137" w14:textId="77777777" w:rsidR="00543F23" w:rsidRDefault="00543F23" w:rsidP="000820D8">
            <w:pPr>
              <w:jc w:val="both"/>
              <w:rPr>
                <w:sz w:val="18"/>
                <w:szCs w:val="18"/>
              </w:rPr>
            </w:pPr>
            <w:r w:rsidRPr="002E5109">
              <w:rPr>
                <w:sz w:val="18"/>
                <w:szCs w:val="18"/>
              </w:rPr>
              <w:t>Проведени работни срещи на директора и служители от дирекцията с представители н</w:t>
            </w:r>
            <w:r>
              <w:rPr>
                <w:sz w:val="18"/>
                <w:szCs w:val="18"/>
              </w:rPr>
              <w:t>а „Общество за Кришна съзнание“</w:t>
            </w:r>
          </w:p>
          <w:p w14:paraId="41404A4A" w14:textId="77777777" w:rsidR="00543F23" w:rsidRPr="004E5D06" w:rsidRDefault="00543F23" w:rsidP="000820D8">
            <w:pPr>
              <w:jc w:val="both"/>
              <w:rPr>
                <w:sz w:val="18"/>
                <w:szCs w:val="18"/>
              </w:rPr>
            </w:pPr>
          </w:p>
        </w:tc>
        <w:tc>
          <w:tcPr>
            <w:tcW w:w="567" w:type="dxa"/>
            <w:tcBorders>
              <w:top w:val="nil"/>
              <w:bottom w:val="nil"/>
            </w:tcBorders>
          </w:tcPr>
          <w:p w14:paraId="5A6ED485" w14:textId="77777777" w:rsidR="00543F23" w:rsidRDefault="00543F23" w:rsidP="00ED42B6">
            <w:pPr>
              <w:jc w:val="center"/>
              <w:rPr>
                <w:sz w:val="16"/>
                <w:szCs w:val="16"/>
              </w:rPr>
            </w:pPr>
            <w:r>
              <w:rPr>
                <w:sz w:val="16"/>
                <w:szCs w:val="16"/>
              </w:rPr>
              <w:t>1</w:t>
            </w:r>
          </w:p>
        </w:tc>
      </w:tr>
      <w:tr w:rsidR="00543F23" w14:paraId="4192CDDE" w14:textId="77777777" w:rsidTr="008E13AF">
        <w:tc>
          <w:tcPr>
            <w:tcW w:w="1812" w:type="dxa"/>
            <w:vMerge/>
            <w:shd w:val="clear" w:color="auto" w:fill="F6C5AC" w:themeFill="accent2" w:themeFillTint="66"/>
          </w:tcPr>
          <w:p w14:paraId="540B8281" w14:textId="77777777" w:rsidR="00543F23" w:rsidRDefault="00543F23" w:rsidP="000820D8">
            <w:pPr>
              <w:rPr>
                <w:sz w:val="16"/>
                <w:szCs w:val="16"/>
              </w:rPr>
            </w:pPr>
          </w:p>
        </w:tc>
        <w:tc>
          <w:tcPr>
            <w:tcW w:w="3003" w:type="dxa"/>
            <w:tcBorders>
              <w:top w:val="nil"/>
              <w:bottom w:val="nil"/>
            </w:tcBorders>
          </w:tcPr>
          <w:p w14:paraId="589A6614" w14:textId="77777777" w:rsidR="00543F23" w:rsidRDefault="00543F23" w:rsidP="000820D8">
            <w:pPr>
              <w:rPr>
                <w:sz w:val="16"/>
                <w:szCs w:val="16"/>
              </w:rPr>
            </w:pPr>
          </w:p>
        </w:tc>
        <w:tc>
          <w:tcPr>
            <w:tcW w:w="621" w:type="dxa"/>
            <w:tcBorders>
              <w:top w:val="nil"/>
              <w:bottom w:val="nil"/>
            </w:tcBorders>
          </w:tcPr>
          <w:p w14:paraId="364AF797" w14:textId="77777777" w:rsidR="00543F23" w:rsidRDefault="00543F23" w:rsidP="000820D8">
            <w:pPr>
              <w:rPr>
                <w:sz w:val="16"/>
                <w:szCs w:val="16"/>
              </w:rPr>
            </w:pPr>
          </w:p>
        </w:tc>
        <w:tc>
          <w:tcPr>
            <w:tcW w:w="3348" w:type="dxa"/>
            <w:tcBorders>
              <w:top w:val="nil"/>
              <w:bottom w:val="nil"/>
            </w:tcBorders>
          </w:tcPr>
          <w:p w14:paraId="75092C07" w14:textId="77777777" w:rsidR="00543F23" w:rsidRDefault="00543F23" w:rsidP="000820D8">
            <w:pPr>
              <w:jc w:val="both"/>
              <w:rPr>
                <w:sz w:val="18"/>
                <w:szCs w:val="18"/>
              </w:rPr>
            </w:pPr>
            <w:r w:rsidRPr="002E5109">
              <w:rPr>
                <w:sz w:val="18"/>
                <w:szCs w:val="18"/>
              </w:rPr>
              <w:t>Проведени работни срещи на директора и служители от дирекцията с представители н</w:t>
            </w:r>
            <w:r>
              <w:rPr>
                <w:sz w:val="18"/>
                <w:szCs w:val="18"/>
              </w:rPr>
              <w:t>а „Будистка общност в България“</w:t>
            </w:r>
          </w:p>
          <w:p w14:paraId="7BEAF004" w14:textId="77777777" w:rsidR="00543F23" w:rsidRPr="004E5D06" w:rsidRDefault="00543F23" w:rsidP="000820D8">
            <w:pPr>
              <w:jc w:val="both"/>
              <w:rPr>
                <w:sz w:val="18"/>
                <w:szCs w:val="18"/>
              </w:rPr>
            </w:pPr>
          </w:p>
        </w:tc>
        <w:tc>
          <w:tcPr>
            <w:tcW w:w="567" w:type="dxa"/>
            <w:tcBorders>
              <w:top w:val="nil"/>
              <w:bottom w:val="nil"/>
            </w:tcBorders>
          </w:tcPr>
          <w:p w14:paraId="7F06C3CF" w14:textId="77777777" w:rsidR="00543F23" w:rsidRDefault="00543F23" w:rsidP="00ED42B6">
            <w:pPr>
              <w:jc w:val="center"/>
              <w:rPr>
                <w:sz w:val="16"/>
                <w:szCs w:val="16"/>
              </w:rPr>
            </w:pPr>
            <w:r>
              <w:rPr>
                <w:sz w:val="16"/>
                <w:szCs w:val="16"/>
              </w:rPr>
              <w:t>1</w:t>
            </w:r>
          </w:p>
        </w:tc>
      </w:tr>
      <w:tr w:rsidR="00543F23" w14:paraId="58B3BFED" w14:textId="77777777" w:rsidTr="008E13AF">
        <w:tc>
          <w:tcPr>
            <w:tcW w:w="1812" w:type="dxa"/>
            <w:vMerge/>
            <w:shd w:val="clear" w:color="auto" w:fill="F6C5AC" w:themeFill="accent2" w:themeFillTint="66"/>
          </w:tcPr>
          <w:p w14:paraId="37F08641" w14:textId="77777777" w:rsidR="00543F23" w:rsidRDefault="00543F23" w:rsidP="000820D8">
            <w:pPr>
              <w:rPr>
                <w:sz w:val="16"/>
                <w:szCs w:val="16"/>
              </w:rPr>
            </w:pPr>
          </w:p>
        </w:tc>
        <w:tc>
          <w:tcPr>
            <w:tcW w:w="3003" w:type="dxa"/>
            <w:tcBorders>
              <w:top w:val="nil"/>
              <w:bottom w:val="nil"/>
            </w:tcBorders>
          </w:tcPr>
          <w:p w14:paraId="215B45D4" w14:textId="77777777" w:rsidR="00543F23" w:rsidRDefault="00543F23" w:rsidP="000820D8">
            <w:pPr>
              <w:rPr>
                <w:sz w:val="16"/>
                <w:szCs w:val="16"/>
              </w:rPr>
            </w:pPr>
          </w:p>
        </w:tc>
        <w:tc>
          <w:tcPr>
            <w:tcW w:w="621" w:type="dxa"/>
            <w:tcBorders>
              <w:top w:val="nil"/>
              <w:bottom w:val="nil"/>
            </w:tcBorders>
          </w:tcPr>
          <w:p w14:paraId="4592A42A" w14:textId="77777777" w:rsidR="00543F23" w:rsidRDefault="00543F23" w:rsidP="000820D8">
            <w:pPr>
              <w:rPr>
                <w:sz w:val="16"/>
                <w:szCs w:val="16"/>
              </w:rPr>
            </w:pPr>
          </w:p>
        </w:tc>
        <w:tc>
          <w:tcPr>
            <w:tcW w:w="3348" w:type="dxa"/>
            <w:tcBorders>
              <w:top w:val="nil"/>
              <w:bottom w:val="nil"/>
            </w:tcBorders>
          </w:tcPr>
          <w:p w14:paraId="25B0CA68" w14:textId="77777777" w:rsidR="00543F23" w:rsidRDefault="00543F23" w:rsidP="000820D8">
            <w:pPr>
              <w:jc w:val="both"/>
              <w:rPr>
                <w:sz w:val="18"/>
                <w:szCs w:val="18"/>
              </w:rPr>
            </w:pPr>
            <w:r w:rsidRPr="002E5109">
              <w:rPr>
                <w:sz w:val="18"/>
                <w:szCs w:val="18"/>
              </w:rPr>
              <w:t>Проведени работни срещи на директора и служители от дирекцията с представители на „Арменска апостолическа света църква“</w:t>
            </w:r>
          </w:p>
          <w:p w14:paraId="0A51C7E2" w14:textId="77777777" w:rsidR="00543F23" w:rsidRPr="004E5D06" w:rsidRDefault="00543F23" w:rsidP="000820D8">
            <w:pPr>
              <w:jc w:val="both"/>
              <w:rPr>
                <w:sz w:val="18"/>
                <w:szCs w:val="18"/>
              </w:rPr>
            </w:pPr>
          </w:p>
        </w:tc>
        <w:tc>
          <w:tcPr>
            <w:tcW w:w="567" w:type="dxa"/>
            <w:tcBorders>
              <w:top w:val="nil"/>
              <w:bottom w:val="nil"/>
            </w:tcBorders>
          </w:tcPr>
          <w:p w14:paraId="7E6DE33E" w14:textId="77777777" w:rsidR="00543F23" w:rsidRDefault="00543F23" w:rsidP="00ED42B6">
            <w:pPr>
              <w:jc w:val="center"/>
              <w:rPr>
                <w:sz w:val="16"/>
                <w:szCs w:val="16"/>
              </w:rPr>
            </w:pPr>
            <w:r>
              <w:rPr>
                <w:sz w:val="16"/>
                <w:szCs w:val="16"/>
              </w:rPr>
              <w:t>1</w:t>
            </w:r>
          </w:p>
        </w:tc>
      </w:tr>
      <w:tr w:rsidR="00543F23" w14:paraId="562F01DF" w14:textId="77777777" w:rsidTr="008E13AF">
        <w:tc>
          <w:tcPr>
            <w:tcW w:w="1812" w:type="dxa"/>
            <w:vMerge/>
            <w:shd w:val="clear" w:color="auto" w:fill="F6C5AC" w:themeFill="accent2" w:themeFillTint="66"/>
          </w:tcPr>
          <w:p w14:paraId="02D6D16D" w14:textId="77777777" w:rsidR="00543F23" w:rsidRDefault="00543F23" w:rsidP="000820D8">
            <w:pPr>
              <w:rPr>
                <w:sz w:val="16"/>
                <w:szCs w:val="16"/>
              </w:rPr>
            </w:pPr>
          </w:p>
        </w:tc>
        <w:tc>
          <w:tcPr>
            <w:tcW w:w="3003" w:type="dxa"/>
            <w:tcBorders>
              <w:top w:val="nil"/>
              <w:bottom w:val="nil"/>
            </w:tcBorders>
          </w:tcPr>
          <w:p w14:paraId="062CEC69" w14:textId="77777777" w:rsidR="00543F23" w:rsidRDefault="00543F23" w:rsidP="000820D8">
            <w:pPr>
              <w:rPr>
                <w:sz w:val="16"/>
                <w:szCs w:val="16"/>
              </w:rPr>
            </w:pPr>
          </w:p>
        </w:tc>
        <w:tc>
          <w:tcPr>
            <w:tcW w:w="621" w:type="dxa"/>
            <w:tcBorders>
              <w:top w:val="nil"/>
              <w:bottom w:val="nil"/>
            </w:tcBorders>
          </w:tcPr>
          <w:p w14:paraId="04763943" w14:textId="77777777" w:rsidR="00543F23" w:rsidRDefault="00543F23" w:rsidP="000820D8">
            <w:pPr>
              <w:rPr>
                <w:sz w:val="16"/>
                <w:szCs w:val="16"/>
              </w:rPr>
            </w:pPr>
          </w:p>
        </w:tc>
        <w:tc>
          <w:tcPr>
            <w:tcW w:w="3348" w:type="dxa"/>
            <w:tcBorders>
              <w:top w:val="nil"/>
              <w:bottom w:val="nil"/>
            </w:tcBorders>
          </w:tcPr>
          <w:p w14:paraId="467F83E4" w14:textId="77777777" w:rsidR="00543F23" w:rsidRDefault="00543F23" w:rsidP="000820D8">
            <w:pPr>
              <w:jc w:val="both"/>
              <w:rPr>
                <w:sz w:val="18"/>
                <w:szCs w:val="18"/>
              </w:rPr>
            </w:pPr>
            <w:r w:rsidRPr="002E5109">
              <w:rPr>
                <w:sz w:val="18"/>
                <w:szCs w:val="18"/>
              </w:rPr>
              <w:t>Проведени работни срещи на директора и служители от дирекцията с представители на „Съюз  на евангелс</w:t>
            </w:r>
            <w:r>
              <w:rPr>
                <w:sz w:val="18"/>
                <w:szCs w:val="18"/>
              </w:rPr>
              <w:t>ките съборни църкви в България“</w:t>
            </w:r>
          </w:p>
          <w:p w14:paraId="24F39421" w14:textId="77777777" w:rsidR="00543F23" w:rsidRPr="00257C23" w:rsidRDefault="00543F23" w:rsidP="000820D8">
            <w:pPr>
              <w:jc w:val="both"/>
              <w:rPr>
                <w:sz w:val="18"/>
                <w:szCs w:val="18"/>
              </w:rPr>
            </w:pPr>
          </w:p>
        </w:tc>
        <w:tc>
          <w:tcPr>
            <w:tcW w:w="567" w:type="dxa"/>
            <w:tcBorders>
              <w:top w:val="nil"/>
              <w:bottom w:val="nil"/>
            </w:tcBorders>
          </w:tcPr>
          <w:p w14:paraId="2F8681D1" w14:textId="77777777" w:rsidR="00543F23" w:rsidRDefault="00543F23" w:rsidP="00ED42B6">
            <w:pPr>
              <w:jc w:val="center"/>
              <w:rPr>
                <w:sz w:val="16"/>
                <w:szCs w:val="16"/>
              </w:rPr>
            </w:pPr>
            <w:r>
              <w:rPr>
                <w:sz w:val="16"/>
                <w:szCs w:val="16"/>
              </w:rPr>
              <w:t>1</w:t>
            </w:r>
          </w:p>
        </w:tc>
      </w:tr>
      <w:tr w:rsidR="00543F23" w14:paraId="2A24A673" w14:textId="77777777" w:rsidTr="008E13AF">
        <w:tc>
          <w:tcPr>
            <w:tcW w:w="1812" w:type="dxa"/>
            <w:vMerge/>
            <w:tcBorders>
              <w:bottom w:val="single" w:sz="4" w:space="0" w:color="auto"/>
            </w:tcBorders>
            <w:shd w:val="clear" w:color="auto" w:fill="F6C5AC" w:themeFill="accent2" w:themeFillTint="66"/>
          </w:tcPr>
          <w:p w14:paraId="6467A4C5" w14:textId="77777777" w:rsidR="00543F23" w:rsidRDefault="00543F23" w:rsidP="000820D8">
            <w:pPr>
              <w:rPr>
                <w:sz w:val="16"/>
                <w:szCs w:val="16"/>
              </w:rPr>
            </w:pPr>
          </w:p>
        </w:tc>
        <w:tc>
          <w:tcPr>
            <w:tcW w:w="3003" w:type="dxa"/>
            <w:tcBorders>
              <w:top w:val="nil"/>
              <w:bottom w:val="single" w:sz="4" w:space="0" w:color="auto"/>
            </w:tcBorders>
          </w:tcPr>
          <w:p w14:paraId="772914D2" w14:textId="77777777" w:rsidR="00543F23" w:rsidRDefault="00543F23" w:rsidP="000820D8">
            <w:pPr>
              <w:rPr>
                <w:sz w:val="16"/>
                <w:szCs w:val="16"/>
              </w:rPr>
            </w:pPr>
          </w:p>
        </w:tc>
        <w:tc>
          <w:tcPr>
            <w:tcW w:w="621" w:type="dxa"/>
            <w:tcBorders>
              <w:top w:val="nil"/>
              <w:bottom w:val="single" w:sz="4" w:space="0" w:color="auto"/>
            </w:tcBorders>
          </w:tcPr>
          <w:p w14:paraId="7E10B4C5" w14:textId="77777777" w:rsidR="00543F23" w:rsidRDefault="00543F23" w:rsidP="000820D8">
            <w:pPr>
              <w:rPr>
                <w:sz w:val="16"/>
                <w:szCs w:val="16"/>
              </w:rPr>
            </w:pPr>
          </w:p>
        </w:tc>
        <w:tc>
          <w:tcPr>
            <w:tcW w:w="3348" w:type="dxa"/>
            <w:tcBorders>
              <w:top w:val="nil"/>
              <w:bottom w:val="single" w:sz="4" w:space="0" w:color="auto"/>
            </w:tcBorders>
          </w:tcPr>
          <w:p w14:paraId="65CEF723" w14:textId="183F5099" w:rsidR="00543F23" w:rsidRPr="00257C23" w:rsidRDefault="00543F23" w:rsidP="000820D8">
            <w:pPr>
              <w:jc w:val="both"/>
              <w:rPr>
                <w:sz w:val="18"/>
                <w:szCs w:val="18"/>
              </w:rPr>
            </w:pPr>
            <w:r w:rsidRPr="002E5109">
              <w:rPr>
                <w:sz w:val="18"/>
                <w:szCs w:val="18"/>
              </w:rPr>
              <w:t>Проведени работни срещи на директора и служители от дирекцията с представители на „Реформирана презвитерианска църква“</w:t>
            </w:r>
          </w:p>
        </w:tc>
        <w:tc>
          <w:tcPr>
            <w:tcW w:w="567" w:type="dxa"/>
            <w:tcBorders>
              <w:top w:val="nil"/>
              <w:bottom w:val="single" w:sz="4" w:space="0" w:color="auto"/>
            </w:tcBorders>
          </w:tcPr>
          <w:p w14:paraId="4FEBF50C" w14:textId="77777777" w:rsidR="00543F23" w:rsidRDefault="00543F23" w:rsidP="00ED42B6">
            <w:pPr>
              <w:jc w:val="center"/>
              <w:rPr>
                <w:sz w:val="16"/>
                <w:szCs w:val="16"/>
              </w:rPr>
            </w:pPr>
            <w:r>
              <w:rPr>
                <w:sz w:val="16"/>
                <w:szCs w:val="16"/>
              </w:rPr>
              <w:t>4</w:t>
            </w:r>
          </w:p>
        </w:tc>
      </w:tr>
    </w:tbl>
    <w:p w14:paraId="668D872B" w14:textId="77777777" w:rsidR="00D94AD9" w:rsidRPr="00641163" w:rsidRDefault="00D94AD9" w:rsidP="009C4D63">
      <w:pPr>
        <w:numPr>
          <w:ilvl w:val="0"/>
          <w:numId w:val="10"/>
        </w:numPr>
        <w:shd w:val="clear" w:color="auto" w:fill="FFFFFF" w:themeFill="background1"/>
        <w:tabs>
          <w:tab w:val="clear" w:pos="1068"/>
          <w:tab w:val="num" w:pos="709"/>
        </w:tabs>
        <w:spacing w:before="240"/>
        <w:ind w:left="709" w:hanging="284"/>
        <w:jc w:val="both"/>
        <w:rPr>
          <w:b/>
          <w:i/>
          <w:sz w:val="22"/>
          <w:szCs w:val="22"/>
        </w:rPr>
      </w:pPr>
      <w:r w:rsidRPr="00641163">
        <w:rPr>
          <w:b/>
          <w:i/>
          <w:sz w:val="22"/>
          <w:szCs w:val="22"/>
        </w:rPr>
        <w:lastRenderedPageBreak/>
        <w:t>Срещи с граждани, касаещи въпроси свързани с вероизповеданията и религиозните права и свободи</w:t>
      </w:r>
    </w:p>
    <w:tbl>
      <w:tblPr>
        <w:tblStyle w:val="TableGrid"/>
        <w:tblW w:w="9356" w:type="dxa"/>
        <w:tblInd w:w="-5" w:type="dxa"/>
        <w:tblLook w:val="04A0" w:firstRow="1" w:lastRow="0" w:firstColumn="1" w:lastColumn="0" w:noHBand="0" w:noVBand="1"/>
      </w:tblPr>
      <w:tblGrid>
        <w:gridCol w:w="1843"/>
        <w:gridCol w:w="7513"/>
      </w:tblGrid>
      <w:tr w:rsidR="00971C9E" w:rsidRPr="00EB6E61" w14:paraId="1824032B" w14:textId="77777777" w:rsidTr="009C4D63">
        <w:tc>
          <w:tcPr>
            <w:tcW w:w="1843" w:type="dxa"/>
            <w:shd w:val="clear" w:color="auto" w:fill="F6C5AC" w:themeFill="accent2" w:themeFillTint="66"/>
          </w:tcPr>
          <w:p w14:paraId="6FBACFE3" w14:textId="77777777" w:rsidR="00971C9E" w:rsidRDefault="00971C9E" w:rsidP="000820D8">
            <w:pPr>
              <w:jc w:val="both"/>
              <w:rPr>
                <w:b/>
                <w:sz w:val="18"/>
                <w:szCs w:val="18"/>
              </w:rPr>
            </w:pPr>
            <w:r w:rsidRPr="00EB6E61">
              <w:rPr>
                <w:b/>
                <w:sz w:val="18"/>
                <w:szCs w:val="18"/>
              </w:rPr>
              <w:t>ПОКАЗАТЕЛИ</w:t>
            </w:r>
          </w:p>
          <w:p w14:paraId="73574670" w14:textId="04C0B3B5" w:rsidR="001F0C10" w:rsidRPr="00EB6E61" w:rsidRDefault="001F0C10" w:rsidP="000820D8">
            <w:pPr>
              <w:jc w:val="both"/>
              <w:rPr>
                <w:b/>
                <w:sz w:val="18"/>
                <w:szCs w:val="18"/>
              </w:rPr>
            </w:pPr>
          </w:p>
        </w:tc>
        <w:tc>
          <w:tcPr>
            <w:tcW w:w="7513" w:type="dxa"/>
            <w:shd w:val="clear" w:color="auto" w:fill="F6C5AC" w:themeFill="accent2" w:themeFillTint="66"/>
            <w:vAlign w:val="center"/>
          </w:tcPr>
          <w:p w14:paraId="763631DE" w14:textId="77777777" w:rsidR="00971C9E" w:rsidRPr="002E18A7" w:rsidRDefault="00971C9E" w:rsidP="000820D8">
            <w:pPr>
              <w:jc w:val="center"/>
              <w:rPr>
                <w:b/>
                <w:sz w:val="18"/>
                <w:szCs w:val="18"/>
              </w:rPr>
            </w:pPr>
            <w:r w:rsidRPr="002E18A7">
              <w:rPr>
                <w:b/>
                <w:sz w:val="18"/>
                <w:szCs w:val="18"/>
              </w:rPr>
              <w:t>СРЕЩИ</w:t>
            </w:r>
          </w:p>
        </w:tc>
      </w:tr>
      <w:tr w:rsidR="00971C9E" w:rsidRPr="00EB6E61" w14:paraId="535AE701" w14:textId="77777777" w:rsidTr="00971C9E">
        <w:tc>
          <w:tcPr>
            <w:tcW w:w="1843" w:type="dxa"/>
            <w:shd w:val="clear" w:color="auto" w:fill="F6C5AC" w:themeFill="accent2" w:themeFillTint="66"/>
          </w:tcPr>
          <w:p w14:paraId="389A434A" w14:textId="77777777" w:rsidR="00971C9E" w:rsidRPr="00EB6E61" w:rsidRDefault="00971C9E" w:rsidP="000820D8">
            <w:pPr>
              <w:jc w:val="both"/>
              <w:rPr>
                <w:sz w:val="18"/>
                <w:szCs w:val="18"/>
              </w:rPr>
            </w:pPr>
            <w:r w:rsidRPr="00EB6E61">
              <w:rPr>
                <w:sz w:val="18"/>
                <w:szCs w:val="18"/>
              </w:rPr>
              <w:t>КОЛИЧЕСТВЕНИ</w:t>
            </w:r>
          </w:p>
        </w:tc>
        <w:tc>
          <w:tcPr>
            <w:tcW w:w="7513" w:type="dxa"/>
            <w:vAlign w:val="center"/>
          </w:tcPr>
          <w:p w14:paraId="11145057" w14:textId="77777777" w:rsidR="00971C9E" w:rsidRPr="00EB6E61" w:rsidRDefault="00971C9E" w:rsidP="000820D8">
            <w:pPr>
              <w:jc w:val="center"/>
              <w:rPr>
                <w:b/>
                <w:sz w:val="18"/>
                <w:szCs w:val="18"/>
                <w:lang w:val="en-US"/>
              </w:rPr>
            </w:pPr>
            <w:r w:rsidRPr="00EB6E61">
              <w:rPr>
                <w:b/>
                <w:sz w:val="18"/>
                <w:szCs w:val="18"/>
              </w:rPr>
              <w:t>10</w:t>
            </w:r>
          </w:p>
        </w:tc>
      </w:tr>
    </w:tbl>
    <w:p w14:paraId="262C4675" w14:textId="3CCA1229" w:rsidR="00971C9E" w:rsidRPr="00641163" w:rsidRDefault="00971C9E" w:rsidP="009C4D63">
      <w:pPr>
        <w:numPr>
          <w:ilvl w:val="0"/>
          <w:numId w:val="10"/>
        </w:numPr>
        <w:shd w:val="clear" w:color="auto" w:fill="FFFFFF" w:themeFill="background1"/>
        <w:tabs>
          <w:tab w:val="clear" w:pos="1068"/>
          <w:tab w:val="num" w:pos="709"/>
        </w:tabs>
        <w:spacing w:before="240"/>
        <w:ind w:left="709" w:hanging="284"/>
        <w:jc w:val="both"/>
        <w:rPr>
          <w:b/>
          <w:i/>
          <w:sz w:val="22"/>
          <w:szCs w:val="22"/>
        </w:rPr>
      </w:pPr>
      <w:r w:rsidRPr="00641163">
        <w:rPr>
          <w:b/>
          <w:i/>
          <w:sz w:val="22"/>
          <w:szCs w:val="22"/>
        </w:rPr>
        <w:t>Преписки с дирекции от администрацията на Министерския съвет (АМС) съгласно чл. 35, т. 2 от Закона за вероизповеданията</w:t>
      </w:r>
    </w:p>
    <w:tbl>
      <w:tblPr>
        <w:tblStyle w:val="TableGrid"/>
        <w:tblW w:w="9351" w:type="dxa"/>
        <w:jc w:val="center"/>
        <w:tblLook w:val="04A0" w:firstRow="1" w:lastRow="0" w:firstColumn="1" w:lastColumn="0" w:noHBand="0" w:noVBand="1"/>
      </w:tblPr>
      <w:tblGrid>
        <w:gridCol w:w="1876"/>
        <w:gridCol w:w="2939"/>
        <w:gridCol w:w="3820"/>
        <w:gridCol w:w="716"/>
      </w:tblGrid>
      <w:tr w:rsidR="001B6DA5" w14:paraId="26C96F7F" w14:textId="5F2DEF89" w:rsidTr="009C4D63">
        <w:trPr>
          <w:jc w:val="center"/>
        </w:trPr>
        <w:tc>
          <w:tcPr>
            <w:tcW w:w="1876" w:type="dxa"/>
            <w:shd w:val="clear" w:color="auto" w:fill="F6C5AC" w:themeFill="accent2" w:themeFillTint="66"/>
          </w:tcPr>
          <w:p w14:paraId="486151F7" w14:textId="77777777" w:rsidR="001B6DA5" w:rsidRDefault="001B6DA5" w:rsidP="000820D8">
            <w:pPr>
              <w:jc w:val="both"/>
              <w:rPr>
                <w:b/>
                <w:sz w:val="18"/>
                <w:szCs w:val="18"/>
              </w:rPr>
            </w:pPr>
            <w:r w:rsidRPr="0087454A">
              <w:rPr>
                <w:b/>
                <w:sz w:val="18"/>
                <w:szCs w:val="18"/>
              </w:rPr>
              <w:t>ПОКАЗАТЕЛИ</w:t>
            </w:r>
          </w:p>
          <w:p w14:paraId="58925BF4" w14:textId="77777777" w:rsidR="001B6DA5" w:rsidRPr="0087454A" w:rsidRDefault="001B6DA5" w:rsidP="001B6DA5">
            <w:pPr>
              <w:ind w:left="30" w:hanging="30"/>
              <w:jc w:val="both"/>
              <w:rPr>
                <w:b/>
                <w:sz w:val="18"/>
                <w:szCs w:val="18"/>
              </w:rPr>
            </w:pPr>
          </w:p>
        </w:tc>
        <w:tc>
          <w:tcPr>
            <w:tcW w:w="2939" w:type="dxa"/>
            <w:shd w:val="clear" w:color="auto" w:fill="F6C5AC" w:themeFill="accent2" w:themeFillTint="66"/>
          </w:tcPr>
          <w:p w14:paraId="01DE76B6" w14:textId="77777777" w:rsidR="001B6DA5" w:rsidRPr="00894E7F" w:rsidRDefault="001B6DA5" w:rsidP="000820D8">
            <w:pPr>
              <w:jc w:val="center"/>
              <w:rPr>
                <w:b/>
                <w:sz w:val="18"/>
                <w:szCs w:val="18"/>
              </w:rPr>
            </w:pPr>
            <w:r w:rsidRPr="00894E7F">
              <w:rPr>
                <w:b/>
                <w:sz w:val="18"/>
                <w:szCs w:val="18"/>
              </w:rPr>
              <w:t>ПРЕПИСКИ</w:t>
            </w:r>
          </w:p>
        </w:tc>
        <w:tc>
          <w:tcPr>
            <w:tcW w:w="4536" w:type="dxa"/>
            <w:gridSpan w:val="2"/>
            <w:shd w:val="clear" w:color="auto" w:fill="F6C5AC" w:themeFill="accent2" w:themeFillTint="66"/>
          </w:tcPr>
          <w:p w14:paraId="004B5176" w14:textId="09DE21C8" w:rsidR="001B6DA5" w:rsidRPr="00894E7F" w:rsidRDefault="001B6DA5" w:rsidP="000820D8">
            <w:pPr>
              <w:jc w:val="center"/>
              <w:rPr>
                <w:b/>
                <w:sz w:val="18"/>
                <w:szCs w:val="18"/>
              </w:rPr>
            </w:pPr>
            <w:r w:rsidRPr="00894E7F">
              <w:rPr>
                <w:b/>
                <w:sz w:val="18"/>
                <w:szCs w:val="18"/>
              </w:rPr>
              <w:t>СРЕЩИ</w:t>
            </w:r>
          </w:p>
        </w:tc>
      </w:tr>
      <w:tr w:rsidR="001B6DA5" w14:paraId="68AC3DCA" w14:textId="6480C48D" w:rsidTr="00EB1528">
        <w:trPr>
          <w:jc w:val="center"/>
        </w:trPr>
        <w:tc>
          <w:tcPr>
            <w:tcW w:w="1876" w:type="dxa"/>
            <w:shd w:val="clear" w:color="auto" w:fill="F6C5AC" w:themeFill="accent2" w:themeFillTint="66"/>
          </w:tcPr>
          <w:p w14:paraId="18C73281" w14:textId="77777777" w:rsidR="001B6DA5" w:rsidRPr="0087454A" w:rsidRDefault="001B6DA5" w:rsidP="000820D8">
            <w:pPr>
              <w:jc w:val="both"/>
              <w:rPr>
                <w:sz w:val="18"/>
                <w:szCs w:val="18"/>
              </w:rPr>
            </w:pPr>
            <w:r w:rsidRPr="0087454A">
              <w:rPr>
                <w:sz w:val="18"/>
                <w:szCs w:val="18"/>
              </w:rPr>
              <w:t>КОЛИЧЕСТВЕНИ</w:t>
            </w:r>
          </w:p>
        </w:tc>
        <w:tc>
          <w:tcPr>
            <w:tcW w:w="2939" w:type="dxa"/>
          </w:tcPr>
          <w:p w14:paraId="2CE950C3" w14:textId="77777777" w:rsidR="001B6DA5" w:rsidRPr="00894E7F" w:rsidRDefault="001B6DA5" w:rsidP="000820D8">
            <w:pPr>
              <w:jc w:val="center"/>
              <w:rPr>
                <w:b/>
                <w:sz w:val="16"/>
                <w:szCs w:val="16"/>
              </w:rPr>
            </w:pPr>
            <w:r w:rsidRPr="00894E7F">
              <w:rPr>
                <w:b/>
                <w:sz w:val="16"/>
                <w:szCs w:val="16"/>
              </w:rPr>
              <w:t>17</w:t>
            </w:r>
          </w:p>
        </w:tc>
        <w:tc>
          <w:tcPr>
            <w:tcW w:w="4536" w:type="dxa"/>
            <w:gridSpan w:val="2"/>
            <w:tcBorders>
              <w:bottom w:val="single" w:sz="4" w:space="0" w:color="auto"/>
            </w:tcBorders>
          </w:tcPr>
          <w:p w14:paraId="3B014744" w14:textId="79B61BC7" w:rsidR="001B6DA5" w:rsidRPr="00894E7F" w:rsidRDefault="001B6DA5" w:rsidP="000820D8">
            <w:pPr>
              <w:jc w:val="center"/>
              <w:rPr>
                <w:b/>
                <w:sz w:val="16"/>
                <w:szCs w:val="16"/>
              </w:rPr>
            </w:pPr>
            <w:r w:rsidRPr="00894E7F">
              <w:rPr>
                <w:b/>
                <w:sz w:val="16"/>
                <w:szCs w:val="16"/>
              </w:rPr>
              <w:t>16</w:t>
            </w:r>
          </w:p>
        </w:tc>
      </w:tr>
      <w:tr w:rsidR="001B6DA5" w14:paraId="1BC0470F" w14:textId="77777777" w:rsidTr="00EB1528">
        <w:trPr>
          <w:jc w:val="center"/>
        </w:trPr>
        <w:tc>
          <w:tcPr>
            <w:tcW w:w="1876" w:type="dxa"/>
            <w:vMerge w:val="restart"/>
            <w:shd w:val="clear" w:color="auto" w:fill="F6C5AC" w:themeFill="accent2" w:themeFillTint="66"/>
          </w:tcPr>
          <w:p w14:paraId="32CB61A0" w14:textId="77777777" w:rsidR="001B6DA5" w:rsidRPr="0087454A" w:rsidRDefault="001B6DA5" w:rsidP="000820D8">
            <w:pPr>
              <w:jc w:val="both"/>
              <w:rPr>
                <w:sz w:val="18"/>
                <w:szCs w:val="18"/>
              </w:rPr>
            </w:pPr>
            <w:r w:rsidRPr="0087454A">
              <w:rPr>
                <w:sz w:val="18"/>
                <w:szCs w:val="18"/>
              </w:rPr>
              <w:t>КАЧЕСТВЕНИ</w:t>
            </w:r>
          </w:p>
        </w:tc>
        <w:tc>
          <w:tcPr>
            <w:tcW w:w="2939" w:type="dxa"/>
            <w:vMerge w:val="restart"/>
          </w:tcPr>
          <w:p w14:paraId="3F6CF88A" w14:textId="77777777" w:rsidR="001B6DA5" w:rsidRDefault="001B6DA5" w:rsidP="000820D8">
            <w:pPr>
              <w:rPr>
                <w:sz w:val="16"/>
                <w:szCs w:val="16"/>
              </w:rPr>
            </w:pPr>
          </w:p>
        </w:tc>
        <w:tc>
          <w:tcPr>
            <w:tcW w:w="3820" w:type="dxa"/>
            <w:tcBorders>
              <w:bottom w:val="nil"/>
            </w:tcBorders>
          </w:tcPr>
          <w:p w14:paraId="52878F90" w14:textId="77777777" w:rsidR="001B6DA5" w:rsidRPr="0087454A" w:rsidRDefault="001B6DA5" w:rsidP="000820D8">
            <w:pPr>
              <w:jc w:val="both"/>
              <w:rPr>
                <w:rStyle w:val="alt2"/>
                <w:sz w:val="18"/>
                <w:szCs w:val="18"/>
              </w:rPr>
            </w:pPr>
            <w:r w:rsidRPr="0087454A">
              <w:rPr>
                <w:rStyle w:val="alt2"/>
                <w:sz w:val="18"/>
                <w:szCs w:val="18"/>
                <w:specVanish w:val="0"/>
              </w:rPr>
              <w:t>Дирекция "Бюджет и финанси"</w:t>
            </w:r>
          </w:p>
          <w:p w14:paraId="359B6174" w14:textId="77777777" w:rsidR="001B6DA5" w:rsidRDefault="001B6DA5" w:rsidP="000820D8">
            <w:pPr>
              <w:rPr>
                <w:sz w:val="16"/>
                <w:szCs w:val="16"/>
              </w:rPr>
            </w:pPr>
          </w:p>
        </w:tc>
        <w:tc>
          <w:tcPr>
            <w:tcW w:w="716" w:type="dxa"/>
            <w:tcBorders>
              <w:bottom w:val="nil"/>
            </w:tcBorders>
          </w:tcPr>
          <w:p w14:paraId="1B70D24B" w14:textId="56901D97" w:rsidR="001B6DA5" w:rsidRDefault="001B6DA5" w:rsidP="000820D8">
            <w:pPr>
              <w:rPr>
                <w:sz w:val="16"/>
                <w:szCs w:val="16"/>
              </w:rPr>
            </w:pPr>
            <w:r>
              <w:rPr>
                <w:sz w:val="16"/>
                <w:szCs w:val="16"/>
              </w:rPr>
              <w:t>3</w:t>
            </w:r>
          </w:p>
        </w:tc>
      </w:tr>
      <w:tr w:rsidR="001B6DA5" w14:paraId="1FBE5D25" w14:textId="77777777" w:rsidTr="00EB1528">
        <w:trPr>
          <w:jc w:val="center"/>
        </w:trPr>
        <w:tc>
          <w:tcPr>
            <w:tcW w:w="1876" w:type="dxa"/>
            <w:vMerge/>
            <w:shd w:val="clear" w:color="auto" w:fill="F6C5AC" w:themeFill="accent2" w:themeFillTint="66"/>
          </w:tcPr>
          <w:p w14:paraId="3A72DA2C" w14:textId="77777777" w:rsidR="001B6DA5" w:rsidRDefault="001B6DA5" w:rsidP="000820D8">
            <w:pPr>
              <w:rPr>
                <w:sz w:val="16"/>
                <w:szCs w:val="16"/>
              </w:rPr>
            </w:pPr>
          </w:p>
        </w:tc>
        <w:tc>
          <w:tcPr>
            <w:tcW w:w="2939" w:type="dxa"/>
            <w:vMerge/>
          </w:tcPr>
          <w:p w14:paraId="6328AE03" w14:textId="77777777" w:rsidR="001B6DA5" w:rsidRDefault="001B6DA5" w:rsidP="000820D8">
            <w:pPr>
              <w:rPr>
                <w:sz w:val="16"/>
                <w:szCs w:val="16"/>
              </w:rPr>
            </w:pPr>
          </w:p>
        </w:tc>
        <w:tc>
          <w:tcPr>
            <w:tcW w:w="3820" w:type="dxa"/>
            <w:tcBorders>
              <w:top w:val="nil"/>
              <w:bottom w:val="nil"/>
            </w:tcBorders>
          </w:tcPr>
          <w:p w14:paraId="2AA895BD" w14:textId="77777777" w:rsidR="001B6DA5" w:rsidRPr="0087454A" w:rsidRDefault="001B6DA5" w:rsidP="000820D8">
            <w:pPr>
              <w:jc w:val="both"/>
              <w:rPr>
                <w:sz w:val="18"/>
                <w:szCs w:val="18"/>
              </w:rPr>
            </w:pPr>
            <w:r w:rsidRPr="0087454A">
              <w:rPr>
                <w:sz w:val="18"/>
                <w:szCs w:val="18"/>
              </w:rPr>
              <w:t>Дирекция "Правителствен протокол"</w:t>
            </w:r>
          </w:p>
          <w:p w14:paraId="208535AD" w14:textId="77777777" w:rsidR="001B6DA5" w:rsidRDefault="001B6DA5" w:rsidP="000820D8">
            <w:pPr>
              <w:rPr>
                <w:sz w:val="16"/>
                <w:szCs w:val="16"/>
              </w:rPr>
            </w:pPr>
          </w:p>
        </w:tc>
        <w:tc>
          <w:tcPr>
            <w:tcW w:w="716" w:type="dxa"/>
            <w:tcBorders>
              <w:top w:val="nil"/>
              <w:bottom w:val="nil"/>
            </w:tcBorders>
          </w:tcPr>
          <w:p w14:paraId="06670DE2" w14:textId="220A12B5" w:rsidR="001B6DA5" w:rsidRDefault="001B6DA5" w:rsidP="000820D8">
            <w:pPr>
              <w:rPr>
                <w:sz w:val="16"/>
                <w:szCs w:val="16"/>
              </w:rPr>
            </w:pPr>
            <w:r>
              <w:rPr>
                <w:sz w:val="16"/>
                <w:szCs w:val="16"/>
              </w:rPr>
              <w:t>3</w:t>
            </w:r>
          </w:p>
        </w:tc>
      </w:tr>
      <w:tr w:rsidR="001B6DA5" w14:paraId="095F0E38" w14:textId="77777777" w:rsidTr="00EB1528">
        <w:trPr>
          <w:jc w:val="center"/>
        </w:trPr>
        <w:tc>
          <w:tcPr>
            <w:tcW w:w="1876" w:type="dxa"/>
            <w:vMerge/>
            <w:shd w:val="clear" w:color="auto" w:fill="F6C5AC" w:themeFill="accent2" w:themeFillTint="66"/>
          </w:tcPr>
          <w:p w14:paraId="65081E9E" w14:textId="77777777" w:rsidR="001B6DA5" w:rsidRDefault="001B6DA5" w:rsidP="000820D8">
            <w:pPr>
              <w:rPr>
                <w:sz w:val="16"/>
                <w:szCs w:val="16"/>
              </w:rPr>
            </w:pPr>
          </w:p>
        </w:tc>
        <w:tc>
          <w:tcPr>
            <w:tcW w:w="2939" w:type="dxa"/>
            <w:vMerge/>
          </w:tcPr>
          <w:p w14:paraId="038B8CDC" w14:textId="77777777" w:rsidR="001B6DA5" w:rsidRDefault="001B6DA5" w:rsidP="000820D8">
            <w:pPr>
              <w:rPr>
                <w:sz w:val="16"/>
                <w:szCs w:val="16"/>
              </w:rPr>
            </w:pPr>
          </w:p>
        </w:tc>
        <w:tc>
          <w:tcPr>
            <w:tcW w:w="3820" w:type="dxa"/>
            <w:tcBorders>
              <w:top w:val="nil"/>
              <w:bottom w:val="nil"/>
            </w:tcBorders>
          </w:tcPr>
          <w:p w14:paraId="1BA79842" w14:textId="77777777" w:rsidR="001B6DA5" w:rsidRPr="0087454A" w:rsidRDefault="001B6DA5" w:rsidP="000820D8">
            <w:pPr>
              <w:jc w:val="both"/>
              <w:rPr>
                <w:rStyle w:val="alt2"/>
                <w:sz w:val="18"/>
                <w:szCs w:val="18"/>
              </w:rPr>
            </w:pPr>
            <w:r w:rsidRPr="0087454A">
              <w:rPr>
                <w:rStyle w:val="alt2"/>
                <w:sz w:val="18"/>
                <w:szCs w:val="18"/>
                <w:specVanish w:val="0"/>
              </w:rPr>
              <w:t>Дирекция "Правна"</w:t>
            </w:r>
          </w:p>
          <w:p w14:paraId="0788E8A2" w14:textId="77777777" w:rsidR="001B6DA5" w:rsidRDefault="001B6DA5" w:rsidP="000820D8">
            <w:pPr>
              <w:rPr>
                <w:sz w:val="16"/>
                <w:szCs w:val="16"/>
              </w:rPr>
            </w:pPr>
          </w:p>
        </w:tc>
        <w:tc>
          <w:tcPr>
            <w:tcW w:w="716" w:type="dxa"/>
            <w:tcBorders>
              <w:top w:val="nil"/>
              <w:bottom w:val="nil"/>
            </w:tcBorders>
          </w:tcPr>
          <w:p w14:paraId="305E40BC" w14:textId="20369675" w:rsidR="001B6DA5" w:rsidRDefault="001B6DA5" w:rsidP="000820D8">
            <w:pPr>
              <w:rPr>
                <w:sz w:val="16"/>
                <w:szCs w:val="16"/>
              </w:rPr>
            </w:pPr>
            <w:r>
              <w:rPr>
                <w:sz w:val="16"/>
                <w:szCs w:val="16"/>
              </w:rPr>
              <w:t>8</w:t>
            </w:r>
          </w:p>
        </w:tc>
      </w:tr>
      <w:tr w:rsidR="001B6DA5" w14:paraId="02C0F417" w14:textId="77777777" w:rsidTr="00EB1528">
        <w:trPr>
          <w:jc w:val="center"/>
        </w:trPr>
        <w:tc>
          <w:tcPr>
            <w:tcW w:w="1876" w:type="dxa"/>
            <w:vMerge/>
            <w:shd w:val="clear" w:color="auto" w:fill="F6C5AC" w:themeFill="accent2" w:themeFillTint="66"/>
          </w:tcPr>
          <w:p w14:paraId="1EB12CFF" w14:textId="77777777" w:rsidR="001B6DA5" w:rsidRDefault="001B6DA5" w:rsidP="000820D8">
            <w:pPr>
              <w:rPr>
                <w:sz w:val="16"/>
                <w:szCs w:val="16"/>
              </w:rPr>
            </w:pPr>
          </w:p>
        </w:tc>
        <w:tc>
          <w:tcPr>
            <w:tcW w:w="2939" w:type="dxa"/>
            <w:vMerge/>
          </w:tcPr>
          <w:p w14:paraId="0E180463" w14:textId="77777777" w:rsidR="001B6DA5" w:rsidRDefault="001B6DA5" w:rsidP="000820D8">
            <w:pPr>
              <w:rPr>
                <w:sz w:val="16"/>
                <w:szCs w:val="16"/>
              </w:rPr>
            </w:pPr>
          </w:p>
        </w:tc>
        <w:tc>
          <w:tcPr>
            <w:tcW w:w="3820" w:type="dxa"/>
            <w:tcBorders>
              <w:top w:val="nil"/>
              <w:bottom w:val="nil"/>
            </w:tcBorders>
          </w:tcPr>
          <w:p w14:paraId="7DE6D9D3" w14:textId="77777777" w:rsidR="001B6DA5" w:rsidRDefault="001B6DA5" w:rsidP="000820D8">
            <w:pPr>
              <w:jc w:val="both"/>
              <w:rPr>
                <w:rStyle w:val="alt2"/>
                <w:sz w:val="18"/>
                <w:szCs w:val="18"/>
              </w:rPr>
            </w:pPr>
            <w:r w:rsidRPr="0087454A">
              <w:rPr>
                <w:rStyle w:val="alt2"/>
                <w:sz w:val="18"/>
                <w:szCs w:val="18"/>
                <w:specVanish w:val="0"/>
              </w:rPr>
              <w:t>Дирекция „Правителствена информационна служба"</w:t>
            </w:r>
          </w:p>
          <w:p w14:paraId="4A6D03F6" w14:textId="00FCD0E7" w:rsidR="001B6DA5" w:rsidRPr="00894E7F" w:rsidRDefault="001B6DA5" w:rsidP="000820D8">
            <w:pPr>
              <w:jc w:val="both"/>
              <w:rPr>
                <w:sz w:val="18"/>
                <w:szCs w:val="18"/>
              </w:rPr>
            </w:pPr>
          </w:p>
        </w:tc>
        <w:tc>
          <w:tcPr>
            <w:tcW w:w="716" w:type="dxa"/>
            <w:tcBorders>
              <w:top w:val="nil"/>
              <w:bottom w:val="nil"/>
            </w:tcBorders>
          </w:tcPr>
          <w:p w14:paraId="5F067F6B" w14:textId="0745D743" w:rsidR="001B6DA5" w:rsidRDefault="001B6DA5" w:rsidP="000820D8">
            <w:pPr>
              <w:rPr>
                <w:sz w:val="16"/>
                <w:szCs w:val="16"/>
              </w:rPr>
            </w:pPr>
            <w:r>
              <w:rPr>
                <w:sz w:val="16"/>
                <w:szCs w:val="16"/>
              </w:rPr>
              <w:t>1</w:t>
            </w:r>
          </w:p>
        </w:tc>
      </w:tr>
      <w:tr w:rsidR="001B6DA5" w14:paraId="39CCC727" w14:textId="77777777" w:rsidTr="00EB1528">
        <w:trPr>
          <w:jc w:val="center"/>
        </w:trPr>
        <w:tc>
          <w:tcPr>
            <w:tcW w:w="1876" w:type="dxa"/>
            <w:vMerge/>
            <w:shd w:val="clear" w:color="auto" w:fill="F6C5AC" w:themeFill="accent2" w:themeFillTint="66"/>
          </w:tcPr>
          <w:p w14:paraId="3F60B873" w14:textId="77777777" w:rsidR="001B6DA5" w:rsidRDefault="001B6DA5" w:rsidP="000820D8">
            <w:pPr>
              <w:rPr>
                <w:sz w:val="16"/>
                <w:szCs w:val="16"/>
              </w:rPr>
            </w:pPr>
          </w:p>
        </w:tc>
        <w:tc>
          <w:tcPr>
            <w:tcW w:w="2939" w:type="dxa"/>
            <w:vMerge/>
          </w:tcPr>
          <w:p w14:paraId="7C90E00E" w14:textId="77777777" w:rsidR="001B6DA5" w:rsidRDefault="001B6DA5" w:rsidP="000820D8">
            <w:pPr>
              <w:rPr>
                <w:sz w:val="16"/>
                <w:szCs w:val="16"/>
              </w:rPr>
            </w:pPr>
          </w:p>
        </w:tc>
        <w:tc>
          <w:tcPr>
            <w:tcW w:w="3820" w:type="dxa"/>
            <w:tcBorders>
              <w:top w:val="nil"/>
            </w:tcBorders>
          </w:tcPr>
          <w:p w14:paraId="5CF0667B" w14:textId="77777777" w:rsidR="001B6DA5" w:rsidRPr="0087454A" w:rsidRDefault="001B6DA5" w:rsidP="000820D8">
            <w:pPr>
              <w:jc w:val="both"/>
              <w:rPr>
                <w:rStyle w:val="p"/>
                <w:bCs/>
                <w:sz w:val="18"/>
                <w:szCs w:val="18"/>
              </w:rPr>
            </w:pPr>
            <w:r w:rsidRPr="0087454A">
              <w:rPr>
                <w:rStyle w:val="p"/>
                <w:bCs/>
                <w:sz w:val="18"/>
                <w:szCs w:val="18"/>
              </w:rPr>
              <w:t>Звено по сигурността на информацията</w:t>
            </w:r>
          </w:p>
          <w:p w14:paraId="0D985E05" w14:textId="77777777" w:rsidR="001B6DA5" w:rsidRDefault="001B6DA5" w:rsidP="000820D8">
            <w:pPr>
              <w:rPr>
                <w:sz w:val="16"/>
                <w:szCs w:val="16"/>
              </w:rPr>
            </w:pPr>
          </w:p>
        </w:tc>
        <w:tc>
          <w:tcPr>
            <w:tcW w:w="716" w:type="dxa"/>
            <w:tcBorders>
              <w:top w:val="nil"/>
            </w:tcBorders>
          </w:tcPr>
          <w:p w14:paraId="6BEE70A9" w14:textId="6A14475B" w:rsidR="001B6DA5" w:rsidRDefault="001B6DA5" w:rsidP="000820D8">
            <w:pPr>
              <w:rPr>
                <w:sz w:val="16"/>
                <w:szCs w:val="16"/>
              </w:rPr>
            </w:pPr>
            <w:r>
              <w:rPr>
                <w:sz w:val="16"/>
                <w:szCs w:val="16"/>
              </w:rPr>
              <w:t>1</w:t>
            </w:r>
          </w:p>
        </w:tc>
      </w:tr>
    </w:tbl>
    <w:p w14:paraId="7E17AFCE" w14:textId="5A7B8795" w:rsidR="000D784C" w:rsidRPr="00641163" w:rsidRDefault="000D784C" w:rsidP="009C4D63">
      <w:pPr>
        <w:numPr>
          <w:ilvl w:val="0"/>
          <w:numId w:val="10"/>
        </w:numPr>
        <w:shd w:val="clear" w:color="auto" w:fill="FFFFFF" w:themeFill="background1"/>
        <w:tabs>
          <w:tab w:val="clear" w:pos="1068"/>
          <w:tab w:val="num" w:pos="709"/>
        </w:tabs>
        <w:spacing w:before="240"/>
        <w:ind w:left="709" w:hanging="284"/>
        <w:jc w:val="both"/>
        <w:rPr>
          <w:b/>
          <w:i/>
          <w:sz w:val="22"/>
          <w:szCs w:val="22"/>
        </w:rPr>
      </w:pPr>
      <w:r w:rsidRPr="00641163">
        <w:rPr>
          <w:b/>
          <w:i/>
          <w:sz w:val="22"/>
          <w:szCs w:val="22"/>
          <w:specVanish/>
        </w:rPr>
        <w:t>Експертни заключения и становища съгласно чл. 35, т. 4 от Закона за вероизповеданията</w:t>
      </w:r>
    </w:p>
    <w:tbl>
      <w:tblPr>
        <w:tblStyle w:val="TableGrid"/>
        <w:tblW w:w="9351" w:type="dxa"/>
        <w:tblLook w:val="04A0" w:firstRow="1" w:lastRow="0" w:firstColumn="1" w:lastColumn="0" w:noHBand="0" w:noVBand="1"/>
      </w:tblPr>
      <w:tblGrid>
        <w:gridCol w:w="1838"/>
        <w:gridCol w:w="6804"/>
        <w:gridCol w:w="709"/>
      </w:tblGrid>
      <w:tr w:rsidR="00183D0A" w14:paraId="6EA4C704" w14:textId="77777777" w:rsidTr="009C4D63">
        <w:tc>
          <w:tcPr>
            <w:tcW w:w="1838" w:type="dxa"/>
            <w:shd w:val="clear" w:color="auto" w:fill="F6C5AC" w:themeFill="accent2" w:themeFillTint="66"/>
          </w:tcPr>
          <w:p w14:paraId="50A7EF26" w14:textId="77777777" w:rsidR="00183D0A" w:rsidRDefault="00183D0A" w:rsidP="000820D8">
            <w:pPr>
              <w:jc w:val="both"/>
              <w:rPr>
                <w:b/>
                <w:sz w:val="18"/>
                <w:szCs w:val="18"/>
              </w:rPr>
            </w:pPr>
            <w:r w:rsidRPr="00AD238D">
              <w:rPr>
                <w:b/>
                <w:sz w:val="18"/>
                <w:szCs w:val="18"/>
              </w:rPr>
              <w:t>ПОКАЗАТЕЛИ</w:t>
            </w:r>
          </w:p>
          <w:p w14:paraId="558E604B" w14:textId="77777777" w:rsidR="00183D0A" w:rsidRPr="00AD238D" w:rsidRDefault="00183D0A" w:rsidP="000820D8">
            <w:pPr>
              <w:jc w:val="both"/>
              <w:rPr>
                <w:b/>
                <w:sz w:val="18"/>
                <w:szCs w:val="18"/>
              </w:rPr>
            </w:pPr>
          </w:p>
        </w:tc>
        <w:tc>
          <w:tcPr>
            <w:tcW w:w="7513" w:type="dxa"/>
            <w:gridSpan w:val="2"/>
            <w:shd w:val="clear" w:color="auto" w:fill="F6C5AC" w:themeFill="accent2" w:themeFillTint="66"/>
          </w:tcPr>
          <w:p w14:paraId="5210EEC4" w14:textId="77777777" w:rsidR="00183D0A" w:rsidRPr="00183D0A" w:rsidRDefault="00183D0A" w:rsidP="000820D8">
            <w:pPr>
              <w:jc w:val="center"/>
              <w:rPr>
                <w:b/>
                <w:sz w:val="16"/>
                <w:szCs w:val="16"/>
              </w:rPr>
            </w:pPr>
            <w:r w:rsidRPr="00183D0A">
              <w:rPr>
                <w:b/>
                <w:sz w:val="18"/>
                <w:szCs w:val="18"/>
              </w:rPr>
              <w:t>ЕКСПЕРТНИ СТАНОВИЩА</w:t>
            </w:r>
          </w:p>
        </w:tc>
      </w:tr>
      <w:tr w:rsidR="00183D0A" w14:paraId="11A03F72" w14:textId="77777777" w:rsidTr="00183D0A">
        <w:tc>
          <w:tcPr>
            <w:tcW w:w="1838" w:type="dxa"/>
            <w:shd w:val="clear" w:color="auto" w:fill="F6C5AC" w:themeFill="accent2" w:themeFillTint="66"/>
          </w:tcPr>
          <w:p w14:paraId="4273E149" w14:textId="77777777" w:rsidR="00183D0A" w:rsidRPr="00AD238D" w:rsidRDefault="00183D0A" w:rsidP="000820D8">
            <w:pPr>
              <w:jc w:val="both"/>
              <w:rPr>
                <w:sz w:val="18"/>
                <w:szCs w:val="18"/>
              </w:rPr>
            </w:pPr>
            <w:r w:rsidRPr="00AD238D">
              <w:rPr>
                <w:sz w:val="18"/>
                <w:szCs w:val="18"/>
              </w:rPr>
              <w:t>КОЛИЧЕСТВЕНИ</w:t>
            </w:r>
          </w:p>
        </w:tc>
        <w:tc>
          <w:tcPr>
            <w:tcW w:w="7513" w:type="dxa"/>
            <w:gridSpan w:val="2"/>
          </w:tcPr>
          <w:p w14:paraId="729678AB" w14:textId="77777777" w:rsidR="00183D0A" w:rsidRPr="006B2421" w:rsidRDefault="00183D0A" w:rsidP="000820D8">
            <w:pPr>
              <w:jc w:val="center"/>
              <w:rPr>
                <w:b/>
                <w:sz w:val="16"/>
                <w:szCs w:val="16"/>
              </w:rPr>
            </w:pPr>
            <w:r w:rsidRPr="006B2421">
              <w:rPr>
                <w:b/>
                <w:sz w:val="16"/>
                <w:szCs w:val="16"/>
              </w:rPr>
              <w:t>14</w:t>
            </w:r>
          </w:p>
        </w:tc>
      </w:tr>
      <w:tr w:rsidR="00183D0A" w14:paraId="72F43BEB" w14:textId="77777777" w:rsidTr="00183D0A">
        <w:tc>
          <w:tcPr>
            <w:tcW w:w="1838" w:type="dxa"/>
            <w:vMerge w:val="restart"/>
            <w:shd w:val="clear" w:color="auto" w:fill="F6C5AC" w:themeFill="accent2" w:themeFillTint="66"/>
          </w:tcPr>
          <w:p w14:paraId="4BAEADB0" w14:textId="77777777" w:rsidR="00183D0A" w:rsidRPr="00AD238D" w:rsidRDefault="00183D0A" w:rsidP="000820D8">
            <w:pPr>
              <w:jc w:val="both"/>
              <w:rPr>
                <w:sz w:val="18"/>
                <w:szCs w:val="18"/>
              </w:rPr>
            </w:pPr>
            <w:r w:rsidRPr="00AD238D">
              <w:rPr>
                <w:sz w:val="18"/>
                <w:szCs w:val="18"/>
              </w:rPr>
              <w:t>КАЧЕСТВЕНИ</w:t>
            </w:r>
          </w:p>
        </w:tc>
        <w:tc>
          <w:tcPr>
            <w:tcW w:w="6804" w:type="dxa"/>
            <w:tcBorders>
              <w:bottom w:val="nil"/>
            </w:tcBorders>
          </w:tcPr>
          <w:p w14:paraId="1AB5DFE1" w14:textId="77777777" w:rsidR="00183D0A" w:rsidRDefault="00183D0A" w:rsidP="000820D8">
            <w:pPr>
              <w:rPr>
                <w:sz w:val="18"/>
                <w:szCs w:val="18"/>
              </w:rPr>
            </w:pPr>
            <w:r w:rsidRPr="00AD238D">
              <w:rPr>
                <w:sz w:val="18"/>
                <w:szCs w:val="18"/>
              </w:rPr>
              <w:t>Администрация на Министерски съвет</w:t>
            </w:r>
          </w:p>
          <w:p w14:paraId="074A1866" w14:textId="6BE7124C" w:rsidR="00183D0A" w:rsidRDefault="00183D0A" w:rsidP="000820D8">
            <w:pPr>
              <w:rPr>
                <w:sz w:val="16"/>
                <w:szCs w:val="16"/>
              </w:rPr>
            </w:pPr>
          </w:p>
        </w:tc>
        <w:tc>
          <w:tcPr>
            <w:tcW w:w="709" w:type="dxa"/>
            <w:tcBorders>
              <w:bottom w:val="nil"/>
            </w:tcBorders>
          </w:tcPr>
          <w:p w14:paraId="4096C444" w14:textId="77777777" w:rsidR="00183D0A" w:rsidRPr="006B2421" w:rsidRDefault="00183D0A" w:rsidP="000820D8">
            <w:pPr>
              <w:jc w:val="center"/>
              <w:rPr>
                <w:b/>
                <w:sz w:val="16"/>
                <w:szCs w:val="16"/>
              </w:rPr>
            </w:pPr>
            <w:r w:rsidRPr="006B2421">
              <w:rPr>
                <w:b/>
                <w:sz w:val="16"/>
                <w:szCs w:val="16"/>
              </w:rPr>
              <w:t>12</w:t>
            </w:r>
          </w:p>
        </w:tc>
      </w:tr>
      <w:tr w:rsidR="00183D0A" w14:paraId="640E4327" w14:textId="77777777" w:rsidTr="00183D0A">
        <w:tc>
          <w:tcPr>
            <w:tcW w:w="1838" w:type="dxa"/>
            <w:vMerge/>
            <w:shd w:val="clear" w:color="auto" w:fill="F6C5AC" w:themeFill="accent2" w:themeFillTint="66"/>
          </w:tcPr>
          <w:p w14:paraId="1EAB90B2" w14:textId="77777777" w:rsidR="00183D0A" w:rsidRDefault="00183D0A" w:rsidP="000820D8">
            <w:pPr>
              <w:rPr>
                <w:sz w:val="16"/>
                <w:szCs w:val="16"/>
              </w:rPr>
            </w:pPr>
          </w:p>
        </w:tc>
        <w:tc>
          <w:tcPr>
            <w:tcW w:w="6804" w:type="dxa"/>
            <w:tcBorders>
              <w:top w:val="nil"/>
              <w:bottom w:val="nil"/>
            </w:tcBorders>
          </w:tcPr>
          <w:p w14:paraId="0DE2789A" w14:textId="77777777" w:rsidR="00183D0A" w:rsidRDefault="00183D0A" w:rsidP="000820D8">
            <w:pPr>
              <w:jc w:val="both"/>
              <w:rPr>
                <w:sz w:val="18"/>
                <w:szCs w:val="18"/>
              </w:rPr>
            </w:pPr>
            <w:r w:rsidRPr="00AD238D">
              <w:rPr>
                <w:sz w:val="18"/>
                <w:szCs w:val="18"/>
              </w:rPr>
              <w:t>Министерство на</w:t>
            </w:r>
            <w:r>
              <w:rPr>
                <w:sz w:val="18"/>
                <w:szCs w:val="18"/>
              </w:rPr>
              <w:t xml:space="preserve"> външните работи</w:t>
            </w:r>
          </w:p>
          <w:p w14:paraId="36DACCEA" w14:textId="446C681A" w:rsidR="00183D0A" w:rsidRPr="006B2421" w:rsidRDefault="00183D0A" w:rsidP="000820D8">
            <w:pPr>
              <w:jc w:val="both"/>
              <w:rPr>
                <w:sz w:val="18"/>
                <w:szCs w:val="18"/>
              </w:rPr>
            </w:pPr>
          </w:p>
        </w:tc>
        <w:tc>
          <w:tcPr>
            <w:tcW w:w="709" w:type="dxa"/>
            <w:tcBorders>
              <w:top w:val="nil"/>
              <w:bottom w:val="nil"/>
            </w:tcBorders>
          </w:tcPr>
          <w:p w14:paraId="02F3F518" w14:textId="77777777" w:rsidR="00183D0A" w:rsidRPr="006B2421" w:rsidRDefault="00183D0A" w:rsidP="000820D8">
            <w:pPr>
              <w:jc w:val="center"/>
              <w:rPr>
                <w:b/>
                <w:sz w:val="16"/>
                <w:szCs w:val="16"/>
              </w:rPr>
            </w:pPr>
            <w:r w:rsidRPr="006B2421">
              <w:rPr>
                <w:b/>
                <w:sz w:val="16"/>
                <w:szCs w:val="16"/>
              </w:rPr>
              <w:t>1</w:t>
            </w:r>
          </w:p>
        </w:tc>
      </w:tr>
      <w:tr w:rsidR="00183D0A" w14:paraId="4690B382" w14:textId="77777777" w:rsidTr="00183D0A">
        <w:tc>
          <w:tcPr>
            <w:tcW w:w="1838" w:type="dxa"/>
            <w:vMerge/>
            <w:shd w:val="clear" w:color="auto" w:fill="F6C5AC" w:themeFill="accent2" w:themeFillTint="66"/>
          </w:tcPr>
          <w:p w14:paraId="12331A2C" w14:textId="77777777" w:rsidR="00183D0A" w:rsidRDefault="00183D0A" w:rsidP="000820D8">
            <w:pPr>
              <w:rPr>
                <w:sz w:val="16"/>
                <w:szCs w:val="16"/>
              </w:rPr>
            </w:pPr>
          </w:p>
        </w:tc>
        <w:tc>
          <w:tcPr>
            <w:tcW w:w="6804" w:type="dxa"/>
            <w:tcBorders>
              <w:top w:val="nil"/>
            </w:tcBorders>
          </w:tcPr>
          <w:p w14:paraId="4D7FBCC9" w14:textId="77777777" w:rsidR="00183D0A" w:rsidRPr="006B2421" w:rsidRDefault="00183D0A" w:rsidP="000820D8">
            <w:pPr>
              <w:jc w:val="both"/>
              <w:rPr>
                <w:sz w:val="18"/>
                <w:szCs w:val="18"/>
              </w:rPr>
            </w:pPr>
            <w:r w:rsidRPr="00AD238D">
              <w:rPr>
                <w:sz w:val="18"/>
                <w:szCs w:val="18"/>
              </w:rPr>
              <w:t>Министерство на</w:t>
            </w:r>
            <w:r w:rsidRPr="00AD238D">
              <w:rPr>
                <w:sz w:val="18"/>
                <w:szCs w:val="18"/>
                <w:lang w:val="en-US"/>
              </w:rPr>
              <w:t xml:space="preserve"> </w:t>
            </w:r>
            <w:r w:rsidRPr="00AD238D">
              <w:rPr>
                <w:sz w:val="18"/>
                <w:szCs w:val="18"/>
              </w:rPr>
              <w:t>финансите</w:t>
            </w:r>
          </w:p>
        </w:tc>
        <w:tc>
          <w:tcPr>
            <w:tcW w:w="709" w:type="dxa"/>
            <w:tcBorders>
              <w:top w:val="nil"/>
            </w:tcBorders>
          </w:tcPr>
          <w:p w14:paraId="387A4AB4" w14:textId="77777777" w:rsidR="00183D0A" w:rsidRPr="006B2421" w:rsidRDefault="00183D0A" w:rsidP="000820D8">
            <w:pPr>
              <w:jc w:val="center"/>
              <w:rPr>
                <w:b/>
                <w:sz w:val="16"/>
                <w:szCs w:val="16"/>
              </w:rPr>
            </w:pPr>
            <w:r w:rsidRPr="006B2421">
              <w:rPr>
                <w:b/>
                <w:sz w:val="16"/>
                <w:szCs w:val="16"/>
              </w:rPr>
              <w:t>1</w:t>
            </w:r>
          </w:p>
        </w:tc>
      </w:tr>
    </w:tbl>
    <w:p w14:paraId="6C7B7EB2" w14:textId="77777777" w:rsidR="009A4646" w:rsidRPr="00641163" w:rsidRDefault="009A4646" w:rsidP="009C4D63">
      <w:pPr>
        <w:numPr>
          <w:ilvl w:val="0"/>
          <w:numId w:val="10"/>
        </w:numPr>
        <w:shd w:val="clear" w:color="auto" w:fill="FFFFFF" w:themeFill="background1"/>
        <w:tabs>
          <w:tab w:val="clear" w:pos="1068"/>
          <w:tab w:val="num" w:pos="709"/>
        </w:tabs>
        <w:spacing w:before="240"/>
        <w:ind w:left="709" w:hanging="284"/>
        <w:jc w:val="both"/>
        <w:rPr>
          <w:b/>
          <w:i/>
          <w:sz w:val="22"/>
          <w:szCs w:val="22"/>
          <w:specVanish/>
        </w:rPr>
      </w:pPr>
      <w:r w:rsidRPr="00641163">
        <w:rPr>
          <w:b/>
          <w:i/>
          <w:sz w:val="22"/>
          <w:szCs w:val="22"/>
          <w:specVanish/>
        </w:rPr>
        <w:t>Обработени преписки и издадени становища съгласно чл. 35, т. 5 от Закона за вероизповеданията</w:t>
      </w:r>
    </w:p>
    <w:tbl>
      <w:tblPr>
        <w:tblStyle w:val="TableGrid"/>
        <w:tblW w:w="5000" w:type="pct"/>
        <w:jc w:val="center"/>
        <w:tblLook w:val="04A0" w:firstRow="1" w:lastRow="0" w:firstColumn="1" w:lastColumn="0" w:noHBand="0" w:noVBand="1"/>
      </w:tblPr>
      <w:tblGrid>
        <w:gridCol w:w="2831"/>
        <w:gridCol w:w="1342"/>
        <w:gridCol w:w="1253"/>
        <w:gridCol w:w="1342"/>
        <w:gridCol w:w="1340"/>
        <w:gridCol w:w="1238"/>
      </w:tblGrid>
      <w:tr w:rsidR="00B16411" w:rsidRPr="00EB4FEF" w14:paraId="32F1BCE8" w14:textId="77777777" w:rsidTr="00AB3B82">
        <w:trPr>
          <w:jc w:val="center"/>
        </w:trPr>
        <w:tc>
          <w:tcPr>
            <w:tcW w:w="1522" w:type="pct"/>
            <w:vMerge w:val="restart"/>
            <w:shd w:val="clear" w:color="auto" w:fill="F6C5AC" w:themeFill="accent2" w:themeFillTint="66"/>
            <w:textDirection w:val="btLr"/>
            <w:vAlign w:val="center"/>
          </w:tcPr>
          <w:p w14:paraId="7F544761" w14:textId="77777777" w:rsidR="00B16411" w:rsidRPr="00B16411" w:rsidRDefault="00B16411" w:rsidP="000820D8">
            <w:pPr>
              <w:ind w:left="113" w:right="113"/>
              <w:jc w:val="center"/>
              <w:rPr>
                <w:b/>
                <w:bCs/>
                <w:iCs/>
                <w:sz w:val="18"/>
                <w:szCs w:val="18"/>
              </w:rPr>
            </w:pPr>
            <w:r w:rsidRPr="00B16411">
              <w:rPr>
                <w:b/>
                <w:bCs/>
                <w:iCs/>
                <w:sz w:val="18"/>
                <w:szCs w:val="18"/>
              </w:rPr>
              <w:t>ПОКАЗАТЕЛИ</w:t>
            </w:r>
          </w:p>
        </w:tc>
        <w:tc>
          <w:tcPr>
            <w:tcW w:w="3478" w:type="pct"/>
            <w:gridSpan w:val="5"/>
            <w:shd w:val="clear" w:color="auto" w:fill="F6C5AC" w:themeFill="accent2" w:themeFillTint="66"/>
          </w:tcPr>
          <w:p w14:paraId="5F43466D" w14:textId="77777777" w:rsidR="00B16411" w:rsidRPr="00B16411" w:rsidRDefault="00B16411" w:rsidP="000820D8">
            <w:pPr>
              <w:jc w:val="center"/>
              <w:rPr>
                <w:b/>
                <w:bCs/>
                <w:iCs/>
                <w:sz w:val="18"/>
                <w:szCs w:val="18"/>
              </w:rPr>
            </w:pPr>
            <w:r w:rsidRPr="00B16411">
              <w:rPr>
                <w:b/>
                <w:bCs/>
                <w:iCs/>
                <w:sz w:val="18"/>
                <w:szCs w:val="18"/>
              </w:rPr>
              <w:t xml:space="preserve">КОЛИЧЕСТВЕНИ </w:t>
            </w:r>
          </w:p>
        </w:tc>
      </w:tr>
      <w:tr w:rsidR="00B16411" w:rsidRPr="00EB4FEF" w14:paraId="33D21DFC" w14:textId="77777777" w:rsidTr="00AB3B82">
        <w:trPr>
          <w:jc w:val="center"/>
        </w:trPr>
        <w:tc>
          <w:tcPr>
            <w:tcW w:w="1522" w:type="pct"/>
            <w:vMerge/>
            <w:shd w:val="clear" w:color="auto" w:fill="4EA72E" w:themeFill="accent6"/>
          </w:tcPr>
          <w:p w14:paraId="7EE8ED0A" w14:textId="77777777" w:rsidR="00B16411" w:rsidRPr="00EB4FEF" w:rsidRDefault="00B16411" w:rsidP="000820D8">
            <w:pPr>
              <w:jc w:val="center"/>
              <w:rPr>
                <w:bCs/>
                <w:iCs/>
                <w:sz w:val="18"/>
                <w:szCs w:val="18"/>
              </w:rPr>
            </w:pPr>
          </w:p>
        </w:tc>
        <w:tc>
          <w:tcPr>
            <w:tcW w:w="1377" w:type="pct"/>
            <w:gridSpan w:val="2"/>
          </w:tcPr>
          <w:p w14:paraId="48DA93E4" w14:textId="77777777" w:rsidR="00B16411" w:rsidRPr="00B16411" w:rsidRDefault="00B16411" w:rsidP="000820D8">
            <w:pPr>
              <w:jc w:val="center"/>
              <w:rPr>
                <w:b/>
                <w:bCs/>
                <w:iCs/>
                <w:sz w:val="18"/>
                <w:szCs w:val="18"/>
              </w:rPr>
            </w:pPr>
            <w:r w:rsidRPr="00B16411">
              <w:rPr>
                <w:b/>
                <w:bCs/>
                <w:iCs/>
                <w:sz w:val="18"/>
                <w:szCs w:val="18"/>
              </w:rPr>
              <w:t>ОБЩ БРОЙ ИЗДАДЕНИ ПИСМА</w:t>
            </w:r>
          </w:p>
        </w:tc>
        <w:tc>
          <w:tcPr>
            <w:tcW w:w="2102" w:type="pct"/>
            <w:gridSpan w:val="3"/>
            <w:vAlign w:val="center"/>
          </w:tcPr>
          <w:p w14:paraId="04686407" w14:textId="77777777" w:rsidR="00B16411" w:rsidRPr="00B16411" w:rsidRDefault="00B16411" w:rsidP="00B16411">
            <w:pPr>
              <w:jc w:val="center"/>
              <w:rPr>
                <w:b/>
                <w:bCs/>
                <w:iCs/>
                <w:sz w:val="18"/>
                <w:szCs w:val="18"/>
              </w:rPr>
            </w:pPr>
            <w:r w:rsidRPr="00B16411">
              <w:rPr>
                <w:b/>
                <w:bCs/>
                <w:iCs/>
                <w:sz w:val="18"/>
                <w:szCs w:val="18"/>
              </w:rPr>
              <w:t>266</w:t>
            </w:r>
          </w:p>
        </w:tc>
      </w:tr>
      <w:tr w:rsidR="00B16411" w:rsidRPr="00EB4FEF" w14:paraId="6BB032AA" w14:textId="77777777" w:rsidTr="00AB3B82">
        <w:trPr>
          <w:jc w:val="center"/>
        </w:trPr>
        <w:tc>
          <w:tcPr>
            <w:tcW w:w="1522" w:type="pct"/>
            <w:vMerge/>
            <w:shd w:val="clear" w:color="auto" w:fill="4EA72E" w:themeFill="accent6"/>
          </w:tcPr>
          <w:p w14:paraId="1ED5244A" w14:textId="77777777" w:rsidR="00B16411" w:rsidRPr="00EB4FEF" w:rsidRDefault="00B16411" w:rsidP="000820D8">
            <w:pPr>
              <w:jc w:val="center"/>
              <w:rPr>
                <w:bCs/>
                <w:iCs/>
                <w:sz w:val="18"/>
                <w:szCs w:val="18"/>
              </w:rPr>
            </w:pPr>
          </w:p>
        </w:tc>
        <w:tc>
          <w:tcPr>
            <w:tcW w:w="3478" w:type="pct"/>
            <w:gridSpan w:val="5"/>
            <w:shd w:val="clear" w:color="auto" w:fill="F6C5AC" w:themeFill="accent2" w:themeFillTint="66"/>
          </w:tcPr>
          <w:p w14:paraId="71DDF941" w14:textId="77777777" w:rsidR="00B16411" w:rsidRPr="00B16411" w:rsidRDefault="00B16411" w:rsidP="000820D8">
            <w:pPr>
              <w:jc w:val="center"/>
              <w:rPr>
                <w:b/>
                <w:bCs/>
                <w:iCs/>
                <w:sz w:val="18"/>
                <w:szCs w:val="18"/>
              </w:rPr>
            </w:pPr>
            <w:r w:rsidRPr="00B16411">
              <w:rPr>
                <w:b/>
                <w:bCs/>
                <w:iCs/>
                <w:sz w:val="18"/>
                <w:szCs w:val="18"/>
              </w:rPr>
              <w:t xml:space="preserve">КАЧЕСТВЕНИ </w:t>
            </w:r>
          </w:p>
        </w:tc>
      </w:tr>
      <w:tr w:rsidR="00B16411" w:rsidRPr="00EB4FEF" w14:paraId="1DEE80C4" w14:textId="77777777" w:rsidTr="00AB3B82">
        <w:trPr>
          <w:jc w:val="center"/>
        </w:trPr>
        <w:tc>
          <w:tcPr>
            <w:tcW w:w="1522" w:type="pct"/>
            <w:vMerge/>
            <w:shd w:val="clear" w:color="auto" w:fill="4EA72E" w:themeFill="accent6"/>
          </w:tcPr>
          <w:p w14:paraId="61948DEE" w14:textId="77777777" w:rsidR="00B16411" w:rsidRPr="00EB4FEF" w:rsidRDefault="00B16411" w:rsidP="000820D8">
            <w:pPr>
              <w:jc w:val="center"/>
              <w:rPr>
                <w:bCs/>
                <w:iCs/>
                <w:sz w:val="18"/>
                <w:szCs w:val="18"/>
              </w:rPr>
            </w:pPr>
          </w:p>
        </w:tc>
        <w:tc>
          <w:tcPr>
            <w:tcW w:w="725" w:type="pct"/>
            <w:shd w:val="clear" w:color="auto" w:fill="FAE2D5" w:themeFill="accent2" w:themeFillTint="33"/>
          </w:tcPr>
          <w:p w14:paraId="1B15CC23" w14:textId="77777777" w:rsidR="00B16411" w:rsidRPr="00EB4FEF" w:rsidRDefault="00B16411" w:rsidP="000820D8">
            <w:pPr>
              <w:jc w:val="center"/>
              <w:rPr>
                <w:bCs/>
                <w:iCs/>
                <w:sz w:val="14"/>
                <w:szCs w:val="14"/>
              </w:rPr>
            </w:pPr>
            <w:r w:rsidRPr="00EB4FEF">
              <w:rPr>
                <w:bCs/>
                <w:iCs/>
                <w:sz w:val="14"/>
                <w:szCs w:val="14"/>
              </w:rPr>
              <w:t>КРАТКОСРОЧНА ВИЗА ТИП „С“</w:t>
            </w:r>
          </w:p>
        </w:tc>
        <w:tc>
          <w:tcPr>
            <w:tcW w:w="652" w:type="pct"/>
            <w:shd w:val="clear" w:color="auto" w:fill="FAE2D5" w:themeFill="accent2" w:themeFillTint="33"/>
          </w:tcPr>
          <w:p w14:paraId="2E452B0A" w14:textId="77777777" w:rsidR="00B16411" w:rsidRPr="00EB4FEF" w:rsidRDefault="00B16411" w:rsidP="000820D8">
            <w:pPr>
              <w:jc w:val="center"/>
              <w:rPr>
                <w:bCs/>
                <w:iCs/>
                <w:sz w:val="14"/>
                <w:szCs w:val="14"/>
              </w:rPr>
            </w:pPr>
            <w:r w:rsidRPr="00EB4FEF">
              <w:rPr>
                <w:bCs/>
                <w:iCs/>
                <w:sz w:val="14"/>
                <w:szCs w:val="14"/>
              </w:rPr>
              <w:t>ДЪЛГОСРОЧНА ВИЗА ТИП „Д“</w:t>
            </w:r>
          </w:p>
        </w:tc>
        <w:tc>
          <w:tcPr>
            <w:tcW w:w="725" w:type="pct"/>
            <w:shd w:val="clear" w:color="auto" w:fill="FAE2D5" w:themeFill="accent2" w:themeFillTint="33"/>
          </w:tcPr>
          <w:p w14:paraId="2E90EDAF" w14:textId="77777777" w:rsidR="00B16411" w:rsidRPr="00EB4FEF" w:rsidRDefault="00B16411" w:rsidP="000820D8">
            <w:pPr>
              <w:jc w:val="center"/>
              <w:rPr>
                <w:bCs/>
                <w:iCs/>
                <w:sz w:val="14"/>
                <w:szCs w:val="14"/>
              </w:rPr>
            </w:pPr>
            <w:r w:rsidRPr="00EB4FEF">
              <w:rPr>
                <w:bCs/>
                <w:iCs/>
                <w:sz w:val="14"/>
                <w:szCs w:val="14"/>
              </w:rPr>
              <w:t>УДЪЛЖАВАНЕ СРОКА НА ПРЕБИВАВАНЕ С ШЕСТ МЕСЕЦА</w:t>
            </w:r>
          </w:p>
        </w:tc>
        <w:tc>
          <w:tcPr>
            <w:tcW w:w="724" w:type="pct"/>
            <w:shd w:val="clear" w:color="auto" w:fill="FAE2D5" w:themeFill="accent2" w:themeFillTint="33"/>
          </w:tcPr>
          <w:p w14:paraId="08FB1E41" w14:textId="77777777" w:rsidR="00B16411" w:rsidRPr="00EB4FEF" w:rsidRDefault="00B16411" w:rsidP="000820D8">
            <w:pPr>
              <w:jc w:val="center"/>
              <w:rPr>
                <w:bCs/>
                <w:iCs/>
                <w:sz w:val="14"/>
                <w:szCs w:val="14"/>
              </w:rPr>
            </w:pPr>
            <w:r w:rsidRPr="00EB4FEF">
              <w:rPr>
                <w:bCs/>
                <w:iCs/>
                <w:sz w:val="14"/>
                <w:szCs w:val="14"/>
              </w:rPr>
              <w:t>УДЪЛЖАВАНЕ СРОКА НА ПРЕБИВАВАНЕ С ЕДНА ГОДИНА</w:t>
            </w:r>
          </w:p>
        </w:tc>
        <w:tc>
          <w:tcPr>
            <w:tcW w:w="652" w:type="pct"/>
            <w:shd w:val="clear" w:color="auto" w:fill="FAE2D5" w:themeFill="accent2" w:themeFillTint="33"/>
          </w:tcPr>
          <w:p w14:paraId="24C468A0" w14:textId="77777777" w:rsidR="00B16411" w:rsidRPr="00EB4FEF" w:rsidRDefault="00B16411" w:rsidP="000820D8">
            <w:pPr>
              <w:jc w:val="center"/>
              <w:rPr>
                <w:bCs/>
                <w:iCs/>
                <w:sz w:val="14"/>
                <w:szCs w:val="14"/>
              </w:rPr>
            </w:pPr>
            <w:r w:rsidRPr="00EB4FEF">
              <w:rPr>
                <w:bCs/>
                <w:iCs/>
                <w:sz w:val="14"/>
                <w:szCs w:val="14"/>
              </w:rPr>
              <w:t>ПОСТОЯННО ПРЕБИВАВАНЕ</w:t>
            </w:r>
          </w:p>
        </w:tc>
      </w:tr>
      <w:tr w:rsidR="00B16411" w:rsidRPr="00EB4FEF" w14:paraId="0BE9FE96" w14:textId="77777777" w:rsidTr="00AB3B82">
        <w:trPr>
          <w:jc w:val="center"/>
        </w:trPr>
        <w:tc>
          <w:tcPr>
            <w:tcW w:w="1522" w:type="pct"/>
            <w:vMerge/>
            <w:shd w:val="clear" w:color="auto" w:fill="4EA72E" w:themeFill="accent6"/>
          </w:tcPr>
          <w:p w14:paraId="61CEB359" w14:textId="77777777" w:rsidR="00B16411" w:rsidRPr="00EB4FEF" w:rsidRDefault="00B16411" w:rsidP="000820D8">
            <w:pPr>
              <w:jc w:val="center"/>
              <w:rPr>
                <w:bCs/>
                <w:iCs/>
                <w:sz w:val="18"/>
                <w:szCs w:val="18"/>
              </w:rPr>
            </w:pPr>
          </w:p>
        </w:tc>
        <w:tc>
          <w:tcPr>
            <w:tcW w:w="725" w:type="pct"/>
            <w:shd w:val="clear" w:color="auto" w:fill="auto"/>
          </w:tcPr>
          <w:p w14:paraId="51C3367F" w14:textId="77777777" w:rsidR="00B16411" w:rsidRPr="00A731B7" w:rsidRDefault="00B16411" w:rsidP="000820D8">
            <w:pPr>
              <w:jc w:val="center"/>
              <w:rPr>
                <w:b/>
                <w:bCs/>
                <w:iCs/>
                <w:sz w:val="18"/>
                <w:szCs w:val="18"/>
              </w:rPr>
            </w:pPr>
            <w:r w:rsidRPr="00A731B7">
              <w:rPr>
                <w:b/>
                <w:bCs/>
                <w:iCs/>
                <w:sz w:val="18"/>
                <w:szCs w:val="18"/>
              </w:rPr>
              <w:t>1</w:t>
            </w:r>
          </w:p>
        </w:tc>
        <w:tc>
          <w:tcPr>
            <w:tcW w:w="652" w:type="pct"/>
            <w:shd w:val="clear" w:color="auto" w:fill="auto"/>
          </w:tcPr>
          <w:p w14:paraId="490E85D2" w14:textId="77777777" w:rsidR="00B16411" w:rsidRPr="00A731B7" w:rsidRDefault="00B16411" w:rsidP="000820D8">
            <w:pPr>
              <w:jc w:val="center"/>
              <w:rPr>
                <w:b/>
                <w:bCs/>
                <w:iCs/>
                <w:sz w:val="18"/>
                <w:szCs w:val="18"/>
              </w:rPr>
            </w:pPr>
            <w:r w:rsidRPr="00A731B7">
              <w:rPr>
                <w:b/>
                <w:bCs/>
                <w:iCs/>
                <w:sz w:val="18"/>
                <w:szCs w:val="18"/>
              </w:rPr>
              <w:t>76</w:t>
            </w:r>
          </w:p>
        </w:tc>
        <w:tc>
          <w:tcPr>
            <w:tcW w:w="725" w:type="pct"/>
            <w:shd w:val="clear" w:color="auto" w:fill="auto"/>
          </w:tcPr>
          <w:p w14:paraId="4D30A167" w14:textId="77777777" w:rsidR="00B16411" w:rsidRPr="00A731B7" w:rsidRDefault="00B16411" w:rsidP="000820D8">
            <w:pPr>
              <w:jc w:val="center"/>
              <w:rPr>
                <w:b/>
                <w:bCs/>
                <w:iCs/>
                <w:sz w:val="18"/>
                <w:szCs w:val="18"/>
                <w:lang w:val="en-US"/>
              </w:rPr>
            </w:pPr>
            <w:r w:rsidRPr="00A731B7">
              <w:rPr>
                <w:b/>
                <w:bCs/>
                <w:iCs/>
                <w:sz w:val="18"/>
                <w:szCs w:val="18"/>
                <w:lang w:val="en-US"/>
              </w:rPr>
              <w:t>4</w:t>
            </w:r>
          </w:p>
        </w:tc>
        <w:tc>
          <w:tcPr>
            <w:tcW w:w="724" w:type="pct"/>
            <w:shd w:val="clear" w:color="auto" w:fill="auto"/>
          </w:tcPr>
          <w:p w14:paraId="5DACDDA2" w14:textId="77777777" w:rsidR="00B16411" w:rsidRPr="00A731B7" w:rsidRDefault="00B16411" w:rsidP="000820D8">
            <w:pPr>
              <w:jc w:val="center"/>
              <w:rPr>
                <w:b/>
                <w:bCs/>
                <w:iCs/>
                <w:sz w:val="18"/>
                <w:szCs w:val="18"/>
                <w:lang w:val="en-US"/>
              </w:rPr>
            </w:pPr>
            <w:r w:rsidRPr="00A731B7">
              <w:rPr>
                <w:b/>
                <w:bCs/>
                <w:iCs/>
                <w:sz w:val="18"/>
                <w:szCs w:val="18"/>
                <w:lang w:val="en-US"/>
              </w:rPr>
              <w:t>1</w:t>
            </w:r>
            <w:r w:rsidRPr="00A731B7">
              <w:rPr>
                <w:b/>
                <w:bCs/>
                <w:iCs/>
                <w:sz w:val="18"/>
                <w:szCs w:val="18"/>
              </w:rPr>
              <w:t>83</w:t>
            </w:r>
          </w:p>
        </w:tc>
        <w:tc>
          <w:tcPr>
            <w:tcW w:w="652" w:type="pct"/>
            <w:shd w:val="clear" w:color="auto" w:fill="auto"/>
          </w:tcPr>
          <w:p w14:paraId="4BBF7B4C" w14:textId="77777777" w:rsidR="00B16411" w:rsidRPr="00A731B7" w:rsidRDefault="00B16411" w:rsidP="000820D8">
            <w:pPr>
              <w:jc w:val="center"/>
              <w:rPr>
                <w:b/>
                <w:bCs/>
                <w:iCs/>
                <w:sz w:val="18"/>
                <w:szCs w:val="18"/>
              </w:rPr>
            </w:pPr>
            <w:r w:rsidRPr="00A731B7">
              <w:rPr>
                <w:b/>
                <w:bCs/>
                <w:iCs/>
                <w:sz w:val="18"/>
                <w:szCs w:val="18"/>
              </w:rPr>
              <w:t>2</w:t>
            </w:r>
          </w:p>
        </w:tc>
      </w:tr>
      <w:tr w:rsidR="00B16411" w:rsidRPr="00EB4FEF" w14:paraId="376582EB" w14:textId="77777777" w:rsidTr="00DE22EF">
        <w:trPr>
          <w:jc w:val="center"/>
        </w:trPr>
        <w:tc>
          <w:tcPr>
            <w:tcW w:w="1522" w:type="pct"/>
            <w:shd w:val="clear" w:color="auto" w:fill="F6C5AC" w:themeFill="accent2" w:themeFillTint="66"/>
          </w:tcPr>
          <w:p w14:paraId="2AD86A27" w14:textId="77777777" w:rsidR="00B16411" w:rsidRPr="00B16411" w:rsidRDefault="00B16411" w:rsidP="000820D8">
            <w:pPr>
              <w:jc w:val="center"/>
              <w:rPr>
                <w:b/>
                <w:bCs/>
                <w:iCs/>
                <w:sz w:val="18"/>
                <w:szCs w:val="18"/>
                <w:lang w:val="el-GR"/>
              </w:rPr>
            </w:pPr>
            <w:r w:rsidRPr="00B16411">
              <w:rPr>
                <w:b/>
                <w:bCs/>
                <w:iCs/>
                <w:sz w:val="18"/>
                <w:szCs w:val="18"/>
              </w:rPr>
              <w:t>ВЕРОИЗПОВЕДАНИЕ</w:t>
            </w:r>
          </w:p>
        </w:tc>
        <w:tc>
          <w:tcPr>
            <w:tcW w:w="3478" w:type="pct"/>
            <w:gridSpan w:val="5"/>
            <w:vAlign w:val="center"/>
          </w:tcPr>
          <w:p w14:paraId="4B6D33B5" w14:textId="77777777" w:rsidR="00B16411" w:rsidRPr="00A731B7" w:rsidRDefault="00B16411" w:rsidP="000820D8">
            <w:pPr>
              <w:jc w:val="center"/>
              <w:rPr>
                <w:b/>
                <w:bCs/>
                <w:iCs/>
                <w:sz w:val="18"/>
                <w:szCs w:val="18"/>
              </w:rPr>
            </w:pPr>
            <w:r w:rsidRPr="00A731B7">
              <w:rPr>
                <w:b/>
                <w:bCs/>
                <w:iCs/>
                <w:sz w:val="18"/>
                <w:szCs w:val="18"/>
              </w:rPr>
              <w:t>от тях:</w:t>
            </w:r>
          </w:p>
        </w:tc>
      </w:tr>
      <w:tr w:rsidR="00B16411" w:rsidRPr="00EB4FEF" w14:paraId="72D8927D" w14:textId="77777777" w:rsidTr="00AB3B82">
        <w:trPr>
          <w:jc w:val="center"/>
        </w:trPr>
        <w:tc>
          <w:tcPr>
            <w:tcW w:w="1522" w:type="pct"/>
            <w:vAlign w:val="center"/>
          </w:tcPr>
          <w:p w14:paraId="4C5C34E2" w14:textId="6E72E364" w:rsidR="00863B53" w:rsidRPr="00EB4FEF" w:rsidRDefault="00B16411" w:rsidP="00863B53">
            <w:pPr>
              <w:rPr>
                <w:bCs/>
                <w:iCs/>
                <w:sz w:val="18"/>
                <w:szCs w:val="18"/>
              </w:rPr>
            </w:pPr>
            <w:r w:rsidRPr="00EB4FEF">
              <w:rPr>
                <w:bCs/>
                <w:iCs/>
                <w:sz w:val="18"/>
                <w:szCs w:val="18"/>
              </w:rPr>
              <w:t>АРМИЯТА НА СПАСЕНИЕТО</w:t>
            </w:r>
          </w:p>
        </w:tc>
        <w:tc>
          <w:tcPr>
            <w:tcW w:w="725" w:type="pct"/>
            <w:shd w:val="clear" w:color="auto" w:fill="auto"/>
            <w:vAlign w:val="center"/>
          </w:tcPr>
          <w:p w14:paraId="08658ED5"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3B2534DB" w14:textId="77777777" w:rsidR="00B16411" w:rsidRPr="00EB4FEF" w:rsidRDefault="00B16411" w:rsidP="004F3F42">
            <w:pPr>
              <w:jc w:val="center"/>
              <w:rPr>
                <w:bCs/>
                <w:iCs/>
                <w:sz w:val="18"/>
                <w:szCs w:val="18"/>
              </w:rPr>
            </w:pPr>
            <w:r w:rsidRPr="00EB4FEF">
              <w:rPr>
                <w:bCs/>
                <w:iCs/>
                <w:sz w:val="18"/>
                <w:szCs w:val="18"/>
              </w:rPr>
              <w:t>-</w:t>
            </w:r>
          </w:p>
        </w:tc>
        <w:tc>
          <w:tcPr>
            <w:tcW w:w="725" w:type="pct"/>
            <w:shd w:val="clear" w:color="auto" w:fill="auto"/>
            <w:vAlign w:val="center"/>
          </w:tcPr>
          <w:p w14:paraId="1D69873C"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7475BBD2" w14:textId="77777777" w:rsidR="00B16411" w:rsidRPr="00EB4FEF" w:rsidRDefault="00B16411" w:rsidP="004F3F42">
            <w:pPr>
              <w:jc w:val="center"/>
              <w:rPr>
                <w:bCs/>
                <w:iCs/>
                <w:sz w:val="18"/>
                <w:szCs w:val="18"/>
              </w:rPr>
            </w:pPr>
            <w:r w:rsidRPr="00EB4FEF">
              <w:rPr>
                <w:bCs/>
                <w:iCs/>
                <w:sz w:val="18"/>
                <w:szCs w:val="18"/>
              </w:rPr>
              <w:t>2</w:t>
            </w:r>
          </w:p>
        </w:tc>
        <w:tc>
          <w:tcPr>
            <w:tcW w:w="652" w:type="pct"/>
            <w:shd w:val="clear" w:color="auto" w:fill="auto"/>
            <w:vAlign w:val="center"/>
          </w:tcPr>
          <w:p w14:paraId="63B35BE0" w14:textId="77777777" w:rsidR="00B16411" w:rsidRPr="00EB4FEF" w:rsidRDefault="00B16411" w:rsidP="004F3F42">
            <w:pPr>
              <w:jc w:val="center"/>
              <w:rPr>
                <w:bCs/>
                <w:iCs/>
                <w:sz w:val="18"/>
                <w:szCs w:val="18"/>
              </w:rPr>
            </w:pPr>
          </w:p>
        </w:tc>
      </w:tr>
      <w:tr w:rsidR="00B16411" w:rsidRPr="00EB4FEF" w14:paraId="152D6530" w14:textId="77777777" w:rsidTr="00AB3B82">
        <w:trPr>
          <w:jc w:val="center"/>
        </w:trPr>
        <w:tc>
          <w:tcPr>
            <w:tcW w:w="1522" w:type="pct"/>
            <w:vAlign w:val="center"/>
          </w:tcPr>
          <w:p w14:paraId="7978B7BF" w14:textId="77777777" w:rsidR="00B16411" w:rsidRPr="00EB4FEF" w:rsidRDefault="00B16411" w:rsidP="00863B53">
            <w:pPr>
              <w:rPr>
                <w:bCs/>
                <w:iCs/>
                <w:sz w:val="18"/>
                <w:szCs w:val="18"/>
              </w:rPr>
            </w:pPr>
            <w:r w:rsidRPr="00EB4FEF">
              <w:rPr>
                <w:bCs/>
                <w:iCs/>
                <w:sz w:val="18"/>
                <w:szCs w:val="18"/>
              </w:rPr>
              <w:t>БАХАЙСКА ОБЩНОСТ В БЪЛГАРИЯ</w:t>
            </w:r>
          </w:p>
        </w:tc>
        <w:tc>
          <w:tcPr>
            <w:tcW w:w="725" w:type="pct"/>
            <w:shd w:val="clear" w:color="auto" w:fill="auto"/>
            <w:vAlign w:val="center"/>
          </w:tcPr>
          <w:p w14:paraId="272E21C9"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2FD2D830" w14:textId="77777777" w:rsidR="00B16411" w:rsidRPr="00EB4FEF" w:rsidRDefault="00B16411" w:rsidP="004F3F42">
            <w:pPr>
              <w:jc w:val="center"/>
              <w:rPr>
                <w:bCs/>
                <w:iCs/>
                <w:sz w:val="18"/>
                <w:szCs w:val="18"/>
              </w:rPr>
            </w:pPr>
            <w:r w:rsidRPr="00EB4FEF">
              <w:rPr>
                <w:bCs/>
                <w:iCs/>
                <w:sz w:val="18"/>
                <w:szCs w:val="18"/>
              </w:rPr>
              <w:t>3</w:t>
            </w:r>
          </w:p>
        </w:tc>
        <w:tc>
          <w:tcPr>
            <w:tcW w:w="725" w:type="pct"/>
            <w:shd w:val="clear" w:color="auto" w:fill="auto"/>
            <w:vAlign w:val="center"/>
          </w:tcPr>
          <w:p w14:paraId="46BC7DCF"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483335E8"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6FA7D899" w14:textId="77777777" w:rsidR="00B16411" w:rsidRPr="00EB4FEF" w:rsidRDefault="00B16411" w:rsidP="004F3F42">
            <w:pPr>
              <w:jc w:val="center"/>
              <w:rPr>
                <w:bCs/>
                <w:iCs/>
                <w:sz w:val="18"/>
                <w:szCs w:val="18"/>
              </w:rPr>
            </w:pPr>
          </w:p>
        </w:tc>
      </w:tr>
      <w:tr w:rsidR="00B16411" w:rsidRPr="00EB4FEF" w14:paraId="512CC689" w14:textId="77777777" w:rsidTr="00AB3B82">
        <w:trPr>
          <w:jc w:val="center"/>
        </w:trPr>
        <w:tc>
          <w:tcPr>
            <w:tcW w:w="1522" w:type="pct"/>
            <w:vAlign w:val="center"/>
          </w:tcPr>
          <w:p w14:paraId="098FA2CE" w14:textId="77777777" w:rsidR="00B16411" w:rsidRPr="00EB4FEF" w:rsidRDefault="00B16411" w:rsidP="00863B53">
            <w:pPr>
              <w:rPr>
                <w:bCs/>
                <w:iCs/>
                <w:sz w:val="18"/>
                <w:szCs w:val="18"/>
              </w:rPr>
            </w:pPr>
            <w:r w:rsidRPr="00EB4FEF">
              <w:rPr>
                <w:bCs/>
                <w:iCs/>
                <w:sz w:val="18"/>
                <w:szCs w:val="18"/>
              </w:rPr>
              <w:t>БЪЛГАРСКА БОЖИЯ ЦЪРКВА</w:t>
            </w:r>
          </w:p>
        </w:tc>
        <w:tc>
          <w:tcPr>
            <w:tcW w:w="725" w:type="pct"/>
            <w:shd w:val="clear" w:color="auto" w:fill="auto"/>
            <w:vAlign w:val="center"/>
          </w:tcPr>
          <w:p w14:paraId="66656D6F"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5C2428CB" w14:textId="77777777" w:rsidR="00B16411" w:rsidRPr="00EB4FEF" w:rsidRDefault="00B16411" w:rsidP="004F3F42">
            <w:pPr>
              <w:jc w:val="center"/>
              <w:rPr>
                <w:bCs/>
                <w:iCs/>
                <w:sz w:val="18"/>
                <w:szCs w:val="18"/>
              </w:rPr>
            </w:pPr>
            <w:r w:rsidRPr="00EB4FEF">
              <w:rPr>
                <w:bCs/>
                <w:iCs/>
                <w:sz w:val="18"/>
                <w:szCs w:val="18"/>
              </w:rPr>
              <w:t>-</w:t>
            </w:r>
          </w:p>
        </w:tc>
        <w:tc>
          <w:tcPr>
            <w:tcW w:w="725" w:type="pct"/>
            <w:shd w:val="clear" w:color="auto" w:fill="auto"/>
            <w:vAlign w:val="center"/>
          </w:tcPr>
          <w:p w14:paraId="723DDC0B"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4A2F8C34" w14:textId="77777777" w:rsidR="00B16411" w:rsidRPr="00EB4FEF" w:rsidRDefault="00B16411" w:rsidP="004F3F42">
            <w:pPr>
              <w:jc w:val="center"/>
              <w:rPr>
                <w:bCs/>
                <w:iCs/>
                <w:sz w:val="18"/>
                <w:szCs w:val="18"/>
              </w:rPr>
            </w:pPr>
            <w:r w:rsidRPr="00EB4FEF">
              <w:rPr>
                <w:bCs/>
                <w:iCs/>
                <w:sz w:val="18"/>
                <w:szCs w:val="18"/>
              </w:rPr>
              <w:t>3</w:t>
            </w:r>
          </w:p>
        </w:tc>
        <w:tc>
          <w:tcPr>
            <w:tcW w:w="652" w:type="pct"/>
            <w:shd w:val="clear" w:color="auto" w:fill="auto"/>
            <w:vAlign w:val="center"/>
          </w:tcPr>
          <w:p w14:paraId="1D228A9F" w14:textId="77777777" w:rsidR="00B16411" w:rsidRPr="00EB4FEF" w:rsidRDefault="00B16411" w:rsidP="004F3F42">
            <w:pPr>
              <w:jc w:val="center"/>
              <w:rPr>
                <w:bCs/>
                <w:iCs/>
                <w:sz w:val="18"/>
                <w:szCs w:val="18"/>
              </w:rPr>
            </w:pPr>
          </w:p>
        </w:tc>
      </w:tr>
      <w:tr w:rsidR="00B16411" w:rsidRPr="00EB4FEF" w14:paraId="56970F49" w14:textId="77777777" w:rsidTr="00AB3B82">
        <w:trPr>
          <w:jc w:val="center"/>
        </w:trPr>
        <w:tc>
          <w:tcPr>
            <w:tcW w:w="1522" w:type="pct"/>
            <w:vAlign w:val="center"/>
          </w:tcPr>
          <w:p w14:paraId="3DC94844" w14:textId="77777777" w:rsidR="00B16411" w:rsidRPr="00EB4FEF" w:rsidRDefault="00B16411" w:rsidP="00863B53">
            <w:pPr>
              <w:rPr>
                <w:bCs/>
                <w:iCs/>
                <w:sz w:val="18"/>
                <w:szCs w:val="18"/>
              </w:rPr>
            </w:pPr>
            <w:r w:rsidRPr="00EB4FEF">
              <w:rPr>
                <w:bCs/>
                <w:iCs/>
                <w:sz w:val="18"/>
                <w:szCs w:val="18"/>
              </w:rPr>
              <w:t>БЪЛГАРСКА ПРАВОСЛАВНА ЦЪРКВА- БЪЛГАРСКА ПАТРИАРШИЯ</w:t>
            </w:r>
          </w:p>
        </w:tc>
        <w:tc>
          <w:tcPr>
            <w:tcW w:w="725" w:type="pct"/>
            <w:shd w:val="clear" w:color="auto" w:fill="auto"/>
            <w:vAlign w:val="center"/>
          </w:tcPr>
          <w:p w14:paraId="6DE63204"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3319B113" w14:textId="77777777" w:rsidR="00B16411" w:rsidRPr="00EB4FEF" w:rsidRDefault="00B16411" w:rsidP="004F3F42">
            <w:pPr>
              <w:jc w:val="center"/>
              <w:rPr>
                <w:bCs/>
                <w:iCs/>
                <w:sz w:val="18"/>
                <w:szCs w:val="18"/>
              </w:rPr>
            </w:pPr>
            <w:r w:rsidRPr="00EB4FEF">
              <w:rPr>
                <w:bCs/>
                <w:iCs/>
                <w:sz w:val="18"/>
                <w:szCs w:val="18"/>
              </w:rPr>
              <w:t>2</w:t>
            </w:r>
          </w:p>
        </w:tc>
        <w:tc>
          <w:tcPr>
            <w:tcW w:w="725" w:type="pct"/>
            <w:shd w:val="clear" w:color="auto" w:fill="auto"/>
            <w:vAlign w:val="center"/>
          </w:tcPr>
          <w:p w14:paraId="7BAAF5D9"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68A67EC4" w14:textId="77777777" w:rsidR="00B16411" w:rsidRPr="00EB4FEF" w:rsidRDefault="00B16411" w:rsidP="004F3F42">
            <w:pPr>
              <w:jc w:val="center"/>
              <w:rPr>
                <w:bCs/>
                <w:iCs/>
                <w:sz w:val="18"/>
                <w:szCs w:val="18"/>
              </w:rPr>
            </w:pPr>
            <w:r w:rsidRPr="00EB4FEF">
              <w:rPr>
                <w:bCs/>
                <w:iCs/>
                <w:sz w:val="18"/>
                <w:szCs w:val="18"/>
              </w:rPr>
              <w:t>5</w:t>
            </w:r>
          </w:p>
        </w:tc>
        <w:tc>
          <w:tcPr>
            <w:tcW w:w="652" w:type="pct"/>
            <w:shd w:val="clear" w:color="auto" w:fill="auto"/>
            <w:vAlign w:val="center"/>
          </w:tcPr>
          <w:p w14:paraId="565A05A3" w14:textId="77777777" w:rsidR="00B16411" w:rsidRPr="00EB4FEF" w:rsidRDefault="00B16411" w:rsidP="004F3F42">
            <w:pPr>
              <w:jc w:val="center"/>
              <w:rPr>
                <w:bCs/>
                <w:iCs/>
                <w:sz w:val="18"/>
                <w:szCs w:val="18"/>
              </w:rPr>
            </w:pPr>
          </w:p>
        </w:tc>
      </w:tr>
      <w:tr w:rsidR="00B16411" w:rsidRPr="00EB4FEF" w14:paraId="0B9A506D" w14:textId="77777777" w:rsidTr="00AB3B82">
        <w:trPr>
          <w:jc w:val="center"/>
        </w:trPr>
        <w:tc>
          <w:tcPr>
            <w:tcW w:w="1522" w:type="pct"/>
            <w:vAlign w:val="center"/>
          </w:tcPr>
          <w:p w14:paraId="7C3251E3" w14:textId="77777777" w:rsidR="00B16411" w:rsidRPr="00EB4FEF" w:rsidRDefault="00B16411" w:rsidP="00863B53">
            <w:pPr>
              <w:rPr>
                <w:bCs/>
                <w:iCs/>
                <w:sz w:val="18"/>
                <w:szCs w:val="18"/>
              </w:rPr>
            </w:pPr>
            <w:r w:rsidRPr="00EB4FEF">
              <w:rPr>
                <w:bCs/>
                <w:iCs/>
                <w:sz w:val="18"/>
                <w:szCs w:val="18"/>
              </w:rPr>
              <w:t>БЪЛГАРСКА ПРОТЕСТАНТСКА ЦЪРКВА НОВ ЖИВОТ</w:t>
            </w:r>
          </w:p>
        </w:tc>
        <w:tc>
          <w:tcPr>
            <w:tcW w:w="725" w:type="pct"/>
            <w:shd w:val="clear" w:color="auto" w:fill="auto"/>
            <w:vAlign w:val="center"/>
          </w:tcPr>
          <w:p w14:paraId="317C60A9"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0B94FC27" w14:textId="77777777" w:rsidR="00B16411" w:rsidRPr="00EB4FEF" w:rsidRDefault="00B16411" w:rsidP="004F3F42">
            <w:pPr>
              <w:jc w:val="center"/>
              <w:rPr>
                <w:bCs/>
                <w:iCs/>
                <w:sz w:val="18"/>
                <w:szCs w:val="18"/>
              </w:rPr>
            </w:pPr>
            <w:r w:rsidRPr="00EB4FEF">
              <w:rPr>
                <w:bCs/>
                <w:iCs/>
                <w:sz w:val="18"/>
                <w:szCs w:val="18"/>
              </w:rPr>
              <w:t>4</w:t>
            </w:r>
          </w:p>
        </w:tc>
        <w:tc>
          <w:tcPr>
            <w:tcW w:w="725" w:type="pct"/>
            <w:shd w:val="clear" w:color="auto" w:fill="auto"/>
            <w:vAlign w:val="center"/>
          </w:tcPr>
          <w:p w14:paraId="6D9A25F4"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4DAEEDE9" w14:textId="77777777" w:rsidR="00B16411" w:rsidRPr="00EB4FEF" w:rsidRDefault="00B16411" w:rsidP="004F3F42">
            <w:pPr>
              <w:jc w:val="center"/>
              <w:rPr>
                <w:bCs/>
                <w:iCs/>
                <w:sz w:val="18"/>
                <w:szCs w:val="18"/>
              </w:rPr>
            </w:pPr>
            <w:r w:rsidRPr="00EB4FEF">
              <w:rPr>
                <w:bCs/>
                <w:iCs/>
                <w:sz w:val="18"/>
                <w:szCs w:val="18"/>
              </w:rPr>
              <w:t>2</w:t>
            </w:r>
          </w:p>
        </w:tc>
        <w:tc>
          <w:tcPr>
            <w:tcW w:w="652" w:type="pct"/>
            <w:shd w:val="clear" w:color="auto" w:fill="auto"/>
            <w:vAlign w:val="center"/>
          </w:tcPr>
          <w:p w14:paraId="4AE9EF9E" w14:textId="77777777" w:rsidR="00B16411" w:rsidRPr="00EB4FEF" w:rsidRDefault="00B16411" w:rsidP="004F3F42">
            <w:pPr>
              <w:jc w:val="center"/>
              <w:rPr>
                <w:bCs/>
                <w:iCs/>
                <w:sz w:val="18"/>
                <w:szCs w:val="18"/>
              </w:rPr>
            </w:pPr>
          </w:p>
        </w:tc>
      </w:tr>
      <w:tr w:rsidR="00B16411" w:rsidRPr="00EB4FEF" w14:paraId="6D393AAF" w14:textId="77777777" w:rsidTr="00AB3B82">
        <w:trPr>
          <w:jc w:val="center"/>
        </w:trPr>
        <w:tc>
          <w:tcPr>
            <w:tcW w:w="1522" w:type="pct"/>
            <w:vAlign w:val="center"/>
          </w:tcPr>
          <w:p w14:paraId="3A0C18C6" w14:textId="77777777" w:rsidR="00B16411" w:rsidRPr="00EB4FEF" w:rsidRDefault="00B16411" w:rsidP="00863B53">
            <w:pPr>
              <w:rPr>
                <w:bCs/>
                <w:iCs/>
                <w:color w:val="000000"/>
                <w:sz w:val="18"/>
                <w:szCs w:val="18"/>
              </w:rPr>
            </w:pPr>
            <w:r w:rsidRPr="00EB4FEF">
              <w:rPr>
                <w:bCs/>
                <w:iCs/>
                <w:color w:val="000000"/>
                <w:sz w:val="18"/>
                <w:szCs w:val="18"/>
              </w:rPr>
              <w:t>БЪЛГАРСКА РЕФОРМИРАНА ПРЕЗВИТЕРИАНСКА ЦЪРКВА</w:t>
            </w:r>
          </w:p>
        </w:tc>
        <w:tc>
          <w:tcPr>
            <w:tcW w:w="725" w:type="pct"/>
            <w:shd w:val="clear" w:color="auto" w:fill="auto"/>
            <w:vAlign w:val="center"/>
          </w:tcPr>
          <w:p w14:paraId="7D1F4017"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32EA9C3B" w14:textId="77777777" w:rsidR="00B16411" w:rsidRPr="00EB4FEF" w:rsidRDefault="00B16411" w:rsidP="004F3F42">
            <w:pPr>
              <w:jc w:val="center"/>
              <w:rPr>
                <w:bCs/>
                <w:iCs/>
                <w:sz w:val="18"/>
                <w:szCs w:val="18"/>
              </w:rPr>
            </w:pPr>
            <w:r w:rsidRPr="00EB4FEF">
              <w:rPr>
                <w:bCs/>
                <w:iCs/>
                <w:sz w:val="18"/>
                <w:szCs w:val="18"/>
              </w:rPr>
              <w:t>-</w:t>
            </w:r>
          </w:p>
        </w:tc>
        <w:tc>
          <w:tcPr>
            <w:tcW w:w="725" w:type="pct"/>
            <w:shd w:val="clear" w:color="auto" w:fill="auto"/>
            <w:vAlign w:val="center"/>
          </w:tcPr>
          <w:p w14:paraId="6D78503C"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3BAAEE9B"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27907DDC" w14:textId="77777777" w:rsidR="00B16411" w:rsidRPr="00EB4FEF" w:rsidRDefault="00B16411" w:rsidP="004F3F42">
            <w:pPr>
              <w:jc w:val="center"/>
              <w:rPr>
                <w:bCs/>
                <w:iCs/>
                <w:sz w:val="18"/>
                <w:szCs w:val="18"/>
              </w:rPr>
            </w:pPr>
          </w:p>
        </w:tc>
      </w:tr>
      <w:tr w:rsidR="00B16411" w:rsidRPr="00EB4FEF" w14:paraId="129AC263" w14:textId="77777777" w:rsidTr="00AB3B82">
        <w:trPr>
          <w:jc w:val="center"/>
        </w:trPr>
        <w:tc>
          <w:tcPr>
            <w:tcW w:w="1522" w:type="pct"/>
            <w:vAlign w:val="center"/>
          </w:tcPr>
          <w:p w14:paraId="478D3CA4" w14:textId="77777777" w:rsidR="00B16411" w:rsidRPr="00EB4FEF" w:rsidRDefault="00B16411" w:rsidP="00863B53">
            <w:pPr>
              <w:rPr>
                <w:bCs/>
                <w:iCs/>
                <w:sz w:val="18"/>
                <w:szCs w:val="18"/>
              </w:rPr>
            </w:pPr>
            <w:r w:rsidRPr="00EB4FEF">
              <w:rPr>
                <w:bCs/>
                <w:iCs/>
                <w:sz w:val="18"/>
                <w:szCs w:val="18"/>
              </w:rPr>
              <w:t>БЪЛГАРСКА СВОБОДНА ЦЪРКВА</w:t>
            </w:r>
          </w:p>
        </w:tc>
        <w:tc>
          <w:tcPr>
            <w:tcW w:w="725" w:type="pct"/>
            <w:shd w:val="clear" w:color="auto" w:fill="auto"/>
            <w:vAlign w:val="center"/>
          </w:tcPr>
          <w:p w14:paraId="105C3D2B"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3DA34914" w14:textId="77777777" w:rsidR="00B16411" w:rsidRPr="00EB4FEF" w:rsidRDefault="00B16411" w:rsidP="004F3F42">
            <w:pPr>
              <w:jc w:val="center"/>
              <w:rPr>
                <w:bCs/>
                <w:iCs/>
                <w:sz w:val="18"/>
                <w:szCs w:val="18"/>
              </w:rPr>
            </w:pPr>
            <w:r w:rsidRPr="00EB4FEF">
              <w:rPr>
                <w:bCs/>
                <w:iCs/>
                <w:sz w:val="18"/>
                <w:szCs w:val="18"/>
              </w:rPr>
              <w:t>-</w:t>
            </w:r>
          </w:p>
        </w:tc>
        <w:tc>
          <w:tcPr>
            <w:tcW w:w="725" w:type="pct"/>
            <w:shd w:val="clear" w:color="auto" w:fill="auto"/>
            <w:vAlign w:val="center"/>
          </w:tcPr>
          <w:p w14:paraId="3C374F6B"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30EE9CD4" w14:textId="77777777" w:rsidR="00B16411" w:rsidRPr="00EB4FEF" w:rsidRDefault="00B16411" w:rsidP="004F3F42">
            <w:pPr>
              <w:jc w:val="center"/>
              <w:rPr>
                <w:bCs/>
                <w:iCs/>
                <w:sz w:val="18"/>
                <w:szCs w:val="18"/>
              </w:rPr>
            </w:pPr>
            <w:r w:rsidRPr="00EB4FEF">
              <w:rPr>
                <w:bCs/>
                <w:iCs/>
                <w:sz w:val="18"/>
                <w:szCs w:val="18"/>
              </w:rPr>
              <w:t>4</w:t>
            </w:r>
          </w:p>
        </w:tc>
        <w:tc>
          <w:tcPr>
            <w:tcW w:w="652" w:type="pct"/>
            <w:shd w:val="clear" w:color="auto" w:fill="auto"/>
            <w:vAlign w:val="center"/>
          </w:tcPr>
          <w:p w14:paraId="4D034C81" w14:textId="77777777" w:rsidR="00B16411" w:rsidRPr="00EB4FEF" w:rsidRDefault="00B16411" w:rsidP="004F3F42">
            <w:pPr>
              <w:jc w:val="center"/>
              <w:rPr>
                <w:bCs/>
                <w:iCs/>
                <w:sz w:val="18"/>
                <w:szCs w:val="18"/>
              </w:rPr>
            </w:pPr>
          </w:p>
        </w:tc>
      </w:tr>
      <w:tr w:rsidR="00B16411" w:rsidRPr="00EB4FEF" w14:paraId="47645FB5" w14:textId="77777777" w:rsidTr="00AB3B82">
        <w:trPr>
          <w:jc w:val="center"/>
        </w:trPr>
        <w:tc>
          <w:tcPr>
            <w:tcW w:w="1522" w:type="pct"/>
            <w:vAlign w:val="center"/>
          </w:tcPr>
          <w:p w14:paraId="56201B6B" w14:textId="77777777" w:rsidR="00B16411" w:rsidRPr="00EB4FEF" w:rsidRDefault="00B16411" w:rsidP="00863B53">
            <w:pPr>
              <w:rPr>
                <w:bCs/>
                <w:iCs/>
                <w:color w:val="000000"/>
                <w:sz w:val="18"/>
                <w:szCs w:val="18"/>
              </w:rPr>
            </w:pPr>
            <w:r w:rsidRPr="00EB4FEF">
              <w:rPr>
                <w:bCs/>
                <w:iCs/>
                <w:color w:val="000000"/>
                <w:sz w:val="18"/>
                <w:szCs w:val="18"/>
              </w:rPr>
              <w:t>БЪЛГАРСКА ХРИСТИЯНСКА БАПТИСТКА ЦЪРКВА</w:t>
            </w:r>
          </w:p>
        </w:tc>
        <w:tc>
          <w:tcPr>
            <w:tcW w:w="725" w:type="pct"/>
            <w:shd w:val="clear" w:color="auto" w:fill="auto"/>
            <w:vAlign w:val="center"/>
          </w:tcPr>
          <w:p w14:paraId="28C8AE57"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35D50A9C" w14:textId="77777777" w:rsidR="00B16411" w:rsidRPr="00EB4FEF" w:rsidRDefault="00B16411" w:rsidP="004F3F42">
            <w:pPr>
              <w:jc w:val="center"/>
              <w:rPr>
                <w:bCs/>
                <w:iCs/>
                <w:sz w:val="18"/>
                <w:szCs w:val="18"/>
              </w:rPr>
            </w:pPr>
            <w:r w:rsidRPr="00EB4FEF">
              <w:rPr>
                <w:bCs/>
                <w:iCs/>
                <w:sz w:val="18"/>
                <w:szCs w:val="18"/>
              </w:rPr>
              <w:t>-</w:t>
            </w:r>
          </w:p>
        </w:tc>
        <w:tc>
          <w:tcPr>
            <w:tcW w:w="725" w:type="pct"/>
            <w:shd w:val="clear" w:color="auto" w:fill="auto"/>
            <w:vAlign w:val="center"/>
          </w:tcPr>
          <w:p w14:paraId="4904D5B1"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5986CB07" w14:textId="77777777" w:rsidR="00B16411" w:rsidRPr="00EB4FEF" w:rsidRDefault="00B16411" w:rsidP="004F3F42">
            <w:pPr>
              <w:jc w:val="center"/>
              <w:rPr>
                <w:bCs/>
                <w:iCs/>
                <w:sz w:val="18"/>
                <w:szCs w:val="18"/>
              </w:rPr>
            </w:pPr>
            <w:r w:rsidRPr="00EB4FEF">
              <w:rPr>
                <w:bCs/>
                <w:iCs/>
                <w:sz w:val="18"/>
                <w:szCs w:val="18"/>
              </w:rPr>
              <w:t>1</w:t>
            </w:r>
          </w:p>
        </w:tc>
        <w:tc>
          <w:tcPr>
            <w:tcW w:w="652" w:type="pct"/>
            <w:shd w:val="clear" w:color="auto" w:fill="auto"/>
            <w:vAlign w:val="center"/>
          </w:tcPr>
          <w:p w14:paraId="2327C2AE" w14:textId="77777777" w:rsidR="00B16411" w:rsidRPr="00EB4FEF" w:rsidRDefault="00B16411" w:rsidP="004F3F42">
            <w:pPr>
              <w:jc w:val="center"/>
              <w:rPr>
                <w:bCs/>
                <w:iCs/>
                <w:sz w:val="18"/>
                <w:szCs w:val="18"/>
              </w:rPr>
            </w:pPr>
          </w:p>
        </w:tc>
      </w:tr>
      <w:tr w:rsidR="00B16411" w:rsidRPr="00EB4FEF" w14:paraId="08AD0379" w14:textId="77777777" w:rsidTr="00AB3B82">
        <w:trPr>
          <w:jc w:val="center"/>
        </w:trPr>
        <w:tc>
          <w:tcPr>
            <w:tcW w:w="1522" w:type="pct"/>
            <w:vAlign w:val="center"/>
          </w:tcPr>
          <w:p w14:paraId="70B87C11" w14:textId="77777777" w:rsidR="00B16411" w:rsidRPr="00EB4FEF" w:rsidRDefault="00B16411" w:rsidP="00863B53">
            <w:pPr>
              <w:rPr>
                <w:bCs/>
                <w:iCs/>
                <w:color w:val="000000"/>
                <w:sz w:val="18"/>
                <w:szCs w:val="18"/>
              </w:rPr>
            </w:pPr>
            <w:r w:rsidRPr="00EB4FEF">
              <w:rPr>
                <w:bCs/>
                <w:iCs/>
                <w:color w:val="000000"/>
                <w:sz w:val="18"/>
                <w:szCs w:val="18"/>
              </w:rPr>
              <w:lastRenderedPageBreak/>
              <w:t>ЕВАНГЕЛСКА ПРЕЗВИТЕРИАНСКА ЦЪРКВА В СОФИЯ</w:t>
            </w:r>
          </w:p>
        </w:tc>
        <w:tc>
          <w:tcPr>
            <w:tcW w:w="725" w:type="pct"/>
            <w:shd w:val="clear" w:color="auto" w:fill="auto"/>
            <w:vAlign w:val="center"/>
          </w:tcPr>
          <w:p w14:paraId="707C85CB"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7425B30E" w14:textId="77777777" w:rsidR="00B16411" w:rsidRPr="00EB4FEF" w:rsidRDefault="00B16411" w:rsidP="004F3F42">
            <w:pPr>
              <w:jc w:val="center"/>
              <w:rPr>
                <w:bCs/>
                <w:iCs/>
                <w:sz w:val="18"/>
                <w:szCs w:val="18"/>
              </w:rPr>
            </w:pPr>
            <w:r w:rsidRPr="00EB4FEF">
              <w:rPr>
                <w:bCs/>
                <w:iCs/>
                <w:sz w:val="18"/>
                <w:szCs w:val="18"/>
              </w:rPr>
              <w:t>-</w:t>
            </w:r>
          </w:p>
        </w:tc>
        <w:tc>
          <w:tcPr>
            <w:tcW w:w="725" w:type="pct"/>
            <w:shd w:val="clear" w:color="auto" w:fill="auto"/>
            <w:vAlign w:val="center"/>
          </w:tcPr>
          <w:p w14:paraId="65531918"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3FF6950C" w14:textId="77777777" w:rsidR="00B16411" w:rsidRPr="00EB4FEF" w:rsidRDefault="00B16411" w:rsidP="004F3F42">
            <w:pPr>
              <w:jc w:val="center"/>
              <w:rPr>
                <w:bCs/>
                <w:iCs/>
                <w:sz w:val="18"/>
                <w:szCs w:val="18"/>
              </w:rPr>
            </w:pPr>
            <w:r w:rsidRPr="00EB4FEF">
              <w:rPr>
                <w:bCs/>
                <w:iCs/>
                <w:sz w:val="18"/>
                <w:szCs w:val="18"/>
              </w:rPr>
              <w:t>3</w:t>
            </w:r>
          </w:p>
        </w:tc>
        <w:tc>
          <w:tcPr>
            <w:tcW w:w="652" w:type="pct"/>
            <w:shd w:val="clear" w:color="auto" w:fill="auto"/>
            <w:vAlign w:val="center"/>
          </w:tcPr>
          <w:p w14:paraId="71C0B357" w14:textId="77777777" w:rsidR="00B16411" w:rsidRPr="00EB4FEF" w:rsidRDefault="00B16411" w:rsidP="004F3F42">
            <w:pPr>
              <w:jc w:val="center"/>
              <w:rPr>
                <w:bCs/>
                <w:iCs/>
                <w:sz w:val="18"/>
                <w:szCs w:val="18"/>
              </w:rPr>
            </w:pPr>
          </w:p>
        </w:tc>
      </w:tr>
      <w:tr w:rsidR="00B16411" w:rsidRPr="00EB4FEF" w14:paraId="5100F33A" w14:textId="77777777" w:rsidTr="00AB3B82">
        <w:trPr>
          <w:jc w:val="center"/>
        </w:trPr>
        <w:tc>
          <w:tcPr>
            <w:tcW w:w="1522" w:type="pct"/>
            <w:vAlign w:val="center"/>
          </w:tcPr>
          <w:p w14:paraId="706AFDF7" w14:textId="77777777" w:rsidR="00B16411" w:rsidRPr="00EB4FEF" w:rsidRDefault="00B16411" w:rsidP="00863B53">
            <w:pPr>
              <w:rPr>
                <w:bCs/>
                <w:iCs/>
                <w:color w:val="000000"/>
                <w:sz w:val="18"/>
                <w:szCs w:val="18"/>
              </w:rPr>
            </w:pPr>
            <w:r w:rsidRPr="00EB4FEF">
              <w:rPr>
                <w:bCs/>
                <w:iCs/>
                <w:color w:val="000000"/>
                <w:sz w:val="18"/>
                <w:szCs w:val="18"/>
              </w:rPr>
              <w:t>БЪЛГАРСКА ХРИСТИЯНСКА БАПТИСТКА ЦЪРКВА</w:t>
            </w:r>
          </w:p>
        </w:tc>
        <w:tc>
          <w:tcPr>
            <w:tcW w:w="725" w:type="pct"/>
            <w:shd w:val="clear" w:color="auto" w:fill="auto"/>
            <w:vAlign w:val="center"/>
          </w:tcPr>
          <w:p w14:paraId="539DD1BC"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6883ED70" w14:textId="77777777" w:rsidR="00B16411" w:rsidRPr="00EB4FEF" w:rsidRDefault="00B16411" w:rsidP="004F3F42">
            <w:pPr>
              <w:jc w:val="center"/>
              <w:rPr>
                <w:bCs/>
                <w:iCs/>
                <w:sz w:val="18"/>
                <w:szCs w:val="18"/>
              </w:rPr>
            </w:pPr>
            <w:r w:rsidRPr="00EB4FEF">
              <w:rPr>
                <w:bCs/>
                <w:iCs/>
                <w:sz w:val="18"/>
                <w:szCs w:val="18"/>
              </w:rPr>
              <w:t>-</w:t>
            </w:r>
          </w:p>
        </w:tc>
        <w:tc>
          <w:tcPr>
            <w:tcW w:w="725" w:type="pct"/>
            <w:shd w:val="clear" w:color="auto" w:fill="auto"/>
            <w:vAlign w:val="center"/>
          </w:tcPr>
          <w:p w14:paraId="2838E138"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2924DAAA" w14:textId="77777777" w:rsidR="00B16411" w:rsidRPr="00EB4FEF" w:rsidRDefault="00B16411" w:rsidP="004F3F42">
            <w:pPr>
              <w:jc w:val="center"/>
              <w:rPr>
                <w:bCs/>
                <w:iCs/>
                <w:sz w:val="18"/>
                <w:szCs w:val="18"/>
              </w:rPr>
            </w:pPr>
            <w:r w:rsidRPr="00EB4FEF">
              <w:rPr>
                <w:bCs/>
                <w:iCs/>
                <w:sz w:val="18"/>
                <w:szCs w:val="18"/>
              </w:rPr>
              <w:t>2</w:t>
            </w:r>
          </w:p>
        </w:tc>
        <w:tc>
          <w:tcPr>
            <w:tcW w:w="652" w:type="pct"/>
            <w:shd w:val="clear" w:color="auto" w:fill="auto"/>
            <w:vAlign w:val="center"/>
          </w:tcPr>
          <w:p w14:paraId="05E583E1" w14:textId="77777777" w:rsidR="00B16411" w:rsidRPr="00EB4FEF" w:rsidRDefault="00B16411" w:rsidP="004F3F42">
            <w:pPr>
              <w:jc w:val="center"/>
              <w:rPr>
                <w:bCs/>
                <w:iCs/>
                <w:sz w:val="18"/>
                <w:szCs w:val="18"/>
              </w:rPr>
            </w:pPr>
          </w:p>
        </w:tc>
      </w:tr>
      <w:tr w:rsidR="00B16411" w:rsidRPr="00EB4FEF" w14:paraId="14F53C4D" w14:textId="77777777" w:rsidTr="00AB3B82">
        <w:trPr>
          <w:jc w:val="center"/>
        </w:trPr>
        <w:tc>
          <w:tcPr>
            <w:tcW w:w="1522" w:type="pct"/>
            <w:vAlign w:val="center"/>
          </w:tcPr>
          <w:p w14:paraId="2C7FE385" w14:textId="77777777" w:rsidR="00B16411" w:rsidRPr="00EB4FEF" w:rsidRDefault="00B16411" w:rsidP="00863B53">
            <w:pPr>
              <w:rPr>
                <w:bCs/>
                <w:iCs/>
                <w:color w:val="000000"/>
                <w:sz w:val="18"/>
                <w:szCs w:val="18"/>
              </w:rPr>
            </w:pPr>
            <w:r w:rsidRPr="00EB4FEF">
              <w:rPr>
                <w:bCs/>
                <w:iCs/>
                <w:color w:val="000000"/>
                <w:sz w:val="18"/>
                <w:szCs w:val="18"/>
              </w:rPr>
              <w:t>ЕВАНГЕЛСКА ЦЪРКВА ЕМАНУИЛ</w:t>
            </w:r>
          </w:p>
        </w:tc>
        <w:tc>
          <w:tcPr>
            <w:tcW w:w="725" w:type="pct"/>
            <w:shd w:val="clear" w:color="auto" w:fill="auto"/>
            <w:vAlign w:val="center"/>
          </w:tcPr>
          <w:p w14:paraId="41482AED"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08A39620" w14:textId="77777777" w:rsidR="00B16411" w:rsidRPr="00EB4FEF" w:rsidRDefault="00B16411" w:rsidP="004F3F42">
            <w:pPr>
              <w:jc w:val="center"/>
              <w:rPr>
                <w:bCs/>
                <w:iCs/>
                <w:sz w:val="18"/>
                <w:szCs w:val="18"/>
              </w:rPr>
            </w:pPr>
            <w:r w:rsidRPr="00EB4FEF">
              <w:rPr>
                <w:bCs/>
                <w:iCs/>
                <w:sz w:val="18"/>
                <w:szCs w:val="18"/>
              </w:rPr>
              <w:t>-</w:t>
            </w:r>
          </w:p>
        </w:tc>
        <w:tc>
          <w:tcPr>
            <w:tcW w:w="725" w:type="pct"/>
            <w:shd w:val="clear" w:color="auto" w:fill="auto"/>
            <w:vAlign w:val="center"/>
          </w:tcPr>
          <w:p w14:paraId="06C2FCCE"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016920A3" w14:textId="77777777" w:rsidR="00B16411" w:rsidRPr="00EB4FEF" w:rsidRDefault="00B16411" w:rsidP="004F3F42">
            <w:pPr>
              <w:jc w:val="center"/>
              <w:rPr>
                <w:bCs/>
                <w:iCs/>
                <w:sz w:val="18"/>
                <w:szCs w:val="18"/>
              </w:rPr>
            </w:pPr>
            <w:r w:rsidRPr="00EB4FEF">
              <w:rPr>
                <w:bCs/>
                <w:iCs/>
                <w:sz w:val="18"/>
                <w:szCs w:val="18"/>
              </w:rPr>
              <w:t>2</w:t>
            </w:r>
          </w:p>
        </w:tc>
        <w:tc>
          <w:tcPr>
            <w:tcW w:w="652" w:type="pct"/>
            <w:shd w:val="clear" w:color="auto" w:fill="auto"/>
            <w:vAlign w:val="center"/>
          </w:tcPr>
          <w:p w14:paraId="3915D0BA" w14:textId="77777777" w:rsidR="00B16411" w:rsidRPr="00EB4FEF" w:rsidRDefault="00B16411" w:rsidP="004F3F42">
            <w:pPr>
              <w:jc w:val="center"/>
              <w:rPr>
                <w:bCs/>
                <w:iCs/>
                <w:sz w:val="18"/>
                <w:szCs w:val="18"/>
              </w:rPr>
            </w:pPr>
          </w:p>
        </w:tc>
      </w:tr>
      <w:tr w:rsidR="00B16411" w:rsidRPr="00EB4FEF" w14:paraId="772CA5FF" w14:textId="77777777" w:rsidTr="00AB3B82">
        <w:trPr>
          <w:jc w:val="center"/>
        </w:trPr>
        <w:tc>
          <w:tcPr>
            <w:tcW w:w="1522" w:type="pct"/>
            <w:vAlign w:val="center"/>
          </w:tcPr>
          <w:p w14:paraId="1F1714EA" w14:textId="77777777" w:rsidR="00B16411" w:rsidRPr="00EB4FEF" w:rsidRDefault="00B16411" w:rsidP="00863B53">
            <w:pPr>
              <w:rPr>
                <w:bCs/>
                <w:iCs/>
                <w:color w:val="000000"/>
                <w:sz w:val="18"/>
                <w:szCs w:val="18"/>
              </w:rPr>
            </w:pPr>
            <w:r w:rsidRPr="00EB4FEF">
              <w:rPr>
                <w:bCs/>
                <w:iCs/>
                <w:color w:val="000000"/>
                <w:sz w:val="18"/>
                <w:szCs w:val="18"/>
              </w:rPr>
              <w:t>ЕВАНГЕЛСКА ЦЪРКВА ПЪТ КЪМ СВОБОДА</w:t>
            </w:r>
          </w:p>
        </w:tc>
        <w:tc>
          <w:tcPr>
            <w:tcW w:w="725" w:type="pct"/>
            <w:shd w:val="clear" w:color="auto" w:fill="auto"/>
            <w:vAlign w:val="center"/>
          </w:tcPr>
          <w:p w14:paraId="538A1EA9"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74C7286F" w14:textId="77777777" w:rsidR="00B16411" w:rsidRPr="00EB4FEF" w:rsidRDefault="00B16411" w:rsidP="004F3F42">
            <w:pPr>
              <w:jc w:val="center"/>
              <w:rPr>
                <w:bCs/>
                <w:iCs/>
                <w:sz w:val="18"/>
                <w:szCs w:val="18"/>
              </w:rPr>
            </w:pPr>
            <w:r w:rsidRPr="00EB4FEF">
              <w:rPr>
                <w:bCs/>
                <w:iCs/>
                <w:sz w:val="18"/>
                <w:szCs w:val="18"/>
              </w:rPr>
              <w:t>-</w:t>
            </w:r>
          </w:p>
        </w:tc>
        <w:tc>
          <w:tcPr>
            <w:tcW w:w="725" w:type="pct"/>
            <w:shd w:val="clear" w:color="auto" w:fill="auto"/>
            <w:vAlign w:val="center"/>
          </w:tcPr>
          <w:p w14:paraId="176731DF"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6CF1021D" w14:textId="77777777" w:rsidR="00B16411" w:rsidRPr="00EB4FEF" w:rsidRDefault="00B16411" w:rsidP="004F3F42">
            <w:pPr>
              <w:jc w:val="center"/>
              <w:rPr>
                <w:bCs/>
                <w:iCs/>
                <w:sz w:val="18"/>
                <w:szCs w:val="18"/>
              </w:rPr>
            </w:pPr>
            <w:r w:rsidRPr="00EB4FEF">
              <w:rPr>
                <w:bCs/>
                <w:iCs/>
                <w:sz w:val="18"/>
                <w:szCs w:val="18"/>
              </w:rPr>
              <w:t>1</w:t>
            </w:r>
          </w:p>
        </w:tc>
        <w:tc>
          <w:tcPr>
            <w:tcW w:w="652" w:type="pct"/>
            <w:shd w:val="clear" w:color="auto" w:fill="auto"/>
            <w:vAlign w:val="center"/>
          </w:tcPr>
          <w:p w14:paraId="74EB0506" w14:textId="77777777" w:rsidR="00B16411" w:rsidRPr="00EB4FEF" w:rsidRDefault="00B16411" w:rsidP="004F3F42">
            <w:pPr>
              <w:jc w:val="center"/>
              <w:rPr>
                <w:bCs/>
                <w:iCs/>
                <w:sz w:val="18"/>
                <w:szCs w:val="18"/>
              </w:rPr>
            </w:pPr>
          </w:p>
        </w:tc>
      </w:tr>
      <w:tr w:rsidR="00B16411" w:rsidRPr="00EB4FEF" w14:paraId="0D78C36D" w14:textId="77777777" w:rsidTr="00AB3B82">
        <w:trPr>
          <w:jc w:val="center"/>
        </w:trPr>
        <w:tc>
          <w:tcPr>
            <w:tcW w:w="1522" w:type="pct"/>
            <w:vAlign w:val="center"/>
          </w:tcPr>
          <w:p w14:paraId="06E91A5B" w14:textId="77777777" w:rsidR="00B16411" w:rsidRPr="00EB4FEF" w:rsidRDefault="00B16411" w:rsidP="00863B53">
            <w:pPr>
              <w:rPr>
                <w:bCs/>
                <w:iCs/>
                <w:color w:val="000000"/>
                <w:sz w:val="18"/>
                <w:szCs w:val="18"/>
              </w:rPr>
            </w:pPr>
            <w:r w:rsidRPr="00EB4FEF">
              <w:rPr>
                <w:bCs/>
                <w:iCs/>
                <w:color w:val="000000"/>
                <w:sz w:val="18"/>
                <w:szCs w:val="18"/>
              </w:rPr>
              <w:t>ЕВАНГЕЛСКА ЦЪРКВА ОГНЕНА ВЯРА</w:t>
            </w:r>
          </w:p>
        </w:tc>
        <w:tc>
          <w:tcPr>
            <w:tcW w:w="725" w:type="pct"/>
            <w:shd w:val="clear" w:color="auto" w:fill="auto"/>
            <w:vAlign w:val="center"/>
          </w:tcPr>
          <w:p w14:paraId="37A4CC22"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4837FB3C" w14:textId="77777777" w:rsidR="00B16411" w:rsidRPr="00EB4FEF" w:rsidRDefault="00B16411" w:rsidP="004F3F42">
            <w:pPr>
              <w:jc w:val="center"/>
              <w:rPr>
                <w:bCs/>
                <w:iCs/>
                <w:sz w:val="18"/>
                <w:szCs w:val="18"/>
              </w:rPr>
            </w:pPr>
            <w:r w:rsidRPr="00EB4FEF">
              <w:rPr>
                <w:bCs/>
                <w:iCs/>
                <w:sz w:val="18"/>
                <w:szCs w:val="18"/>
              </w:rPr>
              <w:t>1</w:t>
            </w:r>
          </w:p>
        </w:tc>
        <w:tc>
          <w:tcPr>
            <w:tcW w:w="725" w:type="pct"/>
            <w:shd w:val="clear" w:color="auto" w:fill="auto"/>
            <w:vAlign w:val="center"/>
          </w:tcPr>
          <w:p w14:paraId="26AE0032"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7C4A3801"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46538742" w14:textId="77777777" w:rsidR="00B16411" w:rsidRPr="00EB4FEF" w:rsidRDefault="00B16411" w:rsidP="004F3F42">
            <w:pPr>
              <w:jc w:val="center"/>
              <w:rPr>
                <w:bCs/>
                <w:iCs/>
                <w:sz w:val="18"/>
                <w:szCs w:val="18"/>
              </w:rPr>
            </w:pPr>
          </w:p>
        </w:tc>
      </w:tr>
      <w:tr w:rsidR="00B16411" w:rsidRPr="00EB4FEF" w14:paraId="09D5AAAA" w14:textId="77777777" w:rsidTr="00AB3B82">
        <w:trPr>
          <w:jc w:val="center"/>
        </w:trPr>
        <w:tc>
          <w:tcPr>
            <w:tcW w:w="1522" w:type="pct"/>
            <w:vAlign w:val="center"/>
          </w:tcPr>
          <w:p w14:paraId="6CEDD4E8" w14:textId="77777777" w:rsidR="00B16411" w:rsidRPr="00EB4FEF" w:rsidRDefault="00B16411" w:rsidP="00863B53">
            <w:pPr>
              <w:rPr>
                <w:bCs/>
                <w:iCs/>
                <w:sz w:val="18"/>
                <w:szCs w:val="18"/>
              </w:rPr>
            </w:pPr>
            <w:r w:rsidRPr="00EB4FEF">
              <w:rPr>
                <w:bCs/>
                <w:iCs/>
                <w:sz w:val="18"/>
                <w:szCs w:val="18"/>
              </w:rPr>
              <w:t>КАТОЛИЧЕСКА ЦЪРКВА В БЪЛГАРИЯ</w:t>
            </w:r>
          </w:p>
        </w:tc>
        <w:tc>
          <w:tcPr>
            <w:tcW w:w="725" w:type="pct"/>
            <w:shd w:val="clear" w:color="auto" w:fill="auto"/>
            <w:vAlign w:val="center"/>
          </w:tcPr>
          <w:p w14:paraId="7B0DBDD7"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5938E128" w14:textId="77777777" w:rsidR="00B16411" w:rsidRPr="00EB4FEF" w:rsidRDefault="00B16411" w:rsidP="004F3F42">
            <w:pPr>
              <w:jc w:val="center"/>
              <w:rPr>
                <w:bCs/>
                <w:iCs/>
                <w:sz w:val="18"/>
                <w:szCs w:val="18"/>
              </w:rPr>
            </w:pPr>
            <w:r w:rsidRPr="00EB4FEF">
              <w:rPr>
                <w:bCs/>
                <w:iCs/>
                <w:sz w:val="18"/>
                <w:szCs w:val="18"/>
              </w:rPr>
              <w:t>2</w:t>
            </w:r>
          </w:p>
        </w:tc>
        <w:tc>
          <w:tcPr>
            <w:tcW w:w="725" w:type="pct"/>
            <w:shd w:val="clear" w:color="auto" w:fill="auto"/>
            <w:vAlign w:val="center"/>
          </w:tcPr>
          <w:p w14:paraId="7622A5B4"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2A3BD2FE" w14:textId="77777777" w:rsidR="00B16411" w:rsidRPr="00EB4FEF" w:rsidRDefault="00B16411" w:rsidP="004F3F42">
            <w:pPr>
              <w:jc w:val="center"/>
              <w:rPr>
                <w:bCs/>
                <w:iCs/>
                <w:sz w:val="18"/>
                <w:szCs w:val="18"/>
              </w:rPr>
            </w:pPr>
            <w:r w:rsidRPr="00EB4FEF">
              <w:rPr>
                <w:bCs/>
                <w:iCs/>
                <w:sz w:val="18"/>
                <w:szCs w:val="18"/>
              </w:rPr>
              <w:t>20</w:t>
            </w:r>
          </w:p>
        </w:tc>
        <w:tc>
          <w:tcPr>
            <w:tcW w:w="652" w:type="pct"/>
            <w:shd w:val="clear" w:color="auto" w:fill="auto"/>
            <w:vAlign w:val="center"/>
          </w:tcPr>
          <w:p w14:paraId="541A23A1" w14:textId="77777777" w:rsidR="00B16411" w:rsidRPr="00EB4FEF" w:rsidRDefault="00B16411" w:rsidP="004F3F42">
            <w:pPr>
              <w:jc w:val="center"/>
              <w:rPr>
                <w:bCs/>
                <w:iCs/>
                <w:sz w:val="18"/>
                <w:szCs w:val="18"/>
              </w:rPr>
            </w:pPr>
            <w:r w:rsidRPr="00EB4FEF">
              <w:rPr>
                <w:bCs/>
                <w:iCs/>
                <w:sz w:val="18"/>
                <w:szCs w:val="18"/>
              </w:rPr>
              <w:t>2</w:t>
            </w:r>
          </w:p>
        </w:tc>
      </w:tr>
      <w:tr w:rsidR="00B16411" w:rsidRPr="00EB4FEF" w14:paraId="1150413D" w14:textId="77777777" w:rsidTr="00AB3B82">
        <w:trPr>
          <w:jc w:val="center"/>
        </w:trPr>
        <w:tc>
          <w:tcPr>
            <w:tcW w:w="1522" w:type="pct"/>
            <w:vAlign w:val="center"/>
          </w:tcPr>
          <w:p w14:paraId="6500E0B2" w14:textId="25E00BB1" w:rsidR="00A731B7" w:rsidRPr="00EB4FEF" w:rsidRDefault="00B16411" w:rsidP="00863B53">
            <w:pPr>
              <w:rPr>
                <w:bCs/>
                <w:iCs/>
                <w:sz w:val="18"/>
                <w:szCs w:val="18"/>
              </w:rPr>
            </w:pPr>
            <w:r w:rsidRPr="00EB4FEF">
              <w:rPr>
                <w:bCs/>
                <w:iCs/>
                <w:sz w:val="18"/>
                <w:szCs w:val="18"/>
              </w:rPr>
              <w:t>МИСИЯ ДОБРА НОВИНА</w:t>
            </w:r>
          </w:p>
        </w:tc>
        <w:tc>
          <w:tcPr>
            <w:tcW w:w="725" w:type="pct"/>
            <w:shd w:val="clear" w:color="auto" w:fill="auto"/>
            <w:vAlign w:val="center"/>
          </w:tcPr>
          <w:p w14:paraId="6DB8FB8E"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6C977031" w14:textId="77777777" w:rsidR="00B16411" w:rsidRPr="00EB4FEF" w:rsidRDefault="00B16411" w:rsidP="004F3F42">
            <w:pPr>
              <w:jc w:val="center"/>
              <w:rPr>
                <w:bCs/>
                <w:iCs/>
                <w:sz w:val="18"/>
                <w:szCs w:val="18"/>
              </w:rPr>
            </w:pPr>
            <w:r w:rsidRPr="00EB4FEF">
              <w:rPr>
                <w:bCs/>
                <w:iCs/>
                <w:sz w:val="18"/>
                <w:szCs w:val="18"/>
              </w:rPr>
              <w:t>2</w:t>
            </w:r>
          </w:p>
        </w:tc>
        <w:tc>
          <w:tcPr>
            <w:tcW w:w="725" w:type="pct"/>
            <w:shd w:val="clear" w:color="auto" w:fill="auto"/>
            <w:vAlign w:val="center"/>
          </w:tcPr>
          <w:p w14:paraId="08B80084"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15F86D0C" w14:textId="77777777" w:rsidR="00B16411" w:rsidRPr="00EB4FEF" w:rsidRDefault="00B16411" w:rsidP="004F3F42">
            <w:pPr>
              <w:jc w:val="center"/>
              <w:rPr>
                <w:bCs/>
                <w:iCs/>
                <w:sz w:val="18"/>
                <w:szCs w:val="18"/>
              </w:rPr>
            </w:pPr>
            <w:r w:rsidRPr="00EB4FEF">
              <w:rPr>
                <w:bCs/>
                <w:iCs/>
                <w:sz w:val="18"/>
                <w:szCs w:val="18"/>
              </w:rPr>
              <w:t>6</w:t>
            </w:r>
          </w:p>
        </w:tc>
        <w:tc>
          <w:tcPr>
            <w:tcW w:w="652" w:type="pct"/>
            <w:shd w:val="clear" w:color="auto" w:fill="auto"/>
            <w:vAlign w:val="center"/>
          </w:tcPr>
          <w:p w14:paraId="767C1576" w14:textId="77777777" w:rsidR="00B16411" w:rsidRPr="00EB4FEF" w:rsidRDefault="00B16411" w:rsidP="004F3F42">
            <w:pPr>
              <w:jc w:val="center"/>
              <w:rPr>
                <w:bCs/>
                <w:iCs/>
                <w:sz w:val="18"/>
                <w:szCs w:val="18"/>
              </w:rPr>
            </w:pPr>
          </w:p>
        </w:tc>
      </w:tr>
      <w:tr w:rsidR="00B16411" w:rsidRPr="00EB4FEF" w14:paraId="66314E43" w14:textId="77777777" w:rsidTr="00AB3B82">
        <w:trPr>
          <w:jc w:val="center"/>
        </w:trPr>
        <w:tc>
          <w:tcPr>
            <w:tcW w:w="1522" w:type="pct"/>
            <w:vAlign w:val="center"/>
          </w:tcPr>
          <w:p w14:paraId="4EE36DE4" w14:textId="77777777" w:rsidR="00B16411" w:rsidRPr="00EB4FEF" w:rsidRDefault="00B16411" w:rsidP="00863B53">
            <w:pPr>
              <w:rPr>
                <w:bCs/>
                <w:iCs/>
                <w:color w:val="000000"/>
                <w:sz w:val="18"/>
                <w:szCs w:val="18"/>
              </w:rPr>
            </w:pPr>
            <w:r w:rsidRPr="00EB4FEF">
              <w:rPr>
                <w:bCs/>
                <w:iCs/>
                <w:color w:val="000000"/>
                <w:sz w:val="18"/>
                <w:szCs w:val="18"/>
              </w:rPr>
              <w:t>МОЛИТВЕНА БАПТИСТКА ЦЪРКВА</w:t>
            </w:r>
          </w:p>
        </w:tc>
        <w:tc>
          <w:tcPr>
            <w:tcW w:w="725" w:type="pct"/>
            <w:shd w:val="clear" w:color="auto" w:fill="auto"/>
            <w:vAlign w:val="center"/>
          </w:tcPr>
          <w:p w14:paraId="05FBAE88"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23633DB2" w14:textId="77777777" w:rsidR="00B16411" w:rsidRPr="00EB4FEF" w:rsidRDefault="00B16411" w:rsidP="004F3F42">
            <w:pPr>
              <w:jc w:val="center"/>
              <w:rPr>
                <w:bCs/>
                <w:iCs/>
                <w:sz w:val="18"/>
                <w:szCs w:val="18"/>
                <w:lang w:val="el-GR"/>
              </w:rPr>
            </w:pPr>
          </w:p>
        </w:tc>
        <w:tc>
          <w:tcPr>
            <w:tcW w:w="725" w:type="pct"/>
            <w:shd w:val="clear" w:color="auto" w:fill="auto"/>
            <w:vAlign w:val="center"/>
          </w:tcPr>
          <w:p w14:paraId="3142A889"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6548658F" w14:textId="77777777" w:rsidR="00B16411" w:rsidRPr="00EB4FEF" w:rsidRDefault="00B16411" w:rsidP="004F3F42">
            <w:pPr>
              <w:jc w:val="center"/>
              <w:rPr>
                <w:bCs/>
                <w:iCs/>
                <w:sz w:val="18"/>
                <w:szCs w:val="18"/>
              </w:rPr>
            </w:pPr>
            <w:r w:rsidRPr="00EB4FEF">
              <w:rPr>
                <w:bCs/>
                <w:iCs/>
                <w:sz w:val="18"/>
                <w:szCs w:val="18"/>
              </w:rPr>
              <w:t>8</w:t>
            </w:r>
          </w:p>
        </w:tc>
        <w:tc>
          <w:tcPr>
            <w:tcW w:w="652" w:type="pct"/>
            <w:shd w:val="clear" w:color="auto" w:fill="auto"/>
            <w:vAlign w:val="center"/>
          </w:tcPr>
          <w:p w14:paraId="256D1E54" w14:textId="77777777" w:rsidR="00B16411" w:rsidRPr="00EB4FEF" w:rsidRDefault="00B16411" w:rsidP="004F3F42">
            <w:pPr>
              <w:jc w:val="center"/>
              <w:rPr>
                <w:bCs/>
                <w:iCs/>
                <w:sz w:val="18"/>
                <w:szCs w:val="18"/>
              </w:rPr>
            </w:pPr>
          </w:p>
        </w:tc>
      </w:tr>
      <w:tr w:rsidR="00B16411" w:rsidRPr="00EB4FEF" w14:paraId="79CBCE36" w14:textId="77777777" w:rsidTr="00AB3B82">
        <w:trPr>
          <w:jc w:val="center"/>
        </w:trPr>
        <w:tc>
          <w:tcPr>
            <w:tcW w:w="1522" w:type="pct"/>
            <w:vAlign w:val="center"/>
          </w:tcPr>
          <w:p w14:paraId="0C9440B3" w14:textId="77777777" w:rsidR="00B16411" w:rsidRPr="00EB4FEF" w:rsidRDefault="00B16411" w:rsidP="00863B53">
            <w:pPr>
              <w:rPr>
                <w:bCs/>
                <w:iCs/>
                <w:sz w:val="18"/>
                <w:szCs w:val="18"/>
              </w:rPr>
            </w:pPr>
            <w:r w:rsidRPr="00EB4FEF">
              <w:rPr>
                <w:bCs/>
                <w:iCs/>
                <w:sz w:val="18"/>
                <w:szCs w:val="18"/>
              </w:rPr>
              <w:t>МЮСЮЛМАНСКО ИЗПОВЕДАНИЕ</w:t>
            </w:r>
          </w:p>
        </w:tc>
        <w:tc>
          <w:tcPr>
            <w:tcW w:w="725" w:type="pct"/>
            <w:shd w:val="clear" w:color="auto" w:fill="auto"/>
            <w:vAlign w:val="center"/>
          </w:tcPr>
          <w:p w14:paraId="2E82DD22"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6D6A2D7A" w14:textId="77777777" w:rsidR="00B16411" w:rsidRPr="00EB4FEF" w:rsidRDefault="00B16411" w:rsidP="004F3F42">
            <w:pPr>
              <w:jc w:val="center"/>
              <w:rPr>
                <w:bCs/>
                <w:iCs/>
                <w:sz w:val="18"/>
                <w:szCs w:val="18"/>
              </w:rPr>
            </w:pPr>
            <w:r w:rsidRPr="00EB4FEF">
              <w:rPr>
                <w:bCs/>
                <w:iCs/>
                <w:sz w:val="18"/>
                <w:szCs w:val="18"/>
              </w:rPr>
              <w:t>16</w:t>
            </w:r>
          </w:p>
        </w:tc>
        <w:tc>
          <w:tcPr>
            <w:tcW w:w="725" w:type="pct"/>
            <w:shd w:val="clear" w:color="auto" w:fill="auto"/>
            <w:vAlign w:val="center"/>
          </w:tcPr>
          <w:p w14:paraId="1D5F9024"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7629816D" w14:textId="77777777" w:rsidR="00B16411" w:rsidRPr="00EB4FEF" w:rsidRDefault="00B16411" w:rsidP="004F3F42">
            <w:pPr>
              <w:jc w:val="center"/>
              <w:rPr>
                <w:bCs/>
                <w:iCs/>
                <w:sz w:val="18"/>
                <w:szCs w:val="18"/>
              </w:rPr>
            </w:pPr>
            <w:r w:rsidRPr="00EB4FEF">
              <w:rPr>
                <w:bCs/>
                <w:iCs/>
                <w:sz w:val="18"/>
                <w:szCs w:val="18"/>
              </w:rPr>
              <w:t>40</w:t>
            </w:r>
          </w:p>
        </w:tc>
        <w:tc>
          <w:tcPr>
            <w:tcW w:w="652" w:type="pct"/>
            <w:shd w:val="clear" w:color="auto" w:fill="auto"/>
            <w:vAlign w:val="center"/>
          </w:tcPr>
          <w:p w14:paraId="31573653" w14:textId="77777777" w:rsidR="00B16411" w:rsidRPr="00EB4FEF" w:rsidRDefault="00B16411" w:rsidP="004F3F42">
            <w:pPr>
              <w:jc w:val="center"/>
              <w:rPr>
                <w:bCs/>
                <w:iCs/>
                <w:sz w:val="18"/>
                <w:szCs w:val="18"/>
              </w:rPr>
            </w:pPr>
          </w:p>
        </w:tc>
      </w:tr>
      <w:tr w:rsidR="00B16411" w:rsidRPr="00EB4FEF" w14:paraId="24FDBF82" w14:textId="77777777" w:rsidTr="00AB3B82">
        <w:trPr>
          <w:jc w:val="center"/>
        </w:trPr>
        <w:tc>
          <w:tcPr>
            <w:tcW w:w="1522" w:type="pct"/>
            <w:vAlign w:val="center"/>
          </w:tcPr>
          <w:p w14:paraId="1AB2F970" w14:textId="77777777" w:rsidR="00B16411" w:rsidRPr="00EB4FEF" w:rsidRDefault="00B16411" w:rsidP="00863B53">
            <w:pPr>
              <w:rPr>
                <w:bCs/>
                <w:iCs/>
                <w:color w:val="000000"/>
                <w:sz w:val="18"/>
                <w:szCs w:val="18"/>
              </w:rPr>
            </w:pPr>
            <w:r w:rsidRPr="00EB4FEF">
              <w:rPr>
                <w:bCs/>
                <w:iCs/>
                <w:color w:val="000000"/>
                <w:sz w:val="18"/>
                <w:szCs w:val="18"/>
              </w:rPr>
              <w:t>НАЦИОНАЛЕН АЛИАНС „ОБЕДИНЕНИ БОЖИИ ЦЪРКВИ“</w:t>
            </w:r>
          </w:p>
        </w:tc>
        <w:tc>
          <w:tcPr>
            <w:tcW w:w="725" w:type="pct"/>
            <w:shd w:val="clear" w:color="auto" w:fill="auto"/>
            <w:vAlign w:val="center"/>
          </w:tcPr>
          <w:p w14:paraId="5F17EF10"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343B2D8D" w14:textId="77777777" w:rsidR="00B16411" w:rsidRPr="00EB4FEF" w:rsidRDefault="00B16411" w:rsidP="004F3F42">
            <w:pPr>
              <w:jc w:val="center"/>
              <w:rPr>
                <w:bCs/>
                <w:iCs/>
                <w:sz w:val="18"/>
                <w:szCs w:val="18"/>
              </w:rPr>
            </w:pPr>
            <w:r w:rsidRPr="00EB4FEF">
              <w:rPr>
                <w:bCs/>
                <w:iCs/>
                <w:sz w:val="18"/>
                <w:szCs w:val="18"/>
              </w:rPr>
              <w:t>2</w:t>
            </w:r>
          </w:p>
        </w:tc>
        <w:tc>
          <w:tcPr>
            <w:tcW w:w="725" w:type="pct"/>
            <w:shd w:val="clear" w:color="auto" w:fill="auto"/>
            <w:vAlign w:val="center"/>
          </w:tcPr>
          <w:p w14:paraId="5D4F53E9"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4752FBBE" w14:textId="77777777" w:rsidR="00B16411" w:rsidRPr="00EB4FEF" w:rsidRDefault="00B16411" w:rsidP="004F3F42">
            <w:pPr>
              <w:jc w:val="center"/>
              <w:rPr>
                <w:bCs/>
                <w:iCs/>
                <w:sz w:val="18"/>
                <w:szCs w:val="18"/>
              </w:rPr>
            </w:pPr>
            <w:r w:rsidRPr="00EB4FEF">
              <w:rPr>
                <w:bCs/>
                <w:iCs/>
                <w:sz w:val="18"/>
                <w:szCs w:val="18"/>
              </w:rPr>
              <w:t>13</w:t>
            </w:r>
          </w:p>
        </w:tc>
        <w:tc>
          <w:tcPr>
            <w:tcW w:w="652" w:type="pct"/>
            <w:shd w:val="clear" w:color="auto" w:fill="auto"/>
            <w:vAlign w:val="center"/>
          </w:tcPr>
          <w:p w14:paraId="559089A7" w14:textId="77777777" w:rsidR="00B16411" w:rsidRPr="00EB4FEF" w:rsidRDefault="00B16411" w:rsidP="004F3F42">
            <w:pPr>
              <w:jc w:val="center"/>
              <w:rPr>
                <w:bCs/>
                <w:iCs/>
                <w:sz w:val="18"/>
                <w:szCs w:val="18"/>
              </w:rPr>
            </w:pPr>
          </w:p>
        </w:tc>
      </w:tr>
      <w:tr w:rsidR="00B16411" w:rsidRPr="00EB4FEF" w14:paraId="7A142341" w14:textId="77777777" w:rsidTr="00AB3B82">
        <w:trPr>
          <w:jc w:val="center"/>
        </w:trPr>
        <w:tc>
          <w:tcPr>
            <w:tcW w:w="1522" w:type="pct"/>
            <w:vAlign w:val="center"/>
          </w:tcPr>
          <w:p w14:paraId="35A8B106" w14:textId="77777777" w:rsidR="00B16411" w:rsidRPr="00EB4FEF" w:rsidRDefault="00B16411" w:rsidP="00863B53">
            <w:pPr>
              <w:rPr>
                <w:bCs/>
                <w:iCs/>
                <w:sz w:val="18"/>
                <w:szCs w:val="18"/>
              </w:rPr>
            </w:pPr>
            <w:r w:rsidRPr="00EB4FEF">
              <w:rPr>
                <w:bCs/>
                <w:iCs/>
                <w:sz w:val="18"/>
                <w:szCs w:val="18"/>
              </w:rPr>
              <w:t>СВИДЕТЕЛИ НА ЙЕХОВА В БЪЛГАРИЯ</w:t>
            </w:r>
          </w:p>
        </w:tc>
        <w:tc>
          <w:tcPr>
            <w:tcW w:w="725" w:type="pct"/>
            <w:shd w:val="clear" w:color="auto" w:fill="auto"/>
            <w:vAlign w:val="center"/>
          </w:tcPr>
          <w:p w14:paraId="239C0202"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3305BD80" w14:textId="77777777" w:rsidR="00B16411" w:rsidRPr="00EB4FEF" w:rsidRDefault="00B16411" w:rsidP="004F3F42">
            <w:pPr>
              <w:jc w:val="center"/>
              <w:rPr>
                <w:bCs/>
                <w:iCs/>
                <w:sz w:val="18"/>
                <w:szCs w:val="18"/>
              </w:rPr>
            </w:pPr>
            <w:r w:rsidRPr="00EB4FEF">
              <w:rPr>
                <w:bCs/>
                <w:iCs/>
                <w:sz w:val="18"/>
                <w:szCs w:val="18"/>
              </w:rPr>
              <w:t>-</w:t>
            </w:r>
          </w:p>
        </w:tc>
        <w:tc>
          <w:tcPr>
            <w:tcW w:w="725" w:type="pct"/>
            <w:shd w:val="clear" w:color="auto" w:fill="auto"/>
            <w:vAlign w:val="center"/>
          </w:tcPr>
          <w:p w14:paraId="7E43A8DE"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04B256E5" w14:textId="77777777" w:rsidR="00B16411" w:rsidRPr="00EB4FEF" w:rsidRDefault="00B16411" w:rsidP="004F3F42">
            <w:pPr>
              <w:jc w:val="center"/>
              <w:rPr>
                <w:bCs/>
                <w:iCs/>
                <w:sz w:val="18"/>
                <w:szCs w:val="18"/>
              </w:rPr>
            </w:pPr>
            <w:r w:rsidRPr="00EB4FEF">
              <w:rPr>
                <w:bCs/>
                <w:iCs/>
                <w:sz w:val="18"/>
                <w:szCs w:val="18"/>
              </w:rPr>
              <w:t>6</w:t>
            </w:r>
          </w:p>
        </w:tc>
        <w:tc>
          <w:tcPr>
            <w:tcW w:w="652" w:type="pct"/>
            <w:shd w:val="clear" w:color="auto" w:fill="auto"/>
            <w:vAlign w:val="center"/>
          </w:tcPr>
          <w:p w14:paraId="48BC479D" w14:textId="77777777" w:rsidR="00B16411" w:rsidRPr="00EB4FEF" w:rsidRDefault="00B16411" w:rsidP="004F3F42">
            <w:pPr>
              <w:jc w:val="center"/>
              <w:rPr>
                <w:bCs/>
                <w:iCs/>
                <w:sz w:val="18"/>
                <w:szCs w:val="18"/>
              </w:rPr>
            </w:pPr>
          </w:p>
        </w:tc>
      </w:tr>
      <w:tr w:rsidR="00B16411" w:rsidRPr="00EB4FEF" w14:paraId="7E1E52E5" w14:textId="77777777" w:rsidTr="00AB3B82">
        <w:trPr>
          <w:jc w:val="center"/>
        </w:trPr>
        <w:tc>
          <w:tcPr>
            <w:tcW w:w="1522" w:type="pct"/>
            <w:vAlign w:val="center"/>
          </w:tcPr>
          <w:p w14:paraId="719970EB" w14:textId="77777777" w:rsidR="00B16411" w:rsidRPr="00EB4FEF" w:rsidRDefault="00B16411" w:rsidP="00863B53">
            <w:pPr>
              <w:rPr>
                <w:bCs/>
                <w:iCs/>
                <w:color w:val="000000"/>
                <w:sz w:val="18"/>
                <w:szCs w:val="18"/>
              </w:rPr>
            </w:pPr>
            <w:r w:rsidRPr="00EB4FEF">
              <w:rPr>
                <w:bCs/>
                <w:iCs/>
                <w:color w:val="000000"/>
                <w:sz w:val="18"/>
                <w:szCs w:val="18"/>
              </w:rPr>
              <w:t>СВОБОДНА МЕТОДИСТКА ЦЪРКВА СВЕТЛИНА И ЖИВОТ</w:t>
            </w:r>
          </w:p>
        </w:tc>
        <w:tc>
          <w:tcPr>
            <w:tcW w:w="725" w:type="pct"/>
            <w:shd w:val="clear" w:color="auto" w:fill="auto"/>
            <w:vAlign w:val="center"/>
          </w:tcPr>
          <w:p w14:paraId="268DCE66"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2933EF9B" w14:textId="77777777" w:rsidR="00B16411" w:rsidRPr="00EB4FEF" w:rsidRDefault="00B16411" w:rsidP="004F3F42">
            <w:pPr>
              <w:jc w:val="center"/>
              <w:rPr>
                <w:bCs/>
                <w:iCs/>
                <w:sz w:val="18"/>
                <w:szCs w:val="18"/>
              </w:rPr>
            </w:pPr>
            <w:r w:rsidRPr="00EB4FEF">
              <w:rPr>
                <w:bCs/>
                <w:iCs/>
                <w:sz w:val="18"/>
                <w:szCs w:val="18"/>
              </w:rPr>
              <w:t>3</w:t>
            </w:r>
          </w:p>
        </w:tc>
        <w:tc>
          <w:tcPr>
            <w:tcW w:w="725" w:type="pct"/>
            <w:shd w:val="clear" w:color="auto" w:fill="auto"/>
            <w:vAlign w:val="center"/>
          </w:tcPr>
          <w:p w14:paraId="487BCAE6"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5023BF3B" w14:textId="77777777" w:rsidR="00B16411" w:rsidRPr="00EB4FEF" w:rsidRDefault="00B16411" w:rsidP="004F3F42">
            <w:pPr>
              <w:jc w:val="center"/>
              <w:rPr>
                <w:bCs/>
                <w:iCs/>
                <w:sz w:val="18"/>
                <w:szCs w:val="18"/>
              </w:rPr>
            </w:pPr>
            <w:r w:rsidRPr="00EB4FEF">
              <w:rPr>
                <w:bCs/>
                <w:iCs/>
                <w:sz w:val="18"/>
                <w:szCs w:val="18"/>
              </w:rPr>
              <w:t>6</w:t>
            </w:r>
          </w:p>
        </w:tc>
        <w:tc>
          <w:tcPr>
            <w:tcW w:w="652" w:type="pct"/>
            <w:shd w:val="clear" w:color="auto" w:fill="auto"/>
            <w:vAlign w:val="center"/>
          </w:tcPr>
          <w:p w14:paraId="066C26EF" w14:textId="77777777" w:rsidR="00B16411" w:rsidRPr="00EB4FEF" w:rsidRDefault="00B16411" w:rsidP="004F3F42">
            <w:pPr>
              <w:jc w:val="center"/>
              <w:rPr>
                <w:bCs/>
                <w:iCs/>
                <w:sz w:val="18"/>
                <w:szCs w:val="18"/>
              </w:rPr>
            </w:pPr>
          </w:p>
        </w:tc>
      </w:tr>
      <w:tr w:rsidR="00B16411" w:rsidRPr="00EB4FEF" w14:paraId="793D7549" w14:textId="77777777" w:rsidTr="00AB3B82">
        <w:trPr>
          <w:jc w:val="center"/>
        </w:trPr>
        <w:tc>
          <w:tcPr>
            <w:tcW w:w="1522" w:type="pct"/>
            <w:vAlign w:val="center"/>
          </w:tcPr>
          <w:p w14:paraId="6C5F249C" w14:textId="77777777" w:rsidR="00B16411" w:rsidRPr="00EB4FEF" w:rsidRDefault="00B16411" w:rsidP="00863B53">
            <w:pPr>
              <w:rPr>
                <w:bCs/>
                <w:iCs/>
                <w:sz w:val="18"/>
                <w:szCs w:val="18"/>
              </w:rPr>
            </w:pPr>
            <w:r w:rsidRPr="00EB4FEF">
              <w:rPr>
                <w:bCs/>
                <w:iCs/>
                <w:sz w:val="18"/>
                <w:szCs w:val="18"/>
              </w:rPr>
              <w:t>СЪЮЗ НА ЕВАНГЕЛСКИТЕ БАПТИСТКИ ЦЪРКВИ В БЪЛГАРИЯ</w:t>
            </w:r>
          </w:p>
        </w:tc>
        <w:tc>
          <w:tcPr>
            <w:tcW w:w="725" w:type="pct"/>
            <w:shd w:val="clear" w:color="auto" w:fill="auto"/>
            <w:vAlign w:val="center"/>
          </w:tcPr>
          <w:p w14:paraId="190C539C"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08F0408C" w14:textId="77777777" w:rsidR="00B16411" w:rsidRPr="00EB4FEF" w:rsidRDefault="00B16411" w:rsidP="004F3F42">
            <w:pPr>
              <w:jc w:val="center"/>
              <w:rPr>
                <w:bCs/>
                <w:iCs/>
                <w:sz w:val="18"/>
                <w:szCs w:val="18"/>
              </w:rPr>
            </w:pPr>
            <w:r w:rsidRPr="00EB4FEF">
              <w:rPr>
                <w:bCs/>
                <w:iCs/>
                <w:sz w:val="18"/>
                <w:szCs w:val="18"/>
              </w:rPr>
              <w:t>2</w:t>
            </w:r>
          </w:p>
        </w:tc>
        <w:tc>
          <w:tcPr>
            <w:tcW w:w="725" w:type="pct"/>
            <w:shd w:val="clear" w:color="auto" w:fill="auto"/>
            <w:vAlign w:val="center"/>
          </w:tcPr>
          <w:p w14:paraId="03E8E92B"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1945D3D7" w14:textId="77777777" w:rsidR="00B16411" w:rsidRPr="00EB4FEF" w:rsidRDefault="00B16411" w:rsidP="004F3F42">
            <w:pPr>
              <w:jc w:val="center"/>
              <w:rPr>
                <w:bCs/>
                <w:iCs/>
                <w:sz w:val="18"/>
                <w:szCs w:val="18"/>
              </w:rPr>
            </w:pPr>
            <w:r w:rsidRPr="00EB4FEF">
              <w:rPr>
                <w:bCs/>
                <w:iCs/>
                <w:sz w:val="18"/>
                <w:szCs w:val="18"/>
              </w:rPr>
              <w:t>5</w:t>
            </w:r>
          </w:p>
        </w:tc>
        <w:tc>
          <w:tcPr>
            <w:tcW w:w="652" w:type="pct"/>
            <w:shd w:val="clear" w:color="auto" w:fill="auto"/>
            <w:vAlign w:val="center"/>
          </w:tcPr>
          <w:p w14:paraId="26DCA1F2" w14:textId="77777777" w:rsidR="00B16411" w:rsidRPr="00EB4FEF" w:rsidRDefault="00B16411" w:rsidP="004F3F42">
            <w:pPr>
              <w:jc w:val="center"/>
              <w:rPr>
                <w:bCs/>
                <w:iCs/>
                <w:sz w:val="18"/>
                <w:szCs w:val="18"/>
              </w:rPr>
            </w:pPr>
          </w:p>
        </w:tc>
      </w:tr>
      <w:tr w:rsidR="00B16411" w:rsidRPr="00EB4FEF" w14:paraId="7CB4A063" w14:textId="77777777" w:rsidTr="00AB3B82">
        <w:trPr>
          <w:jc w:val="center"/>
        </w:trPr>
        <w:tc>
          <w:tcPr>
            <w:tcW w:w="1522" w:type="pct"/>
            <w:vAlign w:val="center"/>
          </w:tcPr>
          <w:p w14:paraId="45C97073" w14:textId="77777777" w:rsidR="00B16411" w:rsidRPr="00EB4FEF" w:rsidRDefault="00B16411" w:rsidP="00863B53">
            <w:pPr>
              <w:rPr>
                <w:bCs/>
                <w:iCs/>
                <w:sz w:val="18"/>
                <w:szCs w:val="18"/>
              </w:rPr>
            </w:pPr>
            <w:r w:rsidRPr="00EB4FEF">
              <w:rPr>
                <w:bCs/>
                <w:iCs/>
                <w:sz w:val="18"/>
                <w:szCs w:val="18"/>
              </w:rPr>
              <w:t>СЪЮЗ НА ЕВАНГЕЛСКИТЕ ПЕТДЕСЯТНИ ЦЪРКВИ</w:t>
            </w:r>
          </w:p>
        </w:tc>
        <w:tc>
          <w:tcPr>
            <w:tcW w:w="725" w:type="pct"/>
            <w:shd w:val="clear" w:color="auto" w:fill="auto"/>
            <w:vAlign w:val="center"/>
          </w:tcPr>
          <w:p w14:paraId="5BEBBA3A"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7D5423B9" w14:textId="77777777" w:rsidR="00B16411" w:rsidRPr="00EB4FEF" w:rsidRDefault="00B16411" w:rsidP="004F3F42">
            <w:pPr>
              <w:jc w:val="center"/>
              <w:rPr>
                <w:bCs/>
                <w:iCs/>
                <w:sz w:val="18"/>
                <w:szCs w:val="18"/>
              </w:rPr>
            </w:pPr>
            <w:r w:rsidRPr="00EB4FEF">
              <w:rPr>
                <w:bCs/>
                <w:iCs/>
                <w:sz w:val="18"/>
                <w:szCs w:val="18"/>
              </w:rPr>
              <w:t>2</w:t>
            </w:r>
          </w:p>
        </w:tc>
        <w:tc>
          <w:tcPr>
            <w:tcW w:w="725" w:type="pct"/>
            <w:shd w:val="clear" w:color="auto" w:fill="auto"/>
            <w:vAlign w:val="center"/>
          </w:tcPr>
          <w:p w14:paraId="1FEB7C8D"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2815E8F1" w14:textId="77777777" w:rsidR="00B16411" w:rsidRPr="00EB4FEF" w:rsidRDefault="00B16411" w:rsidP="004F3F42">
            <w:pPr>
              <w:jc w:val="center"/>
              <w:rPr>
                <w:bCs/>
                <w:iCs/>
                <w:sz w:val="18"/>
                <w:szCs w:val="18"/>
              </w:rPr>
            </w:pPr>
            <w:r w:rsidRPr="00EB4FEF">
              <w:rPr>
                <w:bCs/>
                <w:iCs/>
                <w:sz w:val="18"/>
                <w:szCs w:val="18"/>
              </w:rPr>
              <w:t>3</w:t>
            </w:r>
          </w:p>
        </w:tc>
        <w:tc>
          <w:tcPr>
            <w:tcW w:w="652" w:type="pct"/>
            <w:shd w:val="clear" w:color="auto" w:fill="auto"/>
            <w:vAlign w:val="center"/>
          </w:tcPr>
          <w:p w14:paraId="6B963679" w14:textId="77777777" w:rsidR="00B16411" w:rsidRPr="00EB4FEF" w:rsidRDefault="00B16411" w:rsidP="004F3F42">
            <w:pPr>
              <w:jc w:val="center"/>
              <w:rPr>
                <w:bCs/>
                <w:iCs/>
                <w:sz w:val="18"/>
                <w:szCs w:val="18"/>
              </w:rPr>
            </w:pPr>
          </w:p>
        </w:tc>
      </w:tr>
      <w:tr w:rsidR="00B16411" w:rsidRPr="00EB4FEF" w14:paraId="7315336E" w14:textId="77777777" w:rsidTr="00AB3B82">
        <w:trPr>
          <w:jc w:val="center"/>
        </w:trPr>
        <w:tc>
          <w:tcPr>
            <w:tcW w:w="1522" w:type="pct"/>
            <w:vAlign w:val="center"/>
          </w:tcPr>
          <w:p w14:paraId="3879ED7A" w14:textId="77777777" w:rsidR="00B16411" w:rsidRPr="00EB4FEF" w:rsidRDefault="00B16411" w:rsidP="00863B53">
            <w:pPr>
              <w:rPr>
                <w:bCs/>
                <w:iCs/>
                <w:color w:val="000000"/>
                <w:sz w:val="18"/>
                <w:szCs w:val="18"/>
              </w:rPr>
            </w:pPr>
            <w:r w:rsidRPr="00EB4FEF">
              <w:rPr>
                <w:bCs/>
                <w:iCs/>
                <w:color w:val="000000"/>
                <w:sz w:val="18"/>
                <w:szCs w:val="18"/>
              </w:rPr>
              <w:t>СЪЮЗА НА ЕВАНГЕЛСКИТЕ СЪБОРНИ ЦЪРКВИ</w:t>
            </w:r>
          </w:p>
        </w:tc>
        <w:tc>
          <w:tcPr>
            <w:tcW w:w="725" w:type="pct"/>
            <w:shd w:val="clear" w:color="auto" w:fill="auto"/>
            <w:vAlign w:val="center"/>
          </w:tcPr>
          <w:p w14:paraId="3898305F"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41847831" w14:textId="77777777" w:rsidR="00B16411" w:rsidRPr="00EB4FEF" w:rsidRDefault="00B16411" w:rsidP="004F3F42">
            <w:pPr>
              <w:jc w:val="center"/>
              <w:rPr>
                <w:bCs/>
                <w:iCs/>
                <w:sz w:val="18"/>
                <w:szCs w:val="18"/>
              </w:rPr>
            </w:pPr>
            <w:r w:rsidRPr="00EB4FEF">
              <w:rPr>
                <w:bCs/>
                <w:iCs/>
                <w:sz w:val="18"/>
                <w:szCs w:val="18"/>
              </w:rPr>
              <w:t>2</w:t>
            </w:r>
          </w:p>
        </w:tc>
        <w:tc>
          <w:tcPr>
            <w:tcW w:w="725" w:type="pct"/>
            <w:shd w:val="clear" w:color="auto" w:fill="auto"/>
            <w:vAlign w:val="center"/>
          </w:tcPr>
          <w:p w14:paraId="1203B4D0"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333C4E34" w14:textId="77777777" w:rsidR="00B16411" w:rsidRPr="00EB4FEF" w:rsidRDefault="00B16411" w:rsidP="004F3F42">
            <w:pPr>
              <w:jc w:val="center"/>
              <w:rPr>
                <w:bCs/>
                <w:iCs/>
                <w:sz w:val="18"/>
                <w:szCs w:val="18"/>
              </w:rPr>
            </w:pPr>
            <w:r w:rsidRPr="00EB4FEF">
              <w:rPr>
                <w:bCs/>
                <w:iCs/>
                <w:sz w:val="18"/>
                <w:szCs w:val="18"/>
              </w:rPr>
              <w:t>11</w:t>
            </w:r>
          </w:p>
        </w:tc>
        <w:tc>
          <w:tcPr>
            <w:tcW w:w="652" w:type="pct"/>
            <w:shd w:val="clear" w:color="auto" w:fill="auto"/>
            <w:vAlign w:val="center"/>
          </w:tcPr>
          <w:p w14:paraId="2B90F509" w14:textId="77777777" w:rsidR="00B16411" w:rsidRPr="00EB4FEF" w:rsidRDefault="00B16411" w:rsidP="004F3F42">
            <w:pPr>
              <w:jc w:val="center"/>
              <w:rPr>
                <w:bCs/>
                <w:iCs/>
                <w:sz w:val="18"/>
                <w:szCs w:val="18"/>
              </w:rPr>
            </w:pPr>
          </w:p>
        </w:tc>
      </w:tr>
      <w:tr w:rsidR="00B16411" w:rsidRPr="00EB4FEF" w14:paraId="049B51EB" w14:textId="77777777" w:rsidTr="00AB3B82">
        <w:trPr>
          <w:jc w:val="center"/>
        </w:trPr>
        <w:tc>
          <w:tcPr>
            <w:tcW w:w="1522" w:type="pct"/>
            <w:vAlign w:val="center"/>
          </w:tcPr>
          <w:p w14:paraId="0F630903" w14:textId="77777777" w:rsidR="00B16411" w:rsidRPr="00EB4FEF" w:rsidRDefault="00B16411" w:rsidP="00863B53">
            <w:pPr>
              <w:rPr>
                <w:bCs/>
                <w:iCs/>
                <w:color w:val="000000"/>
                <w:sz w:val="18"/>
                <w:szCs w:val="18"/>
              </w:rPr>
            </w:pPr>
            <w:r w:rsidRPr="00EB4FEF">
              <w:rPr>
                <w:bCs/>
                <w:iCs/>
                <w:color w:val="000000"/>
                <w:sz w:val="18"/>
                <w:szCs w:val="18"/>
              </w:rPr>
              <w:t>ХРИСТИЯНСКА ПРЕЗВИТЕРИАНСКА ЦЪРКВА В БЪЛГАРИЯ</w:t>
            </w:r>
          </w:p>
        </w:tc>
        <w:tc>
          <w:tcPr>
            <w:tcW w:w="725" w:type="pct"/>
            <w:shd w:val="clear" w:color="auto" w:fill="auto"/>
            <w:vAlign w:val="center"/>
          </w:tcPr>
          <w:p w14:paraId="655D69EA"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4BB52E31" w14:textId="77777777" w:rsidR="00B16411" w:rsidRPr="00EB4FEF" w:rsidRDefault="00B16411" w:rsidP="004F3F42">
            <w:pPr>
              <w:jc w:val="center"/>
              <w:rPr>
                <w:bCs/>
                <w:iCs/>
                <w:sz w:val="18"/>
                <w:szCs w:val="18"/>
              </w:rPr>
            </w:pPr>
            <w:r w:rsidRPr="00EB4FEF">
              <w:rPr>
                <w:bCs/>
                <w:iCs/>
                <w:sz w:val="18"/>
                <w:szCs w:val="18"/>
              </w:rPr>
              <w:t>2</w:t>
            </w:r>
          </w:p>
        </w:tc>
        <w:tc>
          <w:tcPr>
            <w:tcW w:w="725" w:type="pct"/>
            <w:shd w:val="clear" w:color="auto" w:fill="auto"/>
            <w:vAlign w:val="center"/>
          </w:tcPr>
          <w:p w14:paraId="00B9F522"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78FDB8F8" w14:textId="77777777" w:rsidR="00B16411" w:rsidRPr="00EB4FEF" w:rsidRDefault="00B16411" w:rsidP="004F3F42">
            <w:pPr>
              <w:jc w:val="center"/>
              <w:rPr>
                <w:bCs/>
                <w:iCs/>
                <w:sz w:val="18"/>
                <w:szCs w:val="18"/>
              </w:rPr>
            </w:pPr>
            <w:r w:rsidRPr="00EB4FEF">
              <w:rPr>
                <w:bCs/>
                <w:iCs/>
                <w:sz w:val="18"/>
                <w:szCs w:val="18"/>
              </w:rPr>
              <w:t>1</w:t>
            </w:r>
          </w:p>
        </w:tc>
        <w:tc>
          <w:tcPr>
            <w:tcW w:w="652" w:type="pct"/>
            <w:shd w:val="clear" w:color="auto" w:fill="auto"/>
            <w:vAlign w:val="center"/>
          </w:tcPr>
          <w:p w14:paraId="38ADF4F6" w14:textId="77777777" w:rsidR="00B16411" w:rsidRPr="00EB4FEF" w:rsidRDefault="00B16411" w:rsidP="004F3F42">
            <w:pPr>
              <w:jc w:val="center"/>
              <w:rPr>
                <w:bCs/>
                <w:iCs/>
                <w:sz w:val="18"/>
                <w:szCs w:val="18"/>
              </w:rPr>
            </w:pPr>
          </w:p>
        </w:tc>
      </w:tr>
      <w:tr w:rsidR="00B16411" w:rsidRPr="00EB4FEF" w14:paraId="67BC4149" w14:textId="77777777" w:rsidTr="00AB3B82">
        <w:trPr>
          <w:jc w:val="center"/>
        </w:trPr>
        <w:tc>
          <w:tcPr>
            <w:tcW w:w="1522" w:type="pct"/>
            <w:vAlign w:val="center"/>
          </w:tcPr>
          <w:p w14:paraId="55A261F6" w14:textId="77777777" w:rsidR="00B16411" w:rsidRPr="00EB4FEF" w:rsidRDefault="00B16411" w:rsidP="00863B53">
            <w:pPr>
              <w:rPr>
                <w:bCs/>
                <w:iCs/>
                <w:color w:val="000000"/>
                <w:sz w:val="18"/>
                <w:szCs w:val="18"/>
              </w:rPr>
            </w:pPr>
            <w:r w:rsidRPr="00EB4FEF">
              <w:rPr>
                <w:bCs/>
                <w:iCs/>
                <w:color w:val="000000"/>
                <w:sz w:val="18"/>
                <w:szCs w:val="18"/>
              </w:rPr>
              <w:t>ХРИСТИЯНСКА ПРЕЗВИТЕРИАНСКА ЦЪРКВА</w:t>
            </w:r>
          </w:p>
        </w:tc>
        <w:tc>
          <w:tcPr>
            <w:tcW w:w="725" w:type="pct"/>
            <w:shd w:val="clear" w:color="auto" w:fill="auto"/>
            <w:vAlign w:val="center"/>
          </w:tcPr>
          <w:p w14:paraId="5195000B"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5C2F927E" w14:textId="77777777" w:rsidR="00B16411" w:rsidRPr="00EB4FEF" w:rsidRDefault="00B16411" w:rsidP="004F3F42">
            <w:pPr>
              <w:jc w:val="center"/>
              <w:rPr>
                <w:bCs/>
                <w:iCs/>
                <w:sz w:val="18"/>
                <w:szCs w:val="18"/>
              </w:rPr>
            </w:pPr>
            <w:r w:rsidRPr="00EB4FEF">
              <w:rPr>
                <w:bCs/>
                <w:iCs/>
                <w:sz w:val="18"/>
                <w:szCs w:val="18"/>
              </w:rPr>
              <w:t>1</w:t>
            </w:r>
          </w:p>
        </w:tc>
        <w:tc>
          <w:tcPr>
            <w:tcW w:w="725" w:type="pct"/>
            <w:shd w:val="clear" w:color="auto" w:fill="auto"/>
            <w:vAlign w:val="center"/>
          </w:tcPr>
          <w:p w14:paraId="2813C637"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19A7E8AD" w14:textId="77777777" w:rsidR="00B16411" w:rsidRPr="00EB4FEF" w:rsidRDefault="00B16411" w:rsidP="004F3F42">
            <w:pPr>
              <w:jc w:val="center"/>
              <w:rPr>
                <w:bCs/>
                <w:iCs/>
                <w:sz w:val="18"/>
                <w:szCs w:val="18"/>
              </w:rPr>
            </w:pPr>
            <w:r w:rsidRPr="00EB4FEF">
              <w:rPr>
                <w:bCs/>
                <w:iCs/>
                <w:sz w:val="18"/>
                <w:szCs w:val="18"/>
              </w:rPr>
              <w:t>2</w:t>
            </w:r>
          </w:p>
        </w:tc>
        <w:tc>
          <w:tcPr>
            <w:tcW w:w="652" w:type="pct"/>
            <w:shd w:val="clear" w:color="auto" w:fill="auto"/>
            <w:vAlign w:val="center"/>
          </w:tcPr>
          <w:p w14:paraId="5995ED44" w14:textId="77777777" w:rsidR="00B16411" w:rsidRPr="00EB4FEF" w:rsidRDefault="00B16411" w:rsidP="004F3F42">
            <w:pPr>
              <w:jc w:val="center"/>
              <w:rPr>
                <w:bCs/>
                <w:iCs/>
                <w:sz w:val="18"/>
                <w:szCs w:val="18"/>
              </w:rPr>
            </w:pPr>
          </w:p>
        </w:tc>
      </w:tr>
      <w:tr w:rsidR="00B16411" w:rsidRPr="00EB4FEF" w14:paraId="5E72777B" w14:textId="77777777" w:rsidTr="00AB3B82">
        <w:trPr>
          <w:jc w:val="center"/>
        </w:trPr>
        <w:tc>
          <w:tcPr>
            <w:tcW w:w="1522" w:type="pct"/>
            <w:vAlign w:val="center"/>
          </w:tcPr>
          <w:p w14:paraId="3C2189D3" w14:textId="77777777" w:rsidR="00B16411" w:rsidRPr="00EB4FEF" w:rsidRDefault="00B16411" w:rsidP="00863B53">
            <w:pPr>
              <w:rPr>
                <w:bCs/>
                <w:iCs/>
                <w:color w:val="000000"/>
                <w:sz w:val="18"/>
                <w:szCs w:val="18"/>
              </w:rPr>
            </w:pPr>
            <w:r w:rsidRPr="00EB4FEF">
              <w:rPr>
                <w:bCs/>
                <w:iCs/>
                <w:color w:val="000000"/>
                <w:sz w:val="18"/>
                <w:szCs w:val="18"/>
              </w:rPr>
              <w:t>ХРИСТИЯНСКИ ЦЪРКВИ НА ВЯРА В БЪЛГАРИЯ</w:t>
            </w:r>
          </w:p>
        </w:tc>
        <w:tc>
          <w:tcPr>
            <w:tcW w:w="725" w:type="pct"/>
            <w:shd w:val="clear" w:color="auto" w:fill="auto"/>
            <w:vAlign w:val="center"/>
          </w:tcPr>
          <w:p w14:paraId="6DB14A9A" w14:textId="77777777" w:rsidR="00B16411" w:rsidRPr="00EB4FEF" w:rsidRDefault="00B16411" w:rsidP="004F3F42">
            <w:pPr>
              <w:jc w:val="center"/>
              <w:rPr>
                <w:bCs/>
                <w:iCs/>
                <w:sz w:val="18"/>
                <w:szCs w:val="18"/>
              </w:rPr>
            </w:pPr>
            <w:r w:rsidRPr="00EB4FEF">
              <w:rPr>
                <w:bCs/>
                <w:iCs/>
                <w:sz w:val="18"/>
                <w:szCs w:val="18"/>
              </w:rPr>
              <w:t>1</w:t>
            </w:r>
          </w:p>
        </w:tc>
        <w:tc>
          <w:tcPr>
            <w:tcW w:w="652" w:type="pct"/>
            <w:shd w:val="clear" w:color="auto" w:fill="auto"/>
            <w:vAlign w:val="center"/>
          </w:tcPr>
          <w:p w14:paraId="4587E5D0" w14:textId="77777777" w:rsidR="00B16411" w:rsidRPr="00EB4FEF" w:rsidRDefault="00B16411" w:rsidP="004F3F42">
            <w:pPr>
              <w:jc w:val="center"/>
              <w:rPr>
                <w:bCs/>
                <w:iCs/>
                <w:sz w:val="18"/>
                <w:szCs w:val="18"/>
              </w:rPr>
            </w:pPr>
            <w:r w:rsidRPr="00EB4FEF">
              <w:rPr>
                <w:bCs/>
                <w:iCs/>
                <w:sz w:val="18"/>
                <w:szCs w:val="18"/>
              </w:rPr>
              <w:t>-</w:t>
            </w:r>
          </w:p>
        </w:tc>
        <w:tc>
          <w:tcPr>
            <w:tcW w:w="725" w:type="pct"/>
            <w:shd w:val="clear" w:color="auto" w:fill="auto"/>
            <w:vAlign w:val="center"/>
          </w:tcPr>
          <w:p w14:paraId="09883DC0"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4AB5926A" w14:textId="77777777" w:rsidR="00B16411" w:rsidRPr="00EB4FEF" w:rsidRDefault="00B16411" w:rsidP="004F3F42">
            <w:pPr>
              <w:jc w:val="center"/>
              <w:rPr>
                <w:bCs/>
                <w:iCs/>
                <w:sz w:val="18"/>
                <w:szCs w:val="18"/>
              </w:rPr>
            </w:pPr>
            <w:r w:rsidRPr="00EB4FEF">
              <w:rPr>
                <w:bCs/>
                <w:iCs/>
                <w:sz w:val="18"/>
                <w:szCs w:val="18"/>
              </w:rPr>
              <w:t>2</w:t>
            </w:r>
          </w:p>
        </w:tc>
        <w:tc>
          <w:tcPr>
            <w:tcW w:w="652" w:type="pct"/>
            <w:shd w:val="clear" w:color="auto" w:fill="auto"/>
            <w:vAlign w:val="center"/>
          </w:tcPr>
          <w:p w14:paraId="32BED808" w14:textId="77777777" w:rsidR="00B16411" w:rsidRPr="00EB4FEF" w:rsidRDefault="00B16411" w:rsidP="004F3F42">
            <w:pPr>
              <w:jc w:val="center"/>
              <w:rPr>
                <w:bCs/>
                <w:iCs/>
                <w:sz w:val="18"/>
                <w:szCs w:val="18"/>
              </w:rPr>
            </w:pPr>
          </w:p>
        </w:tc>
      </w:tr>
      <w:tr w:rsidR="00B16411" w:rsidRPr="00EB4FEF" w14:paraId="00F572B0" w14:textId="77777777" w:rsidTr="00AB3B82">
        <w:trPr>
          <w:jc w:val="center"/>
        </w:trPr>
        <w:tc>
          <w:tcPr>
            <w:tcW w:w="1522" w:type="pct"/>
            <w:vAlign w:val="center"/>
          </w:tcPr>
          <w:p w14:paraId="685E9BF2" w14:textId="77777777" w:rsidR="00B16411" w:rsidRPr="00EB4FEF" w:rsidRDefault="00B16411" w:rsidP="00863B53">
            <w:pPr>
              <w:rPr>
                <w:bCs/>
                <w:iCs/>
                <w:color w:val="000000"/>
                <w:sz w:val="18"/>
                <w:szCs w:val="18"/>
              </w:rPr>
            </w:pPr>
            <w:r w:rsidRPr="00EB4FEF">
              <w:rPr>
                <w:bCs/>
                <w:iCs/>
                <w:color w:val="000000"/>
                <w:sz w:val="18"/>
                <w:szCs w:val="18"/>
              </w:rPr>
              <w:t>ХРИСТИЯНСКА ЦЪРКВА СИОН</w:t>
            </w:r>
          </w:p>
        </w:tc>
        <w:tc>
          <w:tcPr>
            <w:tcW w:w="725" w:type="pct"/>
            <w:shd w:val="clear" w:color="auto" w:fill="auto"/>
            <w:vAlign w:val="center"/>
          </w:tcPr>
          <w:p w14:paraId="10919332"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3BC89771" w14:textId="77777777" w:rsidR="00B16411" w:rsidRPr="00EB4FEF" w:rsidRDefault="00B16411" w:rsidP="004F3F42">
            <w:pPr>
              <w:jc w:val="center"/>
              <w:rPr>
                <w:bCs/>
                <w:iCs/>
                <w:sz w:val="18"/>
                <w:szCs w:val="18"/>
              </w:rPr>
            </w:pPr>
            <w:r w:rsidRPr="00EB4FEF">
              <w:rPr>
                <w:bCs/>
                <w:iCs/>
                <w:sz w:val="18"/>
                <w:szCs w:val="18"/>
              </w:rPr>
              <w:t>-</w:t>
            </w:r>
          </w:p>
        </w:tc>
        <w:tc>
          <w:tcPr>
            <w:tcW w:w="725" w:type="pct"/>
            <w:shd w:val="clear" w:color="auto" w:fill="auto"/>
            <w:vAlign w:val="center"/>
          </w:tcPr>
          <w:p w14:paraId="19669F52"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10FADB64" w14:textId="77777777" w:rsidR="00B16411" w:rsidRPr="00EB4FEF" w:rsidRDefault="00B16411" w:rsidP="004F3F42">
            <w:pPr>
              <w:jc w:val="center"/>
              <w:rPr>
                <w:bCs/>
                <w:iCs/>
                <w:sz w:val="18"/>
                <w:szCs w:val="18"/>
              </w:rPr>
            </w:pPr>
            <w:r w:rsidRPr="00EB4FEF">
              <w:rPr>
                <w:bCs/>
                <w:iCs/>
                <w:sz w:val="18"/>
                <w:szCs w:val="18"/>
              </w:rPr>
              <w:t>2</w:t>
            </w:r>
          </w:p>
        </w:tc>
        <w:tc>
          <w:tcPr>
            <w:tcW w:w="652" w:type="pct"/>
            <w:shd w:val="clear" w:color="auto" w:fill="auto"/>
            <w:vAlign w:val="center"/>
          </w:tcPr>
          <w:p w14:paraId="02BF5390" w14:textId="77777777" w:rsidR="00B16411" w:rsidRPr="00EB4FEF" w:rsidRDefault="00B16411" w:rsidP="004F3F42">
            <w:pPr>
              <w:jc w:val="center"/>
              <w:rPr>
                <w:bCs/>
                <w:iCs/>
                <w:sz w:val="18"/>
                <w:szCs w:val="18"/>
              </w:rPr>
            </w:pPr>
          </w:p>
        </w:tc>
      </w:tr>
      <w:tr w:rsidR="00B16411" w:rsidRPr="00EB4FEF" w14:paraId="202EB23D" w14:textId="77777777" w:rsidTr="00AB3B82">
        <w:trPr>
          <w:jc w:val="center"/>
        </w:trPr>
        <w:tc>
          <w:tcPr>
            <w:tcW w:w="1522" w:type="pct"/>
            <w:vAlign w:val="center"/>
          </w:tcPr>
          <w:p w14:paraId="633D8655" w14:textId="77777777" w:rsidR="00B16411" w:rsidRPr="00EB4FEF" w:rsidRDefault="00B16411" w:rsidP="00863B53">
            <w:pPr>
              <w:rPr>
                <w:bCs/>
                <w:iCs/>
                <w:color w:val="000000"/>
                <w:sz w:val="18"/>
                <w:szCs w:val="18"/>
              </w:rPr>
            </w:pPr>
            <w:r w:rsidRPr="00EB4FEF">
              <w:rPr>
                <w:bCs/>
                <w:iCs/>
                <w:color w:val="000000"/>
                <w:sz w:val="18"/>
                <w:szCs w:val="18"/>
              </w:rPr>
              <w:t>ХРИСТОВА ЦЪРКВА</w:t>
            </w:r>
          </w:p>
        </w:tc>
        <w:tc>
          <w:tcPr>
            <w:tcW w:w="725" w:type="pct"/>
            <w:shd w:val="clear" w:color="auto" w:fill="auto"/>
            <w:vAlign w:val="center"/>
          </w:tcPr>
          <w:p w14:paraId="4A5744C9"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10F6BEEB" w14:textId="77777777" w:rsidR="00B16411" w:rsidRPr="00EB4FEF" w:rsidRDefault="00B16411" w:rsidP="004F3F42">
            <w:pPr>
              <w:jc w:val="center"/>
              <w:rPr>
                <w:bCs/>
                <w:iCs/>
                <w:sz w:val="18"/>
                <w:szCs w:val="18"/>
              </w:rPr>
            </w:pPr>
            <w:r w:rsidRPr="00EB4FEF">
              <w:rPr>
                <w:bCs/>
                <w:iCs/>
                <w:sz w:val="18"/>
                <w:szCs w:val="18"/>
              </w:rPr>
              <w:t>16</w:t>
            </w:r>
          </w:p>
        </w:tc>
        <w:tc>
          <w:tcPr>
            <w:tcW w:w="725" w:type="pct"/>
            <w:shd w:val="clear" w:color="auto" w:fill="auto"/>
            <w:vAlign w:val="center"/>
          </w:tcPr>
          <w:p w14:paraId="6507066D"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598E6142" w14:textId="77777777" w:rsidR="00B16411" w:rsidRPr="00EB4FEF" w:rsidRDefault="00B16411" w:rsidP="004F3F42">
            <w:pPr>
              <w:jc w:val="center"/>
              <w:rPr>
                <w:bCs/>
                <w:iCs/>
                <w:sz w:val="18"/>
                <w:szCs w:val="18"/>
              </w:rPr>
            </w:pPr>
            <w:r w:rsidRPr="00EB4FEF">
              <w:rPr>
                <w:bCs/>
                <w:iCs/>
                <w:sz w:val="18"/>
                <w:szCs w:val="18"/>
              </w:rPr>
              <w:t>6</w:t>
            </w:r>
          </w:p>
        </w:tc>
        <w:tc>
          <w:tcPr>
            <w:tcW w:w="652" w:type="pct"/>
            <w:shd w:val="clear" w:color="auto" w:fill="auto"/>
            <w:vAlign w:val="center"/>
          </w:tcPr>
          <w:p w14:paraId="4635FCC3" w14:textId="77777777" w:rsidR="00B16411" w:rsidRPr="00EB4FEF" w:rsidRDefault="00B16411" w:rsidP="004F3F42">
            <w:pPr>
              <w:jc w:val="center"/>
              <w:rPr>
                <w:bCs/>
                <w:iCs/>
                <w:sz w:val="18"/>
                <w:szCs w:val="18"/>
              </w:rPr>
            </w:pPr>
          </w:p>
        </w:tc>
      </w:tr>
      <w:tr w:rsidR="00B16411" w:rsidRPr="00EB4FEF" w14:paraId="1CB6309D" w14:textId="77777777" w:rsidTr="00AB3B82">
        <w:trPr>
          <w:jc w:val="center"/>
        </w:trPr>
        <w:tc>
          <w:tcPr>
            <w:tcW w:w="1522" w:type="pct"/>
            <w:vAlign w:val="center"/>
          </w:tcPr>
          <w:p w14:paraId="3A788921" w14:textId="77777777" w:rsidR="00B16411" w:rsidRPr="00EB4FEF" w:rsidRDefault="00B16411" w:rsidP="00863B53">
            <w:pPr>
              <w:rPr>
                <w:bCs/>
                <w:iCs/>
                <w:sz w:val="18"/>
                <w:szCs w:val="18"/>
              </w:rPr>
            </w:pPr>
            <w:r w:rsidRPr="00EB4FEF">
              <w:rPr>
                <w:bCs/>
                <w:iCs/>
                <w:sz w:val="18"/>
                <w:szCs w:val="18"/>
              </w:rPr>
              <w:t>ЦЪРКВА НА ТЯЛОТО ХРИСТОВО</w:t>
            </w:r>
          </w:p>
        </w:tc>
        <w:tc>
          <w:tcPr>
            <w:tcW w:w="725" w:type="pct"/>
            <w:shd w:val="clear" w:color="auto" w:fill="auto"/>
            <w:vAlign w:val="center"/>
          </w:tcPr>
          <w:p w14:paraId="3D318EF4"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314609EC" w14:textId="77777777" w:rsidR="00B16411" w:rsidRPr="00EB4FEF" w:rsidRDefault="00B16411" w:rsidP="004F3F42">
            <w:pPr>
              <w:jc w:val="center"/>
              <w:rPr>
                <w:bCs/>
                <w:iCs/>
                <w:sz w:val="18"/>
                <w:szCs w:val="18"/>
              </w:rPr>
            </w:pPr>
            <w:r w:rsidRPr="00EB4FEF">
              <w:rPr>
                <w:bCs/>
                <w:iCs/>
                <w:sz w:val="18"/>
                <w:szCs w:val="18"/>
              </w:rPr>
              <w:t>2</w:t>
            </w:r>
          </w:p>
        </w:tc>
        <w:tc>
          <w:tcPr>
            <w:tcW w:w="725" w:type="pct"/>
            <w:shd w:val="clear" w:color="auto" w:fill="auto"/>
            <w:vAlign w:val="center"/>
          </w:tcPr>
          <w:p w14:paraId="66F7700F" w14:textId="77777777" w:rsidR="00B16411" w:rsidRPr="00EB4FEF" w:rsidRDefault="00B16411" w:rsidP="004F3F42">
            <w:pPr>
              <w:jc w:val="center"/>
              <w:rPr>
                <w:bCs/>
                <w:iCs/>
                <w:sz w:val="18"/>
                <w:szCs w:val="18"/>
              </w:rPr>
            </w:pPr>
            <w:r w:rsidRPr="00EB4FEF">
              <w:rPr>
                <w:bCs/>
                <w:iCs/>
                <w:sz w:val="18"/>
                <w:szCs w:val="18"/>
              </w:rPr>
              <w:t>-</w:t>
            </w:r>
          </w:p>
        </w:tc>
        <w:tc>
          <w:tcPr>
            <w:tcW w:w="724" w:type="pct"/>
            <w:shd w:val="clear" w:color="auto" w:fill="auto"/>
            <w:vAlign w:val="center"/>
          </w:tcPr>
          <w:p w14:paraId="3D92DAAC" w14:textId="77777777" w:rsidR="00B16411" w:rsidRPr="00EB4FEF" w:rsidRDefault="00B16411" w:rsidP="004F3F42">
            <w:pPr>
              <w:jc w:val="center"/>
              <w:rPr>
                <w:bCs/>
                <w:iCs/>
                <w:sz w:val="18"/>
                <w:szCs w:val="18"/>
              </w:rPr>
            </w:pPr>
            <w:r w:rsidRPr="00EB4FEF">
              <w:rPr>
                <w:bCs/>
                <w:iCs/>
                <w:sz w:val="18"/>
                <w:szCs w:val="18"/>
              </w:rPr>
              <w:t>2</w:t>
            </w:r>
          </w:p>
        </w:tc>
        <w:tc>
          <w:tcPr>
            <w:tcW w:w="652" w:type="pct"/>
            <w:shd w:val="clear" w:color="auto" w:fill="auto"/>
            <w:vAlign w:val="center"/>
          </w:tcPr>
          <w:p w14:paraId="45DBCF8D" w14:textId="77777777" w:rsidR="00B16411" w:rsidRPr="00EB4FEF" w:rsidRDefault="00B16411" w:rsidP="004F3F42">
            <w:pPr>
              <w:jc w:val="center"/>
              <w:rPr>
                <w:bCs/>
                <w:iCs/>
                <w:sz w:val="18"/>
                <w:szCs w:val="18"/>
              </w:rPr>
            </w:pPr>
          </w:p>
        </w:tc>
      </w:tr>
      <w:tr w:rsidR="00B16411" w:rsidRPr="00EB4FEF" w14:paraId="7D2DDC1A" w14:textId="77777777" w:rsidTr="00AB3B82">
        <w:trPr>
          <w:jc w:val="center"/>
        </w:trPr>
        <w:tc>
          <w:tcPr>
            <w:tcW w:w="1522" w:type="pct"/>
            <w:vAlign w:val="center"/>
          </w:tcPr>
          <w:p w14:paraId="1473A917" w14:textId="77777777" w:rsidR="00B16411" w:rsidRPr="00EB4FEF" w:rsidRDefault="00B16411" w:rsidP="00863B53">
            <w:pPr>
              <w:rPr>
                <w:bCs/>
                <w:iCs/>
                <w:color w:val="000000"/>
                <w:sz w:val="18"/>
                <w:szCs w:val="18"/>
              </w:rPr>
            </w:pPr>
            <w:r w:rsidRPr="00EB4FEF">
              <w:rPr>
                <w:bCs/>
                <w:iCs/>
                <w:color w:val="000000"/>
                <w:sz w:val="18"/>
                <w:szCs w:val="18"/>
              </w:rPr>
              <w:t>ЦЪРКВАТА НА ИСУС ХРИСТОС НА СВЕТИИТЕ ОТ ПОСЛЕДНИТЕ ДНИ В БЪЛГАРИЯ</w:t>
            </w:r>
          </w:p>
        </w:tc>
        <w:tc>
          <w:tcPr>
            <w:tcW w:w="725" w:type="pct"/>
            <w:shd w:val="clear" w:color="auto" w:fill="auto"/>
            <w:vAlign w:val="center"/>
          </w:tcPr>
          <w:p w14:paraId="342A97B8" w14:textId="77777777" w:rsidR="00B16411" w:rsidRPr="00EB4FEF" w:rsidRDefault="00B16411" w:rsidP="004F3F42">
            <w:pPr>
              <w:jc w:val="center"/>
              <w:rPr>
                <w:bCs/>
                <w:iCs/>
                <w:sz w:val="18"/>
                <w:szCs w:val="18"/>
              </w:rPr>
            </w:pPr>
            <w:r w:rsidRPr="00EB4FEF">
              <w:rPr>
                <w:bCs/>
                <w:iCs/>
                <w:sz w:val="18"/>
                <w:szCs w:val="18"/>
              </w:rPr>
              <w:t>-</w:t>
            </w:r>
          </w:p>
        </w:tc>
        <w:tc>
          <w:tcPr>
            <w:tcW w:w="652" w:type="pct"/>
            <w:shd w:val="clear" w:color="auto" w:fill="auto"/>
            <w:vAlign w:val="center"/>
          </w:tcPr>
          <w:p w14:paraId="610B48CE" w14:textId="77777777" w:rsidR="00B16411" w:rsidRPr="00EB4FEF" w:rsidRDefault="00B16411" w:rsidP="004F3F42">
            <w:pPr>
              <w:jc w:val="center"/>
              <w:rPr>
                <w:bCs/>
                <w:iCs/>
                <w:sz w:val="18"/>
                <w:szCs w:val="18"/>
              </w:rPr>
            </w:pPr>
            <w:r w:rsidRPr="00EB4FEF">
              <w:rPr>
                <w:bCs/>
                <w:iCs/>
                <w:sz w:val="18"/>
                <w:szCs w:val="18"/>
              </w:rPr>
              <w:t>14</w:t>
            </w:r>
          </w:p>
        </w:tc>
        <w:tc>
          <w:tcPr>
            <w:tcW w:w="725" w:type="pct"/>
            <w:shd w:val="clear" w:color="auto" w:fill="auto"/>
            <w:vAlign w:val="center"/>
          </w:tcPr>
          <w:p w14:paraId="08F4F44F" w14:textId="77777777" w:rsidR="00B16411" w:rsidRPr="00EB4FEF" w:rsidRDefault="00B16411" w:rsidP="004F3F42">
            <w:pPr>
              <w:jc w:val="center"/>
              <w:rPr>
                <w:bCs/>
                <w:iCs/>
                <w:sz w:val="18"/>
                <w:szCs w:val="18"/>
                <w:lang w:val="en-US"/>
              </w:rPr>
            </w:pPr>
            <w:r w:rsidRPr="00EB4FEF">
              <w:rPr>
                <w:bCs/>
                <w:iCs/>
                <w:sz w:val="18"/>
                <w:szCs w:val="18"/>
                <w:lang w:val="en-US"/>
              </w:rPr>
              <w:t>4</w:t>
            </w:r>
          </w:p>
        </w:tc>
        <w:tc>
          <w:tcPr>
            <w:tcW w:w="724" w:type="pct"/>
            <w:shd w:val="clear" w:color="auto" w:fill="auto"/>
            <w:vAlign w:val="center"/>
          </w:tcPr>
          <w:p w14:paraId="384D3CA3" w14:textId="77777777" w:rsidR="00B16411" w:rsidRPr="00EB4FEF" w:rsidRDefault="00B16411" w:rsidP="004F3F42">
            <w:pPr>
              <w:jc w:val="center"/>
              <w:rPr>
                <w:bCs/>
                <w:iCs/>
                <w:sz w:val="18"/>
                <w:szCs w:val="18"/>
              </w:rPr>
            </w:pPr>
            <w:r w:rsidRPr="00EB4FEF">
              <w:rPr>
                <w:bCs/>
                <w:iCs/>
                <w:sz w:val="18"/>
                <w:szCs w:val="18"/>
              </w:rPr>
              <w:t>25</w:t>
            </w:r>
          </w:p>
        </w:tc>
        <w:tc>
          <w:tcPr>
            <w:tcW w:w="652" w:type="pct"/>
            <w:shd w:val="clear" w:color="auto" w:fill="auto"/>
            <w:vAlign w:val="center"/>
          </w:tcPr>
          <w:p w14:paraId="061C0D10" w14:textId="77777777" w:rsidR="00B16411" w:rsidRPr="00EB4FEF" w:rsidRDefault="00B16411" w:rsidP="004F3F42">
            <w:pPr>
              <w:jc w:val="center"/>
              <w:rPr>
                <w:bCs/>
                <w:iCs/>
                <w:sz w:val="18"/>
                <w:szCs w:val="18"/>
              </w:rPr>
            </w:pPr>
          </w:p>
        </w:tc>
      </w:tr>
    </w:tbl>
    <w:p w14:paraId="1F43924B" w14:textId="6DEA58CF" w:rsidR="00863B53" w:rsidRPr="00641163" w:rsidRDefault="00863B53" w:rsidP="009C4D63">
      <w:pPr>
        <w:numPr>
          <w:ilvl w:val="0"/>
          <w:numId w:val="10"/>
        </w:numPr>
        <w:shd w:val="clear" w:color="auto" w:fill="FFFFFF" w:themeFill="background1"/>
        <w:tabs>
          <w:tab w:val="clear" w:pos="1068"/>
          <w:tab w:val="num" w:pos="709"/>
        </w:tabs>
        <w:spacing w:before="240"/>
        <w:ind w:left="709" w:hanging="284"/>
        <w:jc w:val="both"/>
        <w:rPr>
          <w:b/>
          <w:i/>
          <w:sz w:val="22"/>
          <w:szCs w:val="22"/>
          <w:specVanish/>
        </w:rPr>
      </w:pPr>
      <w:r w:rsidRPr="00641163">
        <w:rPr>
          <w:b/>
          <w:i/>
          <w:sz w:val="22"/>
          <w:szCs w:val="22"/>
          <w:specVanish/>
        </w:rPr>
        <w:t>Обработени преписки по чл.</w:t>
      </w:r>
      <w:r w:rsidR="00F722E8" w:rsidRPr="00641163">
        <w:rPr>
          <w:b/>
          <w:i/>
          <w:sz w:val="22"/>
          <w:szCs w:val="22"/>
          <w:specVanish/>
        </w:rPr>
        <w:t xml:space="preserve"> </w:t>
      </w:r>
      <w:r w:rsidRPr="00641163">
        <w:rPr>
          <w:b/>
          <w:i/>
          <w:sz w:val="22"/>
          <w:szCs w:val="22"/>
          <w:specVanish/>
        </w:rPr>
        <w:t>29, ал.</w:t>
      </w:r>
      <w:r w:rsidR="00F722E8" w:rsidRPr="00641163">
        <w:rPr>
          <w:b/>
          <w:i/>
          <w:sz w:val="22"/>
          <w:szCs w:val="22"/>
          <w:specVanish/>
        </w:rPr>
        <w:t xml:space="preserve"> </w:t>
      </w:r>
      <w:r w:rsidRPr="00641163">
        <w:rPr>
          <w:b/>
          <w:i/>
          <w:sz w:val="22"/>
          <w:szCs w:val="22"/>
          <w:specVanish/>
        </w:rPr>
        <w:t>6 от Закона за вероизповеданията</w:t>
      </w:r>
    </w:p>
    <w:tbl>
      <w:tblPr>
        <w:tblStyle w:val="TableGrid"/>
        <w:tblW w:w="5000" w:type="pct"/>
        <w:tblLook w:val="04A0" w:firstRow="1" w:lastRow="0" w:firstColumn="1" w:lastColumn="0" w:noHBand="0" w:noVBand="1"/>
      </w:tblPr>
      <w:tblGrid>
        <w:gridCol w:w="2827"/>
        <w:gridCol w:w="1805"/>
        <w:gridCol w:w="2273"/>
        <w:gridCol w:w="2441"/>
      </w:tblGrid>
      <w:tr w:rsidR="008F4FE4" w:rsidRPr="0010434F" w14:paraId="70A72C60" w14:textId="77777777" w:rsidTr="00697536">
        <w:trPr>
          <w:trHeight w:val="641"/>
        </w:trPr>
        <w:tc>
          <w:tcPr>
            <w:tcW w:w="5000" w:type="pct"/>
            <w:gridSpan w:val="4"/>
            <w:shd w:val="clear" w:color="auto" w:fill="F6C5AC" w:themeFill="accent2" w:themeFillTint="66"/>
            <w:vAlign w:val="center"/>
          </w:tcPr>
          <w:p w14:paraId="5307E348" w14:textId="77777777" w:rsidR="008F4FE4" w:rsidRPr="0010434F" w:rsidRDefault="008F4FE4" w:rsidP="000820D8">
            <w:pPr>
              <w:pStyle w:val="ListParagraph"/>
              <w:ind w:left="0"/>
              <w:jc w:val="center"/>
              <w:rPr>
                <w:b/>
                <w:sz w:val="18"/>
                <w:szCs w:val="18"/>
              </w:rPr>
            </w:pPr>
            <w:r w:rsidRPr="0010434F">
              <w:rPr>
                <w:b/>
                <w:sz w:val="18"/>
                <w:szCs w:val="18"/>
              </w:rPr>
              <w:t>КОЛИЧЕСТВЕНИ ПОКАЗАТЕЛИ</w:t>
            </w:r>
          </w:p>
        </w:tc>
      </w:tr>
      <w:tr w:rsidR="008F4FE4" w:rsidRPr="0010434F" w14:paraId="47E3695D" w14:textId="77777777" w:rsidTr="00697536">
        <w:trPr>
          <w:trHeight w:val="179"/>
        </w:trPr>
        <w:tc>
          <w:tcPr>
            <w:tcW w:w="5000" w:type="pct"/>
            <w:gridSpan w:val="4"/>
          </w:tcPr>
          <w:p w14:paraId="3707F8E0" w14:textId="77777777" w:rsidR="008F4FE4" w:rsidRPr="0010434F" w:rsidRDefault="008F4FE4" w:rsidP="000820D8">
            <w:pPr>
              <w:pStyle w:val="ListParagraph"/>
              <w:ind w:left="0"/>
              <w:rPr>
                <w:sz w:val="18"/>
                <w:szCs w:val="18"/>
              </w:rPr>
            </w:pPr>
            <w:r w:rsidRPr="0010434F">
              <w:rPr>
                <w:sz w:val="18"/>
                <w:szCs w:val="18"/>
              </w:rPr>
              <w:t xml:space="preserve">ОБЩ БРОЙ ПРЕПИСКИ: </w:t>
            </w:r>
            <w:r w:rsidRPr="0010434F">
              <w:rPr>
                <w:b/>
                <w:sz w:val="18"/>
                <w:szCs w:val="18"/>
              </w:rPr>
              <w:t>4</w:t>
            </w:r>
          </w:p>
        </w:tc>
      </w:tr>
      <w:tr w:rsidR="008F4FE4" w:rsidRPr="0010434F" w14:paraId="1B7A79C8" w14:textId="77777777" w:rsidTr="009C4D63">
        <w:trPr>
          <w:trHeight w:val="186"/>
        </w:trPr>
        <w:tc>
          <w:tcPr>
            <w:tcW w:w="5000" w:type="pct"/>
            <w:gridSpan w:val="4"/>
            <w:shd w:val="clear" w:color="auto" w:fill="C1F0C7" w:themeFill="accent3" w:themeFillTint="33"/>
            <w:vAlign w:val="center"/>
          </w:tcPr>
          <w:p w14:paraId="7A4DF344" w14:textId="77777777" w:rsidR="008F4FE4" w:rsidRPr="0010434F" w:rsidRDefault="008F4FE4" w:rsidP="000820D8">
            <w:pPr>
              <w:pStyle w:val="ListParagraph"/>
              <w:ind w:left="0"/>
              <w:jc w:val="center"/>
              <w:rPr>
                <w:b/>
                <w:sz w:val="18"/>
                <w:szCs w:val="18"/>
              </w:rPr>
            </w:pPr>
            <w:r w:rsidRPr="0010434F">
              <w:rPr>
                <w:b/>
                <w:sz w:val="18"/>
                <w:szCs w:val="18"/>
              </w:rPr>
              <w:t>КАЧЕСТВЕНИ ПОКАЗАТЕЛИ</w:t>
            </w:r>
          </w:p>
        </w:tc>
      </w:tr>
      <w:tr w:rsidR="008F4FE4" w:rsidRPr="0010434F" w14:paraId="0CC401C4" w14:textId="77777777" w:rsidTr="00697536">
        <w:trPr>
          <w:trHeight w:val="697"/>
        </w:trPr>
        <w:tc>
          <w:tcPr>
            <w:tcW w:w="1519" w:type="pct"/>
            <w:shd w:val="clear" w:color="auto" w:fill="F6C5AC" w:themeFill="accent2" w:themeFillTint="66"/>
          </w:tcPr>
          <w:p w14:paraId="167B514D" w14:textId="77777777" w:rsidR="008F4FE4" w:rsidRPr="0010434F" w:rsidRDefault="008F4FE4" w:rsidP="000820D8">
            <w:pPr>
              <w:pStyle w:val="ListParagraph"/>
              <w:ind w:left="0"/>
              <w:rPr>
                <w:b/>
                <w:sz w:val="18"/>
                <w:szCs w:val="18"/>
              </w:rPr>
            </w:pPr>
            <w:r w:rsidRPr="0010434F">
              <w:rPr>
                <w:b/>
                <w:sz w:val="18"/>
                <w:szCs w:val="18"/>
              </w:rPr>
              <w:t>ВЕРОИЗПОВЕДАНИЕ</w:t>
            </w:r>
          </w:p>
        </w:tc>
        <w:tc>
          <w:tcPr>
            <w:tcW w:w="972" w:type="pct"/>
            <w:shd w:val="clear" w:color="auto" w:fill="F6C5AC" w:themeFill="accent2" w:themeFillTint="66"/>
          </w:tcPr>
          <w:p w14:paraId="13EAA834" w14:textId="77777777" w:rsidR="008F4FE4" w:rsidRPr="0010434F" w:rsidRDefault="008F4FE4" w:rsidP="000820D8">
            <w:pPr>
              <w:pStyle w:val="ListParagraph"/>
              <w:ind w:left="0"/>
              <w:rPr>
                <w:b/>
                <w:sz w:val="18"/>
                <w:szCs w:val="18"/>
              </w:rPr>
            </w:pPr>
            <w:r w:rsidRPr="0010434F">
              <w:rPr>
                <w:b/>
                <w:sz w:val="18"/>
                <w:szCs w:val="18"/>
              </w:rPr>
              <w:t>МЕСТНО ПОДЕЛЕНИЕ</w:t>
            </w:r>
          </w:p>
        </w:tc>
        <w:tc>
          <w:tcPr>
            <w:tcW w:w="1197" w:type="pct"/>
            <w:shd w:val="clear" w:color="auto" w:fill="F6C5AC" w:themeFill="accent2" w:themeFillTint="66"/>
          </w:tcPr>
          <w:p w14:paraId="2C439355" w14:textId="77777777" w:rsidR="008F4FE4" w:rsidRPr="0010434F" w:rsidRDefault="008F4FE4" w:rsidP="000820D8">
            <w:pPr>
              <w:pStyle w:val="ListParagraph"/>
              <w:ind w:left="0"/>
              <w:rPr>
                <w:b/>
                <w:sz w:val="18"/>
                <w:szCs w:val="18"/>
              </w:rPr>
            </w:pPr>
            <w:r w:rsidRPr="0010434F">
              <w:rPr>
                <w:b/>
                <w:sz w:val="18"/>
                <w:szCs w:val="18"/>
              </w:rPr>
              <w:t>ЧУЖДЕСТРАНЕН СВЕЩЕНОСЛУЖИТЕЛ ГРАЖДАНИН НА</w:t>
            </w:r>
          </w:p>
        </w:tc>
        <w:tc>
          <w:tcPr>
            <w:tcW w:w="1312" w:type="pct"/>
            <w:shd w:val="clear" w:color="auto" w:fill="F6C5AC" w:themeFill="accent2" w:themeFillTint="66"/>
          </w:tcPr>
          <w:p w14:paraId="3777DF73" w14:textId="77777777" w:rsidR="008F4FE4" w:rsidRPr="0010434F" w:rsidRDefault="008F4FE4" w:rsidP="000820D8">
            <w:pPr>
              <w:pStyle w:val="ListParagraph"/>
              <w:ind w:left="0"/>
              <w:rPr>
                <w:b/>
                <w:sz w:val="18"/>
                <w:szCs w:val="18"/>
              </w:rPr>
            </w:pPr>
            <w:r w:rsidRPr="0010434F">
              <w:rPr>
                <w:b/>
                <w:sz w:val="18"/>
                <w:szCs w:val="18"/>
              </w:rPr>
              <w:t>МЯСТО НА БОГОСЛУЖЕНИЕТО</w:t>
            </w:r>
          </w:p>
        </w:tc>
      </w:tr>
      <w:tr w:rsidR="008F4FE4" w:rsidRPr="0010434F" w14:paraId="4D56E091" w14:textId="77777777" w:rsidTr="00697536">
        <w:trPr>
          <w:trHeight w:val="567"/>
        </w:trPr>
        <w:tc>
          <w:tcPr>
            <w:tcW w:w="1519" w:type="pct"/>
          </w:tcPr>
          <w:p w14:paraId="33F65E47" w14:textId="77777777" w:rsidR="008F4FE4" w:rsidRPr="0010434F" w:rsidRDefault="008F4FE4" w:rsidP="000820D8">
            <w:pPr>
              <w:pStyle w:val="ListParagraph"/>
              <w:ind w:left="0"/>
              <w:rPr>
                <w:sz w:val="18"/>
                <w:szCs w:val="18"/>
              </w:rPr>
            </w:pPr>
            <w:r w:rsidRPr="0010434F">
              <w:rPr>
                <w:sz w:val="18"/>
                <w:szCs w:val="18"/>
              </w:rPr>
              <w:t>ХРИСТИЯНСКИ ЦЪРКВИ НА ВЯРА В БЪЛГАРИЯ</w:t>
            </w:r>
          </w:p>
        </w:tc>
        <w:tc>
          <w:tcPr>
            <w:tcW w:w="972" w:type="pct"/>
          </w:tcPr>
          <w:p w14:paraId="0D8B98D9" w14:textId="4336290D" w:rsidR="008F4FE4" w:rsidRPr="008F4FE4" w:rsidRDefault="008F4FE4" w:rsidP="000820D8">
            <w:pPr>
              <w:pStyle w:val="ListParagraph"/>
              <w:ind w:left="0"/>
              <w:rPr>
                <w:sz w:val="18"/>
                <w:szCs w:val="18"/>
                <w:lang w:val="bg-BG"/>
              </w:rPr>
            </w:pPr>
            <w:r w:rsidRPr="0010434F">
              <w:rPr>
                <w:sz w:val="18"/>
                <w:szCs w:val="18"/>
              </w:rPr>
              <w:t xml:space="preserve">ХРИСТИЯНСКИ ЦЕНТЪР </w:t>
            </w:r>
            <w:r>
              <w:rPr>
                <w:sz w:val="18"/>
                <w:szCs w:val="18"/>
              </w:rPr>
              <w:t>–</w:t>
            </w:r>
            <w:r w:rsidRPr="0010434F">
              <w:rPr>
                <w:sz w:val="18"/>
                <w:szCs w:val="18"/>
              </w:rPr>
              <w:t xml:space="preserve"> СОФИЯ</w:t>
            </w:r>
            <w:r>
              <w:rPr>
                <w:sz w:val="18"/>
                <w:szCs w:val="18"/>
                <w:lang w:val="bg-BG"/>
              </w:rPr>
              <w:t xml:space="preserve"> </w:t>
            </w:r>
          </w:p>
        </w:tc>
        <w:tc>
          <w:tcPr>
            <w:tcW w:w="1197" w:type="pct"/>
          </w:tcPr>
          <w:p w14:paraId="3F736226" w14:textId="77777777" w:rsidR="008F4FE4" w:rsidRPr="0010434F" w:rsidRDefault="008F4FE4" w:rsidP="000820D8">
            <w:pPr>
              <w:pStyle w:val="ListParagraph"/>
              <w:ind w:left="0"/>
              <w:rPr>
                <w:sz w:val="18"/>
                <w:szCs w:val="18"/>
              </w:rPr>
            </w:pPr>
            <w:r w:rsidRPr="0010434F">
              <w:rPr>
                <w:sz w:val="18"/>
                <w:szCs w:val="18"/>
              </w:rPr>
              <w:t>ШВЕЦИЯ</w:t>
            </w:r>
          </w:p>
        </w:tc>
        <w:tc>
          <w:tcPr>
            <w:tcW w:w="1312" w:type="pct"/>
          </w:tcPr>
          <w:p w14:paraId="488910D0" w14:textId="77777777" w:rsidR="008F4FE4" w:rsidRPr="0010434F" w:rsidRDefault="008F4FE4" w:rsidP="000820D8">
            <w:pPr>
              <w:pStyle w:val="ListParagraph"/>
              <w:ind w:left="0"/>
              <w:rPr>
                <w:sz w:val="18"/>
                <w:szCs w:val="18"/>
              </w:rPr>
            </w:pPr>
            <w:r w:rsidRPr="0010434F">
              <w:rPr>
                <w:sz w:val="18"/>
                <w:szCs w:val="18"/>
              </w:rPr>
              <w:t>ГР. СОФИЯ, УЛ. „АРХ. ГЕОРГИ НЕНОВ“ № 72</w:t>
            </w:r>
          </w:p>
        </w:tc>
      </w:tr>
      <w:tr w:rsidR="008F4FE4" w:rsidRPr="0010434F" w14:paraId="5C486651" w14:textId="77777777" w:rsidTr="00697536">
        <w:trPr>
          <w:trHeight w:val="561"/>
        </w:trPr>
        <w:tc>
          <w:tcPr>
            <w:tcW w:w="1519" w:type="pct"/>
          </w:tcPr>
          <w:p w14:paraId="1463C775" w14:textId="77777777" w:rsidR="008F4FE4" w:rsidRPr="0010434F" w:rsidRDefault="008F4FE4" w:rsidP="000820D8">
            <w:pPr>
              <w:pStyle w:val="ListParagraph"/>
              <w:ind w:left="0"/>
              <w:rPr>
                <w:sz w:val="18"/>
                <w:szCs w:val="18"/>
              </w:rPr>
            </w:pPr>
            <w:r w:rsidRPr="0010434F">
              <w:rPr>
                <w:sz w:val="18"/>
                <w:szCs w:val="18"/>
              </w:rPr>
              <w:lastRenderedPageBreak/>
              <w:t>ХРИСТИЯНСКИ ЦЪРКВИ НА ВЯРА В БЪЛГАРИЯ</w:t>
            </w:r>
          </w:p>
        </w:tc>
        <w:tc>
          <w:tcPr>
            <w:tcW w:w="972" w:type="pct"/>
          </w:tcPr>
          <w:p w14:paraId="52E78CD3" w14:textId="61CEB359" w:rsidR="008F4FE4" w:rsidRPr="008F4FE4" w:rsidRDefault="008F4FE4" w:rsidP="000820D8">
            <w:pPr>
              <w:pStyle w:val="ListParagraph"/>
              <w:ind w:left="0"/>
              <w:rPr>
                <w:sz w:val="18"/>
                <w:szCs w:val="18"/>
                <w:lang w:val="bg-BG"/>
              </w:rPr>
            </w:pPr>
            <w:r w:rsidRPr="0010434F">
              <w:rPr>
                <w:sz w:val="18"/>
                <w:szCs w:val="18"/>
              </w:rPr>
              <w:t xml:space="preserve">ХРИСТИЯНСКИ ЦЕНТЪР </w:t>
            </w:r>
            <w:r>
              <w:rPr>
                <w:sz w:val="18"/>
                <w:szCs w:val="18"/>
              </w:rPr>
              <w:t>–</w:t>
            </w:r>
            <w:r w:rsidRPr="0010434F">
              <w:rPr>
                <w:sz w:val="18"/>
                <w:szCs w:val="18"/>
              </w:rPr>
              <w:t xml:space="preserve"> СОФИЯ</w:t>
            </w:r>
            <w:r>
              <w:rPr>
                <w:sz w:val="18"/>
                <w:szCs w:val="18"/>
                <w:lang w:val="bg-BG"/>
              </w:rPr>
              <w:t xml:space="preserve"> </w:t>
            </w:r>
          </w:p>
        </w:tc>
        <w:tc>
          <w:tcPr>
            <w:tcW w:w="1197" w:type="pct"/>
          </w:tcPr>
          <w:p w14:paraId="181252C5" w14:textId="77777777" w:rsidR="008F4FE4" w:rsidRPr="0010434F" w:rsidRDefault="008F4FE4" w:rsidP="000820D8">
            <w:pPr>
              <w:pStyle w:val="ListParagraph"/>
              <w:ind w:left="0"/>
              <w:rPr>
                <w:sz w:val="18"/>
                <w:szCs w:val="18"/>
              </w:rPr>
            </w:pPr>
            <w:r w:rsidRPr="0010434F">
              <w:rPr>
                <w:sz w:val="18"/>
                <w:szCs w:val="18"/>
              </w:rPr>
              <w:t>САЩ</w:t>
            </w:r>
          </w:p>
        </w:tc>
        <w:tc>
          <w:tcPr>
            <w:tcW w:w="1312" w:type="pct"/>
          </w:tcPr>
          <w:p w14:paraId="11FE1A6C" w14:textId="77777777" w:rsidR="008F4FE4" w:rsidRPr="0010434F" w:rsidRDefault="008F4FE4" w:rsidP="000820D8">
            <w:pPr>
              <w:pStyle w:val="ListParagraph"/>
              <w:ind w:left="0"/>
              <w:rPr>
                <w:sz w:val="18"/>
                <w:szCs w:val="18"/>
              </w:rPr>
            </w:pPr>
            <w:r w:rsidRPr="0010434F">
              <w:rPr>
                <w:sz w:val="18"/>
                <w:szCs w:val="18"/>
              </w:rPr>
              <w:t>ГР. СОФИЯ, УЛ. „АРХ. ГЕОРГИ НЕНОВ“ № 72</w:t>
            </w:r>
          </w:p>
        </w:tc>
      </w:tr>
      <w:tr w:rsidR="008F4FE4" w:rsidRPr="0010434F" w14:paraId="7A519250" w14:textId="77777777" w:rsidTr="00697536">
        <w:trPr>
          <w:trHeight w:val="555"/>
        </w:trPr>
        <w:tc>
          <w:tcPr>
            <w:tcW w:w="1519" w:type="pct"/>
          </w:tcPr>
          <w:p w14:paraId="2D96A214" w14:textId="77777777" w:rsidR="008F4FE4" w:rsidRPr="0010434F" w:rsidRDefault="008F4FE4" w:rsidP="000820D8">
            <w:pPr>
              <w:pStyle w:val="ListParagraph"/>
              <w:ind w:left="0"/>
              <w:rPr>
                <w:sz w:val="18"/>
                <w:szCs w:val="18"/>
              </w:rPr>
            </w:pPr>
            <w:r w:rsidRPr="0010434F">
              <w:rPr>
                <w:sz w:val="18"/>
                <w:szCs w:val="18"/>
              </w:rPr>
              <w:t>ХРИСТИЯНСКИ ЦЪРКВИ НА ВЯРА В БЪЛГАРИЯ</w:t>
            </w:r>
          </w:p>
        </w:tc>
        <w:tc>
          <w:tcPr>
            <w:tcW w:w="972" w:type="pct"/>
          </w:tcPr>
          <w:p w14:paraId="06D4B2CF" w14:textId="190C539C" w:rsidR="008F4FE4" w:rsidRPr="008F4FE4" w:rsidRDefault="008F4FE4" w:rsidP="000820D8">
            <w:pPr>
              <w:pStyle w:val="ListParagraph"/>
              <w:ind w:left="0"/>
              <w:rPr>
                <w:sz w:val="18"/>
                <w:szCs w:val="18"/>
                <w:lang w:val="bg-BG"/>
              </w:rPr>
            </w:pPr>
            <w:r w:rsidRPr="0010434F">
              <w:rPr>
                <w:sz w:val="18"/>
                <w:szCs w:val="18"/>
              </w:rPr>
              <w:t xml:space="preserve">ХРИСТИЯНСКИ ЦЕНТЪР </w:t>
            </w:r>
            <w:r>
              <w:rPr>
                <w:sz w:val="18"/>
                <w:szCs w:val="18"/>
              </w:rPr>
              <w:t>–</w:t>
            </w:r>
            <w:r w:rsidRPr="0010434F">
              <w:rPr>
                <w:sz w:val="18"/>
                <w:szCs w:val="18"/>
              </w:rPr>
              <w:t xml:space="preserve"> СОФИЯ</w:t>
            </w:r>
            <w:r>
              <w:rPr>
                <w:sz w:val="18"/>
                <w:szCs w:val="18"/>
                <w:lang w:val="bg-BG"/>
              </w:rPr>
              <w:t xml:space="preserve"> </w:t>
            </w:r>
          </w:p>
        </w:tc>
        <w:tc>
          <w:tcPr>
            <w:tcW w:w="1197" w:type="pct"/>
          </w:tcPr>
          <w:p w14:paraId="28DC6500" w14:textId="77777777" w:rsidR="008F4FE4" w:rsidRPr="0010434F" w:rsidRDefault="008F4FE4" w:rsidP="000820D8">
            <w:pPr>
              <w:pStyle w:val="ListParagraph"/>
              <w:ind w:left="0"/>
              <w:rPr>
                <w:sz w:val="18"/>
                <w:szCs w:val="18"/>
              </w:rPr>
            </w:pPr>
            <w:r w:rsidRPr="0010434F">
              <w:rPr>
                <w:sz w:val="18"/>
                <w:szCs w:val="18"/>
              </w:rPr>
              <w:t>САЩ</w:t>
            </w:r>
          </w:p>
        </w:tc>
        <w:tc>
          <w:tcPr>
            <w:tcW w:w="1312" w:type="pct"/>
          </w:tcPr>
          <w:p w14:paraId="2A1B7483" w14:textId="77777777" w:rsidR="008F4FE4" w:rsidRPr="0010434F" w:rsidRDefault="008F4FE4" w:rsidP="000820D8">
            <w:pPr>
              <w:pStyle w:val="ListParagraph"/>
              <w:ind w:left="0"/>
              <w:rPr>
                <w:sz w:val="18"/>
                <w:szCs w:val="18"/>
              </w:rPr>
            </w:pPr>
            <w:r w:rsidRPr="0010434F">
              <w:rPr>
                <w:sz w:val="18"/>
                <w:szCs w:val="18"/>
              </w:rPr>
              <w:t>ГР. СОФИЯ, УЛ. „АРХ. ГЕОРГИ НЕНОВ“ № 72</w:t>
            </w:r>
          </w:p>
        </w:tc>
      </w:tr>
      <w:tr w:rsidR="008F4FE4" w:rsidRPr="0010434F" w14:paraId="4EEC7653" w14:textId="77777777" w:rsidTr="00697536">
        <w:trPr>
          <w:trHeight w:val="563"/>
        </w:trPr>
        <w:tc>
          <w:tcPr>
            <w:tcW w:w="1519" w:type="pct"/>
          </w:tcPr>
          <w:p w14:paraId="598E8D73" w14:textId="77777777" w:rsidR="008F4FE4" w:rsidRPr="0010434F" w:rsidRDefault="008F4FE4" w:rsidP="000820D8">
            <w:pPr>
              <w:pStyle w:val="ListParagraph"/>
              <w:ind w:left="0"/>
              <w:rPr>
                <w:sz w:val="18"/>
                <w:szCs w:val="18"/>
              </w:rPr>
            </w:pPr>
            <w:r w:rsidRPr="0010434F">
              <w:rPr>
                <w:sz w:val="18"/>
                <w:szCs w:val="18"/>
              </w:rPr>
              <w:t>ХРИСТИЯНСКИ ЦЪРКВИ НА ВЯРА В БЪЛГАРИЯ</w:t>
            </w:r>
          </w:p>
        </w:tc>
        <w:tc>
          <w:tcPr>
            <w:tcW w:w="972" w:type="pct"/>
          </w:tcPr>
          <w:p w14:paraId="4CD55522" w14:textId="0A04A45E" w:rsidR="008F4FE4" w:rsidRPr="008F4FE4" w:rsidRDefault="008F4FE4" w:rsidP="000820D8">
            <w:pPr>
              <w:pStyle w:val="ListParagraph"/>
              <w:ind w:left="0"/>
              <w:rPr>
                <w:sz w:val="18"/>
                <w:szCs w:val="18"/>
                <w:lang w:val="bg-BG"/>
              </w:rPr>
            </w:pPr>
            <w:r w:rsidRPr="0010434F">
              <w:rPr>
                <w:sz w:val="18"/>
                <w:szCs w:val="18"/>
              </w:rPr>
              <w:t xml:space="preserve">ХРИСТИЯНСКИ ЦЕНТЪР </w:t>
            </w:r>
            <w:r>
              <w:rPr>
                <w:sz w:val="18"/>
                <w:szCs w:val="18"/>
              </w:rPr>
              <w:t>–</w:t>
            </w:r>
            <w:r w:rsidRPr="0010434F">
              <w:rPr>
                <w:sz w:val="18"/>
                <w:szCs w:val="18"/>
              </w:rPr>
              <w:t xml:space="preserve"> СОФИЯ</w:t>
            </w:r>
            <w:r>
              <w:rPr>
                <w:sz w:val="18"/>
                <w:szCs w:val="18"/>
                <w:lang w:val="bg-BG"/>
              </w:rPr>
              <w:t xml:space="preserve"> </w:t>
            </w:r>
          </w:p>
        </w:tc>
        <w:tc>
          <w:tcPr>
            <w:tcW w:w="1197" w:type="pct"/>
          </w:tcPr>
          <w:p w14:paraId="2F2FE9D2" w14:textId="77777777" w:rsidR="008F4FE4" w:rsidRPr="0010434F" w:rsidRDefault="008F4FE4" w:rsidP="000820D8">
            <w:pPr>
              <w:pStyle w:val="ListParagraph"/>
              <w:ind w:left="0"/>
              <w:rPr>
                <w:sz w:val="18"/>
                <w:szCs w:val="18"/>
              </w:rPr>
            </w:pPr>
            <w:r w:rsidRPr="0010434F">
              <w:rPr>
                <w:sz w:val="18"/>
                <w:szCs w:val="18"/>
              </w:rPr>
              <w:t>САЩ</w:t>
            </w:r>
          </w:p>
        </w:tc>
        <w:tc>
          <w:tcPr>
            <w:tcW w:w="1312" w:type="pct"/>
          </w:tcPr>
          <w:p w14:paraId="5C29E96A" w14:textId="77777777" w:rsidR="008F4FE4" w:rsidRPr="0010434F" w:rsidRDefault="008F4FE4" w:rsidP="000820D8">
            <w:pPr>
              <w:pStyle w:val="ListParagraph"/>
              <w:ind w:left="0"/>
              <w:rPr>
                <w:sz w:val="18"/>
                <w:szCs w:val="18"/>
              </w:rPr>
            </w:pPr>
            <w:r w:rsidRPr="0010434F">
              <w:rPr>
                <w:sz w:val="18"/>
                <w:szCs w:val="18"/>
              </w:rPr>
              <w:t>ГР. СОФИЯ, УЛ. „АРХ. ГЕОРГИ НЕНОВ“ № 72</w:t>
            </w:r>
          </w:p>
        </w:tc>
      </w:tr>
    </w:tbl>
    <w:p w14:paraId="6AF5F14C" w14:textId="40D40D15" w:rsidR="00DB23D8" w:rsidRPr="00641163" w:rsidRDefault="00DB23D8" w:rsidP="009C4D63">
      <w:pPr>
        <w:numPr>
          <w:ilvl w:val="0"/>
          <w:numId w:val="10"/>
        </w:numPr>
        <w:shd w:val="clear" w:color="auto" w:fill="FFFFFF" w:themeFill="background1"/>
        <w:tabs>
          <w:tab w:val="clear" w:pos="1068"/>
          <w:tab w:val="num" w:pos="709"/>
        </w:tabs>
        <w:spacing w:before="240"/>
        <w:ind w:left="709" w:hanging="284"/>
        <w:jc w:val="both"/>
        <w:rPr>
          <w:b/>
          <w:i/>
          <w:sz w:val="22"/>
          <w:szCs w:val="22"/>
          <w:specVanish/>
        </w:rPr>
      </w:pPr>
      <w:r w:rsidRPr="00641163">
        <w:rPr>
          <w:b/>
          <w:i/>
          <w:sz w:val="22"/>
          <w:szCs w:val="22"/>
          <w:specVanish/>
        </w:rPr>
        <w:t>Обраб</w:t>
      </w:r>
      <w:r w:rsidR="009C4D63" w:rsidRPr="00641163">
        <w:rPr>
          <w:b/>
          <w:i/>
          <w:sz w:val="22"/>
          <w:szCs w:val="22"/>
        </w:rPr>
        <w:t>отени преписки и издадени писма</w:t>
      </w:r>
      <w:r w:rsidRPr="00641163">
        <w:rPr>
          <w:b/>
          <w:i/>
          <w:sz w:val="22"/>
          <w:szCs w:val="22"/>
          <w:specVanish/>
        </w:rPr>
        <w:t xml:space="preserve"> до Софийски градски съд съгласно чл. 16 от Закона за вероизповеданията</w:t>
      </w:r>
    </w:p>
    <w:tbl>
      <w:tblPr>
        <w:tblStyle w:val="TableGrid"/>
        <w:tblW w:w="5000" w:type="pct"/>
        <w:tblLook w:val="04A0" w:firstRow="1" w:lastRow="0" w:firstColumn="1" w:lastColumn="0" w:noHBand="0" w:noVBand="1"/>
      </w:tblPr>
      <w:tblGrid>
        <w:gridCol w:w="7533"/>
        <w:gridCol w:w="1813"/>
      </w:tblGrid>
      <w:tr w:rsidR="00CF234F" w:rsidRPr="00960E67" w14:paraId="39112AB0" w14:textId="77777777" w:rsidTr="007713B4">
        <w:tc>
          <w:tcPr>
            <w:tcW w:w="5000" w:type="pct"/>
            <w:gridSpan w:val="2"/>
            <w:shd w:val="clear" w:color="auto" w:fill="F6C5AC" w:themeFill="accent2" w:themeFillTint="66"/>
            <w:vAlign w:val="center"/>
          </w:tcPr>
          <w:p w14:paraId="6BA87804" w14:textId="77777777" w:rsidR="00CF234F" w:rsidRPr="00960E67" w:rsidRDefault="00CF234F" w:rsidP="00443F31">
            <w:pPr>
              <w:pStyle w:val="ListParagraph"/>
              <w:ind w:left="0"/>
              <w:jc w:val="center"/>
              <w:rPr>
                <w:b/>
                <w:sz w:val="18"/>
                <w:szCs w:val="18"/>
              </w:rPr>
            </w:pPr>
            <w:r w:rsidRPr="00960E67">
              <w:rPr>
                <w:b/>
                <w:sz w:val="18"/>
                <w:szCs w:val="18"/>
              </w:rPr>
              <w:t>КОЛИЧЕСТВЕНИ ПОКАЗАТЕЛИ</w:t>
            </w:r>
          </w:p>
        </w:tc>
      </w:tr>
      <w:tr w:rsidR="00CF234F" w:rsidRPr="00960E67" w14:paraId="1AC6D9B1" w14:textId="77777777" w:rsidTr="007713B4">
        <w:tc>
          <w:tcPr>
            <w:tcW w:w="5000" w:type="pct"/>
            <w:gridSpan w:val="2"/>
          </w:tcPr>
          <w:p w14:paraId="629F77E1" w14:textId="77777777" w:rsidR="00CF234F" w:rsidRPr="00960E67" w:rsidRDefault="00CF234F" w:rsidP="00443F31">
            <w:pPr>
              <w:pStyle w:val="ListParagraph"/>
              <w:ind w:left="0"/>
              <w:rPr>
                <w:sz w:val="18"/>
                <w:szCs w:val="18"/>
              </w:rPr>
            </w:pPr>
            <w:r w:rsidRPr="00960E67">
              <w:rPr>
                <w:sz w:val="18"/>
                <w:szCs w:val="18"/>
              </w:rPr>
              <w:t xml:space="preserve">ОБЩ БРОЙ ПРЕПИСКИ: </w:t>
            </w:r>
            <w:r w:rsidRPr="00960E67">
              <w:rPr>
                <w:b/>
                <w:sz w:val="18"/>
                <w:szCs w:val="18"/>
              </w:rPr>
              <w:t>21</w:t>
            </w:r>
          </w:p>
        </w:tc>
      </w:tr>
      <w:tr w:rsidR="00CF234F" w:rsidRPr="00960E67" w14:paraId="0982D3F2" w14:textId="77777777" w:rsidTr="007713B4">
        <w:tc>
          <w:tcPr>
            <w:tcW w:w="5000" w:type="pct"/>
            <w:gridSpan w:val="2"/>
            <w:shd w:val="clear" w:color="auto" w:fill="C1F0C7" w:themeFill="accent3" w:themeFillTint="33"/>
            <w:vAlign w:val="center"/>
          </w:tcPr>
          <w:p w14:paraId="599A24CE" w14:textId="77777777" w:rsidR="00CF234F" w:rsidRPr="00960E67" w:rsidRDefault="00CF234F" w:rsidP="00443F31">
            <w:pPr>
              <w:pStyle w:val="ListParagraph"/>
              <w:ind w:left="0"/>
              <w:jc w:val="center"/>
              <w:rPr>
                <w:b/>
                <w:sz w:val="18"/>
                <w:szCs w:val="18"/>
              </w:rPr>
            </w:pPr>
            <w:r w:rsidRPr="00960E67">
              <w:rPr>
                <w:b/>
                <w:sz w:val="18"/>
                <w:szCs w:val="18"/>
              </w:rPr>
              <w:t>КАЧЕСТВЕНИ ПОКАЗАТЕЛИ</w:t>
            </w:r>
          </w:p>
        </w:tc>
      </w:tr>
      <w:tr w:rsidR="00CF234F" w:rsidRPr="00960E67" w14:paraId="3D64191A" w14:textId="77777777" w:rsidTr="007713B4">
        <w:tc>
          <w:tcPr>
            <w:tcW w:w="5000" w:type="pct"/>
            <w:gridSpan w:val="2"/>
            <w:shd w:val="clear" w:color="auto" w:fill="F6C5AC" w:themeFill="accent2" w:themeFillTint="66"/>
          </w:tcPr>
          <w:p w14:paraId="7B09ADF9" w14:textId="0597369D" w:rsidR="00CF234F" w:rsidRPr="00960E67" w:rsidRDefault="00CF234F" w:rsidP="00443F31">
            <w:pPr>
              <w:pStyle w:val="ListParagraph"/>
              <w:ind w:left="0"/>
              <w:rPr>
                <w:b/>
                <w:sz w:val="18"/>
                <w:szCs w:val="18"/>
              </w:rPr>
            </w:pPr>
            <w:r w:rsidRPr="00960E67">
              <w:rPr>
                <w:b/>
                <w:sz w:val="18"/>
                <w:szCs w:val="18"/>
              </w:rPr>
              <w:t xml:space="preserve">ЕКСПЕРТНИ СТАНОВИЩА ОТНОСНО РЕГИСТРАЦИЯНА НОВИ РЕЛИГИОЗНИ ИНСТИТУЦИИ ПО </w:t>
            </w:r>
            <w:r w:rsidR="00140D67">
              <w:rPr>
                <w:b/>
                <w:sz w:val="18"/>
                <w:szCs w:val="18"/>
              </w:rPr>
              <w:br/>
            </w:r>
            <w:r w:rsidRPr="00960E67">
              <w:rPr>
                <w:b/>
                <w:sz w:val="18"/>
                <w:szCs w:val="18"/>
              </w:rPr>
              <w:t>ЧЛ. 16 ОТ ЗАКОНА ЗА ВЕРОИЗПОВЕДАНИЯТА</w:t>
            </w:r>
          </w:p>
        </w:tc>
      </w:tr>
      <w:tr w:rsidR="00CF234F" w:rsidRPr="00960E67" w14:paraId="0FA4AAE0" w14:textId="77777777" w:rsidTr="007713B4">
        <w:trPr>
          <w:trHeight w:val="354"/>
        </w:trPr>
        <w:tc>
          <w:tcPr>
            <w:tcW w:w="4030" w:type="pct"/>
            <w:shd w:val="clear" w:color="auto" w:fill="FAE2D5" w:themeFill="accent2" w:themeFillTint="33"/>
          </w:tcPr>
          <w:p w14:paraId="4423C6CC" w14:textId="77777777" w:rsidR="00CF234F" w:rsidRPr="00960E67" w:rsidRDefault="00CF234F" w:rsidP="00443F31">
            <w:pPr>
              <w:pStyle w:val="ListParagraph"/>
              <w:ind w:left="0"/>
              <w:rPr>
                <w:sz w:val="18"/>
                <w:szCs w:val="18"/>
              </w:rPr>
            </w:pPr>
            <w:r w:rsidRPr="00960E67">
              <w:rPr>
                <w:sz w:val="18"/>
                <w:szCs w:val="18"/>
              </w:rPr>
              <w:t>НАИМЕНОВАНИЕ НА РЕЛИГИОЗНАТА ИНСТИТУЦИЯ</w:t>
            </w:r>
          </w:p>
        </w:tc>
        <w:tc>
          <w:tcPr>
            <w:tcW w:w="970" w:type="pct"/>
            <w:shd w:val="clear" w:color="auto" w:fill="FAE2D5" w:themeFill="accent2" w:themeFillTint="33"/>
          </w:tcPr>
          <w:p w14:paraId="2B8E5D79" w14:textId="77777777" w:rsidR="00CF234F" w:rsidRPr="00960E67" w:rsidRDefault="00CF234F" w:rsidP="00443F31">
            <w:pPr>
              <w:pStyle w:val="ListParagraph"/>
              <w:ind w:left="0"/>
              <w:rPr>
                <w:sz w:val="18"/>
                <w:szCs w:val="18"/>
              </w:rPr>
            </w:pPr>
            <w:r w:rsidRPr="00960E67">
              <w:rPr>
                <w:sz w:val="18"/>
                <w:szCs w:val="18"/>
              </w:rPr>
              <w:t>БРОЙ СТАНОВИЩА</w:t>
            </w:r>
          </w:p>
        </w:tc>
      </w:tr>
      <w:tr w:rsidR="00CF234F" w:rsidRPr="00960E67" w14:paraId="2D240D6E" w14:textId="77777777" w:rsidTr="007713B4">
        <w:trPr>
          <w:trHeight w:val="128"/>
        </w:trPr>
        <w:tc>
          <w:tcPr>
            <w:tcW w:w="4030" w:type="pct"/>
          </w:tcPr>
          <w:p w14:paraId="3B3C0487" w14:textId="77777777" w:rsidR="00CF234F" w:rsidRPr="00960E67" w:rsidRDefault="00CF234F" w:rsidP="00443F31">
            <w:pPr>
              <w:pStyle w:val="ListParagraph"/>
              <w:ind w:left="0"/>
              <w:rPr>
                <w:sz w:val="18"/>
                <w:szCs w:val="18"/>
              </w:rPr>
            </w:pPr>
            <w:r w:rsidRPr="00960E67">
              <w:rPr>
                <w:sz w:val="18"/>
                <w:szCs w:val="18"/>
              </w:rPr>
              <w:t>АПОСТОЛСКА ЕВАНГЕЛСКА ЦЪРКВА</w:t>
            </w:r>
          </w:p>
        </w:tc>
        <w:tc>
          <w:tcPr>
            <w:tcW w:w="970" w:type="pct"/>
          </w:tcPr>
          <w:p w14:paraId="08868EE1" w14:textId="77777777" w:rsidR="00CF234F" w:rsidRPr="00960E67" w:rsidRDefault="00CF234F" w:rsidP="00443F31">
            <w:pPr>
              <w:pStyle w:val="ListParagraph"/>
              <w:ind w:left="0"/>
              <w:jc w:val="center"/>
              <w:rPr>
                <w:sz w:val="18"/>
                <w:szCs w:val="18"/>
              </w:rPr>
            </w:pPr>
            <w:r w:rsidRPr="00960E67">
              <w:rPr>
                <w:sz w:val="18"/>
                <w:szCs w:val="18"/>
              </w:rPr>
              <w:t>1</w:t>
            </w:r>
          </w:p>
        </w:tc>
      </w:tr>
      <w:tr w:rsidR="00CF234F" w:rsidRPr="00960E67" w14:paraId="06C04ABB" w14:textId="77777777" w:rsidTr="007713B4">
        <w:trPr>
          <w:trHeight w:val="220"/>
        </w:trPr>
        <w:tc>
          <w:tcPr>
            <w:tcW w:w="4030" w:type="pct"/>
          </w:tcPr>
          <w:p w14:paraId="5B23F792" w14:textId="77777777" w:rsidR="00CF234F" w:rsidRPr="00960E67" w:rsidRDefault="00CF234F" w:rsidP="00443F31">
            <w:pPr>
              <w:pStyle w:val="ListParagraph"/>
              <w:ind w:left="0"/>
              <w:rPr>
                <w:sz w:val="18"/>
                <w:szCs w:val="18"/>
              </w:rPr>
            </w:pPr>
            <w:r w:rsidRPr="00960E67">
              <w:rPr>
                <w:sz w:val="18"/>
                <w:szCs w:val="18"/>
              </w:rPr>
              <w:t>БИБЛЕЙСКИ ХРИСТИЯНСКИ ЦЕНТЪР</w:t>
            </w:r>
          </w:p>
        </w:tc>
        <w:tc>
          <w:tcPr>
            <w:tcW w:w="970" w:type="pct"/>
          </w:tcPr>
          <w:p w14:paraId="0DDD883D" w14:textId="77777777" w:rsidR="00CF234F" w:rsidRPr="00960E67" w:rsidRDefault="00CF234F" w:rsidP="00443F31">
            <w:pPr>
              <w:pStyle w:val="ListParagraph"/>
              <w:ind w:left="0"/>
              <w:jc w:val="center"/>
              <w:rPr>
                <w:sz w:val="18"/>
                <w:szCs w:val="18"/>
              </w:rPr>
            </w:pPr>
            <w:r w:rsidRPr="00960E67">
              <w:rPr>
                <w:sz w:val="18"/>
                <w:szCs w:val="18"/>
              </w:rPr>
              <w:t>1</w:t>
            </w:r>
          </w:p>
        </w:tc>
      </w:tr>
      <w:tr w:rsidR="00CF234F" w:rsidRPr="00960E67" w14:paraId="291D2FCB" w14:textId="77777777" w:rsidTr="007713B4">
        <w:trPr>
          <w:trHeight w:val="244"/>
        </w:trPr>
        <w:tc>
          <w:tcPr>
            <w:tcW w:w="4030" w:type="pct"/>
          </w:tcPr>
          <w:p w14:paraId="19FF8EC0" w14:textId="77777777" w:rsidR="00CF234F" w:rsidRPr="00960E67" w:rsidRDefault="00CF234F" w:rsidP="00443F31">
            <w:pPr>
              <w:pStyle w:val="ListParagraph"/>
              <w:ind w:left="0"/>
              <w:rPr>
                <w:sz w:val="18"/>
                <w:szCs w:val="18"/>
              </w:rPr>
            </w:pPr>
            <w:r w:rsidRPr="00960E67">
              <w:rPr>
                <w:sz w:val="18"/>
                <w:szCs w:val="18"/>
              </w:rPr>
              <w:t>БИБЛЕЙСКИ ХРИСТИЯНСКИ ЦЕНТЪР</w:t>
            </w:r>
          </w:p>
        </w:tc>
        <w:tc>
          <w:tcPr>
            <w:tcW w:w="970" w:type="pct"/>
          </w:tcPr>
          <w:p w14:paraId="7C1412AB" w14:textId="77777777" w:rsidR="00CF234F" w:rsidRPr="00960E67" w:rsidRDefault="00CF234F" w:rsidP="00443F31">
            <w:pPr>
              <w:pStyle w:val="ListParagraph"/>
              <w:ind w:left="0"/>
              <w:jc w:val="center"/>
              <w:rPr>
                <w:sz w:val="18"/>
                <w:szCs w:val="18"/>
              </w:rPr>
            </w:pPr>
            <w:r w:rsidRPr="00960E67">
              <w:rPr>
                <w:sz w:val="18"/>
                <w:szCs w:val="18"/>
              </w:rPr>
              <w:t>1</w:t>
            </w:r>
          </w:p>
        </w:tc>
      </w:tr>
      <w:tr w:rsidR="00CF234F" w:rsidRPr="00960E67" w14:paraId="23FBC606" w14:textId="77777777" w:rsidTr="007713B4">
        <w:trPr>
          <w:trHeight w:val="220"/>
        </w:trPr>
        <w:tc>
          <w:tcPr>
            <w:tcW w:w="4030" w:type="pct"/>
          </w:tcPr>
          <w:p w14:paraId="5FBF5A62" w14:textId="77777777" w:rsidR="00CF234F" w:rsidRPr="00960E67" w:rsidRDefault="00CF234F" w:rsidP="00443F31">
            <w:pPr>
              <w:pStyle w:val="ListParagraph"/>
              <w:ind w:left="0"/>
              <w:rPr>
                <w:sz w:val="18"/>
                <w:szCs w:val="18"/>
              </w:rPr>
            </w:pPr>
            <w:r w:rsidRPr="00960E67">
              <w:rPr>
                <w:sz w:val="18"/>
                <w:szCs w:val="18"/>
              </w:rPr>
              <w:t>ЕВАНГЕЛСКА ЦЪРКВА ДОМ БОЖИЙ</w:t>
            </w:r>
          </w:p>
        </w:tc>
        <w:tc>
          <w:tcPr>
            <w:tcW w:w="970" w:type="pct"/>
          </w:tcPr>
          <w:p w14:paraId="4AFB410F" w14:textId="77777777" w:rsidR="00CF234F" w:rsidRPr="00960E67" w:rsidRDefault="00CF234F" w:rsidP="00443F31">
            <w:pPr>
              <w:pStyle w:val="ListParagraph"/>
              <w:ind w:left="0"/>
              <w:jc w:val="center"/>
              <w:rPr>
                <w:sz w:val="18"/>
                <w:szCs w:val="18"/>
              </w:rPr>
            </w:pPr>
            <w:r w:rsidRPr="00960E67">
              <w:rPr>
                <w:sz w:val="18"/>
                <w:szCs w:val="18"/>
              </w:rPr>
              <w:t>1</w:t>
            </w:r>
          </w:p>
        </w:tc>
      </w:tr>
      <w:tr w:rsidR="00CF234F" w:rsidRPr="00960E67" w14:paraId="1C1965A1" w14:textId="77777777" w:rsidTr="007713B4">
        <w:trPr>
          <w:trHeight w:val="156"/>
        </w:trPr>
        <w:tc>
          <w:tcPr>
            <w:tcW w:w="4030" w:type="pct"/>
          </w:tcPr>
          <w:p w14:paraId="0CE8AB66" w14:textId="77777777" w:rsidR="00CF234F" w:rsidRPr="00960E67" w:rsidRDefault="00CF234F" w:rsidP="00443F31">
            <w:pPr>
              <w:pStyle w:val="ListParagraph"/>
              <w:ind w:left="0"/>
              <w:rPr>
                <w:sz w:val="18"/>
                <w:szCs w:val="18"/>
              </w:rPr>
            </w:pPr>
            <w:r w:rsidRPr="00960E67">
              <w:rPr>
                <w:sz w:val="18"/>
                <w:szCs w:val="18"/>
              </w:rPr>
              <w:t>ЕВАНГЕЛСКА ЦЪРКВА ОГНЕНА ВЯРА</w:t>
            </w:r>
          </w:p>
        </w:tc>
        <w:tc>
          <w:tcPr>
            <w:tcW w:w="970" w:type="pct"/>
          </w:tcPr>
          <w:p w14:paraId="55042C04" w14:textId="77777777" w:rsidR="00CF234F" w:rsidRPr="00960E67" w:rsidRDefault="00CF234F" w:rsidP="00443F31">
            <w:pPr>
              <w:pStyle w:val="ListParagraph"/>
              <w:ind w:left="0"/>
              <w:jc w:val="center"/>
              <w:rPr>
                <w:sz w:val="18"/>
                <w:szCs w:val="18"/>
              </w:rPr>
            </w:pPr>
            <w:r w:rsidRPr="00960E67">
              <w:rPr>
                <w:sz w:val="18"/>
                <w:szCs w:val="18"/>
              </w:rPr>
              <w:t>1</w:t>
            </w:r>
          </w:p>
        </w:tc>
      </w:tr>
      <w:tr w:rsidR="00CF234F" w:rsidRPr="00960E67" w14:paraId="56FB95E8" w14:textId="77777777" w:rsidTr="007713B4">
        <w:trPr>
          <w:trHeight w:val="126"/>
        </w:trPr>
        <w:tc>
          <w:tcPr>
            <w:tcW w:w="4030" w:type="pct"/>
          </w:tcPr>
          <w:p w14:paraId="155C929B" w14:textId="77777777" w:rsidR="00CF234F" w:rsidRPr="00960E67" w:rsidRDefault="00CF234F" w:rsidP="00443F31">
            <w:pPr>
              <w:pStyle w:val="ListParagraph"/>
              <w:ind w:left="0"/>
              <w:rPr>
                <w:sz w:val="18"/>
                <w:szCs w:val="18"/>
              </w:rPr>
            </w:pPr>
            <w:r w:rsidRPr="00960E67">
              <w:rPr>
                <w:sz w:val="18"/>
                <w:szCs w:val="18"/>
              </w:rPr>
              <w:t>ИЗОСТАВЕНИЯ ХРИСТОС</w:t>
            </w:r>
          </w:p>
        </w:tc>
        <w:tc>
          <w:tcPr>
            <w:tcW w:w="970" w:type="pct"/>
          </w:tcPr>
          <w:p w14:paraId="1B70F1DE" w14:textId="77777777" w:rsidR="00CF234F" w:rsidRPr="00960E67" w:rsidRDefault="00CF234F" w:rsidP="00443F31">
            <w:pPr>
              <w:pStyle w:val="ListParagraph"/>
              <w:ind w:left="0"/>
              <w:jc w:val="center"/>
              <w:rPr>
                <w:sz w:val="18"/>
                <w:szCs w:val="18"/>
              </w:rPr>
            </w:pPr>
            <w:r w:rsidRPr="00960E67">
              <w:rPr>
                <w:sz w:val="18"/>
                <w:szCs w:val="18"/>
              </w:rPr>
              <w:t>1</w:t>
            </w:r>
          </w:p>
        </w:tc>
      </w:tr>
      <w:tr w:rsidR="00CF234F" w:rsidRPr="00960E67" w14:paraId="253E02A6" w14:textId="77777777" w:rsidTr="007713B4">
        <w:trPr>
          <w:trHeight w:val="216"/>
        </w:trPr>
        <w:tc>
          <w:tcPr>
            <w:tcW w:w="4030" w:type="pct"/>
          </w:tcPr>
          <w:p w14:paraId="0CB2D155" w14:textId="77777777" w:rsidR="00CF234F" w:rsidRPr="00960E67" w:rsidRDefault="00CF234F" w:rsidP="00443F31">
            <w:pPr>
              <w:pStyle w:val="ListParagraph"/>
              <w:ind w:left="0"/>
              <w:rPr>
                <w:sz w:val="18"/>
                <w:szCs w:val="18"/>
              </w:rPr>
            </w:pPr>
            <w:r w:rsidRPr="00960E67">
              <w:rPr>
                <w:sz w:val="18"/>
                <w:szCs w:val="18"/>
              </w:rPr>
              <w:t>МЕЖДУНАРОДНА МИСИОНЕРСКА ЦЪРКВА</w:t>
            </w:r>
          </w:p>
        </w:tc>
        <w:tc>
          <w:tcPr>
            <w:tcW w:w="970" w:type="pct"/>
          </w:tcPr>
          <w:p w14:paraId="43155A82" w14:textId="77777777" w:rsidR="00CF234F" w:rsidRPr="00960E67" w:rsidRDefault="00CF234F" w:rsidP="00443F31">
            <w:pPr>
              <w:pStyle w:val="ListParagraph"/>
              <w:ind w:left="0"/>
              <w:jc w:val="center"/>
              <w:rPr>
                <w:sz w:val="18"/>
                <w:szCs w:val="18"/>
              </w:rPr>
            </w:pPr>
            <w:r w:rsidRPr="00960E67">
              <w:rPr>
                <w:sz w:val="18"/>
                <w:szCs w:val="18"/>
              </w:rPr>
              <w:t>1</w:t>
            </w:r>
          </w:p>
        </w:tc>
      </w:tr>
      <w:tr w:rsidR="00CF234F" w:rsidRPr="00960E67" w14:paraId="62552AF8" w14:textId="77777777" w:rsidTr="007713B4">
        <w:trPr>
          <w:trHeight w:val="148"/>
        </w:trPr>
        <w:tc>
          <w:tcPr>
            <w:tcW w:w="4030" w:type="pct"/>
          </w:tcPr>
          <w:p w14:paraId="56F8507A" w14:textId="77777777" w:rsidR="00CF234F" w:rsidRPr="00960E67" w:rsidRDefault="00CF234F" w:rsidP="00443F31">
            <w:pPr>
              <w:pStyle w:val="ListParagraph"/>
              <w:ind w:left="0"/>
              <w:rPr>
                <w:sz w:val="18"/>
                <w:szCs w:val="18"/>
              </w:rPr>
            </w:pPr>
            <w:r w:rsidRPr="00960E67">
              <w:rPr>
                <w:sz w:val="18"/>
                <w:szCs w:val="18"/>
              </w:rPr>
              <w:t>СВЕЩЕНИЯ ОГЪН НА ИТЦАЧИЛАТАН</w:t>
            </w:r>
          </w:p>
        </w:tc>
        <w:tc>
          <w:tcPr>
            <w:tcW w:w="970" w:type="pct"/>
          </w:tcPr>
          <w:p w14:paraId="0F343EAD" w14:textId="77777777" w:rsidR="00CF234F" w:rsidRPr="00960E67" w:rsidRDefault="00CF234F" w:rsidP="00443F31">
            <w:pPr>
              <w:pStyle w:val="ListParagraph"/>
              <w:ind w:left="0"/>
              <w:jc w:val="center"/>
              <w:rPr>
                <w:sz w:val="18"/>
                <w:szCs w:val="18"/>
              </w:rPr>
            </w:pPr>
            <w:r w:rsidRPr="00960E67">
              <w:rPr>
                <w:sz w:val="18"/>
                <w:szCs w:val="18"/>
              </w:rPr>
              <w:t>3</w:t>
            </w:r>
          </w:p>
        </w:tc>
      </w:tr>
      <w:tr w:rsidR="00CF234F" w:rsidRPr="00960E67" w14:paraId="0EAC3FDF" w14:textId="77777777" w:rsidTr="007713B4">
        <w:trPr>
          <w:trHeight w:val="236"/>
        </w:trPr>
        <w:tc>
          <w:tcPr>
            <w:tcW w:w="4030" w:type="pct"/>
          </w:tcPr>
          <w:p w14:paraId="785E47CE" w14:textId="77777777" w:rsidR="00CF234F" w:rsidRPr="00960E67" w:rsidRDefault="00CF234F" w:rsidP="00443F31">
            <w:pPr>
              <w:pStyle w:val="ListParagraph"/>
              <w:ind w:left="0"/>
              <w:rPr>
                <w:sz w:val="18"/>
                <w:szCs w:val="18"/>
              </w:rPr>
            </w:pPr>
            <w:r w:rsidRPr="00960E67">
              <w:rPr>
                <w:sz w:val="18"/>
                <w:szCs w:val="18"/>
              </w:rPr>
              <w:t>ХРИСТИЯНСКА ЦЪРКВА БОЖИ ГРАД</w:t>
            </w:r>
          </w:p>
        </w:tc>
        <w:tc>
          <w:tcPr>
            <w:tcW w:w="970" w:type="pct"/>
          </w:tcPr>
          <w:p w14:paraId="53F59043" w14:textId="77777777" w:rsidR="00CF234F" w:rsidRPr="00960E67" w:rsidRDefault="00CF234F" w:rsidP="00443F31">
            <w:pPr>
              <w:pStyle w:val="ListParagraph"/>
              <w:ind w:left="0"/>
              <w:jc w:val="center"/>
              <w:rPr>
                <w:sz w:val="18"/>
                <w:szCs w:val="18"/>
              </w:rPr>
            </w:pPr>
            <w:r w:rsidRPr="00960E67">
              <w:rPr>
                <w:sz w:val="18"/>
                <w:szCs w:val="18"/>
              </w:rPr>
              <w:t>1</w:t>
            </w:r>
          </w:p>
        </w:tc>
      </w:tr>
      <w:tr w:rsidR="00CF234F" w:rsidRPr="00960E67" w14:paraId="54B91021" w14:textId="77777777" w:rsidTr="007713B4">
        <w:trPr>
          <w:trHeight w:val="220"/>
        </w:trPr>
        <w:tc>
          <w:tcPr>
            <w:tcW w:w="4030" w:type="pct"/>
          </w:tcPr>
          <w:p w14:paraId="011B0636" w14:textId="77777777" w:rsidR="00CF234F" w:rsidRPr="00960E67" w:rsidRDefault="00CF234F" w:rsidP="00443F31">
            <w:pPr>
              <w:pStyle w:val="ListParagraph"/>
              <w:ind w:left="0"/>
              <w:rPr>
                <w:sz w:val="18"/>
                <w:szCs w:val="18"/>
              </w:rPr>
            </w:pPr>
            <w:r w:rsidRPr="00960E67">
              <w:rPr>
                <w:sz w:val="18"/>
                <w:szCs w:val="18"/>
              </w:rPr>
              <w:t>ХРИСТИЯНСКИ ЦЕНТЪР ГЕДЕОН – ПРОРОЧЕСКА ЦЪРКВА</w:t>
            </w:r>
          </w:p>
        </w:tc>
        <w:tc>
          <w:tcPr>
            <w:tcW w:w="970" w:type="pct"/>
          </w:tcPr>
          <w:p w14:paraId="04CA01F0" w14:textId="77777777" w:rsidR="00CF234F" w:rsidRPr="00960E67" w:rsidRDefault="00CF234F" w:rsidP="00443F31">
            <w:pPr>
              <w:pStyle w:val="ListParagraph"/>
              <w:ind w:left="0"/>
              <w:jc w:val="center"/>
              <w:rPr>
                <w:sz w:val="18"/>
                <w:szCs w:val="18"/>
              </w:rPr>
            </w:pPr>
            <w:r w:rsidRPr="00960E67">
              <w:rPr>
                <w:sz w:val="18"/>
                <w:szCs w:val="18"/>
              </w:rPr>
              <w:t>1</w:t>
            </w:r>
          </w:p>
        </w:tc>
      </w:tr>
      <w:tr w:rsidR="00CF234F" w:rsidRPr="00960E67" w14:paraId="61E99664" w14:textId="77777777" w:rsidTr="007713B4">
        <w:trPr>
          <w:trHeight w:val="220"/>
        </w:trPr>
        <w:tc>
          <w:tcPr>
            <w:tcW w:w="4030" w:type="pct"/>
          </w:tcPr>
          <w:p w14:paraId="5AACB350" w14:textId="77777777" w:rsidR="00CF234F" w:rsidRPr="00960E67" w:rsidRDefault="00CF234F" w:rsidP="00443F31">
            <w:pPr>
              <w:pStyle w:val="ListParagraph"/>
              <w:ind w:left="0"/>
              <w:rPr>
                <w:sz w:val="18"/>
                <w:szCs w:val="18"/>
              </w:rPr>
            </w:pPr>
            <w:r w:rsidRPr="00960E67">
              <w:rPr>
                <w:sz w:val="18"/>
                <w:szCs w:val="18"/>
              </w:rPr>
              <w:t>ХРИСТИЯНСКИ ЦЕНТЪР ДОМ ДАВИДОВ ДОМ</w:t>
            </w:r>
          </w:p>
        </w:tc>
        <w:tc>
          <w:tcPr>
            <w:tcW w:w="970" w:type="pct"/>
          </w:tcPr>
          <w:p w14:paraId="2E67DF2D" w14:textId="77777777" w:rsidR="00CF234F" w:rsidRPr="00960E67" w:rsidRDefault="00CF234F" w:rsidP="00443F31">
            <w:pPr>
              <w:pStyle w:val="ListParagraph"/>
              <w:ind w:left="0"/>
              <w:jc w:val="center"/>
              <w:rPr>
                <w:sz w:val="18"/>
                <w:szCs w:val="18"/>
              </w:rPr>
            </w:pPr>
            <w:r w:rsidRPr="00960E67">
              <w:rPr>
                <w:sz w:val="18"/>
                <w:szCs w:val="18"/>
              </w:rPr>
              <w:t>1</w:t>
            </w:r>
          </w:p>
        </w:tc>
      </w:tr>
      <w:tr w:rsidR="00CF234F" w:rsidRPr="00960E67" w14:paraId="1676B690" w14:textId="77777777" w:rsidTr="007713B4">
        <w:trPr>
          <w:trHeight w:val="220"/>
        </w:trPr>
        <w:tc>
          <w:tcPr>
            <w:tcW w:w="4030" w:type="pct"/>
          </w:tcPr>
          <w:p w14:paraId="593B5A63" w14:textId="77777777" w:rsidR="00CF234F" w:rsidRPr="00960E67" w:rsidRDefault="00CF234F" w:rsidP="00443F31">
            <w:pPr>
              <w:pStyle w:val="ListParagraph"/>
              <w:ind w:left="0"/>
              <w:rPr>
                <w:sz w:val="18"/>
                <w:szCs w:val="18"/>
              </w:rPr>
            </w:pPr>
            <w:r w:rsidRPr="00960E67">
              <w:rPr>
                <w:sz w:val="18"/>
                <w:szCs w:val="18"/>
              </w:rPr>
              <w:t>ХРИСТИЯНСКИ ЦЕНТЪР ПРОБИВ</w:t>
            </w:r>
          </w:p>
        </w:tc>
        <w:tc>
          <w:tcPr>
            <w:tcW w:w="970" w:type="pct"/>
          </w:tcPr>
          <w:p w14:paraId="55075C8F" w14:textId="77777777" w:rsidR="00CF234F" w:rsidRPr="00960E67" w:rsidRDefault="00CF234F" w:rsidP="00443F31">
            <w:pPr>
              <w:pStyle w:val="ListParagraph"/>
              <w:ind w:left="0"/>
              <w:jc w:val="center"/>
              <w:rPr>
                <w:sz w:val="18"/>
                <w:szCs w:val="18"/>
              </w:rPr>
            </w:pPr>
            <w:r w:rsidRPr="00960E67">
              <w:rPr>
                <w:sz w:val="18"/>
                <w:szCs w:val="18"/>
              </w:rPr>
              <w:t>1</w:t>
            </w:r>
          </w:p>
        </w:tc>
      </w:tr>
      <w:tr w:rsidR="00CF234F" w:rsidRPr="00960E67" w14:paraId="247A260D" w14:textId="77777777" w:rsidTr="007713B4">
        <w:trPr>
          <w:trHeight w:val="220"/>
        </w:trPr>
        <w:tc>
          <w:tcPr>
            <w:tcW w:w="4030" w:type="pct"/>
          </w:tcPr>
          <w:p w14:paraId="63467945" w14:textId="77777777" w:rsidR="00CF234F" w:rsidRPr="00960E67" w:rsidRDefault="00CF234F" w:rsidP="00443F31">
            <w:pPr>
              <w:pStyle w:val="ListParagraph"/>
              <w:ind w:left="0"/>
              <w:rPr>
                <w:sz w:val="18"/>
                <w:szCs w:val="18"/>
              </w:rPr>
            </w:pPr>
            <w:r w:rsidRPr="00960E67">
              <w:rPr>
                <w:sz w:val="18"/>
                <w:szCs w:val="18"/>
              </w:rPr>
              <w:t>ЦЪРКВА НА БИБЛЕЙСКИТЕ ХРИСТИЯНИ</w:t>
            </w:r>
          </w:p>
        </w:tc>
        <w:tc>
          <w:tcPr>
            <w:tcW w:w="970" w:type="pct"/>
          </w:tcPr>
          <w:p w14:paraId="21A7266F" w14:textId="77777777" w:rsidR="00CF234F" w:rsidRPr="00960E67" w:rsidRDefault="00CF234F" w:rsidP="00443F31">
            <w:pPr>
              <w:pStyle w:val="ListParagraph"/>
              <w:ind w:left="0"/>
              <w:jc w:val="center"/>
              <w:rPr>
                <w:sz w:val="18"/>
                <w:szCs w:val="18"/>
              </w:rPr>
            </w:pPr>
            <w:r w:rsidRPr="00960E67">
              <w:rPr>
                <w:sz w:val="18"/>
                <w:szCs w:val="18"/>
              </w:rPr>
              <w:t>1</w:t>
            </w:r>
          </w:p>
        </w:tc>
      </w:tr>
      <w:tr w:rsidR="00CF234F" w:rsidRPr="00960E67" w14:paraId="79707CC2" w14:textId="77777777" w:rsidTr="007713B4">
        <w:trPr>
          <w:trHeight w:val="124"/>
        </w:trPr>
        <w:tc>
          <w:tcPr>
            <w:tcW w:w="4030" w:type="pct"/>
          </w:tcPr>
          <w:p w14:paraId="7D127D43" w14:textId="77777777" w:rsidR="00CF234F" w:rsidRPr="00960E67" w:rsidRDefault="00CF234F" w:rsidP="00443F31">
            <w:pPr>
              <w:pStyle w:val="ListParagraph"/>
              <w:ind w:left="0"/>
              <w:rPr>
                <w:sz w:val="18"/>
                <w:szCs w:val="18"/>
              </w:rPr>
            </w:pPr>
            <w:r w:rsidRPr="00960E67">
              <w:rPr>
                <w:sz w:val="18"/>
                <w:szCs w:val="18"/>
              </w:rPr>
              <w:t>ЦЪРКВА НА ТЯЛОТО ХРИСТОВО</w:t>
            </w:r>
          </w:p>
        </w:tc>
        <w:tc>
          <w:tcPr>
            <w:tcW w:w="970" w:type="pct"/>
          </w:tcPr>
          <w:p w14:paraId="495C6A8D" w14:textId="77777777" w:rsidR="00CF234F" w:rsidRPr="00960E67" w:rsidRDefault="00CF234F" w:rsidP="00443F31">
            <w:pPr>
              <w:pStyle w:val="ListParagraph"/>
              <w:ind w:left="0"/>
              <w:jc w:val="center"/>
              <w:rPr>
                <w:sz w:val="18"/>
                <w:szCs w:val="18"/>
              </w:rPr>
            </w:pPr>
            <w:r w:rsidRPr="00960E67">
              <w:rPr>
                <w:sz w:val="18"/>
                <w:szCs w:val="18"/>
              </w:rPr>
              <w:t>1</w:t>
            </w:r>
          </w:p>
        </w:tc>
      </w:tr>
      <w:tr w:rsidR="00CF234F" w:rsidRPr="00960E67" w14:paraId="5E18ABEB" w14:textId="77777777" w:rsidTr="007713B4">
        <w:trPr>
          <w:trHeight w:val="220"/>
        </w:trPr>
        <w:tc>
          <w:tcPr>
            <w:tcW w:w="4030" w:type="pct"/>
          </w:tcPr>
          <w:p w14:paraId="6B6F2100" w14:textId="77777777" w:rsidR="00CF234F" w:rsidRPr="00960E67" w:rsidRDefault="00CF234F" w:rsidP="00443F31">
            <w:pPr>
              <w:pStyle w:val="ListParagraph"/>
              <w:ind w:left="0"/>
              <w:rPr>
                <w:sz w:val="18"/>
                <w:szCs w:val="18"/>
              </w:rPr>
            </w:pPr>
            <w:r w:rsidRPr="00960E67">
              <w:rPr>
                <w:sz w:val="18"/>
                <w:szCs w:val="18"/>
              </w:rPr>
              <w:t>ЦЪРКВА ОБНОВЛЕНИЕ</w:t>
            </w:r>
          </w:p>
        </w:tc>
        <w:tc>
          <w:tcPr>
            <w:tcW w:w="970" w:type="pct"/>
          </w:tcPr>
          <w:p w14:paraId="2151E707" w14:textId="77777777" w:rsidR="00CF234F" w:rsidRPr="00960E67" w:rsidRDefault="00CF234F" w:rsidP="00443F31">
            <w:pPr>
              <w:pStyle w:val="ListParagraph"/>
              <w:ind w:left="0"/>
              <w:jc w:val="center"/>
              <w:rPr>
                <w:sz w:val="18"/>
                <w:szCs w:val="18"/>
              </w:rPr>
            </w:pPr>
            <w:r w:rsidRPr="00960E67">
              <w:rPr>
                <w:sz w:val="18"/>
                <w:szCs w:val="18"/>
              </w:rPr>
              <w:t>1</w:t>
            </w:r>
          </w:p>
        </w:tc>
      </w:tr>
      <w:tr w:rsidR="00CF234F" w:rsidRPr="00960E67" w14:paraId="4A7D7B7D" w14:textId="77777777" w:rsidTr="009C4D63">
        <w:trPr>
          <w:trHeight w:val="133"/>
        </w:trPr>
        <w:tc>
          <w:tcPr>
            <w:tcW w:w="5000" w:type="pct"/>
            <w:gridSpan w:val="2"/>
            <w:shd w:val="clear" w:color="auto" w:fill="C1F0C7" w:themeFill="accent3" w:themeFillTint="33"/>
            <w:vAlign w:val="center"/>
          </w:tcPr>
          <w:p w14:paraId="73882EEF" w14:textId="77777777" w:rsidR="00CF234F" w:rsidRPr="00960E67" w:rsidRDefault="00CF234F" w:rsidP="00443F31">
            <w:pPr>
              <w:pStyle w:val="ListParagraph"/>
              <w:ind w:left="0"/>
              <w:rPr>
                <w:b/>
                <w:sz w:val="18"/>
                <w:szCs w:val="18"/>
              </w:rPr>
            </w:pPr>
            <w:r w:rsidRPr="00960E67">
              <w:rPr>
                <w:b/>
                <w:sz w:val="18"/>
                <w:szCs w:val="18"/>
              </w:rPr>
              <w:t>СПРАВКА ЗА РЕГИСТРИРАНИ РЕЛИГИОЗНИ ИНСТИТУЦИИ</w:t>
            </w:r>
          </w:p>
        </w:tc>
      </w:tr>
      <w:tr w:rsidR="00CF234F" w:rsidRPr="00960E67" w14:paraId="6D418166" w14:textId="77777777" w:rsidTr="007713B4">
        <w:trPr>
          <w:trHeight w:val="270"/>
        </w:trPr>
        <w:tc>
          <w:tcPr>
            <w:tcW w:w="4030" w:type="pct"/>
          </w:tcPr>
          <w:p w14:paraId="4AF73D35" w14:textId="77777777" w:rsidR="00CF234F" w:rsidRPr="00960E67" w:rsidRDefault="00CF234F" w:rsidP="00443F31">
            <w:pPr>
              <w:pStyle w:val="ListParagraph"/>
              <w:ind w:left="0"/>
              <w:rPr>
                <w:sz w:val="18"/>
                <w:szCs w:val="18"/>
              </w:rPr>
            </w:pPr>
            <w:r w:rsidRPr="00960E67">
              <w:rPr>
                <w:sz w:val="18"/>
                <w:szCs w:val="18"/>
              </w:rPr>
              <w:t>СПРАВКА ЗА РЕГИСТРИРАНИ РЕЛИГИОЗНИ ИНСТИТУЦИИ ДО 31.01.2023 г.</w:t>
            </w:r>
          </w:p>
        </w:tc>
        <w:tc>
          <w:tcPr>
            <w:tcW w:w="970" w:type="pct"/>
          </w:tcPr>
          <w:p w14:paraId="09F3E915" w14:textId="77777777" w:rsidR="00CF234F" w:rsidRPr="00960E67" w:rsidRDefault="00CF234F" w:rsidP="00443F31">
            <w:pPr>
              <w:pStyle w:val="ListParagraph"/>
              <w:ind w:left="0"/>
              <w:jc w:val="center"/>
              <w:rPr>
                <w:sz w:val="18"/>
                <w:szCs w:val="18"/>
              </w:rPr>
            </w:pPr>
            <w:r w:rsidRPr="00960E67">
              <w:rPr>
                <w:sz w:val="18"/>
                <w:szCs w:val="18"/>
              </w:rPr>
              <w:t>1</w:t>
            </w:r>
          </w:p>
        </w:tc>
      </w:tr>
      <w:tr w:rsidR="00CF234F" w:rsidRPr="00960E67" w14:paraId="685E52CA" w14:textId="77777777" w:rsidTr="007713B4">
        <w:trPr>
          <w:trHeight w:val="132"/>
        </w:trPr>
        <w:tc>
          <w:tcPr>
            <w:tcW w:w="4030" w:type="pct"/>
          </w:tcPr>
          <w:p w14:paraId="050E1DCB" w14:textId="77777777" w:rsidR="00CF234F" w:rsidRPr="00960E67" w:rsidRDefault="00CF234F" w:rsidP="00443F31">
            <w:pPr>
              <w:pStyle w:val="ListParagraph"/>
              <w:ind w:left="0"/>
              <w:rPr>
                <w:sz w:val="18"/>
                <w:szCs w:val="18"/>
              </w:rPr>
            </w:pPr>
            <w:r w:rsidRPr="00960E67">
              <w:rPr>
                <w:sz w:val="18"/>
                <w:szCs w:val="18"/>
              </w:rPr>
              <w:t>СПРАВКА ЗА РЕГИСТРИРАНИ РЕЛИГИОЗНИ ИНСТИТУЦИИ ДО 31.03.2024 г.</w:t>
            </w:r>
          </w:p>
        </w:tc>
        <w:tc>
          <w:tcPr>
            <w:tcW w:w="970" w:type="pct"/>
          </w:tcPr>
          <w:p w14:paraId="0999B26A" w14:textId="77777777" w:rsidR="00CF234F" w:rsidRPr="00960E67" w:rsidRDefault="00CF234F" w:rsidP="00443F31">
            <w:pPr>
              <w:pStyle w:val="ListParagraph"/>
              <w:ind w:left="0"/>
              <w:jc w:val="center"/>
              <w:rPr>
                <w:sz w:val="18"/>
                <w:szCs w:val="18"/>
              </w:rPr>
            </w:pPr>
            <w:r w:rsidRPr="00960E67">
              <w:rPr>
                <w:sz w:val="18"/>
                <w:szCs w:val="18"/>
              </w:rPr>
              <w:t>1</w:t>
            </w:r>
          </w:p>
        </w:tc>
      </w:tr>
      <w:tr w:rsidR="00CF234F" w:rsidRPr="00960E67" w14:paraId="4A87FE6B" w14:textId="77777777" w:rsidTr="007713B4">
        <w:trPr>
          <w:trHeight w:val="220"/>
        </w:trPr>
        <w:tc>
          <w:tcPr>
            <w:tcW w:w="4030" w:type="pct"/>
          </w:tcPr>
          <w:p w14:paraId="059AF7C3" w14:textId="77777777" w:rsidR="00CF234F" w:rsidRPr="00960E67" w:rsidRDefault="00CF234F" w:rsidP="00443F31">
            <w:pPr>
              <w:pStyle w:val="ListParagraph"/>
              <w:ind w:left="0"/>
              <w:rPr>
                <w:sz w:val="18"/>
                <w:szCs w:val="18"/>
              </w:rPr>
            </w:pPr>
            <w:r w:rsidRPr="00960E67">
              <w:rPr>
                <w:sz w:val="18"/>
                <w:szCs w:val="18"/>
              </w:rPr>
              <w:t>СПРАВКА ЗА РЕГИСТРИРАНИ РЕЛИГИОЗНИ ИНСТИТУЦИИ ДО 30.06.2024 г.</w:t>
            </w:r>
          </w:p>
        </w:tc>
        <w:tc>
          <w:tcPr>
            <w:tcW w:w="970" w:type="pct"/>
          </w:tcPr>
          <w:p w14:paraId="251FA84B" w14:textId="77777777" w:rsidR="00CF234F" w:rsidRPr="00960E67" w:rsidRDefault="00CF234F" w:rsidP="00443F31">
            <w:pPr>
              <w:pStyle w:val="ListParagraph"/>
              <w:ind w:left="0"/>
              <w:jc w:val="center"/>
              <w:rPr>
                <w:sz w:val="18"/>
                <w:szCs w:val="18"/>
              </w:rPr>
            </w:pPr>
            <w:r w:rsidRPr="00960E67">
              <w:rPr>
                <w:sz w:val="18"/>
                <w:szCs w:val="18"/>
              </w:rPr>
              <w:t>1</w:t>
            </w:r>
          </w:p>
        </w:tc>
      </w:tr>
      <w:tr w:rsidR="00CF234F" w:rsidRPr="00960E67" w14:paraId="2C486EA0" w14:textId="77777777" w:rsidTr="007713B4">
        <w:trPr>
          <w:trHeight w:val="220"/>
        </w:trPr>
        <w:tc>
          <w:tcPr>
            <w:tcW w:w="4030" w:type="pct"/>
          </w:tcPr>
          <w:p w14:paraId="5E38190C" w14:textId="77777777" w:rsidR="00CF234F" w:rsidRPr="00960E67" w:rsidRDefault="00CF234F" w:rsidP="00443F31">
            <w:pPr>
              <w:pStyle w:val="ListParagraph"/>
              <w:ind w:left="0"/>
              <w:rPr>
                <w:sz w:val="18"/>
                <w:szCs w:val="18"/>
              </w:rPr>
            </w:pPr>
            <w:r w:rsidRPr="00960E67">
              <w:rPr>
                <w:sz w:val="18"/>
                <w:szCs w:val="18"/>
              </w:rPr>
              <w:t>СПРАВКА ЗА РЕГИСТРИРАНИ РЕЛИГИОЗНИ ИНСТИТУЦИИ ДО 30.09.2024 г.</w:t>
            </w:r>
          </w:p>
        </w:tc>
        <w:tc>
          <w:tcPr>
            <w:tcW w:w="970" w:type="pct"/>
          </w:tcPr>
          <w:p w14:paraId="2925DAD2" w14:textId="77777777" w:rsidR="00CF234F" w:rsidRPr="00960E67" w:rsidRDefault="00CF234F" w:rsidP="00443F31">
            <w:pPr>
              <w:pStyle w:val="ListParagraph"/>
              <w:ind w:left="0"/>
              <w:jc w:val="center"/>
              <w:rPr>
                <w:sz w:val="18"/>
                <w:szCs w:val="18"/>
              </w:rPr>
            </w:pPr>
            <w:r w:rsidRPr="00960E67">
              <w:rPr>
                <w:sz w:val="18"/>
                <w:szCs w:val="18"/>
              </w:rPr>
              <w:t>1</w:t>
            </w:r>
          </w:p>
        </w:tc>
      </w:tr>
    </w:tbl>
    <w:p w14:paraId="7B602C87" w14:textId="77777777" w:rsidR="00FA568B" w:rsidRPr="00641163" w:rsidRDefault="00FA568B" w:rsidP="009C4D63">
      <w:pPr>
        <w:numPr>
          <w:ilvl w:val="0"/>
          <w:numId w:val="10"/>
        </w:numPr>
        <w:shd w:val="clear" w:color="auto" w:fill="FFFFFF" w:themeFill="background1"/>
        <w:tabs>
          <w:tab w:val="clear" w:pos="1068"/>
          <w:tab w:val="num" w:pos="709"/>
        </w:tabs>
        <w:spacing w:before="240"/>
        <w:ind w:left="709" w:hanging="284"/>
        <w:jc w:val="both"/>
        <w:rPr>
          <w:b/>
          <w:i/>
          <w:sz w:val="22"/>
          <w:szCs w:val="22"/>
        </w:rPr>
      </w:pPr>
      <w:r w:rsidRPr="00641163">
        <w:rPr>
          <w:b/>
          <w:i/>
          <w:sz w:val="22"/>
          <w:szCs w:val="22"/>
          <w:specVanish/>
        </w:rPr>
        <w:t>Обработени преписки по чл. 19, ал. 4 от Закона за вероизповеданията</w:t>
      </w:r>
    </w:p>
    <w:tbl>
      <w:tblPr>
        <w:tblStyle w:val="TableGrid"/>
        <w:tblW w:w="5000" w:type="pct"/>
        <w:tblLook w:val="04A0" w:firstRow="1" w:lastRow="0" w:firstColumn="1" w:lastColumn="0" w:noHBand="0" w:noVBand="1"/>
      </w:tblPr>
      <w:tblGrid>
        <w:gridCol w:w="1954"/>
        <w:gridCol w:w="1953"/>
        <w:gridCol w:w="4045"/>
        <w:gridCol w:w="1394"/>
      </w:tblGrid>
      <w:tr w:rsidR="00FA568B" w:rsidRPr="008E6F5B" w14:paraId="7DEC77DB" w14:textId="77777777" w:rsidTr="00057048">
        <w:tc>
          <w:tcPr>
            <w:tcW w:w="5000" w:type="pct"/>
            <w:gridSpan w:val="4"/>
            <w:tcBorders>
              <w:top w:val="single" w:sz="4" w:space="0" w:color="auto"/>
              <w:left w:val="single" w:sz="4" w:space="0" w:color="auto"/>
              <w:bottom w:val="single" w:sz="4" w:space="0" w:color="auto"/>
              <w:right w:val="single" w:sz="4" w:space="0" w:color="auto"/>
            </w:tcBorders>
            <w:shd w:val="clear" w:color="auto" w:fill="F6C5AC" w:themeFill="accent2" w:themeFillTint="66"/>
            <w:vAlign w:val="center"/>
            <w:hideMark/>
          </w:tcPr>
          <w:p w14:paraId="6ABD5ED8" w14:textId="77777777" w:rsidR="00FA568B" w:rsidRPr="008E6F5B" w:rsidRDefault="00FA568B" w:rsidP="00E14771">
            <w:pPr>
              <w:pStyle w:val="ListParagraph"/>
              <w:numPr>
                <w:ilvl w:val="0"/>
                <w:numId w:val="10"/>
              </w:numPr>
              <w:tabs>
                <w:tab w:val="clear" w:pos="1068"/>
                <w:tab w:val="num" w:pos="1260"/>
              </w:tabs>
              <w:ind w:left="1260"/>
              <w:contextualSpacing/>
              <w:jc w:val="center"/>
              <w:rPr>
                <w:b/>
                <w:sz w:val="18"/>
                <w:szCs w:val="18"/>
              </w:rPr>
            </w:pPr>
            <w:r w:rsidRPr="008E6F5B">
              <w:rPr>
                <w:b/>
                <w:sz w:val="18"/>
                <w:szCs w:val="18"/>
              </w:rPr>
              <w:t>КОЛИЧЕСТВЕНИ ПОКАЗАТЕЛИ</w:t>
            </w:r>
          </w:p>
        </w:tc>
      </w:tr>
      <w:tr w:rsidR="00FA568B" w:rsidRPr="008E6F5B" w14:paraId="01C6F8B2" w14:textId="77777777" w:rsidTr="0005704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F0245" w14:textId="77777777" w:rsidR="00FA568B" w:rsidRPr="008E6F5B" w:rsidRDefault="00FA568B" w:rsidP="00443F31">
            <w:pPr>
              <w:rPr>
                <w:b/>
                <w:sz w:val="18"/>
                <w:szCs w:val="18"/>
                <w:highlight w:val="yellow"/>
              </w:rPr>
            </w:pPr>
            <w:r w:rsidRPr="008E6F5B">
              <w:rPr>
                <w:sz w:val="18"/>
                <w:szCs w:val="18"/>
              </w:rPr>
              <w:t>ОБЩ БРОЙ ОБРАБОТЕНИ ПРЕПИСКИ</w:t>
            </w:r>
            <w:r w:rsidRPr="008E6F5B">
              <w:rPr>
                <w:b/>
                <w:sz w:val="18"/>
                <w:szCs w:val="18"/>
                <w:shd w:val="clear" w:color="auto" w:fill="FFFFFF" w:themeFill="background1"/>
              </w:rPr>
              <w:t>:</w:t>
            </w:r>
            <w:r w:rsidRPr="008E6F5B">
              <w:rPr>
                <w:b/>
                <w:sz w:val="18"/>
                <w:szCs w:val="18"/>
                <w:shd w:val="clear" w:color="auto" w:fill="FFFFFF" w:themeFill="background1"/>
                <w:lang w:val="en-US"/>
              </w:rPr>
              <w:t xml:space="preserve"> </w:t>
            </w:r>
            <w:r w:rsidRPr="008E6F5B">
              <w:rPr>
                <w:b/>
                <w:sz w:val="18"/>
                <w:szCs w:val="18"/>
                <w:shd w:val="clear" w:color="auto" w:fill="FFFFFF" w:themeFill="background1"/>
              </w:rPr>
              <w:t>138</w:t>
            </w:r>
          </w:p>
        </w:tc>
      </w:tr>
      <w:tr w:rsidR="00FA568B" w:rsidRPr="008E6F5B" w14:paraId="242740CA" w14:textId="77777777" w:rsidTr="00057048">
        <w:tc>
          <w:tcPr>
            <w:tcW w:w="5000" w:type="pct"/>
            <w:gridSpan w:val="4"/>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hideMark/>
          </w:tcPr>
          <w:p w14:paraId="493F803B" w14:textId="77777777" w:rsidR="00FA568B" w:rsidRPr="008E6F5B" w:rsidRDefault="00FA568B" w:rsidP="00443F31">
            <w:pPr>
              <w:jc w:val="center"/>
              <w:rPr>
                <w:b/>
                <w:sz w:val="18"/>
                <w:szCs w:val="18"/>
              </w:rPr>
            </w:pPr>
            <w:r w:rsidRPr="008E6F5B">
              <w:rPr>
                <w:b/>
                <w:sz w:val="18"/>
                <w:szCs w:val="18"/>
              </w:rPr>
              <w:t>КАЧЕСТВЕНИ ПОКАЗАТЕЛИ</w:t>
            </w:r>
          </w:p>
        </w:tc>
      </w:tr>
      <w:tr w:rsidR="00FA568B" w:rsidRPr="008E6F5B" w14:paraId="220707FC" w14:textId="77777777" w:rsidTr="00057048">
        <w:tc>
          <w:tcPr>
            <w:tcW w:w="1045" w:type="pct"/>
            <w:tcBorders>
              <w:top w:val="single" w:sz="4" w:space="0" w:color="auto"/>
              <w:left w:val="single" w:sz="4" w:space="0" w:color="auto"/>
              <w:bottom w:val="single" w:sz="4" w:space="0" w:color="auto"/>
              <w:right w:val="single" w:sz="4" w:space="0" w:color="auto"/>
            </w:tcBorders>
            <w:shd w:val="clear" w:color="auto" w:fill="F6C5AC" w:themeFill="accent2" w:themeFillTint="66"/>
            <w:vAlign w:val="center"/>
            <w:hideMark/>
          </w:tcPr>
          <w:p w14:paraId="10ED3856" w14:textId="77777777" w:rsidR="00FA568B" w:rsidRPr="008E6F5B" w:rsidRDefault="00FA568B" w:rsidP="00443F31">
            <w:pPr>
              <w:jc w:val="center"/>
              <w:rPr>
                <w:b/>
                <w:sz w:val="18"/>
                <w:szCs w:val="18"/>
              </w:rPr>
            </w:pPr>
            <w:r w:rsidRPr="008E6F5B">
              <w:rPr>
                <w:b/>
                <w:sz w:val="18"/>
                <w:szCs w:val="18"/>
              </w:rPr>
              <w:t>ОБЩИНА</w:t>
            </w:r>
          </w:p>
        </w:tc>
        <w:tc>
          <w:tcPr>
            <w:tcW w:w="1045" w:type="pct"/>
            <w:tcBorders>
              <w:top w:val="single" w:sz="4" w:space="0" w:color="auto"/>
              <w:left w:val="single" w:sz="4" w:space="0" w:color="auto"/>
              <w:bottom w:val="single" w:sz="4" w:space="0" w:color="auto"/>
              <w:right w:val="single" w:sz="4" w:space="0" w:color="auto"/>
            </w:tcBorders>
            <w:shd w:val="clear" w:color="auto" w:fill="F6C5AC" w:themeFill="accent2" w:themeFillTint="66"/>
            <w:vAlign w:val="center"/>
            <w:hideMark/>
          </w:tcPr>
          <w:p w14:paraId="7797027F" w14:textId="77777777" w:rsidR="00FA568B" w:rsidRPr="008E6F5B" w:rsidRDefault="00FA568B" w:rsidP="00443F31">
            <w:pPr>
              <w:jc w:val="center"/>
              <w:rPr>
                <w:b/>
                <w:sz w:val="18"/>
                <w:szCs w:val="18"/>
              </w:rPr>
            </w:pPr>
            <w:r w:rsidRPr="008E6F5B">
              <w:rPr>
                <w:b/>
                <w:sz w:val="18"/>
                <w:szCs w:val="18"/>
              </w:rPr>
              <w:t>ОБЛАСТ</w:t>
            </w:r>
          </w:p>
        </w:tc>
        <w:tc>
          <w:tcPr>
            <w:tcW w:w="2164" w:type="pct"/>
            <w:tcBorders>
              <w:top w:val="single" w:sz="4" w:space="0" w:color="auto"/>
              <w:left w:val="single" w:sz="4" w:space="0" w:color="auto"/>
              <w:bottom w:val="single" w:sz="4" w:space="0" w:color="auto"/>
              <w:right w:val="single" w:sz="4" w:space="0" w:color="auto"/>
            </w:tcBorders>
            <w:shd w:val="clear" w:color="auto" w:fill="F6C5AC" w:themeFill="accent2" w:themeFillTint="66"/>
            <w:vAlign w:val="center"/>
            <w:hideMark/>
          </w:tcPr>
          <w:p w14:paraId="157906A1" w14:textId="54361FC0" w:rsidR="00FA568B" w:rsidRPr="008E6F5B" w:rsidRDefault="00FA568B" w:rsidP="00FA568B">
            <w:pPr>
              <w:jc w:val="center"/>
              <w:rPr>
                <w:b/>
                <w:sz w:val="18"/>
                <w:szCs w:val="18"/>
              </w:rPr>
            </w:pPr>
            <w:r w:rsidRPr="008E6F5B">
              <w:rPr>
                <w:b/>
                <w:sz w:val="18"/>
                <w:szCs w:val="18"/>
              </w:rPr>
              <w:t>МЕСТНО ПОДЕЛЕНИЕ НА ВЕРОИЗПОВЕДАНИЕ</w:t>
            </w:r>
          </w:p>
        </w:tc>
        <w:tc>
          <w:tcPr>
            <w:tcW w:w="746" w:type="pct"/>
            <w:tcBorders>
              <w:top w:val="single" w:sz="4" w:space="0" w:color="auto"/>
              <w:left w:val="single" w:sz="4" w:space="0" w:color="auto"/>
              <w:bottom w:val="single" w:sz="4" w:space="0" w:color="auto"/>
              <w:right w:val="single" w:sz="4" w:space="0" w:color="auto"/>
            </w:tcBorders>
            <w:shd w:val="clear" w:color="auto" w:fill="F6C5AC" w:themeFill="accent2" w:themeFillTint="66"/>
            <w:vAlign w:val="center"/>
            <w:hideMark/>
          </w:tcPr>
          <w:p w14:paraId="5F001A8A" w14:textId="3E4DCBFC" w:rsidR="00FA568B" w:rsidRPr="008E6F5B" w:rsidRDefault="00FA568B" w:rsidP="00443F31">
            <w:pPr>
              <w:jc w:val="center"/>
              <w:rPr>
                <w:b/>
                <w:sz w:val="18"/>
                <w:szCs w:val="18"/>
              </w:rPr>
            </w:pPr>
            <w:r>
              <w:rPr>
                <w:b/>
                <w:sz w:val="18"/>
                <w:szCs w:val="18"/>
              </w:rPr>
              <w:t>БРОЙ ПРЕ</w:t>
            </w:r>
            <w:r w:rsidRPr="008E6F5B">
              <w:rPr>
                <w:b/>
                <w:sz w:val="18"/>
                <w:szCs w:val="18"/>
              </w:rPr>
              <w:t>ПИСКИ</w:t>
            </w:r>
          </w:p>
        </w:tc>
      </w:tr>
      <w:tr w:rsidR="00FA568B" w:rsidRPr="008E6F5B" w14:paraId="10943B63"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hideMark/>
          </w:tcPr>
          <w:p w14:paraId="02CA1EF3" w14:textId="77777777" w:rsidR="00FA568B" w:rsidRPr="008E6F5B" w:rsidRDefault="00FA568B" w:rsidP="00443F31">
            <w:pPr>
              <w:rPr>
                <w:b/>
                <w:sz w:val="18"/>
                <w:szCs w:val="18"/>
              </w:rPr>
            </w:pPr>
            <w:r w:rsidRPr="008E6F5B">
              <w:rPr>
                <w:b/>
                <w:sz w:val="18"/>
                <w:szCs w:val="18"/>
              </w:rPr>
              <w:t xml:space="preserve">ОБЛАСТ БЛАГОЕВГРАД </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1F11FFEF" w14:textId="77777777" w:rsidR="00FA568B" w:rsidRPr="008E6F5B" w:rsidRDefault="00FA568B" w:rsidP="00443F31">
            <w:pPr>
              <w:jc w:val="center"/>
              <w:rPr>
                <w:b/>
                <w:sz w:val="18"/>
                <w:szCs w:val="18"/>
              </w:rPr>
            </w:pPr>
            <w:r w:rsidRPr="008E6F5B">
              <w:rPr>
                <w:b/>
                <w:sz w:val="18"/>
                <w:szCs w:val="18"/>
              </w:rPr>
              <w:t>6</w:t>
            </w:r>
          </w:p>
        </w:tc>
      </w:tr>
      <w:tr w:rsidR="00FA568B" w:rsidRPr="008E6F5B" w14:paraId="04A73480"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21B6FAFE" w14:textId="77777777" w:rsidR="00FA568B" w:rsidRPr="008E6F5B" w:rsidRDefault="00FA568B" w:rsidP="00443F31">
            <w:pPr>
              <w:rPr>
                <w:sz w:val="18"/>
                <w:szCs w:val="18"/>
              </w:rPr>
            </w:pPr>
            <w:r w:rsidRPr="008E6F5B">
              <w:rPr>
                <w:sz w:val="18"/>
                <w:szCs w:val="18"/>
              </w:rPr>
              <w:t>БЛАГОЕВГРАД</w:t>
            </w:r>
          </w:p>
        </w:tc>
        <w:tc>
          <w:tcPr>
            <w:tcW w:w="1045" w:type="pct"/>
            <w:tcBorders>
              <w:top w:val="single" w:sz="4" w:space="0" w:color="auto"/>
              <w:left w:val="single" w:sz="4" w:space="0" w:color="auto"/>
              <w:bottom w:val="single" w:sz="4" w:space="0" w:color="auto"/>
              <w:right w:val="single" w:sz="4" w:space="0" w:color="auto"/>
            </w:tcBorders>
            <w:vAlign w:val="center"/>
          </w:tcPr>
          <w:p w14:paraId="03C79454" w14:textId="77777777" w:rsidR="00FA568B" w:rsidRPr="008E6F5B" w:rsidRDefault="00FA568B" w:rsidP="00443F31">
            <w:pPr>
              <w:rPr>
                <w:sz w:val="18"/>
                <w:szCs w:val="18"/>
              </w:rPr>
            </w:pPr>
            <w:r w:rsidRPr="008E6F5B">
              <w:rPr>
                <w:sz w:val="18"/>
                <w:szCs w:val="18"/>
              </w:rPr>
              <w:t>БЛАГОЕВГРАД</w:t>
            </w:r>
          </w:p>
        </w:tc>
        <w:tc>
          <w:tcPr>
            <w:tcW w:w="2164" w:type="pct"/>
            <w:tcBorders>
              <w:top w:val="single" w:sz="4" w:space="0" w:color="auto"/>
              <w:left w:val="single" w:sz="4" w:space="0" w:color="auto"/>
              <w:bottom w:val="single" w:sz="4" w:space="0" w:color="auto"/>
              <w:right w:val="single" w:sz="4" w:space="0" w:color="auto"/>
            </w:tcBorders>
            <w:vAlign w:val="center"/>
          </w:tcPr>
          <w:p w14:paraId="1A921AE2" w14:textId="77777777" w:rsidR="00FA568B" w:rsidRPr="008E6F5B" w:rsidRDefault="00FA568B" w:rsidP="00443F31">
            <w:pPr>
              <w:rPr>
                <w:sz w:val="18"/>
                <w:szCs w:val="18"/>
              </w:rPr>
            </w:pPr>
            <w:r w:rsidRPr="008E6F5B">
              <w:rPr>
                <w:sz w:val="18"/>
                <w:szCs w:val="18"/>
              </w:rPr>
              <w:t>ЦЪРКВА АДВЕНТИСТИ ОТ СЕДМИЯ ДЕН РЕФОРМАТОРСКО ДВИЖЕНИЕ</w:t>
            </w:r>
          </w:p>
        </w:tc>
        <w:tc>
          <w:tcPr>
            <w:tcW w:w="746" w:type="pct"/>
            <w:tcBorders>
              <w:top w:val="single" w:sz="4" w:space="0" w:color="auto"/>
              <w:left w:val="single" w:sz="4" w:space="0" w:color="auto"/>
              <w:bottom w:val="single" w:sz="4" w:space="0" w:color="auto"/>
              <w:right w:val="single" w:sz="4" w:space="0" w:color="auto"/>
            </w:tcBorders>
            <w:vAlign w:val="center"/>
          </w:tcPr>
          <w:p w14:paraId="721E04B3" w14:textId="77777777" w:rsidR="00FA568B" w:rsidRPr="008E6F5B" w:rsidRDefault="00FA568B" w:rsidP="00443F31">
            <w:pPr>
              <w:jc w:val="center"/>
              <w:rPr>
                <w:sz w:val="18"/>
                <w:szCs w:val="18"/>
              </w:rPr>
            </w:pPr>
            <w:r w:rsidRPr="008E6F5B">
              <w:rPr>
                <w:sz w:val="18"/>
                <w:szCs w:val="18"/>
              </w:rPr>
              <w:t>1</w:t>
            </w:r>
          </w:p>
        </w:tc>
      </w:tr>
      <w:tr w:rsidR="00FA568B" w:rsidRPr="008E6F5B" w14:paraId="3C65BB63"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1D95D484" w14:textId="77777777" w:rsidR="00FA568B" w:rsidRPr="008E6F5B" w:rsidRDefault="00FA568B" w:rsidP="00443F31">
            <w:pPr>
              <w:rPr>
                <w:sz w:val="18"/>
                <w:szCs w:val="18"/>
              </w:rPr>
            </w:pPr>
            <w:r w:rsidRPr="008E6F5B">
              <w:rPr>
                <w:sz w:val="18"/>
                <w:szCs w:val="18"/>
              </w:rPr>
              <w:t>БЛАГОЕВГРАД</w:t>
            </w:r>
          </w:p>
        </w:tc>
        <w:tc>
          <w:tcPr>
            <w:tcW w:w="1045" w:type="pct"/>
            <w:tcBorders>
              <w:top w:val="single" w:sz="4" w:space="0" w:color="auto"/>
              <w:left w:val="single" w:sz="4" w:space="0" w:color="auto"/>
              <w:bottom w:val="single" w:sz="4" w:space="0" w:color="auto"/>
              <w:right w:val="single" w:sz="4" w:space="0" w:color="auto"/>
            </w:tcBorders>
            <w:vAlign w:val="center"/>
          </w:tcPr>
          <w:p w14:paraId="18068068" w14:textId="77777777" w:rsidR="00FA568B" w:rsidRPr="008E6F5B" w:rsidRDefault="00FA568B" w:rsidP="00443F31">
            <w:pPr>
              <w:rPr>
                <w:sz w:val="18"/>
                <w:szCs w:val="18"/>
              </w:rPr>
            </w:pPr>
            <w:r w:rsidRPr="008E6F5B">
              <w:rPr>
                <w:sz w:val="18"/>
                <w:szCs w:val="18"/>
              </w:rPr>
              <w:t>БЛАГОЕВГРАД</w:t>
            </w:r>
          </w:p>
        </w:tc>
        <w:tc>
          <w:tcPr>
            <w:tcW w:w="2164" w:type="pct"/>
            <w:tcBorders>
              <w:top w:val="single" w:sz="4" w:space="0" w:color="auto"/>
              <w:left w:val="single" w:sz="4" w:space="0" w:color="auto"/>
              <w:bottom w:val="single" w:sz="4" w:space="0" w:color="auto"/>
              <w:right w:val="single" w:sz="4" w:space="0" w:color="auto"/>
            </w:tcBorders>
            <w:vAlign w:val="center"/>
          </w:tcPr>
          <w:p w14:paraId="4C78CEF3" w14:textId="77777777" w:rsidR="00FA568B" w:rsidRPr="008E6F5B" w:rsidRDefault="00FA568B" w:rsidP="00443F31">
            <w:pPr>
              <w:rPr>
                <w:sz w:val="18"/>
                <w:szCs w:val="18"/>
              </w:rPr>
            </w:pPr>
            <w:r w:rsidRPr="008E6F5B">
              <w:rPr>
                <w:sz w:val="18"/>
                <w:szCs w:val="18"/>
              </w:rPr>
              <w:t>БОЖИЯ ЦЪРКВА-ФИЛАДЕЛФИЯ</w:t>
            </w:r>
          </w:p>
        </w:tc>
        <w:tc>
          <w:tcPr>
            <w:tcW w:w="746" w:type="pct"/>
            <w:tcBorders>
              <w:top w:val="single" w:sz="4" w:space="0" w:color="auto"/>
              <w:left w:val="single" w:sz="4" w:space="0" w:color="auto"/>
              <w:bottom w:val="single" w:sz="4" w:space="0" w:color="auto"/>
              <w:right w:val="single" w:sz="4" w:space="0" w:color="auto"/>
            </w:tcBorders>
            <w:vAlign w:val="center"/>
          </w:tcPr>
          <w:p w14:paraId="51A830D2" w14:textId="77777777" w:rsidR="00FA568B" w:rsidRPr="008E6F5B" w:rsidRDefault="00FA568B" w:rsidP="00443F31">
            <w:pPr>
              <w:jc w:val="center"/>
              <w:rPr>
                <w:sz w:val="18"/>
                <w:szCs w:val="18"/>
              </w:rPr>
            </w:pPr>
            <w:r w:rsidRPr="008E6F5B">
              <w:rPr>
                <w:sz w:val="18"/>
                <w:szCs w:val="18"/>
              </w:rPr>
              <w:t>1</w:t>
            </w:r>
          </w:p>
        </w:tc>
      </w:tr>
      <w:tr w:rsidR="00FA568B" w:rsidRPr="008E6F5B" w14:paraId="619B63F9"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25D2894D" w14:textId="77777777" w:rsidR="00FA568B" w:rsidRPr="008E6F5B" w:rsidRDefault="00FA568B" w:rsidP="00443F31">
            <w:pPr>
              <w:rPr>
                <w:sz w:val="18"/>
                <w:szCs w:val="18"/>
              </w:rPr>
            </w:pPr>
            <w:r w:rsidRPr="008E6F5B">
              <w:rPr>
                <w:sz w:val="18"/>
                <w:szCs w:val="18"/>
              </w:rPr>
              <w:t>БЛАГОЕВГРАД</w:t>
            </w:r>
          </w:p>
        </w:tc>
        <w:tc>
          <w:tcPr>
            <w:tcW w:w="1045" w:type="pct"/>
            <w:tcBorders>
              <w:top w:val="single" w:sz="4" w:space="0" w:color="auto"/>
              <w:left w:val="single" w:sz="4" w:space="0" w:color="auto"/>
              <w:bottom w:val="single" w:sz="4" w:space="0" w:color="auto"/>
              <w:right w:val="single" w:sz="4" w:space="0" w:color="auto"/>
            </w:tcBorders>
            <w:vAlign w:val="center"/>
          </w:tcPr>
          <w:p w14:paraId="18EA1BA1" w14:textId="77777777" w:rsidR="00FA568B" w:rsidRPr="008E6F5B" w:rsidRDefault="00FA568B" w:rsidP="00443F31">
            <w:pPr>
              <w:rPr>
                <w:sz w:val="18"/>
                <w:szCs w:val="18"/>
              </w:rPr>
            </w:pPr>
            <w:r w:rsidRPr="008E6F5B">
              <w:rPr>
                <w:sz w:val="18"/>
                <w:szCs w:val="18"/>
              </w:rPr>
              <w:t>БЛАГОЕВГРАД</w:t>
            </w:r>
          </w:p>
        </w:tc>
        <w:tc>
          <w:tcPr>
            <w:tcW w:w="2164" w:type="pct"/>
            <w:tcBorders>
              <w:top w:val="single" w:sz="4" w:space="0" w:color="auto"/>
              <w:left w:val="single" w:sz="4" w:space="0" w:color="auto"/>
              <w:bottom w:val="single" w:sz="4" w:space="0" w:color="auto"/>
              <w:right w:val="single" w:sz="4" w:space="0" w:color="auto"/>
            </w:tcBorders>
            <w:vAlign w:val="center"/>
          </w:tcPr>
          <w:p w14:paraId="68329BFE" w14:textId="77777777" w:rsidR="00FA568B" w:rsidRPr="008E6F5B" w:rsidRDefault="00FA568B" w:rsidP="00443F31">
            <w:pPr>
              <w:rPr>
                <w:sz w:val="18"/>
                <w:szCs w:val="18"/>
              </w:rPr>
            </w:pPr>
            <w:r w:rsidRPr="008E6F5B">
              <w:rPr>
                <w:sz w:val="18"/>
                <w:szCs w:val="18"/>
              </w:rPr>
              <w:t xml:space="preserve">Българска православна </w:t>
            </w:r>
            <w:proofErr w:type="spellStart"/>
            <w:r w:rsidRPr="008E6F5B">
              <w:rPr>
                <w:sz w:val="18"/>
                <w:szCs w:val="18"/>
              </w:rPr>
              <w:t>старостилна</w:t>
            </w:r>
            <w:proofErr w:type="spellEnd"/>
            <w:r w:rsidRPr="008E6F5B">
              <w:rPr>
                <w:sz w:val="18"/>
                <w:szCs w:val="18"/>
              </w:rPr>
              <w:t xml:space="preserve"> църква</w:t>
            </w:r>
          </w:p>
        </w:tc>
        <w:tc>
          <w:tcPr>
            <w:tcW w:w="746" w:type="pct"/>
            <w:tcBorders>
              <w:top w:val="single" w:sz="4" w:space="0" w:color="auto"/>
              <w:left w:val="single" w:sz="4" w:space="0" w:color="auto"/>
              <w:bottom w:val="single" w:sz="4" w:space="0" w:color="auto"/>
              <w:right w:val="single" w:sz="4" w:space="0" w:color="auto"/>
            </w:tcBorders>
            <w:vAlign w:val="center"/>
          </w:tcPr>
          <w:p w14:paraId="78975B6D" w14:textId="77777777" w:rsidR="00FA568B" w:rsidRPr="008E6F5B" w:rsidRDefault="00FA568B" w:rsidP="00443F31">
            <w:pPr>
              <w:jc w:val="center"/>
              <w:rPr>
                <w:sz w:val="18"/>
                <w:szCs w:val="18"/>
              </w:rPr>
            </w:pPr>
            <w:r w:rsidRPr="008E6F5B">
              <w:rPr>
                <w:sz w:val="18"/>
                <w:szCs w:val="18"/>
              </w:rPr>
              <w:t>1</w:t>
            </w:r>
          </w:p>
        </w:tc>
      </w:tr>
      <w:tr w:rsidR="00FA568B" w:rsidRPr="008E6F5B" w14:paraId="4C2FF2D2"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21573F92" w14:textId="77777777" w:rsidR="00FA568B" w:rsidRPr="008E6F5B" w:rsidRDefault="00FA568B" w:rsidP="00443F31">
            <w:pPr>
              <w:rPr>
                <w:sz w:val="18"/>
                <w:szCs w:val="18"/>
              </w:rPr>
            </w:pPr>
            <w:r w:rsidRPr="008E6F5B">
              <w:rPr>
                <w:sz w:val="18"/>
                <w:szCs w:val="18"/>
              </w:rPr>
              <w:t>РАЗЛОГ</w:t>
            </w:r>
          </w:p>
        </w:tc>
        <w:tc>
          <w:tcPr>
            <w:tcW w:w="1045" w:type="pct"/>
            <w:tcBorders>
              <w:top w:val="single" w:sz="4" w:space="0" w:color="auto"/>
              <w:left w:val="single" w:sz="4" w:space="0" w:color="auto"/>
              <w:bottom w:val="single" w:sz="4" w:space="0" w:color="auto"/>
              <w:right w:val="single" w:sz="4" w:space="0" w:color="auto"/>
            </w:tcBorders>
            <w:vAlign w:val="center"/>
          </w:tcPr>
          <w:p w14:paraId="2B2E7E09" w14:textId="77777777" w:rsidR="00FA568B" w:rsidRPr="008E6F5B" w:rsidRDefault="00FA568B" w:rsidP="00443F31">
            <w:pPr>
              <w:rPr>
                <w:sz w:val="18"/>
                <w:szCs w:val="18"/>
              </w:rPr>
            </w:pPr>
            <w:r w:rsidRPr="008E6F5B">
              <w:rPr>
                <w:sz w:val="18"/>
                <w:szCs w:val="18"/>
              </w:rPr>
              <w:t>БЛАГОЕВГРАД</w:t>
            </w:r>
          </w:p>
        </w:tc>
        <w:tc>
          <w:tcPr>
            <w:tcW w:w="2164" w:type="pct"/>
            <w:tcBorders>
              <w:top w:val="single" w:sz="4" w:space="0" w:color="auto"/>
              <w:left w:val="single" w:sz="4" w:space="0" w:color="auto"/>
              <w:bottom w:val="single" w:sz="4" w:space="0" w:color="auto"/>
              <w:right w:val="single" w:sz="4" w:space="0" w:color="auto"/>
            </w:tcBorders>
            <w:vAlign w:val="center"/>
          </w:tcPr>
          <w:p w14:paraId="31A5E960" w14:textId="77777777" w:rsidR="00FA568B" w:rsidRPr="008E6F5B" w:rsidRDefault="00FA568B" w:rsidP="00443F31">
            <w:pPr>
              <w:rPr>
                <w:sz w:val="18"/>
                <w:szCs w:val="18"/>
              </w:rPr>
            </w:pPr>
            <w:r w:rsidRPr="008E6F5B">
              <w:rPr>
                <w:sz w:val="18"/>
                <w:szCs w:val="18"/>
              </w:rPr>
              <w:t>ОБЩЕСТВО БЯЛО БРАТСТВО</w:t>
            </w:r>
          </w:p>
        </w:tc>
        <w:tc>
          <w:tcPr>
            <w:tcW w:w="746" w:type="pct"/>
            <w:tcBorders>
              <w:top w:val="single" w:sz="4" w:space="0" w:color="auto"/>
              <w:left w:val="single" w:sz="4" w:space="0" w:color="auto"/>
              <w:bottom w:val="single" w:sz="4" w:space="0" w:color="auto"/>
              <w:right w:val="single" w:sz="4" w:space="0" w:color="auto"/>
            </w:tcBorders>
            <w:vAlign w:val="center"/>
          </w:tcPr>
          <w:p w14:paraId="44F6D401" w14:textId="77777777" w:rsidR="00FA568B" w:rsidRPr="008E6F5B" w:rsidRDefault="00FA568B" w:rsidP="00443F31">
            <w:pPr>
              <w:jc w:val="center"/>
              <w:rPr>
                <w:sz w:val="18"/>
                <w:szCs w:val="18"/>
              </w:rPr>
            </w:pPr>
            <w:r w:rsidRPr="008E6F5B">
              <w:rPr>
                <w:sz w:val="18"/>
                <w:szCs w:val="18"/>
              </w:rPr>
              <w:t>1</w:t>
            </w:r>
          </w:p>
        </w:tc>
      </w:tr>
      <w:tr w:rsidR="00FA568B" w:rsidRPr="008E6F5B" w14:paraId="1B9166DB"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66832E90" w14:textId="77777777" w:rsidR="00FA568B" w:rsidRPr="008E6F5B" w:rsidRDefault="00FA568B" w:rsidP="00443F31">
            <w:pPr>
              <w:rPr>
                <w:sz w:val="18"/>
                <w:szCs w:val="18"/>
              </w:rPr>
            </w:pPr>
            <w:r w:rsidRPr="008E6F5B">
              <w:rPr>
                <w:sz w:val="18"/>
                <w:szCs w:val="18"/>
              </w:rPr>
              <w:t>САТОВЧА</w:t>
            </w:r>
          </w:p>
        </w:tc>
        <w:tc>
          <w:tcPr>
            <w:tcW w:w="1045" w:type="pct"/>
            <w:tcBorders>
              <w:top w:val="single" w:sz="4" w:space="0" w:color="auto"/>
              <w:left w:val="single" w:sz="4" w:space="0" w:color="auto"/>
              <w:bottom w:val="single" w:sz="4" w:space="0" w:color="auto"/>
              <w:right w:val="single" w:sz="4" w:space="0" w:color="auto"/>
            </w:tcBorders>
            <w:vAlign w:val="center"/>
          </w:tcPr>
          <w:p w14:paraId="519E4711" w14:textId="77777777" w:rsidR="00FA568B" w:rsidRPr="008E6F5B" w:rsidRDefault="00FA568B" w:rsidP="00443F31">
            <w:pPr>
              <w:rPr>
                <w:sz w:val="18"/>
                <w:szCs w:val="18"/>
              </w:rPr>
            </w:pPr>
            <w:r w:rsidRPr="008E6F5B">
              <w:rPr>
                <w:sz w:val="18"/>
                <w:szCs w:val="18"/>
              </w:rPr>
              <w:t>БЛАГОЕВГРАД</w:t>
            </w:r>
          </w:p>
        </w:tc>
        <w:tc>
          <w:tcPr>
            <w:tcW w:w="2164" w:type="pct"/>
            <w:tcBorders>
              <w:top w:val="single" w:sz="4" w:space="0" w:color="auto"/>
              <w:left w:val="single" w:sz="4" w:space="0" w:color="auto"/>
              <w:bottom w:val="single" w:sz="4" w:space="0" w:color="auto"/>
              <w:right w:val="single" w:sz="4" w:space="0" w:color="auto"/>
            </w:tcBorders>
            <w:vAlign w:val="center"/>
          </w:tcPr>
          <w:p w14:paraId="40194193" w14:textId="77777777" w:rsidR="00FA568B" w:rsidRPr="008E6F5B" w:rsidRDefault="00FA568B" w:rsidP="00443F31">
            <w:pPr>
              <w:rPr>
                <w:sz w:val="18"/>
                <w:szCs w:val="18"/>
              </w:rPr>
            </w:pPr>
            <w:r w:rsidRPr="008E6F5B">
              <w:rPr>
                <w:sz w:val="18"/>
                <w:szCs w:val="18"/>
              </w:rPr>
              <w:t>СЪЮЗ НА ЕВАНГЕЛСКИТЕ БАПТИСТКИ ЦЪРКВИ В БЪЛГАРИЯ</w:t>
            </w:r>
          </w:p>
        </w:tc>
        <w:tc>
          <w:tcPr>
            <w:tcW w:w="746" w:type="pct"/>
            <w:tcBorders>
              <w:top w:val="single" w:sz="4" w:space="0" w:color="auto"/>
              <w:left w:val="single" w:sz="4" w:space="0" w:color="auto"/>
              <w:bottom w:val="single" w:sz="4" w:space="0" w:color="auto"/>
              <w:right w:val="single" w:sz="4" w:space="0" w:color="auto"/>
            </w:tcBorders>
            <w:vAlign w:val="center"/>
          </w:tcPr>
          <w:p w14:paraId="23F57B8C" w14:textId="77777777" w:rsidR="00FA568B" w:rsidRPr="008E6F5B" w:rsidRDefault="00FA568B" w:rsidP="00443F31">
            <w:pPr>
              <w:jc w:val="center"/>
              <w:rPr>
                <w:sz w:val="18"/>
                <w:szCs w:val="18"/>
              </w:rPr>
            </w:pPr>
            <w:r w:rsidRPr="008E6F5B">
              <w:rPr>
                <w:sz w:val="18"/>
                <w:szCs w:val="18"/>
              </w:rPr>
              <w:t>1</w:t>
            </w:r>
          </w:p>
        </w:tc>
      </w:tr>
      <w:tr w:rsidR="00FA568B" w:rsidRPr="008E6F5B" w14:paraId="54A9B6BD"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34238D7E" w14:textId="77777777" w:rsidR="00FA568B" w:rsidRPr="008E6F5B" w:rsidRDefault="00FA568B" w:rsidP="00443F31">
            <w:pPr>
              <w:rPr>
                <w:sz w:val="18"/>
                <w:szCs w:val="18"/>
              </w:rPr>
            </w:pPr>
            <w:r w:rsidRPr="008E6F5B">
              <w:rPr>
                <w:sz w:val="18"/>
                <w:szCs w:val="18"/>
              </w:rPr>
              <w:t>СТРУМЯНИ</w:t>
            </w:r>
          </w:p>
        </w:tc>
        <w:tc>
          <w:tcPr>
            <w:tcW w:w="1045" w:type="pct"/>
            <w:tcBorders>
              <w:top w:val="single" w:sz="4" w:space="0" w:color="auto"/>
              <w:left w:val="single" w:sz="4" w:space="0" w:color="auto"/>
              <w:bottom w:val="single" w:sz="4" w:space="0" w:color="auto"/>
              <w:right w:val="single" w:sz="4" w:space="0" w:color="auto"/>
            </w:tcBorders>
            <w:vAlign w:val="center"/>
          </w:tcPr>
          <w:p w14:paraId="52F7DB83" w14:textId="77777777" w:rsidR="00FA568B" w:rsidRPr="008E6F5B" w:rsidRDefault="00FA568B" w:rsidP="00443F31">
            <w:pPr>
              <w:rPr>
                <w:sz w:val="18"/>
                <w:szCs w:val="18"/>
              </w:rPr>
            </w:pPr>
            <w:r w:rsidRPr="008E6F5B">
              <w:rPr>
                <w:sz w:val="18"/>
                <w:szCs w:val="18"/>
              </w:rPr>
              <w:t>БЛАГОЕВГРАД</w:t>
            </w:r>
          </w:p>
        </w:tc>
        <w:tc>
          <w:tcPr>
            <w:tcW w:w="2164" w:type="pct"/>
            <w:tcBorders>
              <w:top w:val="single" w:sz="4" w:space="0" w:color="auto"/>
              <w:left w:val="single" w:sz="4" w:space="0" w:color="auto"/>
              <w:bottom w:val="single" w:sz="4" w:space="0" w:color="auto"/>
              <w:right w:val="single" w:sz="4" w:space="0" w:color="auto"/>
            </w:tcBorders>
            <w:vAlign w:val="center"/>
          </w:tcPr>
          <w:p w14:paraId="09AD0809" w14:textId="77777777" w:rsidR="00FA568B" w:rsidRPr="008E6F5B" w:rsidRDefault="00FA568B" w:rsidP="00443F31">
            <w:pPr>
              <w:rPr>
                <w:sz w:val="18"/>
                <w:szCs w:val="18"/>
              </w:rPr>
            </w:pPr>
            <w:r w:rsidRPr="008E6F5B">
              <w:rPr>
                <w:sz w:val="18"/>
                <w:szCs w:val="18"/>
              </w:rPr>
              <w:t>"ЦЪРКВА НА БОГА"</w:t>
            </w:r>
          </w:p>
        </w:tc>
        <w:tc>
          <w:tcPr>
            <w:tcW w:w="746" w:type="pct"/>
            <w:tcBorders>
              <w:top w:val="single" w:sz="4" w:space="0" w:color="auto"/>
              <w:left w:val="single" w:sz="4" w:space="0" w:color="auto"/>
              <w:bottom w:val="single" w:sz="4" w:space="0" w:color="auto"/>
              <w:right w:val="single" w:sz="4" w:space="0" w:color="auto"/>
            </w:tcBorders>
            <w:vAlign w:val="center"/>
          </w:tcPr>
          <w:p w14:paraId="4E19F3C5" w14:textId="77777777" w:rsidR="00FA568B" w:rsidRPr="008E6F5B" w:rsidRDefault="00FA568B" w:rsidP="00443F31">
            <w:pPr>
              <w:jc w:val="center"/>
              <w:rPr>
                <w:sz w:val="18"/>
                <w:szCs w:val="18"/>
              </w:rPr>
            </w:pPr>
            <w:r w:rsidRPr="008E6F5B">
              <w:rPr>
                <w:sz w:val="18"/>
                <w:szCs w:val="18"/>
              </w:rPr>
              <w:t>1</w:t>
            </w:r>
          </w:p>
        </w:tc>
      </w:tr>
      <w:tr w:rsidR="00FA568B" w:rsidRPr="008E6F5B" w14:paraId="5E3307D5"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hideMark/>
          </w:tcPr>
          <w:p w14:paraId="0DD45943" w14:textId="77777777" w:rsidR="00FA568B" w:rsidRPr="008E6F5B" w:rsidRDefault="00FA568B" w:rsidP="00443F31">
            <w:pPr>
              <w:rPr>
                <w:b/>
                <w:sz w:val="18"/>
                <w:szCs w:val="18"/>
              </w:rPr>
            </w:pPr>
            <w:r w:rsidRPr="008E6F5B">
              <w:rPr>
                <w:b/>
                <w:sz w:val="18"/>
                <w:szCs w:val="18"/>
              </w:rPr>
              <w:t>ОБЛАСТ БУРГАС</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267128B2" w14:textId="77777777" w:rsidR="00FA568B" w:rsidRPr="008E6F5B" w:rsidRDefault="00FA568B" w:rsidP="00443F31">
            <w:pPr>
              <w:jc w:val="center"/>
              <w:rPr>
                <w:b/>
                <w:sz w:val="18"/>
                <w:szCs w:val="18"/>
              </w:rPr>
            </w:pPr>
            <w:r w:rsidRPr="008E6F5B">
              <w:rPr>
                <w:b/>
                <w:sz w:val="18"/>
                <w:szCs w:val="18"/>
              </w:rPr>
              <w:t>2</w:t>
            </w:r>
          </w:p>
        </w:tc>
      </w:tr>
      <w:tr w:rsidR="00FA568B" w:rsidRPr="008E6F5B" w14:paraId="026ABBB5"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66C0680B" w14:textId="77777777" w:rsidR="00FA568B" w:rsidRPr="008E6F5B" w:rsidRDefault="00FA568B" w:rsidP="00443F31">
            <w:pPr>
              <w:rPr>
                <w:sz w:val="18"/>
                <w:szCs w:val="18"/>
              </w:rPr>
            </w:pPr>
            <w:r w:rsidRPr="008E6F5B">
              <w:rPr>
                <w:sz w:val="18"/>
                <w:szCs w:val="18"/>
              </w:rPr>
              <w:t>БУРГАС</w:t>
            </w:r>
          </w:p>
        </w:tc>
        <w:tc>
          <w:tcPr>
            <w:tcW w:w="1045" w:type="pct"/>
            <w:tcBorders>
              <w:top w:val="single" w:sz="4" w:space="0" w:color="auto"/>
              <w:left w:val="single" w:sz="4" w:space="0" w:color="auto"/>
              <w:bottom w:val="single" w:sz="4" w:space="0" w:color="auto"/>
              <w:right w:val="single" w:sz="4" w:space="0" w:color="auto"/>
            </w:tcBorders>
            <w:vAlign w:val="center"/>
          </w:tcPr>
          <w:p w14:paraId="7E645CE3" w14:textId="77777777" w:rsidR="00FA568B" w:rsidRPr="008E6F5B" w:rsidRDefault="00FA568B" w:rsidP="00443F31">
            <w:pPr>
              <w:rPr>
                <w:sz w:val="18"/>
                <w:szCs w:val="18"/>
              </w:rPr>
            </w:pPr>
            <w:r w:rsidRPr="008E6F5B">
              <w:rPr>
                <w:sz w:val="18"/>
                <w:szCs w:val="18"/>
              </w:rPr>
              <w:t>БУРГАС</w:t>
            </w:r>
          </w:p>
        </w:tc>
        <w:tc>
          <w:tcPr>
            <w:tcW w:w="2164" w:type="pct"/>
            <w:tcBorders>
              <w:top w:val="single" w:sz="4" w:space="0" w:color="auto"/>
              <w:left w:val="single" w:sz="4" w:space="0" w:color="auto"/>
              <w:bottom w:val="single" w:sz="4" w:space="0" w:color="auto"/>
              <w:right w:val="single" w:sz="4" w:space="0" w:color="auto"/>
            </w:tcBorders>
            <w:vAlign w:val="center"/>
          </w:tcPr>
          <w:p w14:paraId="6B4C6A12" w14:textId="77777777" w:rsidR="00FA568B" w:rsidRPr="008E6F5B" w:rsidRDefault="00FA568B" w:rsidP="00443F31">
            <w:pPr>
              <w:rPr>
                <w:sz w:val="18"/>
                <w:szCs w:val="18"/>
              </w:rPr>
            </w:pPr>
            <w:r w:rsidRPr="008E6F5B">
              <w:rPr>
                <w:sz w:val="18"/>
                <w:szCs w:val="18"/>
              </w:rPr>
              <w:t>БЪЛГАРСКА ХРИСТИЯНСКА БАПТИСТКА ЦЪРКВА</w:t>
            </w:r>
          </w:p>
        </w:tc>
        <w:tc>
          <w:tcPr>
            <w:tcW w:w="746" w:type="pct"/>
            <w:tcBorders>
              <w:top w:val="single" w:sz="4" w:space="0" w:color="auto"/>
              <w:left w:val="single" w:sz="4" w:space="0" w:color="auto"/>
              <w:bottom w:val="single" w:sz="4" w:space="0" w:color="auto"/>
              <w:right w:val="single" w:sz="4" w:space="0" w:color="auto"/>
            </w:tcBorders>
            <w:vAlign w:val="center"/>
          </w:tcPr>
          <w:p w14:paraId="6D8E2D3F" w14:textId="77777777" w:rsidR="00FA568B" w:rsidRPr="008E6F5B" w:rsidRDefault="00FA568B" w:rsidP="00443F31">
            <w:pPr>
              <w:jc w:val="center"/>
              <w:rPr>
                <w:sz w:val="18"/>
                <w:szCs w:val="18"/>
              </w:rPr>
            </w:pPr>
            <w:r w:rsidRPr="008E6F5B">
              <w:rPr>
                <w:sz w:val="18"/>
                <w:szCs w:val="18"/>
              </w:rPr>
              <w:t>1</w:t>
            </w:r>
          </w:p>
        </w:tc>
      </w:tr>
      <w:tr w:rsidR="00FA568B" w:rsidRPr="008E6F5B" w14:paraId="31A39611"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53AFBEEF" w14:textId="77777777" w:rsidR="00FA568B" w:rsidRPr="008E6F5B" w:rsidRDefault="00FA568B" w:rsidP="00443F31">
            <w:pPr>
              <w:rPr>
                <w:sz w:val="18"/>
                <w:szCs w:val="18"/>
              </w:rPr>
            </w:pPr>
            <w:r w:rsidRPr="008E6F5B">
              <w:rPr>
                <w:sz w:val="18"/>
                <w:szCs w:val="18"/>
              </w:rPr>
              <w:t>МАЛКО ТЪРНОВО</w:t>
            </w:r>
          </w:p>
        </w:tc>
        <w:tc>
          <w:tcPr>
            <w:tcW w:w="1045" w:type="pct"/>
            <w:tcBorders>
              <w:top w:val="single" w:sz="4" w:space="0" w:color="auto"/>
              <w:left w:val="single" w:sz="4" w:space="0" w:color="auto"/>
              <w:bottom w:val="single" w:sz="4" w:space="0" w:color="auto"/>
              <w:right w:val="single" w:sz="4" w:space="0" w:color="auto"/>
            </w:tcBorders>
            <w:vAlign w:val="center"/>
          </w:tcPr>
          <w:p w14:paraId="183CA8CD" w14:textId="77777777" w:rsidR="00FA568B" w:rsidRPr="008E6F5B" w:rsidRDefault="00FA568B" w:rsidP="00443F31">
            <w:pPr>
              <w:rPr>
                <w:sz w:val="18"/>
                <w:szCs w:val="18"/>
              </w:rPr>
            </w:pPr>
            <w:r w:rsidRPr="008E6F5B">
              <w:rPr>
                <w:sz w:val="18"/>
                <w:szCs w:val="18"/>
              </w:rPr>
              <w:t>БУРГАС</w:t>
            </w:r>
          </w:p>
        </w:tc>
        <w:tc>
          <w:tcPr>
            <w:tcW w:w="2164" w:type="pct"/>
            <w:tcBorders>
              <w:top w:val="single" w:sz="4" w:space="0" w:color="auto"/>
              <w:left w:val="single" w:sz="4" w:space="0" w:color="auto"/>
              <w:bottom w:val="single" w:sz="4" w:space="0" w:color="auto"/>
              <w:right w:val="single" w:sz="4" w:space="0" w:color="auto"/>
            </w:tcBorders>
            <w:vAlign w:val="center"/>
          </w:tcPr>
          <w:p w14:paraId="6A248002" w14:textId="77777777" w:rsidR="00FA568B" w:rsidRPr="008E6F5B" w:rsidRDefault="00FA568B" w:rsidP="00443F31">
            <w:pPr>
              <w:rPr>
                <w:sz w:val="18"/>
                <w:szCs w:val="18"/>
              </w:rPr>
            </w:pPr>
            <w:r w:rsidRPr="008E6F5B">
              <w:rPr>
                <w:sz w:val="18"/>
                <w:szCs w:val="18"/>
              </w:rPr>
              <w:t>БЪЛГАРСКА БОЖИЯ ЦЪРКВА</w:t>
            </w:r>
          </w:p>
        </w:tc>
        <w:tc>
          <w:tcPr>
            <w:tcW w:w="746" w:type="pct"/>
            <w:tcBorders>
              <w:top w:val="single" w:sz="4" w:space="0" w:color="auto"/>
              <w:left w:val="single" w:sz="4" w:space="0" w:color="auto"/>
              <w:bottom w:val="single" w:sz="4" w:space="0" w:color="auto"/>
              <w:right w:val="single" w:sz="4" w:space="0" w:color="auto"/>
            </w:tcBorders>
            <w:vAlign w:val="center"/>
          </w:tcPr>
          <w:p w14:paraId="154FCE21" w14:textId="77777777" w:rsidR="00FA568B" w:rsidRPr="008E6F5B" w:rsidRDefault="00FA568B" w:rsidP="00443F31">
            <w:pPr>
              <w:jc w:val="center"/>
              <w:rPr>
                <w:sz w:val="18"/>
                <w:szCs w:val="18"/>
              </w:rPr>
            </w:pPr>
            <w:r w:rsidRPr="008E6F5B">
              <w:rPr>
                <w:sz w:val="18"/>
                <w:szCs w:val="18"/>
              </w:rPr>
              <w:t>1</w:t>
            </w:r>
          </w:p>
        </w:tc>
      </w:tr>
      <w:tr w:rsidR="00FA568B" w:rsidRPr="008E6F5B" w14:paraId="70BBD4E7"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6BC0C7FD" w14:textId="77777777" w:rsidR="00FA568B" w:rsidRPr="008E6F5B" w:rsidRDefault="00FA568B" w:rsidP="00443F31">
            <w:pPr>
              <w:rPr>
                <w:sz w:val="18"/>
                <w:szCs w:val="18"/>
              </w:rPr>
            </w:pPr>
            <w:r w:rsidRPr="008E6F5B">
              <w:rPr>
                <w:b/>
                <w:sz w:val="18"/>
                <w:szCs w:val="18"/>
              </w:rPr>
              <w:t>ОБЛАСТ ВАРНА</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5DC52F7E" w14:textId="77777777" w:rsidR="00FA568B" w:rsidRPr="008E6F5B" w:rsidRDefault="00FA568B" w:rsidP="00443F31">
            <w:pPr>
              <w:jc w:val="center"/>
              <w:rPr>
                <w:b/>
                <w:sz w:val="18"/>
                <w:szCs w:val="18"/>
              </w:rPr>
            </w:pPr>
            <w:r w:rsidRPr="008E6F5B">
              <w:rPr>
                <w:b/>
                <w:sz w:val="18"/>
                <w:szCs w:val="18"/>
              </w:rPr>
              <w:t>5</w:t>
            </w:r>
          </w:p>
        </w:tc>
      </w:tr>
      <w:tr w:rsidR="00FA568B" w:rsidRPr="008E6F5B" w14:paraId="291886F1"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70E3A3D7" w14:textId="77777777" w:rsidR="00FA568B" w:rsidRPr="008E6F5B" w:rsidRDefault="00FA568B" w:rsidP="00443F31">
            <w:pPr>
              <w:rPr>
                <w:sz w:val="18"/>
                <w:szCs w:val="18"/>
              </w:rPr>
            </w:pPr>
            <w:r w:rsidRPr="008E6F5B">
              <w:rPr>
                <w:sz w:val="18"/>
                <w:szCs w:val="18"/>
              </w:rPr>
              <w:t>АВРЕН</w:t>
            </w:r>
          </w:p>
        </w:tc>
        <w:tc>
          <w:tcPr>
            <w:tcW w:w="1045" w:type="pct"/>
            <w:tcBorders>
              <w:top w:val="single" w:sz="4" w:space="0" w:color="auto"/>
              <w:left w:val="single" w:sz="4" w:space="0" w:color="auto"/>
              <w:bottom w:val="single" w:sz="4" w:space="0" w:color="auto"/>
              <w:right w:val="single" w:sz="4" w:space="0" w:color="auto"/>
            </w:tcBorders>
            <w:vAlign w:val="center"/>
          </w:tcPr>
          <w:p w14:paraId="68116E1B" w14:textId="77777777" w:rsidR="00FA568B" w:rsidRPr="008E6F5B" w:rsidRDefault="00FA568B" w:rsidP="00443F31">
            <w:pPr>
              <w:rPr>
                <w:sz w:val="18"/>
                <w:szCs w:val="18"/>
              </w:rPr>
            </w:pPr>
            <w:r w:rsidRPr="008E6F5B">
              <w:rPr>
                <w:sz w:val="18"/>
                <w:szCs w:val="18"/>
              </w:rPr>
              <w:t>ВАРНА</w:t>
            </w:r>
          </w:p>
        </w:tc>
        <w:tc>
          <w:tcPr>
            <w:tcW w:w="2164" w:type="pct"/>
            <w:tcBorders>
              <w:top w:val="single" w:sz="4" w:space="0" w:color="auto"/>
              <w:left w:val="single" w:sz="4" w:space="0" w:color="auto"/>
              <w:bottom w:val="single" w:sz="4" w:space="0" w:color="auto"/>
              <w:right w:val="single" w:sz="4" w:space="0" w:color="auto"/>
            </w:tcBorders>
            <w:vAlign w:val="center"/>
          </w:tcPr>
          <w:p w14:paraId="7FB9FD83"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1D3F8686" w14:textId="77777777" w:rsidR="00FA568B" w:rsidRPr="008E6F5B" w:rsidRDefault="00FA568B" w:rsidP="00443F31">
            <w:pPr>
              <w:jc w:val="center"/>
              <w:rPr>
                <w:sz w:val="18"/>
                <w:szCs w:val="18"/>
              </w:rPr>
            </w:pPr>
            <w:r w:rsidRPr="008E6F5B">
              <w:rPr>
                <w:sz w:val="18"/>
                <w:szCs w:val="18"/>
              </w:rPr>
              <w:t>1</w:t>
            </w:r>
          </w:p>
        </w:tc>
      </w:tr>
      <w:tr w:rsidR="00FA568B" w:rsidRPr="008E6F5B" w14:paraId="30714314"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2CFD913C" w14:textId="77777777" w:rsidR="00FA568B" w:rsidRPr="008E6F5B" w:rsidRDefault="00FA568B" w:rsidP="00443F31">
            <w:pPr>
              <w:rPr>
                <w:sz w:val="18"/>
                <w:szCs w:val="18"/>
              </w:rPr>
            </w:pPr>
            <w:r w:rsidRPr="008E6F5B">
              <w:rPr>
                <w:sz w:val="18"/>
                <w:szCs w:val="18"/>
              </w:rPr>
              <w:t>БЯЛА</w:t>
            </w:r>
          </w:p>
        </w:tc>
        <w:tc>
          <w:tcPr>
            <w:tcW w:w="1045" w:type="pct"/>
            <w:tcBorders>
              <w:top w:val="single" w:sz="4" w:space="0" w:color="auto"/>
              <w:left w:val="single" w:sz="4" w:space="0" w:color="auto"/>
              <w:bottom w:val="single" w:sz="4" w:space="0" w:color="auto"/>
              <w:right w:val="single" w:sz="4" w:space="0" w:color="auto"/>
            </w:tcBorders>
            <w:vAlign w:val="center"/>
          </w:tcPr>
          <w:p w14:paraId="16B981CB" w14:textId="77777777" w:rsidR="00FA568B" w:rsidRPr="008E6F5B" w:rsidRDefault="00FA568B" w:rsidP="00443F31">
            <w:pPr>
              <w:rPr>
                <w:sz w:val="18"/>
                <w:szCs w:val="18"/>
              </w:rPr>
            </w:pPr>
            <w:r w:rsidRPr="008E6F5B">
              <w:rPr>
                <w:sz w:val="18"/>
                <w:szCs w:val="18"/>
              </w:rPr>
              <w:t>ВАРНА</w:t>
            </w:r>
          </w:p>
        </w:tc>
        <w:tc>
          <w:tcPr>
            <w:tcW w:w="2164" w:type="pct"/>
            <w:tcBorders>
              <w:top w:val="single" w:sz="4" w:space="0" w:color="auto"/>
              <w:left w:val="single" w:sz="4" w:space="0" w:color="auto"/>
              <w:bottom w:val="single" w:sz="4" w:space="0" w:color="auto"/>
              <w:right w:val="single" w:sz="4" w:space="0" w:color="auto"/>
            </w:tcBorders>
            <w:vAlign w:val="center"/>
          </w:tcPr>
          <w:p w14:paraId="65B4F7CD"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6A935002" w14:textId="77777777" w:rsidR="00FA568B" w:rsidRPr="008E6F5B" w:rsidRDefault="00FA568B" w:rsidP="00443F31">
            <w:pPr>
              <w:jc w:val="center"/>
              <w:rPr>
                <w:sz w:val="18"/>
                <w:szCs w:val="18"/>
              </w:rPr>
            </w:pPr>
            <w:r w:rsidRPr="008E6F5B">
              <w:rPr>
                <w:sz w:val="18"/>
                <w:szCs w:val="18"/>
              </w:rPr>
              <w:t>1</w:t>
            </w:r>
          </w:p>
        </w:tc>
      </w:tr>
      <w:tr w:rsidR="00FA568B" w:rsidRPr="008E6F5B" w14:paraId="7C847A7C"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042734C1" w14:textId="77777777" w:rsidR="00FA568B" w:rsidRPr="008E6F5B" w:rsidRDefault="00FA568B" w:rsidP="00443F31">
            <w:pPr>
              <w:rPr>
                <w:sz w:val="18"/>
                <w:szCs w:val="18"/>
              </w:rPr>
            </w:pPr>
            <w:r w:rsidRPr="008E6F5B">
              <w:rPr>
                <w:sz w:val="18"/>
                <w:szCs w:val="18"/>
              </w:rPr>
              <w:lastRenderedPageBreak/>
              <w:t>ДЪЛГОПОЛ</w:t>
            </w:r>
          </w:p>
        </w:tc>
        <w:tc>
          <w:tcPr>
            <w:tcW w:w="1045" w:type="pct"/>
            <w:tcBorders>
              <w:top w:val="single" w:sz="4" w:space="0" w:color="auto"/>
              <w:left w:val="single" w:sz="4" w:space="0" w:color="auto"/>
              <w:bottom w:val="single" w:sz="4" w:space="0" w:color="auto"/>
              <w:right w:val="single" w:sz="4" w:space="0" w:color="auto"/>
            </w:tcBorders>
            <w:vAlign w:val="center"/>
          </w:tcPr>
          <w:p w14:paraId="6F1F8576" w14:textId="77777777" w:rsidR="00FA568B" w:rsidRPr="008E6F5B" w:rsidRDefault="00FA568B" w:rsidP="00443F31">
            <w:pPr>
              <w:rPr>
                <w:sz w:val="18"/>
                <w:szCs w:val="18"/>
              </w:rPr>
            </w:pPr>
            <w:r w:rsidRPr="008E6F5B">
              <w:rPr>
                <w:sz w:val="18"/>
                <w:szCs w:val="18"/>
              </w:rPr>
              <w:t>ВАРНА</w:t>
            </w:r>
          </w:p>
        </w:tc>
        <w:tc>
          <w:tcPr>
            <w:tcW w:w="2164" w:type="pct"/>
            <w:tcBorders>
              <w:top w:val="single" w:sz="4" w:space="0" w:color="auto"/>
              <w:left w:val="single" w:sz="4" w:space="0" w:color="auto"/>
              <w:bottom w:val="single" w:sz="4" w:space="0" w:color="auto"/>
              <w:right w:val="single" w:sz="4" w:space="0" w:color="auto"/>
            </w:tcBorders>
            <w:vAlign w:val="center"/>
          </w:tcPr>
          <w:p w14:paraId="274FE64C" w14:textId="77777777" w:rsidR="00FA568B" w:rsidRPr="008E6F5B" w:rsidRDefault="00FA568B" w:rsidP="00443F31">
            <w:pPr>
              <w:rPr>
                <w:sz w:val="18"/>
                <w:szCs w:val="18"/>
              </w:rPr>
            </w:pPr>
            <w:r w:rsidRPr="008E6F5B">
              <w:rPr>
                <w:sz w:val="18"/>
                <w:szCs w:val="18"/>
              </w:rPr>
              <w:t>СЪЮЗ НА ЕВАНГЕЛСКИТЕ ПЕТДЕСЯТНИ ЦЪРКВИ В БЪЛГАРИЯ</w:t>
            </w:r>
          </w:p>
        </w:tc>
        <w:tc>
          <w:tcPr>
            <w:tcW w:w="746" w:type="pct"/>
            <w:tcBorders>
              <w:top w:val="single" w:sz="4" w:space="0" w:color="auto"/>
              <w:left w:val="single" w:sz="4" w:space="0" w:color="auto"/>
              <w:bottom w:val="single" w:sz="4" w:space="0" w:color="auto"/>
              <w:right w:val="single" w:sz="4" w:space="0" w:color="auto"/>
            </w:tcBorders>
            <w:vAlign w:val="center"/>
          </w:tcPr>
          <w:p w14:paraId="3F42B0C6" w14:textId="77777777" w:rsidR="00FA568B" w:rsidRPr="008E6F5B" w:rsidRDefault="00FA568B" w:rsidP="00443F31">
            <w:pPr>
              <w:jc w:val="center"/>
              <w:rPr>
                <w:sz w:val="18"/>
                <w:szCs w:val="18"/>
              </w:rPr>
            </w:pPr>
            <w:r w:rsidRPr="008E6F5B">
              <w:rPr>
                <w:sz w:val="18"/>
                <w:szCs w:val="18"/>
              </w:rPr>
              <w:t>1</w:t>
            </w:r>
          </w:p>
        </w:tc>
      </w:tr>
      <w:tr w:rsidR="00FA568B" w:rsidRPr="008E6F5B" w14:paraId="518E3BE8"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015BF018" w14:textId="77777777" w:rsidR="00FA568B" w:rsidRPr="008E6F5B" w:rsidRDefault="00FA568B" w:rsidP="00443F31">
            <w:pPr>
              <w:rPr>
                <w:sz w:val="18"/>
                <w:szCs w:val="18"/>
              </w:rPr>
            </w:pPr>
            <w:r w:rsidRPr="008E6F5B">
              <w:rPr>
                <w:sz w:val="18"/>
                <w:szCs w:val="18"/>
              </w:rPr>
              <w:t>ПРОВАДИЯ</w:t>
            </w:r>
          </w:p>
        </w:tc>
        <w:tc>
          <w:tcPr>
            <w:tcW w:w="1045" w:type="pct"/>
            <w:tcBorders>
              <w:top w:val="single" w:sz="4" w:space="0" w:color="auto"/>
              <w:left w:val="single" w:sz="4" w:space="0" w:color="auto"/>
              <w:bottom w:val="single" w:sz="4" w:space="0" w:color="auto"/>
              <w:right w:val="single" w:sz="4" w:space="0" w:color="auto"/>
            </w:tcBorders>
            <w:vAlign w:val="center"/>
          </w:tcPr>
          <w:p w14:paraId="3F1684BD" w14:textId="77777777" w:rsidR="00FA568B" w:rsidRPr="008E6F5B" w:rsidRDefault="00FA568B" w:rsidP="00443F31">
            <w:pPr>
              <w:rPr>
                <w:sz w:val="18"/>
                <w:szCs w:val="18"/>
              </w:rPr>
            </w:pPr>
            <w:r w:rsidRPr="008E6F5B">
              <w:rPr>
                <w:sz w:val="18"/>
                <w:szCs w:val="18"/>
              </w:rPr>
              <w:t>ВАРНА</w:t>
            </w:r>
          </w:p>
        </w:tc>
        <w:tc>
          <w:tcPr>
            <w:tcW w:w="2164" w:type="pct"/>
            <w:tcBorders>
              <w:top w:val="single" w:sz="4" w:space="0" w:color="auto"/>
              <w:left w:val="single" w:sz="4" w:space="0" w:color="auto"/>
              <w:bottom w:val="single" w:sz="4" w:space="0" w:color="auto"/>
              <w:right w:val="single" w:sz="4" w:space="0" w:color="auto"/>
            </w:tcBorders>
            <w:vAlign w:val="center"/>
          </w:tcPr>
          <w:p w14:paraId="5DEF0D18" w14:textId="77777777" w:rsidR="00FA568B" w:rsidRPr="008E6F5B" w:rsidRDefault="00FA568B" w:rsidP="00443F31">
            <w:pPr>
              <w:rPr>
                <w:sz w:val="18"/>
                <w:szCs w:val="18"/>
              </w:rPr>
            </w:pPr>
            <w:r w:rsidRPr="008E6F5B">
              <w:rPr>
                <w:sz w:val="18"/>
                <w:szCs w:val="18"/>
              </w:rPr>
              <w:t>СЪЮЗ НА ЕВАНГЕЛСКИТЕ ПЕТДЕСЯТНИ ЦЪРКВИ В БЪЛГАРИЯ</w:t>
            </w:r>
          </w:p>
        </w:tc>
        <w:tc>
          <w:tcPr>
            <w:tcW w:w="746" w:type="pct"/>
            <w:tcBorders>
              <w:top w:val="single" w:sz="4" w:space="0" w:color="auto"/>
              <w:left w:val="single" w:sz="4" w:space="0" w:color="auto"/>
              <w:bottom w:val="single" w:sz="4" w:space="0" w:color="auto"/>
              <w:right w:val="single" w:sz="4" w:space="0" w:color="auto"/>
            </w:tcBorders>
            <w:vAlign w:val="center"/>
          </w:tcPr>
          <w:p w14:paraId="36D62D22" w14:textId="77777777" w:rsidR="00FA568B" w:rsidRPr="008E6F5B" w:rsidRDefault="00FA568B" w:rsidP="00443F31">
            <w:pPr>
              <w:jc w:val="center"/>
              <w:rPr>
                <w:sz w:val="18"/>
                <w:szCs w:val="18"/>
              </w:rPr>
            </w:pPr>
            <w:r w:rsidRPr="008E6F5B">
              <w:rPr>
                <w:sz w:val="18"/>
                <w:szCs w:val="18"/>
              </w:rPr>
              <w:t>1</w:t>
            </w:r>
          </w:p>
        </w:tc>
      </w:tr>
      <w:tr w:rsidR="00FA568B" w:rsidRPr="008E6F5B" w14:paraId="38203C74"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589D02DB" w14:textId="77777777" w:rsidR="00FA568B" w:rsidRPr="008E6F5B" w:rsidRDefault="00FA568B" w:rsidP="00443F31">
            <w:pPr>
              <w:rPr>
                <w:sz w:val="18"/>
                <w:szCs w:val="18"/>
              </w:rPr>
            </w:pPr>
            <w:r w:rsidRPr="008E6F5B">
              <w:rPr>
                <w:sz w:val="18"/>
                <w:szCs w:val="18"/>
              </w:rPr>
              <w:t>ПРОВАДИЯ</w:t>
            </w:r>
          </w:p>
        </w:tc>
        <w:tc>
          <w:tcPr>
            <w:tcW w:w="1045" w:type="pct"/>
            <w:tcBorders>
              <w:top w:val="single" w:sz="4" w:space="0" w:color="auto"/>
              <w:left w:val="single" w:sz="4" w:space="0" w:color="auto"/>
              <w:bottom w:val="single" w:sz="4" w:space="0" w:color="auto"/>
              <w:right w:val="single" w:sz="4" w:space="0" w:color="auto"/>
            </w:tcBorders>
            <w:vAlign w:val="center"/>
          </w:tcPr>
          <w:p w14:paraId="1A8361A7" w14:textId="77777777" w:rsidR="00FA568B" w:rsidRPr="008E6F5B" w:rsidRDefault="00FA568B" w:rsidP="00443F31">
            <w:pPr>
              <w:rPr>
                <w:sz w:val="18"/>
                <w:szCs w:val="18"/>
              </w:rPr>
            </w:pPr>
            <w:r w:rsidRPr="008E6F5B">
              <w:rPr>
                <w:sz w:val="18"/>
                <w:szCs w:val="18"/>
              </w:rPr>
              <w:t>ВАРНА</w:t>
            </w:r>
          </w:p>
        </w:tc>
        <w:tc>
          <w:tcPr>
            <w:tcW w:w="2164" w:type="pct"/>
            <w:tcBorders>
              <w:top w:val="single" w:sz="4" w:space="0" w:color="auto"/>
              <w:left w:val="single" w:sz="4" w:space="0" w:color="auto"/>
              <w:bottom w:val="single" w:sz="4" w:space="0" w:color="auto"/>
              <w:right w:val="single" w:sz="4" w:space="0" w:color="auto"/>
            </w:tcBorders>
            <w:vAlign w:val="center"/>
          </w:tcPr>
          <w:p w14:paraId="3D461231"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4434C96D" w14:textId="77777777" w:rsidR="00FA568B" w:rsidRPr="008E6F5B" w:rsidRDefault="00FA568B" w:rsidP="00443F31">
            <w:pPr>
              <w:jc w:val="center"/>
              <w:rPr>
                <w:sz w:val="18"/>
                <w:szCs w:val="18"/>
              </w:rPr>
            </w:pPr>
            <w:r w:rsidRPr="008E6F5B">
              <w:rPr>
                <w:sz w:val="18"/>
                <w:szCs w:val="18"/>
              </w:rPr>
              <w:t>1</w:t>
            </w:r>
          </w:p>
        </w:tc>
      </w:tr>
      <w:tr w:rsidR="00FA568B" w:rsidRPr="008E6F5B" w14:paraId="70FB477B"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hideMark/>
          </w:tcPr>
          <w:p w14:paraId="47BC1085" w14:textId="77777777" w:rsidR="00FA568B" w:rsidRPr="008E6F5B" w:rsidRDefault="00FA568B" w:rsidP="00443F31">
            <w:pPr>
              <w:rPr>
                <w:sz w:val="18"/>
                <w:szCs w:val="18"/>
              </w:rPr>
            </w:pPr>
            <w:r w:rsidRPr="008E6F5B">
              <w:rPr>
                <w:b/>
                <w:sz w:val="18"/>
                <w:szCs w:val="18"/>
              </w:rPr>
              <w:t>ОБЛАСТ ВЕЛИКО ТЪРНОВО</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14D2AB1E" w14:textId="77777777" w:rsidR="00FA568B" w:rsidRPr="008E6F5B" w:rsidRDefault="00FA568B" w:rsidP="00443F31">
            <w:pPr>
              <w:jc w:val="center"/>
              <w:rPr>
                <w:b/>
                <w:sz w:val="18"/>
                <w:szCs w:val="18"/>
              </w:rPr>
            </w:pPr>
            <w:r w:rsidRPr="008E6F5B">
              <w:rPr>
                <w:b/>
                <w:sz w:val="18"/>
                <w:szCs w:val="18"/>
              </w:rPr>
              <w:t>9</w:t>
            </w:r>
          </w:p>
        </w:tc>
      </w:tr>
      <w:tr w:rsidR="00FA568B" w:rsidRPr="008E6F5B" w14:paraId="552D5586"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72F2329D" w14:textId="77777777" w:rsidR="00FA568B" w:rsidRPr="008E6F5B" w:rsidRDefault="00FA568B" w:rsidP="00443F31">
            <w:pPr>
              <w:rPr>
                <w:sz w:val="18"/>
                <w:szCs w:val="18"/>
              </w:rPr>
            </w:pPr>
            <w:r w:rsidRPr="008E6F5B">
              <w:rPr>
                <w:sz w:val="18"/>
                <w:szCs w:val="18"/>
              </w:rPr>
              <w:t>ВЕЛИКО ТЪРНОВО</w:t>
            </w:r>
          </w:p>
        </w:tc>
        <w:tc>
          <w:tcPr>
            <w:tcW w:w="1045" w:type="pct"/>
            <w:tcBorders>
              <w:top w:val="single" w:sz="4" w:space="0" w:color="auto"/>
              <w:left w:val="single" w:sz="4" w:space="0" w:color="auto"/>
              <w:bottom w:val="single" w:sz="4" w:space="0" w:color="auto"/>
              <w:right w:val="single" w:sz="4" w:space="0" w:color="auto"/>
            </w:tcBorders>
            <w:vAlign w:val="center"/>
          </w:tcPr>
          <w:p w14:paraId="508CB7D5" w14:textId="77777777" w:rsidR="00FA568B" w:rsidRPr="008E6F5B" w:rsidRDefault="00FA568B" w:rsidP="00443F31">
            <w:pPr>
              <w:rPr>
                <w:sz w:val="18"/>
                <w:szCs w:val="18"/>
              </w:rPr>
            </w:pPr>
            <w:r w:rsidRPr="008E6F5B">
              <w:rPr>
                <w:sz w:val="18"/>
                <w:szCs w:val="18"/>
              </w:rPr>
              <w:t>ВЕЛИКО ТЪРНОВО</w:t>
            </w:r>
          </w:p>
        </w:tc>
        <w:tc>
          <w:tcPr>
            <w:tcW w:w="2164" w:type="pct"/>
            <w:tcBorders>
              <w:top w:val="single" w:sz="4" w:space="0" w:color="auto"/>
              <w:left w:val="single" w:sz="4" w:space="0" w:color="auto"/>
              <w:bottom w:val="single" w:sz="4" w:space="0" w:color="auto"/>
              <w:right w:val="single" w:sz="4" w:space="0" w:color="auto"/>
            </w:tcBorders>
            <w:vAlign w:val="center"/>
          </w:tcPr>
          <w:p w14:paraId="41753787" w14:textId="77777777" w:rsidR="00FA568B" w:rsidRPr="008E6F5B" w:rsidRDefault="00FA568B" w:rsidP="00443F31">
            <w:pPr>
              <w:rPr>
                <w:sz w:val="18"/>
                <w:szCs w:val="18"/>
              </w:rPr>
            </w:pPr>
            <w:r w:rsidRPr="008E6F5B">
              <w:rPr>
                <w:sz w:val="18"/>
                <w:szCs w:val="18"/>
              </w:rPr>
              <w:t>НАЦИОНАЛЕН АЛИАНС "ОБЕДИНЕНИ БОЖИИ ЦЪРКВИ"</w:t>
            </w:r>
          </w:p>
        </w:tc>
        <w:tc>
          <w:tcPr>
            <w:tcW w:w="746" w:type="pct"/>
            <w:tcBorders>
              <w:top w:val="single" w:sz="4" w:space="0" w:color="auto"/>
              <w:left w:val="single" w:sz="4" w:space="0" w:color="auto"/>
              <w:bottom w:val="single" w:sz="4" w:space="0" w:color="auto"/>
              <w:right w:val="single" w:sz="4" w:space="0" w:color="auto"/>
            </w:tcBorders>
            <w:vAlign w:val="center"/>
          </w:tcPr>
          <w:p w14:paraId="48E00504" w14:textId="77777777" w:rsidR="00FA568B" w:rsidRPr="008E6F5B" w:rsidRDefault="00FA568B" w:rsidP="00443F31">
            <w:pPr>
              <w:jc w:val="center"/>
              <w:rPr>
                <w:sz w:val="18"/>
                <w:szCs w:val="18"/>
              </w:rPr>
            </w:pPr>
            <w:r w:rsidRPr="008E6F5B">
              <w:rPr>
                <w:sz w:val="18"/>
                <w:szCs w:val="18"/>
              </w:rPr>
              <w:t>1</w:t>
            </w:r>
          </w:p>
        </w:tc>
      </w:tr>
      <w:tr w:rsidR="00FA568B" w:rsidRPr="008E6F5B" w14:paraId="78455EEB"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4736E52C" w14:textId="77777777" w:rsidR="00FA568B" w:rsidRPr="008E6F5B" w:rsidRDefault="00FA568B" w:rsidP="00443F31">
            <w:pPr>
              <w:rPr>
                <w:sz w:val="18"/>
                <w:szCs w:val="18"/>
              </w:rPr>
            </w:pPr>
            <w:r w:rsidRPr="008E6F5B">
              <w:rPr>
                <w:sz w:val="18"/>
                <w:szCs w:val="18"/>
              </w:rPr>
              <w:t>ВЕЛИКО ТЪРНОВО</w:t>
            </w:r>
          </w:p>
        </w:tc>
        <w:tc>
          <w:tcPr>
            <w:tcW w:w="1045" w:type="pct"/>
            <w:tcBorders>
              <w:top w:val="single" w:sz="4" w:space="0" w:color="auto"/>
              <w:left w:val="single" w:sz="4" w:space="0" w:color="auto"/>
              <w:bottom w:val="single" w:sz="4" w:space="0" w:color="auto"/>
              <w:right w:val="single" w:sz="4" w:space="0" w:color="auto"/>
            </w:tcBorders>
            <w:vAlign w:val="center"/>
          </w:tcPr>
          <w:p w14:paraId="2002AD9E" w14:textId="77777777" w:rsidR="00FA568B" w:rsidRPr="008E6F5B" w:rsidRDefault="00FA568B" w:rsidP="00443F31">
            <w:pPr>
              <w:rPr>
                <w:sz w:val="18"/>
                <w:szCs w:val="18"/>
              </w:rPr>
            </w:pPr>
            <w:r w:rsidRPr="008E6F5B">
              <w:rPr>
                <w:sz w:val="18"/>
                <w:szCs w:val="18"/>
              </w:rPr>
              <w:t>ВЕЛИКО ТЪРНОВО</w:t>
            </w:r>
          </w:p>
        </w:tc>
        <w:tc>
          <w:tcPr>
            <w:tcW w:w="2164" w:type="pct"/>
            <w:tcBorders>
              <w:top w:val="single" w:sz="4" w:space="0" w:color="auto"/>
              <w:left w:val="single" w:sz="4" w:space="0" w:color="auto"/>
              <w:bottom w:val="single" w:sz="4" w:space="0" w:color="auto"/>
              <w:right w:val="single" w:sz="4" w:space="0" w:color="auto"/>
            </w:tcBorders>
            <w:vAlign w:val="center"/>
          </w:tcPr>
          <w:p w14:paraId="21CB37B4" w14:textId="77777777" w:rsidR="00FA568B" w:rsidRPr="008E6F5B" w:rsidRDefault="00FA568B" w:rsidP="00443F31">
            <w:pPr>
              <w:rPr>
                <w:sz w:val="18"/>
                <w:szCs w:val="18"/>
              </w:rPr>
            </w:pPr>
            <w:r w:rsidRPr="008E6F5B">
              <w:rPr>
                <w:sz w:val="18"/>
                <w:szCs w:val="18"/>
              </w:rPr>
              <w:t xml:space="preserve">Българска православна </w:t>
            </w:r>
            <w:proofErr w:type="spellStart"/>
            <w:r w:rsidRPr="008E6F5B">
              <w:rPr>
                <w:sz w:val="18"/>
                <w:szCs w:val="18"/>
              </w:rPr>
              <w:t>старостилна</w:t>
            </w:r>
            <w:proofErr w:type="spellEnd"/>
            <w:r w:rsidRPr="008E6F5B">
              <w:rPr>
                <w:sz w:val="18"/>
                <w:szCs w:val="18"/>
              </w:rPr>
              <w:t xml:space="preserve"> църква</w:t>
            </w:r>
          </w:p>
        </w:tc>
        <w:tc>
          <w:tcPr>
            <w:tcW w:w="746" w:type="pct"/>
            <w:tcBorders>
              <w:top w:val="single" w:sz="4" w:space="0" w:color="auto"/>
              <w:left w:val="single" w:sz="4" w:space="0" w:color="auto"/>
              <w:bottom w:val="single" w:sz="4" w:space="0" w:color="auto"/>
              <w:right w:val="single" w:sz="4" w:space="0" w:color="auto"/>
            </w:tcBorders>
            <w:vAlign w:val="center"/>
          </w:tcPr>
          <w:p w14:paraId="0C24BBCD" w14:textId="77777777" w:rsidR="00FA568B" w:rsidRPr="008E6F5B" w:rsidRDefault="00FA568B" w:rsidP="00443F31">
            <w:pPr>
              <w:jc w:val="center"/>
              <w:rPr>
                <w:sz w:val="18"/>
                <w:szCs w:val="18"/>
              </w:rPr>
            </w:pPr>
            <w:r w:rsidRPr="008E6F5B">
              <w:rPr>
                <w:sz w:val="18"/>
                <w:szCs w:val="18"/>
              </w:rPr>
              <w:t>1</w:t>
            </w:r>
          </w:p>
        </w:tc>
      </w:tr>
      <w:tr w:rsidR="00FA568B" w:rsidRPr="008E6F5B" w14:paraId="28FDC637"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18574719" w14:textId="77777777" w:rsidR="00FA568B" w:rsidRPr="008E6F5B" w:rsidRDefault="00FA568B" w:rsidP="00443F31">
            <w:pPr>
              <w:rPr>
                <w:sz w:val="18"/>
                <w:szCs w:val="18"/>
              </w:rPr>
            </w:pPr>
            <w:r w:rsidRPr="008E6F5B">
              <w:rPr>
                <w:sz w:val="18"/>
                <w:szCs w:val="18"/>
              </w:rPr>
              <w:t>ГОРНА ОРЯХОВИЦА</w:t>
            </w:r>
          </w:p>
        </w:tc>
        <w:tc>
          <w:tcPr>
            <w:tcW w:w="1045" w:type="pct"/>
            <w:tcBorders>
              <w:top w:val="single" w:sz="4" w:space="0" w:color="auto"/>
              <w:left w:val="single" w:sz="4" w:space="0" w:color="auto"/>
              <w:bottom w:val="single" w:sz="4" w:space="0" w:color="auto"/>
              <w:right w:val="single" w:sz="4" w:space="0" w:color="auto"/>
            </w:tcBorders>
            <w:vAlign w:val="center"/>
          </w:tcPr>
          <w:p w14:paraId="674F48F2" w14:textId="77777777" w:rsidR="00FA568B" w:rsidRPr="008E6F5B" w:rsidRDefault="00FA568B" w:rsidP="00443F31">
            <w:pPr>
              <w:rPr>
                <w:sz w:val="18"/>
                <w:szCs w:val="18"/>
              </w:rPr>
            </w:pPr>
            <w:r w:rsidRPr="008E6F5B">
              <w:rPr>
                <w:sz w:val="18"/>
                <w:szCs w:val="18"/>
              </w:rPr>
              <w:t>ВЕЛИКО ТЪРНОВО</w:t>
            </w:r>
          </w:p>
        </w:tc>
        <w:tc>
          <w:tcPr>
            <w:tcW w:w="2164" w:type="pct"/>
            <w:tcBorders>
              <w:top w:val="single" w:sz="4" w:space="0" w:color="auto"/>
              <w:left w:val="single" w:sz="4" w:space="0" w:color="auto"/>
              <w:bottom w:val="single" w:sz="4" w:space="0" w:color="auto"/>
              <w:right w:val="single" w:sz="4" w:space="0" w:color="auto"/>
            </w:tcBorders>
            <w:vAlign w:val="center"/>
          </w:tcPr>
          <w:p w14:paraId="67AE54F6"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25FE5489" w14:textId="77777777" w:rsidR="00FA568B" w:rsidRPr="008E6F5B" w:rsidRDefault="00FA568B" w:rsidP="00443F31">
            <w:pPr>
              <w:jc w:val="center"/>
              <w:rPr>
                <w:sz w:val="18"/>
                <w:szCs w:val="18"/>
              </w:rPr>
            </w:pPr>
            <w:r w:rsidRPr="008E6F5B">
              <w:rPr>
                <w:sz w:val="18"/>
                <w:szCs w:val="18"/>
              </w:rPr>
              <w:t>3</w:t>
            </w:r>
          </w:p>
        </w:tc>
      </w:tr>
      <w:tr w:rsidR="00FA568B" w:rsidRPr="008E6F5B" w14:paraId="71B094A0"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2AA9F988" w14:textId="77777777" w:rsidR="00FA568B" w:rsidRPr="008E6F5B" w:rsidRDefault="00FA568B" w:rsidP="00443F31">
            <w:pPr>
              <w:rPr>
                <w:sz w:val="18"/>
                <w:szCs w:val="18"/>
              </w:rPr>
            </w:pPr>
            <w:r w:rsidRPr="008E6F5B">
              <w:rPr>
                <w:sz w:val="18"/>
                <w:szCs w:val="18"/>
              </w:rPr>
              <w:t>ГОРНА ОРЯХОВИЦА</w:t>
            </w:r>
          </w:p>
        </w:tc>
        <w:tc>
          <w:tcPr>
            <w:tcW w:w="1045" w:type="pct"/>
            <w:tcBorders>
              <w:top w:val="single" w:sz="4" w:space="0" w:color="auto"/>
              <w:left w:val="single" w:sz="4" w:space="0" w:color="auto"/>
              <w:bottom w:val="single" w:sz="4" w:space="0" w:color="auto"/>
              <w:right w:val="single" w:sz="4" w:space="0" w:color="auto"/>
            </w:tcBorders>
            <w:vAlign w:val="center"/>
          </w:tcPr>
          <w:p w14:paraId="55D6B02B" w14:textId="77777777" w:rsidR="00FA568B" w:rsidRPr="008E6F5B" w:rsidRDefault="00FA568B" w:rsidP="00443F31">
            <w:pPr>
              <w:rPr>
                <w:sz w:val="18"/>
                <w:szCs w:val="18"/>
              </w:rPr>
            </w:pPr>
            <w:r w:rsidRPr="008E6F5B">
              <w:rPr>
                <w:sz w:val="18"/>
                <w:szCs w:val="18"/>
              </w:rPr>
              <w:t>ВЕЛИКО ТЪРНОВО</w:t>
            </w:r>
          </w:p>
        </w:tc>
        <w:tc>
          <w:tcPr>
            <w:tcW w:w="2164" w:type="pct"/>
            <w:tcBorders>
              <w:top w:val="single" w:sz="4" w:space="0" w:color="auto"/>
              <w:left w:val="single" w:sz="4" w:space="0" w:color="auto"/>
              <w:bottom w:val="single" w:sz="4" w:space="0" w:color="auto"/>
              <w:right w:val="single" w:sz="4" w:space="0" w:color="auto"/>
            </w:tcBorders>
            <w:vAlign w:val="center"/>
          </w:tcPr>
          <w:p w14:paraId="283152B1" w14:textId="77777777" w:rsidR="00FA568B" w:rsidRPr="008E6F5B" w:rsidRDefault="00FA568B" w:rsidP="00443F31">
            <w:pPr>
              <w:rPr>
                <w:sz w:val="18"/>
                <w:szCs w:val="18"/>
              </w:rPr>
            </w:pPr>
            <w:r w:rsidRPr="008E6F5B">
              <w:rPr>
                <w:sz w:val="18"/>
                <w:szCs w:val="18"/>
              </w:rPr>
              <w:t>СЪЮЗ НА ЦЪРКВИТЕ НА АДВЕНТИСТИТЕ ОТ СЕДМИЯ ДЕН</w:t>
            </w:r>
          </w:p>
        </w:tc>
        <w:tc>
          <w:tcPr>
            <w:tcW w:w="746" w:type="pct"/>
            <w:tcBorders>
              <w:top w:val="single" w:sz="4" w:space="0" w:color="auto"/>
              <w:left w:val="single" w:sz="4" w:space="0" w:color="auto"/>
              <w:bottom w:val="single" w:sz="4" w:space="0" w:color="auto"/>
              <w:right w:val="single" w:sz="4" w:space="0" w:color="auto"/>
            </w:tcBorders>
            <w:vAlign w:val="center"/>
          </w:tcPr>
          <w:p w14:paraId="073E0774" w14:textId="77777777" w:rsidR="00FA568B" w:rsidRPr="008E6F5B" w:rsidRDefault="00FA568B" w:rsidP="00443F31">
            <w:pPr>
              <w:jc w:val="center"/>
              <w:rPr>
                <w:sz w:val="18"/>
                <w:szCs w:val="18"/>
              </w:rPr>
            </w:pPr>
            <w:r w:rsidRPr="008E6F5B">
              <w:rPr>
                <w:sz w:val="18"/>
                <w:szCs w:val="18"/>
              </w:rPr>
              <w:t>1</w:t>
            </w:r>
          </w:p>
        </w:tc>
      </w:tr>
      <w:tr w:rsidR="00FA568B" w:rsidRPr="008E6F5B" w14:paraId="63ED3E65"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1E42B3C4" w14:textId="77777777" w:rsidR="00FA568B" w:rsidRPr="008E6F5B" w:rsidRDefault="00FA568B" w:rsidP="00443F31">
            <w:pPr>
              <w:rPr>
                <w:sz w:val="18"/>
                <w:szCs w:val="18"/>
              </w:rPr>
            </w:pPr>
            <w:r w:rsidRPr="008E6F5B">
              <w:rPr>
                <w:sz w:val="18"/>
                <w:szCs w:val="18"/>
              </w:rPr>
              <w:t>ПОЛСКИ ТРЪМБЕШ</w:t>
            </w:r>
          </w:p>
        </w:tc>
        <w:tc>
          <w:tcPr>
            <w:tcW w:w="1045" w:type="pct"/>
            <w:tcBorders>
              <w:top w:val="single" w:sz="4" w:space="0" w:color="auto"/>
              <w:left w:val="single" w:sz="4" w:space="0" w:color="auto"/>
              <w:bottom w:val="single" w:sz="4" w:space="0" w:color="auto"/>
              <w:right w:val="single" w:sz="4" w:space="0" w:color="auto"/>
            </w:tcBorders>
            <w:vAlign w:val="center"/>
            <w:hideMark/>
          </w:tcPr>
          <w:p w14:paraId="7FF72092" w14:textId="77777777" w:rsidR="00FA568B" w:rsidRPr="008E6F5B" w:rsidRDefault="00FA568B" w:rsidP="00443F31">
            <w:pPr>
              <w:rPr>
                <w:sz w:val="18"/>
                <w:szCs w:val="18"/>
              </w:rPr>
            </w:pPr>
            <w:r w:rsidRPr="008E6F5B">
              <w:rPr>
                <w:sz w:val="18"/>
                <w:szCs w:val="18"/>
              </w:rPr>
              <w:t>ВЕЛИКО ТЪРНОВО</w:t>
            </w:r>
          </w:p>
        </w:tc>
        <w:tc>
          <w:tcPr>
            <w:tcW w:w="2164" w:type="pct"/>
            <w:tcBorders>
              <w:top w:val="single" w:sz="4" w:space="0" w:color="auto"/>
              <w:left w:val="single" w:sz="4" w:space="0" w:color="auto"/>
              <w:bottom w:val="single" w:sz="4" w:space="0" w:color="auto"/>
              <w:right w:val="single" w:sz="4" w:space="0" w:color="auto"/>
            </w:tcBorders>
            <w:vAlign w:val="center"/>
          </w:tcPr>
          <w:p w14:paraId="46A96DFC"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6CED3A94" w14:textId="77777777" w:rsidR="00FA568B" w:rsidRPr="008E6F5B" w:rsidRDefault="00FA568B" w:rsidP="00443F31">
            <w:pPr>
              <w:jc w:val="center"/>
              <w:rPr>
                <w:sz w:val="18"/>
                <w:szCs w:val="18"/>
              </w:rPr>
            </w:pPr>
            <w:r w:rsidRPr="008E6F5B">
              <w:rPr>
                <w:sz w:val="18"/>
                <w:szCs w:val="18"/>
              </w:rPr>
              <w:t>3</w:t>
            </w:r>
          </w:p>
        </w:tc>
      </w:tr>
      <w:tr w:rsidR="00FA568B" w:rsidRPr="008E6F5B" w14:paraId="147B7AF8"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1F7F81A2" w14:textId="77777777" w:rsidR="00FA568B" w:rsidRPr="00FA568B" w:rsidRDefault="00FA568B" w:rsidP="00443F31">
            <w:pPr>
              <w:rPr>
                <w:sz w:val="18"/>
                <w:szCs w:val="18"/>
                <w:highlight w:val="green"/>
              </w:rPr>
            </w:pPr>
            <w:r w:rsidRPr="00FA568B">
              <w:rPr>
                <w:b/>
                <w:sz w:val="18"/>
                <w:szCs w:val="18"/>
              </w:rPr>
              <w:t>ОБЛАСТ ВИДИН</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799CEEA0" w14:textId="77777777" w:rsidR="00FA568B" w:rsidRPr="00FA568B" w:rsidRDefault="00FA568B" w:rsidP="00443F31">
            <w:pPr>
              <w:jc w:val="center"/>
              <w:rPr>
                <w:b/>
                <w:sz w:val="18"/>
                <w:szCs w:val="18"/>
                <w:highlight w:val="green"/>
              </w:rPr>
            </w:pPr>
            <w:r w:rsidRPr="004F7D3A">
              <w:rPr>
                <w:b/>
                <w:sz w:val="18"/>
                <w:szCs w:val="18"/>
              </w:rPr>
              <w:t>1</w:t>
            </w:r>
          </w:p>
        </w:tc>
      </w:tr>
      <w:tr w:rsidR="00FA568B" w:rsidRPr="008E6F5B" w14:paraId="56929701" w14:textId="77777777" w:rsidTr="00057048">
        <w:trPr>
          <w:trHeight w:val="106"/>
        </w:trPr>
        <w:tc>
          <w:tcPr>
            <w:tcW w:w="1045" w:type="pct"/>
            <w:tcBorders>
              <w:top w:val="single" w:sz="4" w:space="0" w:color="auto"/>
              <w:left w:val="single" w:sz="4" w:space="0" w:color="auto"/>
              <w:bottom w:val="single" w:sz="4" w:space="0" w:color="auto"/>
              <w:right w:val="single" w:sz="4" w:space="0" w:color="auto"/>
            </w:tcBorders>
            <w:vAlign w:val="center"/>
          </w:tcPr>
          <w:p w14:paraId="602945E5" w14:textId="77777777" w:rsidR="00FA568B" w:rsidRPr="008E6F5B" w:rsidRDefault="00FA568B" w:rsidP="00443F31">
            <w:pPr>
              <w:rPr>
                <w:sz w:val="18"/>
                <w:szCs w:val="18"/>
              </w:rPr>
            </w:pPr>
            <w:r w:rsidRPr="008E6F5B">
              <w:rPr>
                <w:sz w:val="18"/>
                <w:szCs w:val="18"/>
              </w:rPr>
              <w:t>ВИДИН</w:t>
            </w:r>
          </w:p>
        </w:tc>
        <w:tc>
          <w:tcPr>
            <w:tcW w:w="1045" w:type="pct"/>
            <w:tcBorders>
              <w:top w:val="single" w:sz="4" w:space="0" w:color="auto"/>
              <w:left w:val="single" w:sz="4" w:space="0" w:color="auto"/>
              <w:bottom w:val="single" w:sz="4" w:space="0" w:color="auto"/>
              <w:right w:val="single" w:sz="4" w:space="0" w:color="auto"/>
            </w:tcBorders>
            <w:vAlign w:val="center"/>
          </w:tcPr>
          <w:p w14:paraId="2A6B5F2C" w14:textId="77777777" w:rsidR="00FA568B" w:rsidRPr="008E6F5B" w:rsidRDefault="00FA568B" w:rsidP="00443F31">
            <w:pPr>
              <w:rPr>
                <w:sz w:val="18"/>
                <w:szCs w:val="18"/>
              </w:rPr>
            </w:pPr>
            <w:r w:rsidRPr="008E6F5B">
              <w:rPr>
                <w:sz w:val="18"/>
                <w:szCs w:val="18"/>
              </w:rPr>
              <w:t>ВИДИН</w:t>
            </w:r>
          </w:p>
        </w:tc>
        <w:tc>
          <w:tcPr>
            <w:tcW w:w="2164" w:type="pct"/>
            <w:tcBorders>
              <w:top w:val="single" w:sz="4" w:space="0" w:color="auto"/>
              <w:left w:val="single" w:sz="4" w:space="0" w:color="auto"/>
              <w:bottom w:val="single" w:sz="4" w:space="0" w:color="auto"/>
              <w:right w:val="single" w:sz="4" w:space="0" w:color="auto"/>
            </w:tcBorders>
            <w:vAlign w:val="center"/>
          </w:tcPr>
          <w:p w14:paraId="742EF3EC" w14:textId="77777777" w:rsidR="00FA568B" w:rsidRPr="008E6F5B" w:rsidRDefault="00FA568B" w:rsidP="00443F31">
            <w:pPr>
              <w:rPr>
                <w:sz w:val="18"/>
                <w:szCs w:val="18"/>
              </w:rPr>
            </w:pPr>
            <w:r w:rsidRPr="008E6F5B">
              <w:rPr>
                <w:sz w:val="18"/>
                <w:szCs w:val="18"/>
              </w:rPr>
              <w:t>НАЦИОНАЛЕН АЛИАНС "ОБЕДИНЕНИ БОЖИИ ЦЪРКВИ"</w:t>
            </w:r>
          </w:p>
        </w:tc>
        <w:tc>
          <w:tcPr>
            <w:tcW w:w="746" w:type="pct"/>
            <w:tcBorders>
              <w:top w:val="single" w:sz="4" w:space="0" w:color="auto"/>
              <w:left w:val="single" w:sz="4" w:space="0" w:color="auto"/>
              <w:bottom w:val="single" w:sz="4" w:space="0" w:color="auto"/>
              <w:right w:val="single" w:sz="4" w:space="0" w:color="auto"/>
            </w:tcBorders>
            <w:vAlign w:val="center"/>
          </w:tcPr>
          <w:p w14:paraId="485095E0" w14:textId="77777777" w:rsidR="00FA568B" w:rsidRPr="008E6F5B" w:rsidRDefault="00FA568B" w:rsidP="00443F31">
            <w:pPr>
              <w:jc w:val="center"/>
              <w:rPr>
                <w:sz w:val="18"/>
                <w:szCs w:val="18"/>
              </w:rPr>
            </w:pPr>
            <w:r w:rsidRPr="008E6F5B">
              <w:rPr>
                <w:sz w:val="18"/>
                <w:szCs w:val="18"/>
              </w:rPr>
              <w:t>1</w:t>
            </w:r>
          </w:p>
        </w:tc>
      </w:tr>
      <w:tr w:rsidR="00FA568B" w:rsidRPr="008E6F5B" w14:paraId="04D70DE0"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hideMark/>
          </w:tcPr>
          <w:p w14:paraId="50B7D907" w14:textId="77777777" w:rsidR="00FA568B" w:rsidRPr="008E6F5B" w:rsidRDefault="00FA568B" w:rsidP="00443F31">
            <w:pPr>
              <w:rPr>
                <w:sz w:val="18"/>
                <w:szCs w:val="18"/>
              </w:rPr>
            </w:pPr>
            <w:r w:rsidRPr="008E6F5B">
              <w:rPr>
                <w:b/>
                <w:sz w:val="18"/>
                <w:szCs w:val="18"/>
              </w:rPr>
              <w:t>ОБЛАСТ ВРАЦА</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380DCF50" w14:textId="77777777" w:rsidR="00FA568B" w:rsidRPr="008E6F5B" w:rsidRDefault="00FA568B" w:rsidP="00443F31">
            <w:pPr>
              <w:jc w:val="center"/>
              <w:rPr>
                <w:b/>
                <w:sz w:val="18"/>
                <w:szCs w:val="18"/>
              </w:rPr>
            </w:pPr>
            <w:r w:rsidRPr="008E6F5B">
              <w:rPr>
                <w:b/>
                <w:sz w:val="18"/>
                <w:szCs w:val="18"/>
              </w:rPr>
              <w:t>5</w:t>
            </w:r>
          </w:p>
        </w:tc>
      </w:tr>
      <w:tr w:rsidR="00FA568B" w:rsidRPr="008E6F5B" w14:paraId="22E39DE7"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493C0DBC" w14:textId="77777777" w:rsidR="00FA568B" w:rsidRPr="008E6F5B" w:rsidRDefault="00FA568B" w:rsidP="00443F31">
            <w:pPr>
              <w:rPr>
                <w:sz w:val="18"/>
                <w:szCs w:val="18"/>
              </w:rPr>
            </w:pPr>
            <w:r w:rsidRPr="008E6F5B">
              <w:rPr>
                <w:sz w:val="18"/>
                <w:szCs w:val="18"/>
              </w:rPr>
              <w:t>БЯЛА СЛАТИНА</w:t>
            </w:r>
          </w:p>
        </w:tc>
        <w:tc>
          <w:tcPr>
            <w:tcW w:w="1045" w:type="pct"/>
            <w:tcBorders>
              <w:top w:val="single" w:sz="4" w:space="0" w:color="auto"/>
              <w:left w:val="single" w:sz="4" w:space="0" w:color="auto"/>
              <w:bottom w:val="single" w:sz="4" w:space="0" w:color="auto"/>
              <w:right w:val="single" w:sz="4" w:space="0" w:color="auto"/>
            </w:tcBorders>
            <w:vAlign w:val="center"/>
          </w:tcPr>
          <w:p w14:paraId="1FE7CA74" w14:textId="77777777" w:rsidR="00FA568B" w:rsidRPr="008E6F5B" w:rsidRDefault="00FA568B" w:rsidP="00443F31">
            <w:pPr>
              <w:rPr>
                <w:sz w:val="18"/>
                <w:szCs w:val="18"/>
              </w:rPr>
            </w:pPr>
            <w:r w:rsidRPr="008E6F5B">
              <w:rPr>
                <w:sz w:val="18"/>
                <w:szCs w:val="18"/>
              </w:rPr>
              <w:t>ВРАЦА</w:t>
            </w:r>
          </w:p>
        </w:tc>
        <w:tc>
          <w:tcPr>
            <w:tcW w:w="2164" w:type="pct"/>
            <w:tcBorders>
              <w:top w:val="single" w:sz="4" w:space="0" w:color="auto"/>
              <w:left w:val="single" w:sz="4" w:space="0" w:color="auto"/>
              <w:bottom w:val="single" w:sz="4" w:space="0" w:color="auto"/>
              <w:right w:val="single" w:sz="4" w:space="0" w:color="auto"/>
            </w:tcBorders>
            <w:vAlign w:val="center"/>
          </w:tcPr>
          <w:p w14:paraId="1A4E7FDC" w14:textId="77777777" w:rsidR="00FA568B" w:rsidRPr="008E6F5B" w:rsidRDefault="00FA568B" w:rsidP="00443F31">
            <w:pPr>
              <w:rPr>
                <w:sz w:val="18"/>
                <w:szCs w:val="18"/>
              </w:rPr>
            </w:pPr>
            <w:r w:rsidRPr="008E6F5B">
              <w:rPr>
                <w:sz w:val="18"/>
                <w:szCs w:val="18"/>
              </w:rPr>
              <w:t>НАЦИОНАЛЕН АЛИАНС "ОБЕДИНЕНИ БОЖИИ ЦЪРКВИ"</w:t>
            </w:r>
          </w:p>
        </w:tc>
        <w:tc>
          <w:tcPr>
            <w:tcW w:w="746" w:type="pct"/>
            <w:tcBorders>
              <w:top w:val="single" w:sz="4" w:space="0" w:color="auto"/>
              <w:left w:val="single" w:sz="4" w:space="0" w:color="auto"/>
              <w:bottom w:val="single" w:sz="4" w:space="0" w:color="auto"/>
              <w:right w:val="single" w:sz="4" w:space="0" w:color="auto"/>
            </w:tcBorders>
            <w:vAlign w:val="center"/>
          </w:tcPr>
          <w:p w14:paraId="508BEBD8" w14:textId="77777777" w:rsidR="00FA568B" w:rsidRPr="008E6F5B" w:rsidRDefault="00FA568B" w:rsidP="00443F31">
            <w:pPr>
              <w:jc w:val="center"/>
              <w:rPr>
                <w:sz w:val="18"/>
                <w:szCs w:val="18"/>
              </w:rPr>
            </w:pPr>
            <w:r w:rsidRPr="008E6F5B">
              <w:rPr>
                <w:sz w:val="18"/>
                <w:szCs w:val="18"/>
              </w:rPr>
              <w:t>1</w:t>
            </w:r>
          </w:p>
        </w:tc>
      </w:tr>
      <w:tr w:rsidR="00FA568B" w:rsidRPr="008E6F5B" w14:paraId="17060CE9"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112D77FE" w14:textId="77777777" w:rsidR="00FA568B" w:rsidRPr="008E6F5B" w:rsidRDefault="00FA568B" w:rsidP="00443F31">
            <w:pPr>
              <w:rPr>
                <w:sz w:val="18"/>
                <w:szCs w:val="18"/>
              </w:rPr>
            </w:pPr>
            <w:r w:rsidRPr="008E6F5B">
              <w:rPr>
                <w:sz w:val="18"/>
                <w:szCs w:val="18"/>
              </w:rPr>
              <w:t>ВРАЦА</w:t>
            </w:r>
          </w:p>
        </w:tc>
        <w:tc>
          <w:tcPr>
            <w:tcW w:w="1045" w:type="pct"/>
            <w:tcBorders>
              <w:top w:val="single" w:sz="4" w:space="0" w:color="auto"/>
              <w:left w:val="single" w:sz="4" w:space="0" w:color="auto"/>
              <w:bottom w:val="single" w:sz="4" w:space="0" w:color="auto"/>
              <w:right w:val="single" w:sz="4" w:space="0" w:color="auto"/>
            </w:tcBorders>
            <w:vAlign w:val="center"/>
          </w:tcPr>
          <w:p w14:paraId="18611348" w14:textId="77777777" w:rsidR="00FA568B" w:rsidRPr="008E6F5B" w:rsidRDefault="00FA568B" w:rsidP="00443F31">
            <w:pPr>
              <w:rPr>
                <w:sz w:val="18"/>
                <w:szCs w:val="18"/>
              </w:rPr>
            </w:pPr>
            <w:r w:rsidRPr="008E6F5B">
              <w:rPr>
                <w:sz w:val="18"/>
                <w:szCs w:val="18"/>
              </w:rPr>
              <w:t>ВРАЦА</w:t>
            </w:r>
          </w:p>
        </w:tc>
        <w:tc>
          <w:tcPr>
            <w:tcW w:w="2164" w:type="pct"/>
            <w:tcBorders>
              <w:top w:val="single" w:sz="4" w:space="0" w:color="auto"/>
              <w:left w:val="single" w:sz="4" w:space="0" w:color="auto"/>
              <w:bottom w:val="single" w:sz="4" w:space="0" w:color="auto"/>
              <w:right w:val="single" w:sz="4" w:space="0" w:color="auto"/>
            </w:tcBorders>
            <w:vAlign w:val="center"/>
          </w:tcPr>
          <w:p w14:paraId="5F2D79FC" w14:textId="77777777" w:rsidR="00FA568B" w:rsidRPr="008E6F5B" w:rsidRDefault="00FA568B" w:rsidP="00443F31">
            <w:pPr>
              <w:rPr>
                <w:sz w:val="18"/>
                <w:szCs w:val="18"/>
              </w:rPr>
            </w:pPr>
            <w:r w:rsidRPr="008E6F5B">
              <w:rPr>
                <w:sz w:val="18"/>
                <w:szCs w:val="18"/>
              </w:rPr>
              <w:t xml:space="preserve">Българска православна </w:t>
            </w:r>
            <w:proofErr w:type="spellStart"/>
            <w:r w:rsidRPr="008E6F5B">
              <w:rPr>
                <w:sz w:val="18"/>
                <w:szCs w:val="18"/>
              </w:rPr>
              <w:t>старостилна</w:t>
            </w:r>
            <w:proofErr w:type="spellEnd"/>
            <w:r w:rsidRPr="008E6F5B">
              <w:rPr>
                <w:sz w:val="18"/>
                <w:szCs w:val="18"/>
              </w:rPr>
              <w:t xml:space="preserve"> църква</w:t>
            </w:r>
          </w:p>
        </w:tc>
        <w:tc>
          <w:tcPr>
            <w:tcW w:w="746" w:type="pct"/>
            <w:tcBorders>
              <w:top w:val="single" w:sz="4" w:space="0" w:color="auto"/>
              <w:left w:val="single" w:sz="4" w:space="0" w:color="auto"/>
              <w:bottom w:val="single" w:sz="4" w:space="0" w:color="auto"/>
              <w:right w:val="single" w:sz="4" w:space="0" w:color="auto"/>
            </w:tcBorders>
            <w:vAlign w:val="center"/>
          </w:tcPr>
          <w:p w14:paraId="6EADA7AA" w14:textId="77777777" w:rsidR="00FA568B" w:rsidRPr="008E6F5B" w:rsidRDefault="00FA568B" w:rsidP="00443F31">
            <w:pPr>
              <w:jc w:val="center"/>
              <w:rPr>
                <w:sz w:val="18"/>
                <w:szCs w:val="18"/>
              </w:rPr>
            </w:pPr>
            <w:r w:rsidRPr="008E6F5B">
              <w:rPr>
                <w:sz w:val="18"/>
                <w:szCs w:val="18"/>
              </w:rPr>
              <w:t>1</w:t>
            </w:r>
          </w:p>
        </w:tc>
      </w:tr>
      <w:tr w:rsidR="00FA568B" w:rsidRPr="008E6F5B" w14:paraId="0B6C9E85"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5E2A0CB3" w14:textId="77777777" w:rsidR="00FA568B" w:rsidRPr="008E6F5B" w:rsidRDefault="00FA568B" w:rsidP="00443F31">
            <w:pPr>
              <w:rPr>
                <w:sz w:val="18"/>
                <w:szCs w:val="18"/>
              </w:rPr>
            </w:pPr>
            <w:r w:rsidRPr="008E6F5B">
              <w:rPr>
                <w:sz w:val="18"/>
                <w:szCs w:val="18"/>
              </w:rPr>
              <w:t>ВРАЦА</w:t>
            </w:r>
          </w:p>
        </w:tc>
        <w:tc>
          <w:tcPr>
            <w:tcW w:w="1045" w:type="pct"/>
            <w:tcBorders>
              <w:top w:val="single" w:sz="4" w:space="0" w:color="auto"/>
              <w:left w:val="single" w:sz="4" w:space="0" w:color="auto"/>
              <w:bottom w:val="single" w:sz="4" w:space="0" w:color="auto"/>
              <w:right w:val="single" w:sz="4" w:space="0" w:color="auto"/>
            </w:tcBorders>
            <w:vAlign w:val="center"/>
          </w:tcPr>
          <w:p w14:paraId="0E3628DD" w14:textId="77777777" w:rsidR="00FA568B" w:rsidRPr="008E6F5B" w:rsidRDefault="00FA568B" w:rsidP="00443F31">
            <w:pPr>
              <w:rPr>
                <w:sz w:val="18"/>
                <w:szCs w:val="18"/>
              </w:rPr>
            </w:pPr>
            <w:r w:rsidRPr="008E6F5B">
              <w:rPr>
                <w:sz w:val="18"/>
                <w:szCs w:val="18"/>
              </w:rPr>
              <w:t>ВРАЦА</w:t>
            </w:r>
          </w:p>
        </w:tc>
        <w:tc>
          <w:tcPr>
            <w:tcW w:w="2164" w:type="pct"/>
            <w:tcBorders>
              <w:top w:val="single" w:sz="4" w:space="0" w:color="auto"/>
              <w:left w:val="single" w:sz="4" w:space="0" w:color="auto"/>
              <w:bottom w:val="single" w:sz="4" w:space="0" w:color="auto"/>
              <w:right w:val="single" w:sz="4" w:space="0" w:color="auto"/>
            </w:tcBorders>
            <w:vAlign w:val="center"/>
          </w:tcPr>
          <w:p w14:paraId="4ECA6719" w14:textId="77777777" w:rsidR="00FA568B" w:rsidRPr="008E6F5B" w:rsidRDefault="00FA568B" w:rsidP="00443F31">
            <w:pPr>
              <w:rPr>
                <w:sz w:val="18"/>
                <w:szCs w:val="18"/>
              </w:rPr>
            </w:pPr>
            <w:r w:rsidRPr="008E6F5B">
              <w:rPr>
                <w:sz w:val="18"/>
                <w:szCs w:val="18"/>
              </w:rPr>
              <w:t xml:space="preserve">ЦЪРКВА АДВЕНТИСТИ ОТ СЕДМИЯ ДЕН </w:t>
            </w:r>
          </w:p>
        </w:tc>
        <w:tc>
          <w:tcPr>
            <w:tcW w:w="746" w:type="pct"/>
            <w:tcBorders>
              <w:top w:val="single" w:sz="4" w:space="0" w:color="auto"/>
              <w:left w:val="single" w:sz="4" w:space="0" w:color="auto"/>
              <w:bottom w:val="single" w:sz="4" w:space="0" w:color="auto"/>
              <w:right w:val="single" w:sz="4" w:space="0" w:color="auto"/>
            </w:tcBorders>
            <w:vAlign w:val="center"/>
          </w:tcPr>
          <w:p w14:paraId="45E2087E" w14:textId="77777777" w:rsidR="00FA568B" w:rsidRPr="008E6F5B" w:rsidRDefault="00FA568B" w:rsidP="00443F31">
            <w:pPr>
              <w:jc w:val="center"/>
              <w:rPr>
                <w:sz w:val="18"/>
                <w:szCs w:val="18"/>
              </w:rPr>
            </w:pPr>
            <w:r w:rsidRPr="008E6F5B">
              <w:rPr>
                <w:sz w:val="18"/>
                <w:szCs w:val="18"/>
              </w:rPr>
              <w:t>1</w:t>
            </w:r>
          </w:p>
        </w:tc>
      </w:tr>
      <w:tr w:rsidR="00FA568B" w:rsidRPr="008E6F5B" w14:paraId="0FA2F3B8"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610A1880" w14:textId="77777777" w:rsidR="00FA568B" w:rsidRPr="008E6F5B" w:rsidRDefault="00FA568B" w:rsidP="00443F31">
            <w:pPr>
              <w:rPr>
                <w:sz w:val="18"/>
                <w:szCs w:val="18"/>
              </w:rPr>
            </w:pPr>
            <w:r w:rsidRPr="008E6F5B">
              <w:rPr>
                <w:sz w:val="18"/>
                <w:szCs w:val="18"/>
              </w:rPr>
              <w:t>КОЗЛОДУЙ</w:t>
            </w:r>
          </w:p>
        </w:tc>
        <w:tc>
          <w:tcPr>
            <w:tcW w:w="1045" w:type="pct"/>
            <w:tcBorders>
              <w:top w:val="single" w:sz="4" w:space="0" w:color="auto"/>
              <w:left w:val="single" w:sz="4" w:space="0" w:color="auto"/>
              <w:bottom w:val="single" w:sz="4" w:space="0" w:color="auto"/>
              <w:right w:val="single" w:sz="4" w:space="0" w:color="auto"/>
            </w:tcBorders>
            <w:vAlign w:val="center"/>
          </w:tcPr>
          <w:p w14:paraId="5B5ACB94" w14:textId="77777777" w:rsidR="00FA568B" w:rsidRPr="008E6F5B" w:rsidRDefault="00FA568B" w:rsidP="00443F31">
            <w:pPr>
              <w:rPr>
                <w:sz w:val="18"/>
                <w:szCs w:val="18"/>
              </w:rPr>
            </w:pPr>
            <w:r w:rsidRPr="008E6F5B">
              <w:rPr>
                <w:sz w:val="18"/>
                <w:szCs w:val="18"/>
              </w:rPr>
              <w:t>ВРАЦА</w:t>
            </w:r>
          </w:p>
        </w:tc>
        <w:tc>
          <w:tcPr>
            <w:tcW w:w="2164" w:type="pct"/>
            <w:tcBorders>
              <w:top w:val="single" w:sz="4" w:space="0" w:color="auto"/>
              <w:left w:val="single" w:sz="4" w:space="0" w:color="auto"/>
              <w:bottom w:val="single" w:sz="4" w:space="0" w:color="auto"/>
              <w:right w:val="single" w:sz="4" w:space="0" w:color="auto"/>
            </w:tcBorders>
            <w:vAlign w:val="center"/>
          </w:tcPr>
          <w:p w14:paraId="4540C7E1" w14:textId="77777777" w:rsidR="00FA568B" w:rsidRPr="008E6F5B" w:rsidRDefault="00FA568B" w:rsidP="00443F31">
            <w:pPr>
              <w:rPr>
                <w:sz w:val="18"/>
                <w:szCs w:val="18"/>
              </w:rPr>
            </w:pPr>
            <w:r w:rsidRPr="008E6F5B">
              <w:rPr>
                <w:sz w:val="18"/>
                <w:szCs w:val="18"/>
              </w:rPr>
              <w:t>ХРИСТИЯНСКА ЕВАНГЕЛСКА ЦЪРКВА БОЖИЙ ДОМ</w:t>
            </w:r>
          </w:p>
        </w:tc>
        <w:tc>
          <w:tcPr>
            <w:tcW w:w="746" w:type="pct"/>
            <w:tcBorders>
              <w:top w:val="single" w:sz="4" w:space="0" w:color="auto"/>
              <w:left w:val="single" w:sz="4" w:space="0" w:color="auto"/>
              <w:bottom w:val="single" w:sz="4" w:space="0" w:color="auto"/>
              <w:right w:val="single" w:sz="4" w:space="0" w:color="auto"/>
            </w:tcBorders>
            <w:vAlign w:val="center"/>
          </w:tcPr>
          <w:p w14:paraId="6140D7C8" w14:textId="77777777" w:rsidR="00FA568B" w:rsidRPr="008E6F5B" w:rsidRDefault="00FA568B" w:rsidP="00443F31">
            <w:pPr>
              <w:jc w:val="center"/>
              <w:rPr>
                <w:sz w:val="18"/>
                <w:szCs w:val="18"/>
              </w:rPr>
            </w:pPr>
            <w:r w:rsidRPr="008E6F5B">
              <w:rPr>
                <w:sz w:val="18"/>
                <w:szCs w:val="18"/>
              </w:rPr>
              <w:t>1</w:t>
            </w:r>
          </w:p>
        </w:tc>
      </w:tr>
      <w:tr w:rsidR="00FA568B" w:rsidRPr="008E6F5B" w14:paraId="2214C8D1"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796C8812" w14:textId="77777777" w:rsidR="00FA568B" w:rsidRPr="008E6F5B" w:rsidRDefault="00FA568B" w:rsidP="00443F31">
            <w:pPr>
              <w:rPr>
                <w:sz w:val="18"/>
                <w:szCs w:val="18"/>
              </w:rPr>
            </w:pPr>
            <w:r w:rsidRPr="008E6F5B">
              <w:rPr>
                <w:sz w:val="18"/>
                <w:szCs w:val="18"/>
              </w:rPr>
              <w:t>КОЗЛОДУЙ</w:t>
            </w:r>
          </w:p>
        </w:tc>
        <w:tc>
          <w:tcPr>
            <w:tcW w:w="1045" w:type="pct"/>
            <w:tcBorders>
              <w:top w:val="single" w:sz="4" w:space="0" w:color="auto"/>
              <w:left w:val="single" w:sz="4" w:space="0" w:color="auto"/>
              <w:bottom w:val="single" w:sz="4" w:space="0" w:color="auto"/>
              <w:right w:val="single" w:sz="4" w:space="0" w:color="auto"/>
            </w:tcBorders>
            <w:vAlign w:val="center"/>
          </w:tcPr>
          <w:p w14:paraId="53AD1D83" w14:textId="77777777" w:rsidR="00FA568B" w:rsidRPr="008E6F5B" w:rsidRDefault="00FA568B" w:rsidP="00443F31">
            <w:pPr>
              <w:rPr>
                <w:sz w:val="18"/>
                <w:szCs w:val="18"/>
              </w:rPr>
            </w:pPr>
            <w:r w:rsidRPr="008E6F5B">
              <w:rPr>
                <w:sz w:val="18"/>
                <w:szCs w:val="18"/>
              </w:rPr>
              <w:t>ВРАЦА</w:t>
            </w:r>
          </w:p>
        </w:tc>
        <w:tc>
          <w:tcPr>
            <w:tcW w:w="2164" w:type="pct"/>
            <w:tcBorders>
              <w:top w:val="single" w:sz="4" w:space="0" w:color="auto"/>
              <w:left w:val="single" w:sz="4" w:space="0" w:color="auto"/>
              <w:bottom w:val="single" w:sz="4" w:space="0" w:color="auto"/>
              <w:right w:val="single" w:sz="4" w:space="0" w:color="auto"/>
            </w:tcBorders>
            <w:vAlign w:val="center"/>
          </w:tcPr>
          <w:p w14:paraId="335217E9" w14:textId="77777777" w:rsidR="00FA568B" w:rsidRPr="008E6F5B" w:rsidRDefault="00FA568B" w:rsidP="00443F31">
            <w:pPr>
              <w:rPr>
                <w:sz w:val="18"/>
                <w:szCs w:val="18"/>
              </w:rPr>
            </w:pPr>
            <w:r w:rsidRPr="008E6F5B">
              <w:rPr>
                <w:sz w:val="18"/>
                <w:szCs w:val="18"/>
              </w:rPr>
              <w:t>НАЦИОНАЛЕН АЛИАНС "ОБЕДИНЕНИ БОЖИИ ЦЪРКВИ"</w:t>
            </w:r>
          </w:p>
        </w:tc>
        <w:tc>
          <w:tcPr>
            <w:tcW w:w="746" w:type="pct"/>
            <w:tcBorders>
              <w:top w:val="single" w:sz="4" w:space="0" w:color="auto"/>
              <w:left w:val="single" w:sz="4" w:space="0" w:color="auto"/>
              <w:bottom w:val="single" w:sz="4" w:space="0" w:color="auto"/>
              <w:right w:val="single" w:sz="4" w:space="0" w:color="auto"/>
            </w:tcBorders>
            <w:vAlign w:val="center"/>
          </w:tcPr>
          <w:p w14:paraId="6F6C2001" w14:textId="77777777" w:rsidR="00FA568B" w:rsidRPr="008E6F5B" w:rsidRDefault="00FA568B" w:rsidP="00443F31">
            <w:pPr>
              <w:jc w:val="center"/>
              <w:rPr>
                <w:sz w:val="18"/>
                <w:szCs w:val="18"/>
              </w:rPr>
            </w:pPr>
            <w:r w:rsidRPr="008E6F5B">
              <w:rPr>
                <w:sz w:val="18"/>
                <w:szCs w:val="18"/>
              </w:rPr>
              <w:t>1</w:t>
            </w:r>
          </w:p>
        </w:tc>
      </w:tr>
      <w:tr w:rsidR="00FA568B" w:rsidRPr="008E6F5B" w14:paraId="02713469"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1268B68C" w14:textId="77777777" w:rsidR="00FA568B" w:rsidRPr="008E6F5B" w:rsidRDefault="00FA568B" w:rsidP="00443F31">
            <w:pPr>
              <w:rPr>
                <w:b/>
                <w:bCs/>
                <w:sz w:val="18"/>
                <w:szCs w:val="18"/>
              </w:rPr>
            </w:pPr>
            <w:r w:rsidRPr="008E6F5B">
              <w:rPr>
                <w:b/>
                <w:bCs/>
                <w:sz w:val="18"/>
                <w:szCs w:val="18"/>
              </w:rPr>
              <w:t>ОБЛАСТ ГАБРОВО</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562FCA50" w14:textId="77777777" w:rsidR="00FA568B" w:rsidRPr="008E6F5B" w:rsidRDefault="00FA568B" w:rsidP="00443F31">
            <w:pPr>
              <w:jc w:val="center"/>
              <w:rPr>
                <w:b/>
                <w:bCs/>
                <w:sz w:val="18"/>
                <w:szCs w:val="18"/>
              </w:rPr>
            </w:pPr>
            <w:r w:rsidRPr="008E6F5B">
              <w:rPr>
                <w:b/>
                <w:bCs/>
                <w:sz w:val="18"/>
                <w:szCs w:val="18"/>
              </w:rPr>
              <w:t>0</w:t>
            </w:r>
          </w:p>
        </w:tc>
      </w:tr>
      <w:tr w:rsidR="00FA568B" w:rsidRPr="008E6F5B" w14:paraId="607574C7"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4BF44F59" w14:textId="77777777" w:rsidR="00FA568B" w:rsidRPr="008E6F5B" w:rsidRDefault="00FA568B" w:rsidP="00443F31">
            <w:pPr>
              <w:rPr>
                <w:sz w:val="18"/>
                <w:szCs w:val="18"/>
              </w:rPr>
            </w:pPr>
          </w:p>
        </w:tc>
        <w:tc>
          <w:tcPr>
            <w:tcW w:w="1045" w:type="pct"/>
            <w:tcBorders>
              <w:top w:val="single" w:sz="4" w:space="0" w:color="auto"/>
              <w:left w:val="single" w:sz="4" w:space="0" w:color="auto"/>
              <w:bottom w:val="single" w:sz="4" w:space="0" w:color="auto"/>
              <w:right w:val="single" w:sz="4" w:space="0" w:color="auto"/>
            </w:tcBorders>
            <w:vAlign w:val="center"/>
          </w:tcPr>
          <w:p w14:paraId="7694F3CE" w14:textId="77777777" w:rsidR="00FA568B" w:rsidRPr="008E6F5B" w:rsidRDefault="00FA568B" w:rsidP="00443F31">
            <w:pPr>
              <w:rPr>
                <w:sz w:val="18"/>
                <w:szCs w:val="18"/>
              </w:rPr>
            </w:pPr>
          </w:p>
        </w:tc>
        <w:tc>
          <w:tcPr>
            <w:tcW w:w="2164" w:type="pct"/>
            <w:tcBorders>
              <w:top w:val="single" w:sz="4" w:space="0" w:color="auto"/>
              <w:left w:val="single" w:sz="4" w:space="0" w:color="auto"/>
              <w:bottom w:val="single" w:sz="4" w:space="0" w:color="auto"/>
              <w:right w:val="single" w:sz="4" w:space="0" w:color="auto"/>
            </w:tcBorders>
            <w:vAlign w:val="center"/>
          </w:tcPr>
          <w:p w14:paraId="4B5A1AF3" w14:textId="77777777" w:rsidR="00FA568B" w:rsidRPr="008E6F5B" w:rsidRDefault="00FA568B" w:rsidP="00443F31">
            <w:pPr>
              <w:rPr>
                <w:sz w:val="18"/>
                <w:szCs w:val="18"/>
              </w:rPr>
            </w:pPr>
          </w:p>
        </w:tc>
        <w:tc>
          <w:tcPr>
            <w:tcW w:w="746" w:type="pct"/>
            <w:tcBorders>
              <w:top w:val="single" w:sz="4" w:space="0" w:color="auto"/>
              <w:left w:val="single" w:sz="4" w:space="0" w:color="auto"/>
              <w:bottom w:val="single" w:sz="4" w:space="0" w:color="auto"/>
              <w:right w:val="single" w:sz="4" w:space="0" w:color="auto"/>
            </w:tcBorders>
            <w:vAlign w:val="center"/>
          </w:tcPr>
          <w:p w14:paraId="5AC8B285" w14:textId="77777777" w:rsidR="00FA568B" w:rsidRPr="008E6F5B" w:rsidRDefault="00FA568B" w:rsidP="00443F31">
            <w:pPr>
              <w:jc w:val="center"/>
              <w:rPr>
                <w:sz w:val="18"/>
                <w:szCs w:val="18"/>
              </w:rPr>
            </w:pPr>
          </w:p>
        </w:tc>
      </w:tr>
      <w:tr w:rsidR="00FA568B" w:rsidRPr="008E6F5B" w14:paraId="640EAD7A"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150DD5AE" w14:textId="77777777" w:rsidR="00FA568B" w:rsidRPr="008E6F5B" w:rsidRDefault="00FA568B" w:rsidP="00443F31">
            <w:pPr>
              <w:rPr>
                <w:sz w:val="18"/>
                <w:szCs w:val="18"/>
              </w:rPr>
            </w:pPr>
            <w:r w:rsidRPr="008E6F5B">
              <w:rPr>
                <w:b/>
                <w:sz w:val="18"/>
                <w:szCs w:val="18"/>
              </w:rPr>
              <w:t>ОБЛАСТ ДОБРИЧ</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4ECB3074" w14:textId="77777777" w:rsidR="00FA568B" w:rsidRPr="008E6F5B" w:rsidRDefault="00FA568B" w:rsidP="00443F31">
            <w:pPr>
              <w:jc w:val="center"/>
              <w:rPr>
                <w:b/>
                <w:sz w:val="18"/>
                <w:szCs w:val="18"/>
              </w:rPr>
            </w:pPr>
            <w:r w:rsidRPr="008E6F5B">
              <w:rPr>
                <w:b/>
                <w:sz w:val="18"/>
                <w:szCs w:val="18"/>
              </w:rPr>
              <w:t>4</w:t>
            </w:r>
          </w:p>
        </w:tc>
      </w:tr>
      <w:tr w:rsidR="00FA568B" w:rsidRPr="008E6F5B" w14:paraId="0CD4BA82"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22220B45" w14:textId="77777777" w:rsidR="00FA568B" w:rsidRPr="008E6F5B" w:rsidRDefault="00FA568B" w:rsidP="00443F31">
            <w:pPr>
              <w:rPr>
                <w:sz w:val="18"/>
                <w:szCs w:val="18"/>
              </w:rPr>
            </w:pPr>
            <w:r w:rsidRPr="008E6F5B">
              <w:rPr>
                <w:sz w:val="18"/>
                <w:szCs w:val="18"/>
              </w:rPr>
              <w:t>БАЛЧИК</w:t>
            </w:r>
          </w:p>
        </w:tc>
        <w:tc>
          <w:tcPr>
            <w:tcW w:w="1045" w:type="pct"/>
            <w:tcBorders>
              <w:top w:val="single" w:sz="4" w:space="0" w:color="auto"/>
              <w:left w:val="single" w:sz="4" w:space="0" w:color="auto"/>
              <w:bottom w:val="single" w:sz="4" w:space="0" w:color="auto"/>
              <w:right w:val="single" w:sz="4" w:space="0" w:color="auto"/>
            </w:tcBorders>
            <w:vAlign w:val="center"/>
          </w:tcPr>
          <w:p w14:paraId="0F1729C4" w14:textId="77777777" w:rsidR="00FA568B" w:rsidRPr="008E6F5B" w:rsidRDefault="00FA568B" w:rsidP="00443F31">
            <w:pPr>
              <w:rPr>
                <w:sz w:val="18"/>
                <w:szCs w:val="18"/>
              </w:rPr>
            </w:pPr>
            <w:r w:rsidRPr="008E6F5B">
              <w:rPr>
                <w:sz w:val="18"/>
                <w:szCs w:val="18"/>
              </w:rPr>
              <w:t>ДОБРИЧ</w:t>
            </w:r>
          </w:p>
        </w:tc>
        <w:tc>
          <w:tcPr>
            <w:tcW w:w="2164" w:type="pct"/>
            <w:tcBorders>
              <w:top w:val="single" w:sz="4" w:space="0" w:color="auto"/>
              <w:left w:val="single" w:sz="4" w:space="0" w:color="auto"/>
              <w:bottom w:val="single" w:sz="4" w:space="0" w:color="auto"/>
              <w:right w:val="single" w:sz="4" w:space="0" w:color="auto"/>
            </w:tcBorders>
            <w:vAlign w:val="center"/>
          </w:tcPr>
          <w:p w14:paraId="06A9F390"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40F186FF" w14:textId="77777777" w:rsidR="00FA568B" w:rsidRPr="008E6F5B" w:rsidRDefault="00FA568B" w:rsidP="00443F31">
            <w:pPr>
              <w:jc w:val="center"/>
              <w:rPr>
                <w:sz w:val="18"/>
                <w:szCs w:val="18"/>
              </w:rPr>
            </w:pPr>
            <w:r w:rsidRPr="008E6F5B">
              <w:rPr>
                <w:sz w:val="18"/>
                <w:szCs w:val="18"/>
              </w:rPr>
              <w:t>1</w:t>
            </w:r>
          </w:p>
        </w:tc>
      </w:tr>
      <w:tr w:rsidR="00FA568B" w:rsidRPr="008E6F5B" w14:paraId="6DF209E8"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5803C6D8" w14:textId="77777777" w:rsidR="00FA568B" w:rsidRPr="008E6F5B" w:rsidRDefault="00FA568B" w:rsidP="00443F31">
            <w:pPr>
              <w:rPr>
                <w:sz w:val="18"/>
                <w:szCs w:val="18"/>
              </w:rPr>
            </w:pPr>
            <w:r w:rsidRPr="008E6F5B">
              <w:rPr>
                <w:sz w:val="18"/>
                <w:szCs w:val="18"/>
              </w:rPr>
              <w:t>ДОБРИЧ</w:t>
            </w:r>
          </w:p>
        </w:tc>
        <w:tc>
          <w:tcPr>
            <w:tcW w:w="1045" w:type="pct"/>
            <w:tcBorders>
              <w:top w:val="single" w:sz="4" w:space="0" w:color="auto"/>
              <w:left w:val="single" w:sz="4" w:space="0" w:color="auto"/>
              <w:bottom w:val="single" w:sz="4" w:space="0" w:color="auto"/>
              <w:right w:val="single" w:sz="4" w:space="0" w:color="auto"/>
            </w:tcBorders>
            <w:vAlign w:val="center"/>
          </w:tcPr>
          <w:p w14:paraId="23F04076" w14:textId="77777777" w:rsidR="00FA568B" w:rsidRPr="008E6F5B" w:rsidRDefault="00FA568B" w:rsidP="00443F31">
            <w:pPr>
              <w:rPr>
                <w:sz w:val="18"/>
                <w:szCs w:val="18"/>
              </w:rPr>
            </w:pPr>
            <w:r w:rsidRPr="008E6F5B">
              <w:rPr>
                <w:sz w:val="18"/>
                <w:szCs w:val="18"/>
              </w:rPr>
              <w:t>ДОБРИЧ</w:t>
            </w:r>
          </w:p>
        </w:tc>
        <w:tc>
          <w:tcPr>
            <w:tcW w:w="2164" w:type="pct"/>
            <w:tcBorders>
              <w:top w:val="single" w:sz="4" w:space="0" w:color="auto"/>
              <w:left w:val="single" w:sz="4" w:space="0" w:color="auto"/>
              <w:bottom w:val="single" w:sz="4" w:space="0" w:color="auto"/>
              <w:right w:val="single" w:sz="4" w:space="0" w:color="auto"/>
            </w:tcBorders>
            <w:vAlign w:val="center"/>
          </w:tcPr>
          <w:p w14:paraId="52E5A93C" w14:textId="77777777" w:rsidR="00FA568B" w:rsidRPr="008E6F5B" w:rsidRDefault="00FA568B" w:rsidP="00443F31">
            <w:pPr>
              <w:rPr>
                <w:sz w:val="18"/>
                <w:szCs w:val="18"/>
              </w:rPr>
            </w:pPr>
            <w:r w:rsidRPr="008E6F5B">
              <w:rPr>
                <w:sz w:val="18"/>
                <w:szCs w:val="18"/>
              </w:rPr>
              <w:t>НАЦИОНАЛЕН АЛИАНС "ОБЕДИНЕНИ БОЖИИ ЦЪРКВИ"</w:t>
            </w:r>
          </w:p>
        </w:tc>
        <w:tc>
          <w:tcPr>
            <w:tcW w:w="746" w:type="pct"/>
            <w:tcBorders>
              <w:top w:val="single" w:sz="4" w:space="0" w:color="auto"/>
              <w:left w:val="single" w:sz="4" w:space="0" w:color="auto"/>
              <w:bottom w:val="single" w:sz="4" w:space="0" w:color="auto"/>
              <w:right w:val="single" w:sz="4" w:space="0" w:color="auto"/>
            </w:tcBorders>
            <w:vAlign w:val="center"/>
          </w:tcPr>
          <w:p w14:paraId="4F9A4FBE" w14:textId="77777777" w:rsidR="00FA568B" w:rsidRPr="008E6F5B" w:rsidRDefault="00FA568B" w:rsidP="00443F31">
            <w:pPr>
              <w:jc w:val="center"/>
              <w:rPr>
                <w:sz w:val="18"/>
                <w:szCs w:val="18"/>
              </w:rPr>
            </w:pPr>
            <w:r w:rsidRPr="008E6F5B">
              <w:rPr>
                <w:sz w:val="18"/>
                <w:szCs w:val="18"/>
              </w:rPr>
              <w:t>1</w:t>
            </w:r>
          </w:p>
        </w:tc>
      </w:tr>
      <w:tr w:rsidR="00FA568B" w:rsidRPr="008E6F5B" w14:paraId="2FC83598"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7972F9F8" w14:textId="77777777" w:rsidR="00FA568B" w:rsidRPr="008E6F5B" w:rsidRDefault="00FA568B" w:rsidP="00443F31">
            <w:pPr>
              <w:rPr>
                <w:sz w:val="18"/>
                <w:szCs w:val="18"/>
              </w:rPr>
            </w:pPr>
            <w:r w:rsidRPr="008E6F5B">
              <w:rPr>
                <w:sz w:val="18"/>
                <w:szCs w:val="18"/>
              </w:rPr>
              <w:t>ТЕРВЕЛ</w:t>
            </w:r>
          </w:p>
        </w:tc>
        <w:tc>
          <w:tcPr>
            <w:tcW w:w="1045" w:type="pct"/>
            <w:tcBorders>
              <w:top w:val="single" w:sz="4" w:space="0" w:color="auto"/>
              <w:left w:val="single" w:sz="4" w:space="0" w:color="auto"/>
              <w:bottom w:val="single" w:sz="4" w:space="0" w:color="auto"/>
              <w:right w:val="single" w:sz="4" w:space="0" w:color="auto"/>
            </w:tcBorders>
            <w:vAlign w:val="center"/>
          </w:tcPr>
          <w:p w14:paraId="4AECA67D" w14:textId="77777777" w:rsidR="00FA568B" w:rsidRPr="008E6F5B" w:rsidRDefault="00FA568B" w:rsidP="00443F31">
            <w:pPr>
              <w:rPr>
                <w:sz w:val="18"/>
                <w:szCs w:val="18"/>
              </w:rPr>
            </w:pPr>
            <w:r w:rsidRPr="008E6F5B">
              <w:rPr>
                <w:sz w:val="18"/>
                <w:szCs w:val="18"/>
              </w:rPr>
              <w:t>ДОБРИЧ</w:t>
            </w:r>
          </w:p>
        </w:tc>
        <w:tc>
          <w:tcPr>
            <w:tcW w:w="2164" w:type="pct"/>
            <w:tcBorders>
              <w:top w:val="single" w:sz="4" w:space="0" w:color="auto"/>
              <w:left w:val="single" w:sz="4" w:space="0" w:color="auto"/>
              <w:bottom w:val="single" w:sz="4" w:space="0" w:color="auto"/>
              <w:right w:val="single" w:sz="4" w:space="0" w:color="auto"/>
            </w:tcBorders>
            <w:vAlign w:val="center"/>
          </w:tcPr>
          <w:p w14:paraId="73BBEBF0"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0B5750EC" w14:textId="77777777" w:rsidR="00FA568B" w:rsidRPr="008E6F5B" w:rsidRDefault="00FA568B" w:rsidP="00443F31">
            <w:pPr>
              <w:jc w:val="center"/>
              <w:rPr>
                <w:sz w:val="18"/>
                <w:szCs w:val="18"/>
              </w:rPr>
            </w:pPr>
            <w:r w:rsidRPr="008E6F5B">
              <w:rPr>
                <w:sz w:val="18"/>
                <w:szCs w:val="18"/>
              </w:rPr>
              <w:t>2</w:t>
            </w:r>
          </w:p>
        </w:tc>
      </w:tr>
      <w:tr w:rsidR="00FA568B" w:rsidRPr="008E6F5B" w14:paraId="079F48D0"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hideMark/>
          </w:tcPr>
          <w:p w14:paraId="2EBCC31D" w14:textId="77777777" w:rsidR="00FA568B" w:rsidRPr="008E6F5B" w:rsidRDefault="00FA568B" w:rsidP="00443F31">
            <w:pPr>
              <w:rPr>
                <w:sz w:val="18"/>
                <w:szCs w:val="18"/>
              </w:rPr>
            </w:pPr>
            <w:r w:rsidRPr="008E6F5B">
              <w:rPr>
                <w:b/>
                <w:sz w:val="18"/>
                <w:szCs w:val="18"/>
              </w:rPr>
              <w:t>ОБЛАСТ КЪРДЖАЛИ</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1A960089" w14:textId="77777777" w:rsidR="00FA568B" w:rsidRPr="008E6F5B" w:rsidRDefault="00FA568B" w:rsidP="00443F31">
            <w:pPr>
              <w:jc w:val="center"/>
              <w:rPr>
                <w:b/>
                <w:sz w:val="18"/>
                <w:szCs w:val="18"/>
              </w:rPr>
            </w:pPr>
            <w:r w:rsidRPr="008E6F5B">
              <w:rPr>
                <w:b/>
                <w:sz w:val="18"/>
                <w:szCs w:val="18"/>
              </w:rPr>
              <w:t>2</w:t>
            </w:r>
          </w:p>
        </w:tc>
      </w:tr>
      <w:tr w:rsidR="00FA568B" w:rsidRPr="008E6F5B" w14:paraId="4F676065"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04B8FA28" w14:textId="77777777" w:rsidR="00FA568B" w:rsidRPr="008E6F5B" w:rsidRDefault="00FA568B" w:rsidP="00443F31">
            <w:pPr>
              <w:rPr>
                <w:sz w:val="18"/>
                <w:szCs w:val="18"/>
              </w:rPr>
            </w:pPr>
            <w:r w:rsidRPr="008E6F5B">
              <w:rPr>
                <w:sz w:val="18"/>
                <w:szCs w:val="18"/>
              </w:rPr>
              <w:t>АРДИНО</w:t>
            </w:r>
          </w:p>
        </w:tc>
        <w:tc>
          <w:tcPr>
            <w:tcW w:w="1045" w:type="pct"/>
            <w:tcBorders>
              <w:top w:val="single" w:sz="4" w:space="0" w:color="auto"/>
              <w:left w:val="single" w:sz="4" w:space="0" w:color="auto"/>
              <w:bottom w:val="single" w:sz="4" w:space="0" w:color="auto"/>
              <w:right w:val="single" w:sz="4" w:space="0" w:color="auto"/>
            </w:tcBorders>
            <w:vAlign w:val="center"/>
          </w:tcPr>
          <w:p w14:paraId="4761728C" w14:textId="77777777" w:rsidR="00FA568B" w:rsidRPr="008E6F5B" w:rsidRDefault="00FA568B" w:rsidP="00443F31">
            <w:pPr>
              <w:rPr>
                <w:sz w:val="18"/>
                <w:szCs w:val="18"/>
              </w:rPr>
            </w:pPr>
            <w:r w:rsidRPr="008E6F5B">
              <w:rPr>
                <w:sz w:val="18"/>
                <w:szCs w:val="18"/>
              </w:rPr>
              <w:t>КЪРДЖАЛИ</w:t>
            </w:r>
          </w:p>
        </w:tc>
        <w:tc>
          <w:tcPr>
            <w:tcW w:w="2164" w:type="pct"/>
            <w:tcBorders>
              <w:top w:val="single" w:sz="4" w:space="0" w:color="auto"/>
              <w:left w:val="single" w:sz="4" w:space="0" w:color="auto"/>
              <w:bottom w:val="single" w:sz="4" w:space="0" w:color="auto"/>
              <w:right w:val="single" w:sz="4" w:space="0" w:color="auto"/>
            </w:tcBorders>
            <w:vAlign w:val="center"/>
          </w:tcPr>
          <w:p w14:paraId="00745089"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09424BEC" w14:textId="77777777" w:rsidR="00FA568B" w:rsidRPr="008E6F5B" w:rsidRDefault="00FA568B" w:rsidP="00443F31">
            <w:pPr>
              <w:jc w:val="center"/>
              <w:rPr>
                <w:sz w:val="18"/>
                <w:szCs w:val="18"/>
              </w:rPr>
            </w:pPr>
            <w:r w:rsidRPr="008E6F5B">
              <w:rPr>
                <w:sz w:val="18"/>
                <w:szCs w:val="18"/>
              </w:rPr>
              <w:t>2</w:t>
            </w:r>
          </w:p>
        </w:tc>
      </w:tr>
      <w:tr w:rsidR="00FA568B" w:rsidRPr="008E6F5B" w14:paraId="25F8B6BC"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hideMark/>
          </w:tcPr>
          <w:p w14:paraId="4BE9E8DB" w14:textId="77777777" w:rsidR="00FA568B" w:rsidRPr="008E6F5B" w:rsidRDefault="00FA568B" w:rsidP="00443F31">
            <w:pPr>
              <w:rPr>
                <w:sz w:val="18"/>
                <w:szCs w:val="18"/>
              </w:rPr>
            </w:pPr>
            <w:r w:rsidRPr="008E6F5B">
              <w:rPr>
                <w:b/>
                <w:sz w:val="18"/>
                <w:szCs w:val="18"/>
              </w:rPr>
              <w:t>ОБЛАСТ КЮСТЕНДИЛ</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6796F9C4" w14:textId="77777777" w:rsidR="00FA568B" w:rsidRPr="008E6F5B" w:rsidRDefault="00FA568B" w:rsidP="00443F31">
            <w:pPr>
              <w:jc w:val="center"/>
              <w:rPr>
                <w:b/>
                <w:sz w:val="18"/>
                <w:szCs w:val="18"/>
              </w:rPr>
            </w:pPr>
            <w:r w:rsidRPr="008E6F5B">
              <w:rPr>
                <w:b/>
                <w:sz w:val="18"/>
                <w:szCs w:val="18"/>
              </w:rPr>
              <w:t>0</w:t>
            </w:r>
          </w:p>
        </w:tc>
      </w:tr>
      <w:tr w:rsidR="00FA568B" w:rsidRPr="008E6F5B" w14:paraId="09357A57"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51871EAA" w14:textId="77777777" w:rsidR="00FA568B" w:rsidRPr="008E6F5B" w:rsidRDefault="00FA568B" w:rsidP="00443F31">
            <w:pPr>
              <w:rPr>
                <w:sz w:val="18"/>
                <w:szCs w:val="18"/>
              </w:rPr>
            </w:pPr>
          </w:p>
        </w:tc>
        <w:tc>
          <w:tcPr>
            <w:tcW w:w="1045" w:type="pct"/>
            <w:tcBorders>
              <w:top w:val="single" w:sz="4" w:space="0" w:color="auto"/>
              <w:left w:val="single" w:sz="4" w:space="0" w:color="auto"/>
              <w:bottom w:val="single" w:sz="4" w:space="0" w:color="auto"/>
              <w:right w:val="single" w:sz="4" w:space="0" w:color="auto"/>
            </w:tcBorders>
            <w:vAlign w:val="center"/>
          </w:tcPr>
          <w:p w14:paraId="47B04DD4" w14:textId="77777777" w:rsidR="00FA568B" w:rsidRPr="008E6F5B" w:rsidRDefault="00FA568B" w:rsidP="00443F31">
            <w:pPr>
              <w:rPr>
                <w:sz w:val="18"/>
                <w:szCs w:val="18"/>
              </w:rPr>
            </w:pPr>
          </w:p>
        </w:tc>
        <w:tc>
          <w:tcPr>
            <w:tcW w:w="2164" w:type="pct"/>
            <w:tcBorders>
              <w:top w:val="single" w:sz="4" w:space="0" w:color="auto"/>
              <w:left w:val="single" w:sz="4" w:space="0" w:color="auto"/>
              <w:bottom w:val="single" w:sz="4" w:space="0" w:color="auto"/>
              <w:right w:val="single" w:sz="4" w:space="0" w:color="auto"/>
            </w:tcBorders>
            <w:vAlign w:val="center"/>
          </w:tcPr>
          <w:p w14:paraId="51A69156" w14:textId="77777777" w:rsidR="00FA568B" w:rsidRPr="008E6F5B" w:rsidRDefault="00FA568B" w:rsidP="00443F31">
            <w:pPr>
              <w:rPr>
                <w:sz w:val="18"/>
                <w:szCs w:val="18"/>
              </w:rPr>
            </w:pPr>
          </w:p>
        </w:tc>
        <w:tc>
          <w:tcPr>
            <w:tcW w:w="746" w:type="pct"/>
            <w:tcBorders>
              <w:top w:val="single" w:sz="4" w:space="0" w:color="auto"/>
              <w:left w:val="single" w:sz="4" w:space="0" w:color="auto"/>
              <w:bottom w:val="single" w:sz="4" w:space="0" w:color="auto"/>
              <w:right w:val="single" w:sz="4" w:space="0" w:color="auto"/>
            </w:tcBorders>
            <w:vAlign w:val="center"/>
          </w:tcPr>
          <w:p w14:paraId="7E22697A" w14:textId="77777777" w:rsidR="00FA568B" w:rsidRPr="008E6F5B" w:rsidRDefault="00FA568B" w:rsidP="00443F31">
            <w:pPr>
              <w:jc w:val="center"/>
              <w:rPr>
                <w:sz w:val="18"/>
                <w:szCs w:val="18"/>
              </w:rPr>
            </w:pPr>
          </w:p>
        </w:tc>
      </w:tr>
      <w:tr w:rsidR="00FA568B" w:rsidRPr="008E6F5B" w14:paraId="5FC175AC"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hideMark/>
          </w:tcPr>
          <w:p w14:paraId="63A30963" w14:textId="77777777" w:rsidR="00FA568B" w:rsidRPr="008E6F5B" w:rsidRDefault="00FA568B" w:rsidP="00443F31">
            <w:pPr>
              <w:rPr>
                <w:sz w:val="18"/>
                <w:szCs w:val="18"/>
              </w:rPr>
            </w:pPr>
            <w:r w:rsidRPr="008E6F5B">
              <w:rPr>
                <w:b/>
                <w:sz w:val="18"/>
                <w:szCs w:val="18"/>
              </w:rPr>
              <w:t>ОБЛАСТ ЛОВЕЧ</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00ABF422" w14:textId="77777777" w:rsidR="00FA568B" w:rsidRPr="008E6F5B" w:rsidRDefault="00FA568B" w:rsidP="00443F31">
            <w:pPr>
              <w:jc w:val="center"/>
              <w:rPr>
                <w:b/>
                <w:sz w:val="18"/>
                <w:szCs w:val="18"/>
              </w:rPr>
            </w:pPr>
            <w:r w:rsidRPr="008E6F5B">
              <w:rPr>
                <w:b/>
                <w:sz w:val="18"/>
                <w:szCs w:val="18"/>
              </w:rPr>
              <w:t>7</w:t>
            </w:r>
          </w:p>
        </w:tc>
      </w:tr>
      <w:tr w:rsidR="00FA568B" w:rsidRPr="008E6F5B" w14:paraId="6F6C8988"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1BCC1F9B" w14:textId="77777777" w:rsidR="00FA568B" w:rsidRPr="008E6F5B" w:rsidRDefault="00FA568B" w:rsidP="00443F31">
            <w:pPr>
              <w:rPr>
                <w:sz w:val="18"/>
                <w:szCs w:val="18"/>
              </w:rPr>
            </w:pPr>
            <w:r w:rsidRPr="008E6F5B">
              <w:rPr>
                <w:sz w:val="18"/>
                <w:szCs w:val="18"/>
              </w:rPr>
              <w:t>ЛОВЕЧ</w:t>
            </w:r>
          </w:p>
        </w:tc>
        <w:tc>
          <w:tcPr>
            <w:tcW w:w="1045" w:type="pct"/>
            <w:tcBorders>
              <w:top w:val="single" w:sz="4" w:space="0" w:color="auto"/>
              <w:left w:val="single" w:sz="4" w:space="0" w:color="auto"/>
              <w:bottom w:val="single" w:sz="4" w:space="0" w:color="auto"/>
              <w:right w:val="single" w:sz="4" w:space="0" w:color="auto"/>
            </w:tcBorders>
          </w:tcPr>
          <w:p w14:paraId="00E52D44" w14:textId="77777777" w:rsidR="00FA568B" w:rsidRPr="008E6F5B" w:rsidRDefault="00FA568B" w:rsidP="00443F31">
            <w:pPr>
              <w:rPr>
                <w:sz w:val="18"/>
                <w:szCs w:val="18"/>
              </w:rPr>
            </w:pPr>
            <w:r w:rsidRPr="008E6F5B">
              <w:rPr>
                <w:sz w:val="18"/>
                <w:szCs w:val="18"/>
              </w:rPr>
              <w:t>ЛОВЕЧ</w:t>
            </w:r>
          </w:p>
        </w:tc>
        <w:tc>
          <w:tcPr>
            <w:tcW w:w="2164" w:type="pct"/>
            <w:tcBorders>
              <w:top w:val="single" w:sz="4" w:space="0" w:color="auto"/>
              <w:left w:val="single" w:sz="4" w:space="0" w:color="auto"/>
              <w:bottom w:val="single" w:sz="4" w:space="0" w:color="auto"/>
              <w:right w:val="single" w:sz="4" w:space="0" w:color="auto"/>
            </w:tcBorders>
            <w:vAlign w:val="center"/>
          </w:tcPr>
          <w:p w14:paraId="730646C4"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52D5CED4" w14:textId="77777777" w:rsidR="00FA568B" w:rsidRPr="008E6F5B" w:rsidRDefault="00FA568B" w:rsidP="00443F31">
            <w:pPr>
              <w:jc w:val="center"/>
              <w:rPr>
                <w:sz w:val="18"/>
                <w:szCs w:val="18"/>
              </w:rPr>
            </w:pPr>
            <w:r w:rsidRPr="008E6F5B">
              <w:rPr>
                <w:sz w:val="18"/>
                <w:szCs w:val="18"/>
              </w:rPr>
              <w:t>1</w:t>
            </w:r>
          </w:p>
        </w:tc>
      </w:tr>
      <w:tr w:rsidR="00FA568B" w:rsidRPr="008E6F5B" w14:paraId="4747BA55"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31E5238A" w14:textId="77777777" w:rsidR="00FA568B" w:rsidRPr="008E6F5B" w:rsidRDefault="00FA568B" w:rsidP="00443F31">
            <w:pPr>
              <w:rPr>
                <w:sz w:val="18"/>
                <w:szCs w:val="18"/>
              </w:rPr>
            </w:pPr>
            <w:r w:rsidRPr="008E6F5B">
              <w:rPr>
                <w:sz w:val="18"/>
                <w:szCs w:val="18"/>
              </w:rPr>
              <w:t>ЛУКОВИТ</w:t>
            </w:r>
          </w:p>
        </w:tc>
        <w:tc>
          <w:tcPr>
            <w:tcW w:w="1045" w:type="pct"/>
            <w:tcBorders>
              <w:top w:val="single" w:sz="4" w:space="0" w:color="auto"/>
              <w:left w:val="single" w:sz="4" w:space="0" w:color="auto"/>
              <w:bottom w:val="single" w:sz="4" w:space="0" w:color="auto"/>
              <w:right w:val="single" w:sz="4" w:space="0" w:color="auto"/>
            </w:tcBorders>
          </w:tcPr>
          <w:p w14:paraId="3E9125CC" w14:textId="77777777" w:rsidR="00FA568B" w:rsidRPr="008E6F5B" w:rsidRDefault="00FA568B" w:rsidP="00443F31">
            <w:pPr>
              <w:rPr>
                <w:sz w:val="18"/>
                <w:szCs w:val="18"/>
              </w:rPr>
            </w:pPr>
            <w:r w:rsidRPr="008E6F5B">
              <w:rPr>
                <w:sz w:val="18"/>
                <w:szCs w:val="18"/>
              </w:rPr>
              <w:t>ЛОВЕЧ</w:t>
            </w:r>
          </w:p>
        </w:tc>
        <w:tc>
          <w:tcPr>
            <w:tcW w:w="2164" w:type="pct"/>
            <w:tcBorders>
              <w:top w:val="single" w:sz="4" w:space="0" w:color="auto"/>
              <w:left w:val="single" w:sz="4" w:space="0" w:color="auto"/>
              <w:bottom w:val="single" w:sz="4" w:space="0" w:color="auto"/>
              <w:right w:val="single" w:sz="4" w:space="0" w:color="auto"/>
            </w:tcBorders>
            <w:vAlign w:val="center"/>
          </w:tcPr>
          <w:p w14:paraId="6163D395"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4DB8D81D" w14:textId="77777777" w:rsidR="00FA568B" w:rsidRPr="008E6F5B" w:rsidRDefault="00FA568B" w:rsidP="00443F31">
            <w:pPr>
              <w:jc w:val="center"/>
              <w:rPr>
                <w:sz w:val="18"/>
                <w:szCs w:val="18"/>
              </w:rPr>
            </w:pPr>
            <w:r w:rsidRPr="008E6F5B">
              <w:rPr>
                <w:sz w:val="18"/>
                <w:szCs w:val="18"/>
              </w:rPr>
              <w:t>2</w:t>
            </w:r>
          </w:p>
        </w:tc>
      </w:tr>
      <w:tr w:rsidR="00FA568B" w:rsidRPr="008E6F5B" w14:paraId="662BBAD2"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25C43B01" w14:textId="77777777" w:rsidR="00FA568B" w:rsidRPr="008E6F5B" w:rsidRDefault="00FA568B" w:rsidP="00443F31">
            <w:pPr>
              <w:rPr>
                <w:sz w:val="18"/>
                <w:szCs w:val="18"/>
              </w:rPr>
            </w:pPr>
            <w:r w:rsidRPr="008E6F5B">
              <w:rPr>
                <w:sz w:val="18"/>
                <w:szCs w:val="18"/>
              </w:rPr>
              <w:t>ЛУКОВИТ</w:t>
            </w:r>
          </w:p>
        </w:tc>
        <w:tc>
          <w:tcPr>
            <w:tcW w:w="1045" w:type="pct"/>
            <w:tcBorders>
              <w:top w:val="single" w:sz="4" w:space="0" w:color="auto"/>
              <w:left w:val="single" w:sz="4" w:space="0" w:color="auto"/>
              <w:bottom w:val="single" w:sz="4" w:space="0" w:color="auto"/>
              <w:right w:val="single" w:sz="4" w:space="0" w:color="auto"/>
            </w:tcBorders>
          </w:tcPr>
          <w:p w14:paraId="74184CF5" w14:textId="77777777" w:rsidR="00FA568B" w:rsidRPr="008E6F5B" w:rsidRDefault="00FA568B" w:rsidP="00443F31">
            <w:pPr>
              <w:rPr>
                <w:sz w:val="18"/>
                <w:szCs w:val="18"/>
              </w:rPr>
            </w:pPr>
            <w:r w:rsidRPr="008E6F5B">
              <w:rPr>
                <w:sz w:val="18"/>
                <w:szCs w:val="18"/>
              </w:rPr>
              <w:t>ЛОВЕЧ</w:t>
            </w:r>
          </w:p>
        </w:tc>
        <w:tc>
          <w:tcPr>
            <w:tcW w:w="2164" w:type="pct"/>
            <w:tcBorders>
              <w:top w:val="single" w:sz="4" w:space="0" w:color="auto"/>
              <w:left w:val="single" w:sz="4" w:space="0" w:color="auto"/>
              <w:bottom w:val="single" w:sz="4" w:space="0" w:color="auto"/>
              <w:right w:val="single" w:sz="4" w:space="0" w:color="auto"/>
            </w:tcBorders>
            <w:vAlign w:val="center"/>
          </w:tcPr>
          <w:p w14:paraId="634D4AAA" w14:textId="77777777" w:rsidR="00FA568B" w:rsidRPr="008E6F5B" w:rsidRDefault="00FA568B" w:rsidP="00443F31">
            <w:pPr>
              <w:rPr>
                <w:sz w:val="18"/>
                <w:szCs w:val="18"/>
              </w:rPr>
            </w:pPr>
            <w:r w:rsidRPr="008E6F5B">
              <w:rPr>
                <w:sz w:val="18"/>
                <w:szCs w:val="18"/>
              </w:rPr>
              <w:t>"БОЖИЯ ЦЪРКВА В БЪЛГАРИЯ"</w:t>
            </w:r>
          </w:p>
        </w:tc>
        <w:tc>
          <w:tcPr>
            <w:tcW w:w="746" w:type="pct"/>
            <w:tcBorders>
              <w:top w:val="single" w:sz="4" w:space="0" w:color="auto"/>
              <w:left w:val="single" w:sz="4" w:space="0" w:color="auto"/>
              <w:bottom w:val="single" w:sz="4" w:space="0" w:color="auto"/>
              <w:right w:val="single" w:sz="4" w:space="0" w:color="auto"/>
            </w:tcBorders>
            <w:vAlign w:val="center"/>
          </w:tcPr>
          <w:p w14:paraId="273638BF" w14:textId="77777777" w:rsidR="00FA568B" w:rsidRPr="008E6F5B" w:rsidRDefault="00FA568B" w:rsidP="00443F31">
            <w:pPr>
              <w:jc w:val="center"/>
              <w:rPr>
                <w:sz w:val="18"/>
                <w:szCs w:val="18"/>
              </w:rPr>
            </w:pPr>
            <w:r w:rsidRPr="008E6F5B">
              <w:rPr>
                <w:sz w:val="18"/>
                <w:szCs w:val="18"/>
              </w:rPr>
              <w:t>1</w:t>
            </w:r>
          </w:p>
        </w:tc>
      </w:tr>
      <w:tr w:rsidR="00FA568B" w:rsidRPr="008E6F5B" w14:paraId="018F1AAE"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36AAF669" w14:textId="77777777" w:rsidR="00FA568B" w:rsidRPr="008E6F5B" w:rsidRDefault="00FA568B" w:rsidP="00443F31">
            <w:pPr>
              <w:rPr>
                <w:sz w:val="18"/>
                <w:szCs w:val="18"/>
              </w:rPr>
            </w:pPr>
            <w:r w:rsidRPr="008E6F5B">
              <w:rPr>
                <w:sz w:val="18"/>
                <w:szCs w:val="18"/>
              </w:rPr>
              <w:t>ТЕТЕВЕН</w:t>
            </w:r>
          </w:p>
        </w:tc>
        <w:tc>
          <w:tcPr>
            <w:tcW w:w="1045" w:type="pct"/>
            <w:tcBorders>
              <w:top w:val="single" w:sz="4" w:space="0" w:color="auto"/>
              <w:left w:val="single" w:sz="4" w:space="0" w:color="auto"/>
              <w:bottom w:val="single" w:sz="4" w:space="0" w:color="auto"/>
              <w:right w:val="single" w:sz="4" w:space="0" w:color="auto"/>
            </w:tcBorders>
            <w:vAlign w:val="center"/>
          </w:tcPr>
          <w:p w14:paraId="57BBF81A" w14:textId="77777777" w:rsidR="00FA568B" w:rsidRPr="008E6F5B" w:rsidRDefault="00FA568B" w:rsidP="00443F31">
            <w:pPr>
              <w:rPr>
                <w:sz w:val="18"/>
                <w:szCs w:val="18"/>
              </w:rPr>
            </w:pPr>
            <w:r w:rsidRPr="008E6F5B">
              <w:rPr>
                <w:sz w:val="18"/>
                <w:szCs w:val="18"/>
              </w:rPr>
              <w:t>ЛОВЕЧ</w:t>
            </w:r>
          </w:p>
        </w:tc>
        <w:tc>
          <w:tcPr>
            <w:tcW w:w="2164" w:type="pct"/>
            <w:tcBorders>
              <w:top w:val="single" w:sz="4" w:space="0" w:color="auto"/>
              <w:left w:val="single" w:sz="4" w:space="0" w:color="auto"/>
              <w:bottom w:val="single" w:sz="4" w:space="0" w:color="auto"/>
              <w:right w:val="single" w:sz="4" w:space="0" w:color="auto"/>
            </w:tcBorders>
            <w:vAlign w:val="center"/>
          </w:tcPr>
          <w:p w14:paraId="6129F51B"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21ACE9B9" w14:textId="77777777" w:rsidR="00FA568B" w:rsidRPr="008E6F5B" w:rsidRDefault="00FA568B" w:rsidP="00443F31">
            <w:pPr>
              <w:jc w:val="center"/>
              <w:rPr>
                <w:sz w:val="18"/>
                <w:szCs w:val="18"/>
              </w:rPr>
            </w:pPr>
            <w:r w:rsidRPr="008E6F5B">
              <w:rPr>
                <w:sz w:val="18"/>
                <w:szCs w:val="18"/>
              </w:rPr>
              <w:t>1</w:t>
            </w:r>
          </w:p>
        </w:tc>
      </w:tr>
      <w:tr w:rsidR="00FA568B" w:rsidRPr="008E6F5B" w14:paraId="2BC55E02"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69FF28BA" w14:textId="77777777" w:rsidR="00FA568B" w:rsidRPr="008E6F5B" w:rsidRDefault="00FA568B" w:rsidP="00443F31">
            <w:pPr>
              <w:rPr>
                <w:sz w:val="18"/>
                <w:szCs w:val="18"/>
              </w:rPr>
            </w:pPr>
            <w:r w:rsidRPr="008E6F5B">
              <w:rPr>
                <w:sz w:val="18"/>
                <w:szCs w:val="18"/>
              </w:rPr>
              <w:t>ТРОЯН</w:t>
            </w:r>
          </w:p>
        </w:tc>
        <w:tc>
          <w:tcPr>
            <w:tcW w:w="1045" w:type="pct"/>
            <w:tcBorders>
              <w:top w:val="single" w:sz="4" w:space="0" w:color="auto"/>
              <w:left w:val="single" w:sz="4" w:space="0" w:color="auto"/>
              <w:bottom w:val="single" w:sz="4" w:space="0" w:color="auto"/>
              <w:right w:val="single" w:sz="4" w:space="0" w:color="auto"/>
            </w:tcBorders>
          </w:tcPr>
          <w:p w14:paraId="7CCA4527" w14:textId="77777777" w:rsidR="00FA568B" w:rsidRPr="008E6F5B" w:rsidRDefault="00FA568B" w:rsidP="00443F31">
            <w:pPr>
              <w:rPr>
                <w:sz w:val="18"/>
                <w:szCs w:val="18"/>
              </w:rPr>
            </w:pPr>
            <w:r w:rsidRPr="008E6F5B">
              <w:rPr>
                <w:sz w:val="18"/>
                <w:szCs w:val="18"/>
              </w:rPr>
              <w:t>ЛОВЕЧ</w:t>
            </w:r>
          </w:p>
        </w:tc>
        <w:tc>
          <w:tcPr>
            <w:tcW w:w="2164" w:type="pct"/>
            <w:tcBorders>
              <w:top w:val="single" w:sz="4" w:space="0" w:color="auto"/>
              <w:left w:val="single" w:sz="4" w:space="0" w:color="auto"/>
              <w:bottom w:val="single" w:sz="4" w:space="0" w:color="auto"/>
              <w:right w:val="single" w:sz="4" w:space="0" w:color="auto"/>
            </w:tcBorders>
            <w:vAlign w:val="center"/>
          </w:tcPr>
          <w:p w14:paraId="76CBEFD0"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08BBE824" w14:textId="77777777" w:rsidR="00FA568B" w:rsidRPr="008E6F5B" w:rsidRDefault="00FA568B" w:rsidP="00443F31">
            <w:pPr>
              <w:jc w:val="center"/>
              <w:rPr>
                <w:sz w:val="18"/>
                <w:szCs w:val="18"/>
              </w:rPr>
            </w:pPr>
            <w:r w:rsidRPr="008E6F5B">
              <w:rPr>
                <w:sz w:val="18"/>
                <w:szCs w:val="18"/>
              </w:rPr>
              <w:t>2</w:t>
            </w:r>
          </w:p>
        </w:tc>
      </w:tr>
      <w:tr w:rsidR="00FA568B" w:rsidRPr="008E6F5B" w14:paraId="315E677B"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hideMark/>
          </w:tcPr>
          <w:p w14:paraId="4DB43DA8" w14:textId="77777777" w:rsidR="00FA568B" w:rsidRPr="008E6F5B" w:rsidRDefault="00FA568B" w:rsidP="00443F31">
            <w:pPr>
              <w:rPr>
                <w:sz w:val="18"/>
                <w:szCs w:val="18"/>
              </w:rPr>
            </w:pPr>
            <w:r w:rsidRPr="008E6F5B">
              <w:rPr>
                <w:b/>
                <w:sz w:val="18"/>
                <w:szCs w:val="18"/>
              </w:rPr>
              <w:t>ОБЛАСТ МОНТАНА</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16AE2216" w14:textId="77777777" w:rsidR="00FA568B" w:rsidRPr="008E6F5B" w:rsidRDefault="00FA568B" w:rsidP="00443F31">
            <w:pPr>
              <w:jc w:val="center"/>
              <w:rPr>
                <w:b/>
                <w:sz w:val="18"/>
                <w:szCs w:val="18"/>
              </w:rPr>
            </w:pPr>
            <w:r w:rsidRPr="008E6F5B">
              <w:rPr>
                <w:b/>
                <w:sz w:val="18"/>
                <w:szCs w:val="18"/>
              </w:rPr>
              <w:t>4</w:t>
            </w:r>
          </w:p>
        </w:tc>
      </w:tr>
      <w:tr w:rsidR="00FA568B" w:rsidRPr="008E6F5B" w14:paraId="05ABC89B"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0DB4AA16" w14:textId="77777777" w:rsidR="00FA568B" w:rsidRPr="008E6F5B" w:rsidRDefault="00FA568B" w:rsidP="00443F31">
            <w:pPr>
              <w:rPr>
                <w:sz w:val="18"/>
                <w:szCs w:val="18"/>
              </w:rPr>
            </w:pPr>
            <w:r w:rsidRPr="008E6F5B">
              <w:rPr>
                <w:sz w:val="18"/>
                <w:szCs w:val="18"/>
              </w:rPr>
              <w:t>БЕРКОВИЦА</w:t>
            </w:r>
          </w:p>
        </w:tc>
        <w:tc>
          <w:tcPr>
            <w:tcW w:w="1045" w:type="pct"/>
            <w:tcBorders>
              <w:top w:val="single" w:sz="4" w:space="0" w:color="auto"/>
              <w:left w:val="single" w:sz="4" w:space="0" w:color="auto"/>
              <w:bottom w:val="single" w:sz="4" w:space="0" w:color="auto"/>
              <w:right w:val="single" w:sz="4" w:space="0" w:color="auto"/>
            </w:tcBorders>
            <w:vAlign w:val="center"/>
          </w:tcPr>
          <w:p w14:paraId="66EDBDA5" w14:textId="77777777" w:rsidR="00FA568B" w:rsidRPr="008E6F5B" w:rsidRDefault="00FA568B" w:rsidP="00443F31">
            <w:pPr>
              <w:rPr>
                <w:sz w:val="18"/>
                <w:szCs w:val="18"/>
              </w:rPr>
            </w:pPr>
            <w:r w:rsidRPr="008E6F5B">
              <w:rPr>
                <w:sz w:val="18"/>
                <w:szCs w:val="18"/>
              </w:rPr>
              <w:t>МОНТАНА</w:t>
            </w:r>
          </w:p>
        </w:tc>
        <w:tc>
          <w:tcPr>
            <w:tcW w:w="2164" w:type="pct"/>
            <w:tcBorders>
              <w:top w:val="single" w:sz="4" w:space="0" w:color="auto"/>
              <w:left w:val="single" w:sz="4" w:space="0" w:color="auto"/>
              <w:bottom w:val="single" w:sz="4" w:space="0" w:color="auto"/>
              <w:right w:val="single" w:sz="4" w:space="0" w:color="auto"/>
            </w:tcBorders>
            <w:vAlign w:val="center"/>
          </w:tcPr>
          <w:p w14:paraId="499150DC" w14:textId="77777777" w:rsidR="00FA568B" w:rsidRPr="008E6F5B" w:rsidRDefault="00FA568B" w:rsidP="00443F31">
            <w:pPr>
              <w:rPr>
                <w:sz w:val="18"/>
                <w:szCs w:val="18"/>
              </w:rPr>
            </w:pPr>
            <w:r w:rsidRPr="008E6F5B">
              <w:rPr>
                <w:sz w:val="18"/>
                <w:szCs w:val="18"/>
              </w:rPr>
              <w:t>СЪЮЗ НА ЦЪРКВИТЕ НА АДВЕНСТИТИТЕ ОТ СЕДМИЯ ДЕН</w:t>
            </w:r>
          </w:p>
        </w:tc>
        <w:tc>
          <w:tcPr>
            <w:tcW w:w="746" w:type="pct"/>
            <w:tcBorders>
              <w:top w:val="single" w:sz="4" w:space="0" w:color="auto"/>
              <w:left w:val="single" w:sz="4" w:space="0" w:color="auto"/>
              <w:bottom w:val="single" w:sz="4" w:space="0" w:color="auto"/>
              <w:right w:val="single" w:sz="4" w:space="0" w:color="auto"/>
            </w:tcBorders>
            <w:vAlign w:val="center"/>
          </w:tcPr>
          <w:p w14:paraId="66D7F3AB" w14:textId="77777777" w:rsidR="00FA568B" w:rsidRPr="008E6F5B" w:rsidRDefault="00FA568B" w:rsidP="00443F31">
            <w:pPr>
              <w:jc w:val="center"/>
              <w:rPr>
                <w:sz w:val="18"/>
                <w:szCs w:val="18"/>
              </w:rPr>
            </w:pPr>
            <w:r w:rsidRPr="008E6F5B">
              <w:rPr>
                <w:sz w:val="18"/>
                <w:szCs w:val="18"/>
              </w:rPr>
              <w:t>1</w:t>
            </w:r>
          </w:p>
        </w:tc>
      </w:tr>
      <w:tr w:rsidR="00FA568B" w:rsidRPr="008E6F5B" w14:paraId="3504E934"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2A3BA1D9" w14:textId="77777777" w:rsidR="00FA568B" w:rsidRPr="008E6F5B" w:rsidRDefault="00FA568B" w:rsidP="00443F31">
            <w:pPr>
              <w:rPr>
                <w:sz w:val="18"/>
                <w:szCs w:val="18"/>
              </w:rPr>
            </w:pPr>
            <w:r w:rsidRPr="008E6F5B">
              <w:rPr>
                <w:sz w:val="18"/>
                <w:szCs w:val="18"/>
              </w:rPr>
              <w:t>БЕРКОВИЦА</w:t>
            </w:r>
          </w:p>
        </w:tc>
        <w:tc>
          <w:tcPr>
            <w:tcW w:w="1045" w:type="pct"/>
            <w:tcBorders>
              <w:top w:val="single" w:sz="4" w:space="0" w:color="auto"/>
              <w:left w:val="single" w:sz="4" w:space="0" w:color="auto"/>
              <w:bottom w:val="single" w:sz="4" w:space="0" w:color="auto"/>
              <w:right w:val="single" w:sz="4" w:space="0" w:color="auto"/>
            </w:tcBorders>
            <w:vAlign w:val="center"/>
          </w:tcPr>
          <w:p w14:paraId="4CBCDCDF" w14:textId="77777777" w:rsidR="00FA568B" w:rsidRPr="008E6F5B" w:rsidRDefault="00FA568B" w:rsidP="00443F31">
            <w:pPr>
              <w:rPr>
                <w:sz w:val="18"/>
                <w:szCs w:val="18"/>
              </w:rPr>
            </w:pPr>
            <w:r w:rsidRPr="008E6F5B">
              <w:rPr>
                <w:sz w:val="18"/>
                <w:szCs w:val="18"/>
              </w:rPr>
              <w:t>МОНТАНА</w:t>
            </w:r>
          </w:p>
        </w:tc>
        <w:tc>
          <w:tcPr>
            <w:tcW w:w="2164" w:type="pct"/>
            <w:tcBorders>
              <w:top w:val="single" w:sz="4" w:space="0" w:color="auto"/>
              <w:left w:val="single" w:sz="4" w:space="0" w:color="auto"/>
              <w:bottom w:val="single" w:sz="4" w:space="0" w:color="auto"/>
              <w:right w:val="single" w:sz="4" w:space="0" w:color="auto"/>
            </w:tcBorders>
            <w:vAlign w:val="center"/>
          </w:tcPr>
          <w:p w14:paraId="04722517" w14:textId="77777777" w:rsidR="00FA568B" w:rsidRPr="008E6F5B" w:rsidRDefault="00FA568B" w:rsidP="00443F31">
            <w:pPr>
              <w:rPr>
                <w:sz w:val="18"/>
                <w:szCs w:val="18"/>
              </w:rPr>
            </w:pPr>
            <w:r w:rsidRPr="008E6F5B">
              <w:rPr>
                <w:sz w:val="18"/>
                <w:szCs w:val="18"/>
              </w:rPr>
              <w:t>СЪЮЗ НА ЕВАНГЕЛСКИТЕ БАПТИСТКИ ЦЪРКВИ В БЪЛГАРИЯ</w:t>
            </w:r>
          </w:p>
        </w:tc>
        <w:tc>
          <w:tcPr>
            <w:tcW w:w="746" w:type="pct"/>
            <w:tcBorders>
              <w:top w:val="single" w:sz="4" w:space="0" w:color="auto"/>
              <w:left w:val="single" w:sz="4" w:space="0" w:color="auto"/>
              <w:bottom w:val="single" w:sz="4" w:space="0" w:color="auto"/>
              <w:right w:val="single" w:sz="4" w:space="0" w:color="auto"/>
            </w:tcBorders>
            <w:vAlign w:val="center"/>
          </w:tcPr>
          <w:p w14:paraId="2A05A12C" w14:textId="77777777" w:rsidR="00FA568B" w:rsidRPr="008E6F5B" w:rsidRDefault="00FA568B" w:rsidP="00443F31">
            <w:pPr>
              <w:jc w:val="center"/>
              <w:rPr>
                <w:sz w:val="18"/>
                <w:szCs w:val="18"/>
              </w:rPr>
            </w:pPr>
            <w:r w:rsidRPr="008E6F5B">
              <w:rPr>
                <w:sz w:val="18"/>
                <w:szCs w:val="18"/>
              </w:rPr>
              <w:t>2</w:t>
            </w:r>
          </w:p>
        </w:tc>
      </w:tr>
      <w:tr w:rsidR="00FA568B" w:rsidRPr="008E6F5B" w14:paraId="42C4685D"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18735007" w14:textId="77777777" w:rsidR="00FA568B" w:rsidRPr="008E6F5B" w:rsidRDefault="00FA568B" w:rsidP="00443F31">
            <w:pPr>
              <w:rPr>
                <w:sz w:val="18"/>
                <w:szCs w:val="18"/>
              </w:rPr>
            </w:pPr>
            <w:r w:rsidRPr="008E6F5B">
              <w:rPr>
                <w:sz w:val="18"/>
                <w:szCs w:val="18"/>
              </w:rPr>
              <w:t>ВЪРШЕЦ</w:t>
            </w:r>
          </w:p>
        </w:tc>
        <w:tc>
          <w:tcPr>
            <w:tcW w:w="1045" w:type="pct"/>
            <w:tcBorders>
              <w:top w:val="single" w:sz="4" w:space="0" w:color="auto"/>
              <w:left w:val="single" w:sz="4" w:space="0" w:color="auto"/>
              <w:bottom w:val="single" w:sz="4" w:space="0" w:color="auto"/>
              <w:right w:val="single" w:sz="4" w:space="0" w:color="auto"/>
            </w:tcBorders>
            <w:vAlign w:val="center"/>
          </w:tcPr>
          <w:p w14:paraId="1AD1D1BF" w14:textId="77777777" w:rsidR="00FA568B" w:rsidRPr="008E6F5B" w:rsidRDefault="00FA568B" w:rsidP="00443F31">
            <w:pPr>
              <w:rPr>
                <w:sz w:val="18"/>
                <w:szCs w:val="18"/>
              </w:rPr>
            </w:pPr>
            <w:r w:rsidRPr="008E6F5B">
              <w:rPr>
                <w:sz w:val="18"/>
                <w:szCs w:val="18"/>
              </w:rPr>
              <w:t>МОНТАНА</w:t>
            </w:r>
          </w:p>
        </w:tc>
        <w:tc>
          <w:tcPr>
            <w:tcW w:w="2164" w:type="pct"/>
            <w:tcBorders>
              <w:top w:val="single" w:sz="4" w:space="0" w:color="auto"/>
              <w:left w:val="single" w:sz="4" w:space="0" w:color="auto"/>
              <w:bottom w:val="single" w:sz="4" w:space="0" w:color="auto"/>
              <w:right w:val="single" w:sz="4" w:space="0" w:color="auto"/>
            </w:tcBorders>
            <w:vAlign w:val="center"/>
          </w:tcPr>
          <w:p w14:paraId="7E683E83" w14:textId="38B96B71" w:rsidR="00FA568B" w:rsidRPr="008E6F5B" w:rsidRDefault="00FA568B" w:rsidP="00443F31">
            <w:pPr>
              <w:rPr>
                <w:sz w:val="18"/>
                <w:szCs w:val="18"/>
              </w:rPr>
            </w:pPr>
            <w:r w:rsidRPr="008E6F5B">
              <w:rPr>
                <w:sz w:val="18"/>
                <w:szCs w:val="18"/>
              </w:rPr>
              <w:t xml:space="preserve">ХРИСТИЯНСКИ ЦЕНТЪР  "ГЕДЕОН </w:t>
            </w:r>
            <w:r w:rsidR="004F7D3A">
              <w:rPr>
                <w:sz w:val="18"/>
                <w:szCs w:val="18"/>
              </w:rPr>
              <w:t>–</w:t>
            </w:r>
            <w:r w:rsidRPr="008E6F5B">
              <w:rPr>
                <w:sz w:val="18"/>
                <w:szCs w:val="18"/>
              </w:rPr>
              <w:t xml:space="preserve"> ПРОРОЧЕСКА ЦЪРКВА"</w:t>
            </w:r>
          </w:p>
        </w:tc>
        <w:tc>
          <w:tcPr>
            <w:tcW w:w="746" w:type="pct"/>
            <w:tcBorders>
              <w:top w:val="single" w:sz="4" w:space="0" w:color="auto"/>
              <w:left w:val="single" w:sz="4" w:space="0" w:color="auto"/>
              <w:bottom w:val="single" w:sz="4" w:space="0" w:color="auto"/>
              <w:right w:val="single" w:sz="4" w:space="0" w:color="auto"/>
            </w:tcBorders>
            <w:vAlign w:val="center"/>
          </w:tcPr>
          <w:p w14:paraId="0033154A" w14:textId="77777777" w:rsidR="00FA568B" w:rsidRPr="008E6F5B" w:rsidRDefault="00FA568B" w:rsidP="00443F31">
            <w:pPr>
              <w:jc w:val="center"/>
              <w:rPr>
                <w:sz w:val="18"/>
                <w:szCs w:val="18"/>
              </w:rPr>
            </w:pPr>
            <w:r w:rsidRPr="008E6F5B">
              <w:rPr>
                <w:sz w:val="18"/>
                <w:szCs w:val="18"/>
              </w:rPr>
              <w:t>1</w:t>
            </w:r>
          </w:p>
        </w:tc>
      </w:tr>
      <w:tr w:rsidR="00FA568B" w:rsidRPr="008E6F5B" w14:paraId="62F29374"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03E47F46" w14:textId="77777777" w:rsidR="00FA568B" w:rsidRPr="008E6F5B" w:rsidRDefault="00FA568B" w:rsidP="00443F31">
            <w:pPr>
              <w:rPr>
                <w:b/>
                <w:sz w:val="18"/>
                <w:szCs w:val="18"/>
              </w:rPr>
            </w:pPr>
            <w:r w:rsidRPr="008E6F5B">
              <w:rPr>
                <w:b/>
                <w:sz w:val="18"/>
                <w:szCs w:val="18"/>
              </w:rPr>
              <w:t>ОБЛАСТ ПАЗАРДЖИК</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6FF346DE" w14:textId="77777777" w:rsidR="00FA568B" w:rsidRPr="008E6F5B" w:rsidRDefault="00FA568B" w:rsidP="00443F31">
            <w:pPr>
              <w:jc w:val="center"/>
              <w:rPr>
                <w:b/>
                <w:sz w:val="18"/>
                <w:szCs w:val="18"/>
              </w:rPr>
            </w:pPr>
            <w:r w:rsidRPr="008E6F5B">
              <w:rPr>
                <w:b/>
                <w:sz w:val="18"/>
                <w:szCs w:val="18"/>
              </w:rPr>
              <w:t>5</w:t>
            </w:r>
          </w:p>
        </w:tc>
      </w:tr>
      <w:tr w:rsidR="00FA568B" w:rsidRPr="008E6F5B" w14:paraId="1E301F07" w14:textId="77777777" w:rsidTr="00057048">
        <w:trPr>
          <w:trHeight w:val="70"/>
        </w:trPr>
        <w:tc>
          <w:tcPr>
            <w:tcW w:w="1045" w:type="pct"/>
            <w:tcBorders>
              <w:top w:val="single" w:sz="4" w:space="0" w:color="auto"/>
              <w:left w:val="single" w:sz="4" w:space="0" w:color="auto"/>
              <w:bottom w:val="single" w:sz="4" w:space="0" w:color="auto"/>
              <w:right w:val="single" w:sz="4" w:space="0" w:color="auto"/>
            </w:tcBorders>
            <w:vAlign w:val="center"/>
          </w:tcPr>
          <w:p w14:paraId="0F0FBD0F" w14:textId="77777777" w:rsidR="00FA568B" w:rsidRPr="008E6F5B" w:rsidRDefault="00FA568B" w:rsidP="00443F31">
            <w:pPr>
              <w:rPr>
                <w:sz w:val="18"/>
                <w:szCs w:val="18"/>
              </w:rPr>
            </w:pPr>
            <w:r w:rsidRPr="008E6F5B">
              <w:rPr>
                <w:sz w:val="18"/>
                <w:szCs w:val="18"/>
              </w:rPr>
              <w:t>БРАЦИГОВО</w:t>
            </w:r>
          </w:p>
        </w:tc>
        <w:tc>
          <w:tcPr>
            <w:tcW w:w="1045" w:type="pct"/>
            <w:tcBorders>
              <w:top w:val="single" w:sz="4" w:space="0" w:color="auto"/>
              <w:left w:val="single" w:sz="4" w:space="0" w:color="auto"/>
              <w:bottom w:val="single" w:sz="4" w:space="0" w:color="auto"/>
              <w:right w:val="single" w:sz="4" w:space="0" w:color="auto"/>
            </w:tcBorders>
            <w:vAlign w:val="center"/>
          </w:tcPr>
          <w:p w14:paraId="69D49BD9" w14:textId="77777777" w:rsidR="00FA568B" w:rsidRPr="008E6F5B" w:rsidRDefault="00FA568B" w:rsidP="00443F31">
            <w:pPr>
              <w:rPr>
                <w:sz w:val="18"/>
                <w:szCs w:val="18"/>
              </w:rPr>
            </w:pPr>
            <w:r w:rsidRPr="008E6F5B">
              <w:rPr>
                <w:sz w:val="18"/>
                <w:szCs w:val="18"/>
              </w:rPr>
              <w:t>ПАЗАРДЖИК</w:t>
            </w:r>
          </w:p>
        </w:tc>
        <w:tc>
          <w:tcPr>
            <w:tcW w:w="2164" w:type="pct"/>
            <w:tcBorders>
              <w:top w:val="single" w:sz="4" w:space="0" w:color="auto"/>
              <w:left w:val="single" w:sz="4" w:space="0" w:color="auto"/>
              <w:bottom w:val="single" w:sz="4" w:space="0" w:color="auto"/>
              <w:right w:val="single" w:sz="4" w:space="0" w:color="auto"/>
            </w:tcBorders>
            <w:vAlign w:val="center"/>
          </w:tcPr>
          <w:p w14:paraId="1C6BC4E7"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6D6D8910" w14:textId="77777777" w:rsidR="00FA568B" w:rsidRPr="008E6F5B" w:rsidRDefault="00FA568B" w:rsidP="00443F31">
            <w:pPr>
              <w:jc w:val="center"/>
              <w:rPr>
                <w:sz w:val="18"/>
                <w:szCs w:val="18"/>
              </w:rPr>
            </w:pPr>
            <w:r w:rsidRPr="008E6F5B">
              <w:rPr>
                <w:sz w:val="18"/>
                <w:szCs w:val="18"/>
              </w:rPr>
              <w:t>1</w:t>
            </w:r>
          </w:p>
        </w:tc>
      </w:tr>
      <w:tr w:rsidR="00FA568B" w:rsidRPr="008E6F5B" w14:paraId="36F9BE0C"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37231EE5" w14:textId="77777777" w:rsidR="00FA568B" w:rsidRPr="008E6F5B" w:rsidRDefault="00FA568B" w:rsidP="00443F31">
            <w:pPr>
              <w:rPr>
                <w:sz w:val="18"/>
                <w:szCs w:val="18"/>
              </w:rPr>
            </w:pPr>
            <w:r w:rsidRPr="008E6F5B">
              <w:rPr>
                <w:sz w:val="18"/>
                <w:szCs w:val="18"/>
              </w:rPr>
              <w:t>РАКИТОВО</w:t>
            </w:r>
          </w:p>
        </w:tc>
        <w:tc>
          <w:tcPr>
            <w:tcW w:w="1045" w:type="pct"/>
            <w:tcBorders>
              <w:top w:val="single" w:sz="4" w:space="0" w:color="auto"/>
              <w:left w:val="single" w:sz="4" w:space="0" w:color="auto"/>
              <w:bottom w:val="single" w:sz="4" w:space="0" w:color="auto"/>
              <w:right w:val="single" w:sz="4" w:space="0" w:color="auto"/>
            </w:tcBorders>
            <w:vAlign w:val="center"/>
          </w:tcPr>
          <w:p w14:paraId="5964F861" w14:textId="77777777" w:rsidR="00FA568B" w:rsidRPr="008E6F5B" w:rsidRDefault="00FA568B" w:rsidP="00443F31">
            <w:pPr>
              <w:rPr>
                <w:sz w:val="18"/>
                <w:szCs w:val="18"/>
              </w:rPr>
            </w:pPr>
            <w:r w:rsidRPr="008E6F5B">
              <w:rPr>
                <w:sz w:val="18"/>
                <w:szCs w:val="18"/>
              </w:rPr>
              <w:t>ПАЗАРДЖИК</w:t>
            </w:r>
          </w:p>
        </w:tc>
        <w:tc>
          <w:tcPr>
            <w:tcW w:w="2164" w:type="pct"/>
            <w:tcBorders>
              <w:top w:val="single" w:sz="4" w:space="0" w:color="auto"/>
              <w:left w:val="single" w:sz="4" w:space="0" w:color="auto"/>
              <w:bottom w:val="single" w:sz="4" w:space="0" w:color="auto"/>
              <w:right w:val="single" w:sz="4" w:space="0" w:color="auto"/>
            </w:tcBorders>
            <w:vAlign w:val="center"/>
          </w:tcPr>
          <w:p w14:paraId="11997C21" w14:textId="77777777" w:rsidR="00FA568B" w:rsidRPr="008E6F5B" w:rsidRDefault="00FA568B" w:rsidP="00443F31">
            <w:pPr>
              <w:rPr>
                <w:sz w:val="18"/>
                <w:szCs w:val="18"/>
              </w:rPr>
            </w:pPr>
            <w:r w:rsidRPr="008E6F5B">
              <w:rPr>
                <w:sz w:val="18"/>
                <w:szCs w:val="18"/>
              </w:rPr>
              <w:t>"БОЖИЯ ЦЪРКВА В БЪЛГАРИЯ"</w:t>
            </w:r>
          </w:p>
        </w:tc>
        <w:tc>
          <w:tcPr>
            <w:tcW w:w="746" w:type="pct"/>
            <w:tcBorders>
              <w:top w:val="single" w:sz="4" w:space="0" w:color="auto"/>
              <w:left w:val="single" w:sz="4" w:space="0" w:color="auto"/>
              <w:bottom w:val="single" w:sz="4" w:space="0" w:color="auto"/>
              <w:right w:val="single" w:sz="4" w:space="0" w:color="auto"/>
            </w:tcBorders>
            <w:vAlign w:val="center"/>
          </w:tcPr>
          <w:p w14:paraId="483BBE20" w14:textId="77777777" w:rsidR="00FA568B" w:rsidRPr="008E6F5B" w:rsidRDefault="00FA568B" w:rsidP="00443F31">
            <w:pPr>
              <w:jc w:val="center"/>
              <w:rPr>
                <w:sz w:val="18"/>
                <w:szCs w:val="18"/>
              </w:rPr>
            </w:pPr>
            <w:r w:rsidRPr="008E6F5B">
              <w:rPr>
                <w:sz w:val="18"/>
                <w:szCs w:val="18"/>
              </w:rPr>
              <w:t>1</w:t>
            </w:r>
          </w:p>
        </w:tc>
      </w:tr>
      <w:tr w:rsidR="00FA568B" w:rsidRPr="008E6F5B" w14:paraId="015DE6F9"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25FCA5D5" w14:textId="77777777" w:rsidR="00FA568B" w:rsidRPr="008E6F5B" w:rsidRDefault="00FA568B" w:rsidP="00443F31">
            <w:pPr>
              <w:rPr>
                <w:sz w:val="18"/>
                <w:szCs w:val="18"/>
              </w:rPr>
            </w:pPr>
            <w:r w:rsidRPr="008E6F5B">
              <w:rPr>
                <w:sz w:val="18"/>
                <w:szCs w:val="18"/>
              </w:rPr>
              <w:t>РАКИТОВО</w:t>
            </w:r>
          </w:p>
        </w:tc>
        <w:tc>
          <w:tcPr>
            <w:tcW w:w="1045" w:type="pct"/>
            <w:tcBorders>
              <w:top w:val="single" w:sz="4" w:space="0" w:color="auto"/>
              <w:left w:val="single" w:sz="4" w:space="0" w:color="auto"/>
              <w:bottom w:val="single" w:sz="4" w:space="0" w:color="auto"/>
              <w:right w:val="single" w:sz="4" w:space="0" w:color="auto"/>
            </w:tcBorders>
            <w:vAlign w:val="center"/>
          </w:tcPr>
          <w:p w14:paraId="68729D31" w14:textId="77777777" w:rsidR="00FA568B" w:rsidRPr="008E6F5B" w:rsidRDefault="00FA568B" w:rsidP="00443F31">
            <w:pPr>
              <w:rPr>
                <w:sz w:val="18"/>
                <w:szCs w:val="18"/>
              </w:rPr>
            </w:pPr>
            <w:r w:rsidRPr="008E6F5B">
              <w:rPr>
                <w:sz w:val="18"/>
                <w:szCs w:val="18"/>
              </w:rPr>
              <w:t>ПАЗАРДЖИК</w:t>
            </w:r>
          </w:p>
        </w:tc>
        <w:tc>
          <w:tcPr>
            <w:tcW w:w="2164" w:type="pct"/>
            <w:tcBorders>
              <w:top w:val="single" w:sz="4" w:space="0" w:color="auto"/>
              <w:left w:val="single" w:sz="4" w:space="0" w:color="auto"/>
              <w:bottom w:val="single" w:sz="4" w:space="0" w:color="auto"/>
              <w:right w:val="single" w:sz="4" w:space="0" w:color="auto"/>
            </w:tcBorders>
            <w:vAlign w:val="center"/>
          </w:tcPr>
          <w:p w14:paraId="10053F37"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3456CF5D" w14:textId="77777777" w:rsidR="00FA568B" w:rsidRPr="008E6F5B" w:rsidRDefault="00FA568B" w:rsidP="00443F31">
            <w:pPr>
              <w:jc w:val="center"/>
              <w:rPr>
                <w:sz w:val="18"/>
                <w:szCs w:val="18"/>
              </w:rPr>
            </w:pPr>
            <w:r w:rsidRPr="008E6F5B">
              <w:rPr>
                <w:sz w:val="18"/>
                <w:szCs w:val="18"/>
              </w:rPr>
              <w:t>1</w:t>
            </w:r>
          </w:p>
        </w:tc>
      </w:tr>
      <w:tr w:rsidR="00FA568B" w:rsidRPr="008E6F5B" w14:paraId="5F6CBB52"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0A729D2D" w14:textId="77777777" w:rsidR="00FA568B" w:rsidRPr="008E6F5B" w:rsidRDefault="00FA568B" w:rsidP="00443F31">
            <w:pPr>
              <w:rPr>
                <w:sz w:val="18"/>
                <w:szCs w:val="18"/>
              </w:rPr>
            </w:pPr>
            <w:r w:rsidRPr="008E6F5B">
              <w:rPr>
                <w:sz w:val="18"/>
                <w:szCs w:val="18"/>
              </w:rPr>
              <w:t>СЪРНИЦА</w:t>
            </w:r>
          </w:p>
        </w:tc>
        <w:tc>
          <w:tcPr>
            <w:tcW w:w="1045" w:type="pct"/>
            <w:tcBorders>
              <w:top w:val="single" w:sz="4" w:space="0" w:color="auto"/>
              <w:left w:val="single" w:sz="4" w:space="0" w:color="auto"/>
              <w:bottom w:val="single" w:sz="4" w:space="0" w:color="auto"/>
              <w:right w:val="single" w:sz="4" w:space="0" w:color="auto"/>
            </w:tcBorders>
            <w:vAlign w:val="center"/>
          </w:tcPr>
          <w:p w14:paraId="6A047C19" w14:textId="77777777" w:rsidR="00FA568B" w:rsidRPr="008E6F5B" w:rsidRDefault="00FA568B" w:rsidP="00443F31">
            <w:pPr>
              <w:rPr>
                <w:sz w:val="18"/>
                <w:szCs w:val="18"/>
              </w:rPr>
            </w:pPr>
            <w:r w:rsidRPr="008E6F5B">
              <w:rPr>
                <w:sz w:val="18"/>
                <w:szCs w:val="18"/>
              </w:rPr>
              <w:t>ПАЗАРДЖИК</w:t>
            </w:r>
          </w:p>
        </w:tc>
        <w:tc>
          <w:tcPr>
            <w:tcW w:w="2164" w:type="pct"/>
            <w:tcBorders>
              <w:top w:val="single" w:sz="4" w:space="0" w:color="auto"/>
              <w:left w:val="single" w:sz="4" w:space="0" w:color="auto"/>
              <w:bottom w:val="single" w:sz="4" w:space="0" w:color="auto"/>
              <w:right w:val="single" w:sz="4" w:space="0" w:color="auto"/>
            </w:tcBorders>
            <w:vAlign w:val="center"/>
          </w:tcPr>
          <w:p w14:paraId="4919ABA0"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78DA07DE" w14:textId="77777777" w:rsidR="00FA568B" w:rsidRPr="008E6F5B" w:rsidRDefault="00FA568B" w:rsidP="00443F31">
            <w:pPr>
              <w:jc w:val="center"/>
              <w:rPr>
                <w:sz w:val="18"/>
                <w:szCs w:val="18"/>
              </w:rPr>
            </w:pPr>
            <w:r w:rsidRPr="008E6F5B">
              <w:rPr>
                <w:sz w:val="18"/>
                <w:szCs w:val="18"/>
              </w:rPr>
              <w:t>1</w:t>
            </w:r>
          </w:p>
        </w:tc>
      </w:tr>
      <w:tr w:rsidR="00FA568B" w:rsidRPr="008E6F5B" w14:paraId="4715B4D4"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695B1360" w14:textId="77777777" w:rsidR="00FA568B" w:rsidRPr="008E6F5B" w:rsidRDefault="00FA568B" w:rsidP="00443F31">
            <w:pPr>
              <w:rPr>
                <w:sz w:val="18"/>
                <w:szCs w:val="18"/>
              </w:rPr>
            </w:pPr>
            <w:r w:rsidRPr="008E6F5B">
              <w:rPr>
                <w:sz w:val="18"/>
                <w:szCs w:val="18"/>
              </w:rPr>
              <w:t>СЪРНИЦА</w:t>
            </w:r>
          </w:p>
        </w:tc>
        <w:tc>
          <w:tcPr>
            <w:tcW w:w="1045" w:type="pct"/>
            <w:tcBorders>
              <w:top w:val="single" w:sz="4" w:space="0" w:color="auto"/>
              <w:left w:val="single" w:sz="4" w:space="0" w:color="auto"/>
              <w:bottom w:val="single" w:sz="4" w:space="0" w:color="auto"/>
              <w:right w:val="single" w:sz="4" w:space="0" w:color="auto"/>
            </w:tcBorders>
            <w:vAlign w:val="center"/>
          </w:tcPr>
          <w:p w14:paraId="66033ADD" w14:textId="77777777" w:rsidR="00FA568B" w:rsidRPr="008E6F5B" w:rsidRDefault="00FA568B" w:rsidP="00443F31">
            <w:pPr>
              <w:rPr>
                <w:sz w:val="18"/>
                <w:szCs w:val="18"/>
              </w:rPr>
            </w:pPr>
            <w:r w:rsidRPr="008E6F5B">
              <w:rPr>
                <w:sz w:val="18"/>
                <w:szCs w:val="18"/>
              </w:rPr>
              <w:t>ПАЗАРДЖИК</w:t>
            </w:r>
          </w:p>
        </w:tc>
        <w:tc>
          <w:tcPr>
            <w:tcW w:w="2164" w:type="pct"/>
            <w:tcBorders>
              <w:top w:val="single" w:sz="4" w:space="0" w:color="auto"/>
              <w:left w:val="single" w:sz="4" w:space="0" w:color="auto"/>
              <w:bottom w:val="single" w:sz="4" w:space="0" w:color="auto"/>
              <w:right w:val="single" w:sz="4" w:space="0" w:color="auto"/>
            </w:tcBorders>
            <w:vAlign w:val="center"/>
          </w:tcPr>
          <w:p w14:paraId="24F62D31"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133082C7" w14:textId="77777777" w:rsidR="00FA568B" w:rsidRPr="008E6F5B" w:rsidRDefault="00FA568B" w:rsidP="00443F31">
            <w:pPr>
              <w:jc w:val="center"/>
              <w:rPr>
                <w:sz w:val="18"/>
                <w:szCs w:val="18"/>
              </w:rPr>
            </w:pPr>
            <w:r w:rsidRPr="008E6F5B">
              <w:rPr>
                <w:sz w:val="18"/>
                <w:szCs w:val="18"/>
              </w:rPr>
              <w:t>1</w:t>
            </w:r>
          </w:p>
        </w:tc>
      </w:tr>
      <w:tr w:rsidR="00FA568B" w:rsidRPr="008E6F5B" w14:paraId="214524D9"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26C70D1F" w14:textId="77777777" w:rsidR="00FA568B" w:rsidRPr="008E6F5B" w:rsidRDefault="00FA568B" w:rsidP="00443F31">
            <w:pPr>
              <w:rPr>
                <w:b/>
                <w:bCs/>
                <w:sz w:val="18"/>
                <w:szCs w:val="18"/>
              </w:rPr>
            </w:pPr>
            <w:r w:rsidRPr="008E6F5B">
              <w:rPr>
                <w:b/>
                <w:bCs/>
                <w:sz w:val="18"/>
                <w:szCs w:val="18"/>
              </w:rPr>
              <w:t>ОБЛАСТ ПЕРНИК</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3D4F2B83" w14:textId="77777777" w:rsidR="00FA568B" w:rsidRPr="008E6F5B" w:rsidRDefault="00FA568B" w:rsidP="00443F31">
            <w:pPr>
              <w:jc w:val="center"/>
              <w:rPr>
                <w:b/>
                <w:bCs/>
                <w:sz w:val="18"/>
                <w:szCs w:val="18"/>
              </w:rPr>
            </w:pPr>
            <w:r w:rsidRPr="008E6F5B">
              <w:rPr>
                <w:b/>
                <w:bCs/>
                <w:sz w:val="18"/>
                <w:szCs w:val="18"/>
              </w:rPr>
              <w:t>0</w:t>
            </w:r>
          </w:p>
        </w:tc>
      </w:tr>
      <w:tr w:rsidR="00FA568B" w:rsidRPr="008E6F5B" w14:paraId="1E0888D7"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74A34DA7" w14:textId="77777777" w:rsidR="00FA568B" w:rsidRPr="008E6F5B" w:rsidRDefault="00FA568B" w:rsidP="00443F31">
            <w:pPr>
              <w:rPr>
                <w:sz w:val="18"/>
                <w:szCs w:val="18"/>
              </w:rPr>
            </w:pPr>
          </w:p>
        </w:tc>
        <w:tc>
          <w:tcPr>
            <w:tcW w:w="1045" w:type="pct"/>
            <w:tcBorders>
              <w:top w:val="single" w:sz="4" w:space="0" w:color="auto"/>
              <w:left w:val="single" w:sz="4" w:space="0" w:color="auto"/>
              <w:bottom w:val="single" w:sz="4" w:space="0" w:color="auto"/>
              <w:right w:val="single" w:sz="4" w:space="0" w:color="auto"/>
            </w:tcBorders>
            <w:vAlign w:val="center"/>
          </w:tcPr>
          <w:p w14:paraId="37E7020B" w14:textId="77777777" w:rsidR="00FA568B" w:rsidRPr="008E6F5B" w:rsidRDefault="00FA568B" w:rsidP="00443F31">
            <w:pPr>
              <w:rPr>
                <w:sz w:val="18"/>
                <w:szCs w:val="18"/>
              </w:rPr>
            </w:pPr>
          </w:p>
        </w:tc>
        <w:tc>
          <w:tcPr>
            <w:tcW w:w="2164" w:type="pct"/>
            <w:tcBorders>
              <w:top w:val="single" w:sz="4" w:space="0" w:color="auto"/>
              <w:left w:val="single" w:sz="4" w:space="0" w:color="auto"/>
              <w:bottom w:val="single" w:sz="4" w:space="0" w:color="auto"/>
              <w:right w:val="single" w:sz="4" w:space="0" w:color="auto"/>
            </w:tcBorders>
            <w:vAlign w:val="center"/>
          </w:tcPr>
          <w:p w14:paraId="34463BEF" w14:textId="77777777" w:rsidR="00FA568B" w:rsidRPr="008E6F5B" w:rsidRDefault="00FA568B" w:rsidP="00443F31">
            <w:pPr>
              <w:rPr>
                <w:sz w:val="18"/>
                <w:szCs w:val="18"/>
              </w:rPr>
            </w:pPr>
          </w:p>
        </w:tc>
        <w:tc>
          <w:tcPr>
            <w:tcW w:w="746" w:type="pct"/>
            <w:tcBorders>
              <w:top w:val="single" w:sz="4" w:space="0" w:color="auto"/>
              <w:left w:val="single" w:sz="4" w:space="0" w:color="auto"/>
              <w:bottom w:val="single" w:sz="4" w:space="0" w:color="auto"/>
              <w:right w:val="single" w:sz="4" w:space="0" w:color="auto"/>
            </w:tcBorders>
            <w:vAlign w:val="center"/>
          </w:tcPr>
          <w:p w14:paraId="057614CC" w14:textId="77777777" w:rsidR="00FA568B" w:rsidRPr="008E6F5B" w:rsidRDefault="00FA568B" w:rsidP="00443F31">
            <w:pPr>
              <w:jc w:val="center"/>
              <w:rPr>
                <w:sz w:val="18"/>
                <w:szCs w:val="18"/>
              </w:rPr>
            </w:pPr>
          </w:p>
        </w:tc>
      </w:tr>
      <w:tr w:rsidR="00FA568B" w:rsidRPr="008E6F5B" w14:paraId="657BF980"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hideMark/>
          </w:tcPr>
          <w:p w14:paraId="48765275" w14:textId="77777777" w:rsidR="00FA568B" w:rsidRPr="008E6F5B" w:rsidRDefault="00FA568B" w:rsidP="00443F31">
            <w:pPr>
              <w:rPr>
                <w:sz w:val="18"/>
                <w:szCs w:val="18"/>
              </w:rPr>
            </w:pPr>
            <w:r w:rsidRPr="008E6F5B">
              <w:rPr>
                <w:b/>
                <w:sz w:val="18"/>
                <w:szCs w:val="18"/>
              </w:rPr>
              <w:t>ОБЛАСТ ПЛЕВЕН</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7E462EBD" w14:textId="77777777" w:rsidR="00FA568B" w:rsidRPr="008E6F5B" w:rsidRDefault="00FA568B" w:rsidP="00443F31">
            <w:pPr>
              <w:jc w:val="center"/>
              <w:rPr>
                <w:b/>
                <w:sz w:val="18"/>
                <w:szCs w:val="18"/>
              </w:rPr>
            </w:pPr>
            <w:r w:rsidRPr="008E6F5B">
              <w:rPr>
                <w:b/>
                <w:sz w:val="18"/>
                <w:szCs w:val="18"/>
              </w:rPr>
              <w:t>13</w:t>
            </w:r>
          </w:p>
        </w:tc>
      </w:tr>
      <w:tr w:rsidR="00FA568B" w:rsidRPr="008E6F5B" w14:paraId="1E469086" w14:textId="77777777" w:rsidTr="00057048">
        <w:tc>
          <w:tcPr>
            <w:tcW w:w="1045" w:type="pct"/>
            <w:tcBorders>
              <w:top w:val="single" w:sz="4" w:space="0" w:color="auto"/>
              <w:left w:val="single" w:sz="4" w:space="0" w:color="auto"/>
              <w:bottom w:val="single" w:sz="4" w:space="0" w:color="auto"/>
              <w:right w:val="single" w:sz="4" w:space="0" w:color="auto"/>
            </w:tcBorders>
            <w:vAlign w:val="center"/>
            <w:hideMark/>
          </w:tcPr>
          <w:p w14:paraId="601F929E" w14:textId="77777777" w:rsidR="00FA568B" w:rsidRPr="008E6F5B" w:rsidRDefault="00FA568B" w:rsidP="00443F31">
            <w:pPr>
              <w:rPr>
                <w:sz w:val="18"/>
                <w:szCs w:val="18"/>
              </w:rPr>
            </w:pPr>
            <w:r w:rsidRPr="008E6F5B">
              <w:rPr>
                <w:sz w:val="18"/>
                <w:szCs w:val="18"/>
              </w:rPr>
              <w:t>ДОЛНА МИТРОПОЛИЯ</w:t>
            </w:r>
          </w:p>
        </w:tc>
        <w:tc>
          <w:tcPr>
            <w:tcW w:w="1045" w:type="pct"/>
            <w:tcBorders>
              <w:top w:val="single" w:sz="4" w:space="0" w:color="auto"/>
              <w:left w:val="single" w:sz="4" w:space="0" w:color="auto"/>
              <w:bottom w:val="single" w:sz="4" w:space="0" w:color="auto"/>
              <w:right w:val="single" w:sz="4" w:space="0" w:color="auto"/>
            </w:tcBorders>
            <w:vAlign w:val="center"/>
            <w:hideMark/>
          </w:tcPr>
          <w:p w14:paraId="36489F8D" w14:textId="77777777" w:rsidR="00FA568B" w:rsidRPr="008E6F5B" w:rsidRDefault="00FA568B" w:rsidP="00443F31">
            <w:pPr>
              <w:rPr>
                <w:sz w:val="18"/>
                <w:szCs w:val="18"/>
              </w:rPr>
            </w:pPr>
            <w:r w:rsidRPr="008E6F5B">
              <w:rPr>
                <w:sz w:val="18"/>
                <w:szCs w:val="18"/>
              </w:rPr>
              <w:t>ПЛЕВЕН</w:t>
            </w:r>
          </w:p>
        </w:tc>
        <w:tc>
          <w:tcPr>
            <w:tcW w:w="2164" w:type="pct"/>
            <w:tcBorders>
              <w:top w:val="single" w:sz="4" w:space="0" w:color="auto"/>
              <w:left w:val="single" w:sz="4" w:space="0" w:color="auto"/>
              <w:bottom w:val="single" w:sz="4" w:space="0" w:color="auto"/>
              <w:right w:val="single" w:sz="4" w:space="0" w:color="auto"/>
            </w:tcBorders>
            <w:vAlign w:val="center"/>
          </w:tcPr>
          <w:p w14:paraId="1B1DAA22" w14:textId="77777777" w:rsidR="00FA568B" w:rsidRPr="008E6F5B" w:rsidRDefault="00FA568B" w:rsidP="00443F31">
            <w:pPr>
              <w:rPr>
                <w:sz w:val="18"/>
                <w:szCs w:val="18"/>
              </w:rPr>
            </w:pPr>
            <w:r w:rsidRPr="008E6F5B">
              <w:rPr>
                <w:sz w:val="18"/>
                <w:szCs w:val="18"/>
              </w:rPr>
              <w:t>БЪЛГАРСКА ПРАВОСЛАВНА ЦЪРКВА – БЪЛГАРСКА ПАТРИАРШИЯ</w:t>
            </w:r>
          </w:p>
        </w:tc>
        <w:tc>
          <w:tcPr>
            <w:tcW w:w="746" w:type="pct"/>
            <w:tcBorders>
              <w:top w:val="single" w:sz="4" w:space="0" w:color="auto"/>
              <w:left w:val="single" w:sz="4" w:space="0" w:color="auto"/>
              <w:bottom w:val="single" w:sz="4" w:space="0" w:color="auto"/>
              <w:right w:val="single" w:sz="4" w:space="0" w:color="auto"/>
            </w:tcBorders>
            <w:vAlign w:val="center"/>
          </w:tcPr>
          <w:p w14:paraId="5C149FE2" w14:textId="77777777" w:rsidR="00FA568B" w:rsidRPr="008E6F5B" w:rsidRDefault="00FA568B" w:rsidP="00443F31">
            <w:pPr>
              <w:jc w:val="center"/>
              <w:rPr>
                <w:sz w:val="18"/>
                <w:szCs w:val="18"/>
              </w:rPr>
            </w:pPr>
            <w:r w:rsidRPr="008E6F5B">
              <w:rPr>
                <w:sz w:val="18"/>
                <w:szCs w:val="18"/>
              </w:rPr>
              <w:t>4</w:t>
            </w:r>
          </w:p>
        </w:tc>
      </w:tr>
      <w:tr w:rsidR="00FA568B" w:rsidRPr="008E6F5B" w14:paraId="5ABE072C"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14231BFB" w14:textId="77777777" w:rsidR="00FA568B" w:rsidRPr="008E6F5B" w:rsidRDefault="00FA568B" w:rsidP="00443F31">
            <w:pPr>
              <w:rPr>
                <w:sz w:val="18"/>
                <w:szCs w:val="18"/>
              </w:rPr>
            </w:pPr>
            <w:r w:rsidRPr="008E6F5B">
              <w:rPr>
                <w:sz w:val="18"/>
                <w:szCs w:val="18"/>
              </w:rPr>
              <w:t>ДОЛНИ ДЪБНИК</w:t>
            </w:r>
          </w:p>
        </w:tc>
        <w:tc>
          <w:tcPr>
            <w:tcW w:w="1045" w:type="pct"/>
            <w:tcBorders>
              <w:top w:val="single" w:sz="4" w:space="0" w:color="auto"/>
              <w:left w:val="single" w:sz="4" w:space="0" w:color="auto"/>
              <w:bottom w:val="single" w:sz="4" w:space="0" w:color="auto"/>
              <w:right w:val="single" w:sz="4" w:space="0" w:color="auto"/>
            </w:tcBorders>
            <w:vAlign w:val="center"/>
          </w:tcPr>
          <w:p w14:paraId="21F5219C" w14:textId="77777777" w:rsidR="00FA568B" w:rsidRPr="008E6F5B" w:rsidRDefault="00FA568B" w:rsidP="00443F31">
            <w:pPr>
              <w:rPr>
                <w:sz w:val="18"/>
                <w:szCs w:val="18"/>
              </w:rPr>
            </w:pPr>
            <w:r w:rsidRPr="008E6F5B">
              <w:rPr>
                <w:sz w:val="18"/>
                <w:szCs w:val="18"/>
              </w:rPr>
              <w:t>ПЛЕВЕН</w:t>
            </w:r>
          </w:p>
        </w:tc>
        <w:tc>
          <w:tcPr>
            <w:tcW w:w="2164" w:type="pct"/>
            <w:tcBorders>
              <w:top w:val="single" w:sz="4" w:space="0" w:color="auto"/>
              <w:left w:val="single" w:sz="4" w:space="0" w:color="auto"/>
              <w:bottom w:val="single" w:sz="4" w:space="0" w:color="auto"/>
              <w:right w:val="single" w:sz="4" w:space="0" w:color="auto"/>
            </w:tcBorders>
            <w:vAlign w:val="center"/>
          </w:tcPr>
          <w:p w14:paraId="541724B4" w14:textId="77777777" w:rsidR="00FA568B" w:rsidRPr="008E6F5B" w:rsidRDefault="00FA568B" w:rsidP="00443F31">
            <w:pPr>
              <w:rPr>
                <w:sz w:val="18"/>
                <w:szCs w:val="18"/>
              </w:rPr>
            </w:pPr>
            <w:r w:rsidRPr="008E6F5B">
              <w:rPr>
                <w:sz w:val="18"/>
                <w:szCs w:val="18"/>
              </w:rPr>
              <w:t>БЪЛГАРСКА ПРАВОСЛАВНА ЦЪРКВА – БЪЛГАРСКА ПАТРИАРШИЯ</w:t>
            </w:r>
          </w:p>
        </w:tc>
        <w:tc>
          <w:tcPr>
            <w:tcW w:w="746" w:type="pct"/>
            <w:tcBorders>
              <w:top w:val="single" w:sz="4" w:space="0" w:color="auto"/>
              <w:left w:val="single" w:sz="4" w:space="0" w:color="auto"/>
              <w:bottom w:val="single" w:sz="4" w:space="0" w:color="auto"/>
              <w:right w:val="single" w:sz="4" w:space="0" w:color="auto"/>
            </w:tcBorders>
            <w:vAlign w:val="center"/>
          </w:tcPr>
          <w:p w14:paraId="16E7EEBA" w14:textId="77777777" w:rsidR="00FA568B" w:rsidRPr="008E6F5B" w:rsidRDefault="00FA568B" w:rsidP="00443F31">
            <w:pPr>
              <w:jc w:val="center"/>
              <w:rPr>
                <w:sz w:val="18"/>
                <w:szCs w:val="18"/>
              </w:rPr>
            </w:pPr>
            <w:r w:rsidRPr="008E6F5B">
              <w:rPr>
                <w:sz w:val="18"/>
                <w:szCs w:val="18"/>
              </w:rPr>
              <w:t>1</w:t>
            </w:r>
          </w:p>
        </w:tc>
      </w:tr>
      <w:tr w:rsidR="00FA568B" w:rsidRPr="008E6F5B" w14:paraId="0E1A9C75"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47260644" w14:textId="77777777" w:rsidR="00FA568B" w:rsidRPr="008E6F5B" w:rsidRDefault="00FA568B" w:rsidP="00443F31">
            <w:pPr>
              <w:rPr>
                <w:sz w:val="18"/>
                <w:szCs w:val="18"/>
              </w:rPr>
            </w:pPr>
            <w:r w:rsidRPr="008E6F5B">
              <w:rPr>
                <w:sz w:val="18"/>
                <w:szCs w:val="18"/>
              </w:rPr>
              <w:lastRenderedPageBreak/>
              <w:t>ДОЛНИ ДЪБНИК</w:t>
            </w:r>
          </w:p>
        </w:tc>
        <w:tc>
          <w:tcPr>
            <w:tcW w:w="1045" w:type="pct"/>
            <w:tcBorders>
              <w:top w:val="single" w:sz="4" w:space="0" w:color="auto"/>
              <w:left w:val="single" w:sz="4" w:space="0" w:color="auto"/>
              <w:bottom w:val="single" w:sz="4" w:space="0" w:color="auto"/>
              <w:right w:val="single" w:sz="4" w:space="0" w:color="auto"/>
            </w:tcBorders>
            <w:vAlign w:val="center"/>
          </w:tcPr>
          <w:p w14:paraId="18CB2C08" w14:textId="77777777" w:rsidR="00FA568B" w:rsidRPr="008E6F5B" w:rsidRDefault="00FA568B" w:rsidP="00443F31">
            <w:pPr>
              <w:rPr>
                <w:sz w:val="18"/>
                <w:szCs w:val="18"/>
              </w:rPr>
            </w:pPr>
            <w:r w:rsidRPr="008E6F5B">
              <w:rPr>
                <w:sz w:val="18"/>
                <w:szCs w:val="18"/>
              </w:rPr>
              <w:t>ПЛЕВЕН</w:t>
            </w:r>
          </w:p>
        </w:tc>
        <w:tc>
          <w:tcPr>
            <w:tcW w:w="2164" w:type="pct"/>
            <w:tcBorders>
              <w:top w:val="single" w:sz="4" w:space="0" w:color="auto"/>
              <w:left w:val="single" w:sz="4" w:space="0" w:color="auto"/>
              <w:bottom w:val="single" w:sz="4" w:space="0" w:color="auto"/>
              <w:right w:val="single" w:sz="4" w:space="0" w:color="auto"/>
            </w:tcBorders>
            <w:vAlign w:val="center"/>
          </w:tcPr>
          <w:p w14:paraId="4564F3C4" w14:textId="77777777" w:rsidR="00FA568B" w:rsidRPr="008E6F5B" w:rsidRDefault="00FA568B" w:rsidP="00443F31">
            <w:pPr>
              <w:rPr>
                <w:sz w:val="18"/>
                <w:szCs w:val="18"/>
              </w:rPr>
            </w:pPr>
            <w:r w:rsidRPr="008E6F5B">
              <w:rPr>
                <w:sz w:val="18"/>
                <w:szCs w:val="18"/>
              </w:rPr>
              <w:t>НАЦИОНАЛЕН АЛИАНС "ОБЕДИНЕНИ БОЖИИ ЦЪРКВИ"</w:t>
            </w:r>
          </w:p>
        </w:tc>
        <w:tc>
          <w:tcPr>
            <w:tcW w:w="746" w:type="pct"/>
            <w:tcBorders>
              <w:top w:val="single" w:sz="4" w:space="0" w:color="auto"/>
              <w:left w:val="single" w:sz="4" w:space="0" w:color="auto"/>
              <w:bottom w:val="single" w:sz="4" w:space="0" w:color="auto"/>
              <w:right w:val="single" w:sz="4" w:space="0" w:color="auto"/>
            </w:tcBorders>
            <w:vAlign w:val="center"/>
          </w:tcPr>
          <w:p w14:paraId="4CE87D45" w14:textId="77777777" w:rsidR="00FA568B" w:rsidRPr="008E6F5B" w:rsidRDefault="00FA568B" w:rsidP="00443F31">
            <w:pPr>
              <w:jc w:val="center"/>
              <w:rPr>
                <w:sz w:val="18"/>
                <w:szCs w:val="18"/>
              </w:rPr>
            </w:pPr>
            <w:r w:rsidRPr="008E6F5B">
              <w:rPr>
                <w:sz w:val="18"/>
                <w:szCs w:val="18"/>
              </w:rPr>
              <w:t>2</w:t>
            </w:r>
          </w:p>
        </w:tc>
      </w:tr>
      <w:tr w:rsidR="00FA568B" w:rsidRPr="008E6F5B" w14:paraId="1647B39C"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2DF0E68F" w14:textId="77777777" w:rsidR="00FA568B" w:rsidRPr="008E6F5B" w:rsidRDefault="00FA568B" w:rsidP="00443F31">
            <w:pPr>
              <w:rPr>
                <w:sz w:val="18"/>
                <w:szCs w:val="18"/>
              </w:rPr>
            </w:pPr>
            <w:r w:rsidRPr="008E6F5B">
              <w:rPr>
                <w:sz w:val="18"/>
                <w:szCs w:val="18"/>
              </w:rPr>
              <w:t>ЛЕВСКИ</w:t>
            </w:r>
          </w:p>
        </w:tc>
        <w:tc>
          <w:tcPr>
            <w:tcW w:w="1045" w:type="pct"/>
            <w:tcBorders>
              <w:top w:val="single" w:sz="4" w:space="0" w:color="auto"/>
              <w:left w:val="single" w:sz="4" w:space="0" w:color="auto"/>
              <w:bottom w:val="single" w:sz="4" w:space="0" w:color="auto"/>
              <w:right w:val="single" w:sz="4" w:space="0" w:color="auto"/>
            </w:tcBorders>
            <w:vAlign w:val="center"/>
          </w:tcPr>
          <w:p w14:paraId="0DC9BC51" w14:textId="77777777" w:rsidR="00FA568B" w:rsidRPr="008E6F5B" w:rsidRDefault="00FA568B" w:rsidP="00443F31">
            <w:pPr>
              <w:rPr>
                <w:sz w:val="18"/>
                <w:szCs w:val="18"/>
              </w:rPr>
            </w:pPr>
            <w:r w:rsidRPr="008E6F5B">
              <w:rPr>
                <w:sz w:val="18"/>
                <w:szCs w:val="18"/>
              </w:rPr>
              <w:t>ПЛЕВЕН</w:t>
            </w:r>
          </w:p>
        </w:tc>
        <w:tc>
          <w:tcPr>
            <w:tcW w:w="2164" w:type="pct"/>
            <w:tcBorders>
              <w:top w:val="single" w:sz="4" w:space="0" w:color="auto"/>
              <w:left w:val="single" w:sz="4" w:space="0" w:color="auto"/>
              <w:bottom w:val="single" w:sz="4" w:space="0" w:color="auto"/>
              <w:right w:val="single" w:sz="4" w:space="0" w:color="auto"/>
            </w:tcBorders>
            <w:vAlign w:val="center"/>
          </w:tcPr>
          <w:p w14:paraId="0F4A2407" w14:textId="77777777" w:rsidR="00FA568B" w:rsidRPr="008E6F5B" w:rsidRDefault="00FA568B" w:rsidP="00443F31">
            <w:pPr>
              <w:rPr>
                <w:sz w:val="18"/>
                <w:szCs w:val="18"/>
              </w:rPr>
            </w:pPr>
            <w:r w:rsidRPr="008E6F5B">
              <w:rPr>
                <w:sz w:val="18"/>
                <w:szCs w:val="18"/>
              </w:rPr>
              <w:t>БЪЛГАРСКА ПРАВОСЛАВНА ЦЪРКВА – БЪЛГАРСКА ПАТРИАРШИЯ</w:t>
            </w:r>
          </w:p>
        </w:tc>
        <w:tc>
          <w:tcPr>
            <w:tcW w:w="746" w:type="pct"/>
            <w:tcBorders>
              <w:top w:val="single" w:sz="4" w:space="0" w:color="auto"/>
              <w:left w:val="single" w:sz="4" w:space="0" w:color="auto"/>
              <w:bottom w:val="single" w:sz="4" w:space="0" w:color="auto"/>
              <w:right w:val="single" w:sz="4" w:space="0" w:color="auto"/>
            </w:tcBorders>
            <w:vAlign w:val="center"/>
          </w:tcPr>
          <w:p w14:paraId="2A54E7A7" w14:textId="77777777" w:rsidR="00FA568B" w:rsidRPr="008E6F5B" w:rsidRDefault="00FA568B" w:rsidP="00443F31">
            <w:pPr>
              <w:jc w:val="center"/>
              <w:rPr>
                <w:sz w:val="18"/>
                <w:szCs w:val="18"/>
              </w:rPr>
            </w:pPr>
            <w:r w:rsidRPr="008E6F5B">
              <w:rPr>
                <w:sz w:val="18"/>
                <w:szCs w:val="18"/>
              </w:rPr>
              <w:t>1</w:t>
            </w:r>
          </w:p>
        </w:tc>
      </w:tr>
      <w:tr w:rsidR="00FA568B" w:rsidRPr="008E6F5B" w14:paraId="54357533"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57C21527" w14:textId="77777777" w:rsidR="00FA568B" w:rsidRPr="008E6F5B" w:rsidRDefault="00FA568B" w:rsidP="00443F31">
            <w:pPr>
              <w:rPr>
                <w:sz w:val="18"/>
                <w:szCs w:val="18"/>
              </w:rPr>
            </w:pPr>
            <w:r w:rsidRPr="008E6F5B">
              <w:rPr>
                <w:sz w:val="18"/>
                <w:szCs w:val="18"/>
              </w:rPr>
              <w:t>ПЛЕВЕН</w:t>
            </w:r>
          </w:p>
        </w:tc>
        <w:tc>
          <w:tcPr>
            <w:tcW w:w="1045" w:type="pct"/>
            <w:tcBorders>
              <w:top w:val="single" w:sz="4" w:space="0" w:color="auto"/>
              <w:left w:val="single" w:sz="4" w:space="0" w:color="auto"/>
              <w:bottom w:val="single" w:sz="4" w:space="0" w:color="auto"/>
              <w:right w:val="single" w:sz="4" w:space="0" w:color="auto"/>
            </w:tcBorders>
            <w:vAlign w:val="center"/>
          </w:tcPr>
          <w:p w14:paraId="4BB25CD2" w14:textId="77777777" w:rsidR="00FA568B" w:rsidRPr="008E6F5B" w:rsidRDefault="00FA568B" w:rsidP="00443F31">
            <w:pPr>
              <w:rPr>
                <w:sz w:val="18"/>
                <w:szCs w:val="18"/>
              </w:rPr>
            </w:pPr>
            <w:r w:rsidRPr="008E6F5B">
              <w:rPr>
                <w:sz w:val="18"/>
                <w:szCs w:val="18"/>
              </w:rPr>
              <w:t>ПЛЕВЕН</w:t>
            </w:r>
          </w:p>
        </w:tc>
        <w:tc>
          <w:tcPr>
            <w:tcW w:w="2164" w:type="pct"/>
            <w:tcBorders>
              <w:top w:val="single" w:sz="4" w:space="0" w:color="auto"/>
              <w:left w:val="single" w:sz="4" w:space="0" w:color="auto"/>
              <w:bottom w:val="single" w:sz="4" w:space="0" w:color="auto"/>
              <w:right w:val="single" w:sz="4" w:space="0" w:color="auto"/>
            </w:tcBorders>
            <w:vAlign w:val="center"/>
          </w:tcPr>
          <w:p w14:paraId="149FD476"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52A6631F" w14:textId="77777777" w:rsidR="00FA568B" w:rsidRPr="008E6F5B" w:rsidRDefault="00FA568B" w:rsidP="00443F31">
            <w:pPr>
              <w:jc w:val="center"/>
              <w:rPr>
                <w:sz w:val="18"/>
                <w:szCs w:val="18"/>
              </w:rPr>
            </w:pPr>
            <w:r w:rsidRPr="008E6F5B">
              <w:rPr>
                <w:sz w:val="18"/>
                <w:szCs w:val="18"/>
              </w:rPr>
              <w:t>3</w:t>
            </w:r>
          </w:p>
        </w:tc>
      </w:tr>
      <w:tr w:rsidR="00FA568B" w:rsidRPr="008E6F5B" w14:paraId="10764033"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21DE16AC" w14:textId="77777777" w:rsidR="00FA568B" w:rsidRPr="008E6F5B" w:rsidRDefault="00FA568B" w:rsidP="00443F31">
            <w:pPr>
              <w:rPr>
                <w:sz w:val="18"/>
                <w:szCs w:val="18"/>
              </w:rPr>
            </w:pPr>
            <w:r w:rsidRPr="008E6F5B">
              <w:rPr>
                <w:sz w:val="18"/>
                <w:szCs w:val="18"/>
              </w:rPr>
              <w:t>ПЛЕВЕН</w:t>
            </w:r>
          </w:p>
        </w:tc>
        <w:tc>
          <w:tcPr>
            <w:tcW w:w="1045" w:type="pct"/>
            <w:tcBorders>
              <w:top w:val="single" w:sz="4" w:space="0" w:color="auto"/>
              <w:left w:val="single" w:sz="4" w:space="0" w:color="auto"/>
              <w:bottom w:val="single" w:sz="4" w:space="0" w:color="auto"/>
              <w:right w:val="single" w:sz="4" w:space="0" w:color="auto"/>
            </w:tcBorders>
            <w:vAlign w:val="center"/>
          </w:tcPr>
          <w:p w14:paraId="60188299" w14:textId="77777777" w:rsidR="00FA568B" w:rsidRPr="008E6F5B" w:rsidRDefault="00FA568B" w:rsidP="00443F31">
            <w:pPr>
              <w:rPr>
                <w:sz w:val="18"/>
                <w:szCs w:val="18"/>
              </w:rPr>
            </w:pPr>
            <w:r w:rsidRPr="008E6F5B">
              <w:rPr>
                <w:sz w:val="18"/>
                <w:szCs w:val="18"/>
              </w:rPr>
              <w:t>ПЛЕВЕН</w:t>
            </w:r>
          </w:p>
        </w:tc>
        <w:tc>
          <w:tcPr>
            <w:tcW w:w="2164" w:type="pct"/>
            <w:tcBorders>
              <w:top w:val="single" w:sz="4" w:space="0" w:color="auto"/>
              <w:left w:val="single" w:sz="4" w:space="0" w:color="auto"/>
              <w:bottom w:val="single" w:sz="4" w:space="0" w:color="auto"/>
              <w:right w:val="single" w:sz="4" w:space="0" w:color="auto"/>
            </w:tcBorders>
            <w:vAlign w:val="center"/>
          </w:tcPr>
          <w:p w14:paraId="275717AD" w14:textId="77777777" w:rsidR="00FA568B" w:rsidRPr="008E6F5B" w:rsidRDefault="00FA568B" w:rsidP="00443F31">
            <w:pPr>
              <w:rPr>
                <w:sz w:val="18"/>
                <w:szCs w:val="18"/>
              </w:rPr>
            </w:pPr>
            <w:r w:rsidRPr="008E6F5B">
              <w:rPr>
                <w:sz w:val="18"/>
                <w:szCs w:val="18"/>
              </w:rPr>
              <w:t>НАЦИОНАЛЕН АЛИАНС "ОБЕДИНЕНИ БОЖИИ ЦЪРКВИ"</w:t>
            </w:r>
          </w:p>
        </w:tc>
        <w:tc>
          <w:tcPr>
            <w:tcW w:w="746" w:type="pct"/>
            <w:tcBorders>
              <w:top w:val="single" w:sz="4" w:space="0" w:color="auto"/>
              <w:left w:val="single" w:sz="4" w:space="0" w:color="auto"/>
              <w:bottom w:val="single" w:sz="4" w:space="0" w:color="auto"/>
              <w:right w:val="single" w:sz="4" w:space="0" w:color="auto"/>
            </w:tcBorders>
            <w:vAlign w:val="center"/>
          </w:tcPr>
          <w:p w14:paraId="5334177F" w14:textId="77777777" w:rsidR="00FA568B" w:rsidRPr="008E6F5B" w:rsidRDefault="00FA568B" w:rsidP="00443F31">
            <w:pPr>
              <w:jc w:val="center"/>
              <w:rPr>
                <w:sz w:val="18"/>
                <w:szCs w:val="18"/>
              </w:rPr>
            </w:pPr>
            <w:r w:rsidRPr="008E6F5B">
              <w:rPr>
                <w:sz w:val="18"/>
                <w:szCs w:val="18"/>
              </w:rPr>
              <w:t>1</w:t>
            </w:r>
          </w:p>
        </w:tc>
      </w:tr>
      <w:tr w:rsidR="00FA568B" w:rsidRPr="008E6F5B" w14:paraId="04B61D4D"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2389AEEF" w14:textId="77777777" w:rsidR="00FA568B" w:rsidRPr="008E6F5B" w:rsidRDefault="00FA568B" w:rsidP="00443F31">
            <w:pPr>
              <w:rPr>
                <w:sz w:val="18"/>
                <w:szCs w:val="18"/>
              </w:rPr>
            </w:pPr>
            <w:r w:rsidRPr="008E6F5B">
              <w:rPr>
                <w:sz w:val="18"/>
                <w:szCs w:val="18"/>
              </w:rPr>
              <w:t>ПЛЕВЕН</w:t>
            </w:r>
          </w:p>
        </w:tc>
        <w:tc>
          <w:tcPr>
            <w:tcW w:w="1045" w:type="pct"/>
            <w:tcBorders>
              <w:top w:val="single" w:sz="4" w:space="0" w:color="auto"/>
              <w:left w:val="single" w:sz="4" w:space="0" w:color="auto"/>
              <w:bottom w:val="single" w:sz="4" w:space="0" w:color="auto"/>
              <w:right w:val="single" w:sz="4" w:space="0" w:color="auto"/>
            </w:tcBorders>
            <w:vAlign w:val="center"/>
          </w:tcPr>
          <w:p w14:paraId="7408C875" w14:textId="77777777" w:rsidR="00FA568B" w:rsidRPr="008E6F5B" w:rsidRDefault="00FA568B" w:rsidP="00443F31">
            <w:pPr>
              <w:rPr>
                <w:sz w:val="18"/>
                <w:szCs w:val="18"/>
              </w:rPr>
            </w:pPr>
            <w:r w:rsidRPr="008E6F5B">
              <w:rPr>
                <w:sz w:val="18"/>
                <w:szCs w:val="18"/>
              </w:rPr>
              <w:t>ПЛЕВЕН</w:t>
            </w:r>
          </w:p>
        </w:tc>
        <w:tc>
          <w:tcPr>
            <w:tcW w:w="2164" w:type="pct"/>
            <w:tcBorders>
              <w:top w:val="single" w:sz="4" w:space="0" w:color="auto"/>
              <w:left w:val="single" w:sz="4" w:space="0" w:color="auto"/>
              <w:bottom w:val="single" w:sz="4" w:space="0" w:color="auto"/>
              <w:right w:val="single" w:sz="4" w:space="0" w:color="auto"/>
            </w:tcBorders>
            <w:vAlign w:val="center"/>
          </w:tcPr>
          <w:p w14:paraId="0FFF3535" w14:textId="77777777" w:rsidR="00FA568B" w:rsidRPr="008E6F5B" w:rsidRDefault="00FA568B" w:rsidP="00443F31">
            <w:pPr>
              <w:rPr>
                <w:sz w:val="18"/>
                <w:szCs w:val="18"/>
              </w:rPr>
            </w:pPr>
            <w:r w:rsidRPr="008E6F5B">
              <w:rPr>
                <w:sz w:val="18"/>
                <w:szCs w:val="18"/>
              </w:rPr>
              <w:t xml:space="preserve">Българска православна </w:t>
            </w:r>
            <w:proofErr w:type="spellStart"/>
            <w:r w:rsidRPr="008E6F5B">
              <w:rPr>
                <w:sz w:val="18"/>
                <w:szCs w:val="18"/>
              </w:rPr>
              <w:t>старостилна</w:t>
            </w:r>
            <w:proofErr w:type="spellEnd"/>
            <w:r w:rsidRPr="008E6F5B">
              <w:rPr>
                <w:sz w:val="18"/>
                <w:szCs w:val="18"/>
              </w:rPr>
              <w:t xml:space="preserve"> църква</w:t>
            </w:r>
          </w:p>
        </w:tc>
        <w:tc>
          <w:tcPr>
            <w:tcW w:w="746" w:type="pct"/>
            <w:tcBorders>
              <w:top w:val="single" w:sz="4" w:space="0" w:color="auto"/>
              <w:left w:val="single" w:sz="4" w:space="0" w:color="auto"/>
              <w:bottom w:val="single" w:sz="4" w:space="0" w:color="auto"/>
              <w:right w:val="single" w:sz="4" w:space="0" w:color="auto"/>
            </w:tcBorders>
            <w:vAlign w:val="center"/>
          </w:tcPr>
          <w:p w14:paraId="4CA8D9BE" w14:textId="77777777" w:rsidR="00FA568B" w:rsidRPr="008E6F5B" w:rsidRDefault="00FA568B" w:rsidP="00443F31">
            <w:pPr>
              <w:jc w:val="center"/>
              <w:rPr>
                <w:sz w:val="18"/>
                <w:szCs w:val="18"/>
              </w:rPr>
            </w:pPr>
            <w:r w:rsidRPr="008E6F5B">
              <w:rPr>
                <w:sz w:val="18"/>
                <w:szCs w:val="18"/>
              </w:rPr>
              <w:t>1</w:t>
            </w:r>
          </w:p>
        </w:tc>
      </w:tr>
      <w:tr w:rsidR="00FA568B" w:rsidRPr="008E6F5B" w14:paraId="22FF7E54"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598ECD31" w14:textId="77777777" w:rsidR="00FA568B" w:rsidRPr="008E6F5B" w:rsidRDefault="00FA568B" w:rsidP="00443F31">
            <w:pPr>
              <w:rPr>
                <w:sz w:val="18"/>
                <w:szCs w:val="18"/>
              </w:rPr>
            </w:pPr>
            <w:r w:rsidRPr="008E6F5B">
              <w:rPr>
                <w:b/>
                <w:sz w:val="18"/>
                <w:szCs w:val="18"/>
              </w:rPr>
              <w:t>ОБЛАСТ ПЛОВДИВ</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5662AFCF" w14:textId="77777777" w:rsidR="00FA568B" w:rsidRPr="008E6F5B" w:rsidRDefault="00FA568B" w:rsidP="00443F31">
            <w:pPr>
              <w:jc w:val="center"/>
              <w:rPr>
                <w:b/>
                <w:sz w:val="18"/>
                <w:szCs w:val="18"/>
              </w:rPr>
            </w:pPr>
            <w:r w:rsidRPr="008E6F5B">
              <w:rPr>
                <w:b/>
                <w:sz w:val="18"/>
                <w:szCs w:val="18"/>
              </w:rPr>
              <w:t>3</w:t>
            </w:r>
          </w:p>
        </w:tc>
      </w:tr>
      <w:tr w:rsidR="00FA568B" w:rsidRPr="008E6F5B" w14:paraId="49E6BCEB"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3E9E2618" w14:textId="77777777" w:rsidR="00FA568B" w:rsidRPr="008E6F5B" w:rsidRDefault="00FA568B" w:rsidP="00443F31">
            <w:pPr>
              <w:rPr>
                <w:sz w:val="18"/>
                <w:szCs w:val="18"/>
              </w:rPr>
            </w:pPr>
            <w:r w:rsidRPr="008E6F5B">
              <w:rPr>
                <w:sz w:val="18"/>
                <w:szCs w:val="18"/>
              </w:rPr>
              <w:t>ПЛОВДИВ</w:t>
            </w:r>
          </w:p>
        </w:tc>
        <w:tc>
          <w:tcPr>
            <w:tcW w:w="1045" w:type="pct"/>
            <w:tcBorders>
              <w:top w:val="single" w:sz="4" w:space="0" w:color="auto"/>
              <w:left w:val="single" w:sz="4" w:space="0" w:color="auto"/>
              <w:bottom w:val="single" w:sz="4" w:space="0" w:color="auto"/>
              <w:right w:val="single" w:sz="4" w:space="0" w:color="auto"/>
            </w:tcBorders>
            <w:vAlign w:val="center"/>
          </w:tcPr>
          <w:p w14:paraId="54284ECB" w14:textId="77777777" w:rsidR="00FA568B" w:rsidRPr="008E6F5B" w:rsidRDefault="00FA568B" w:rsidP="00443F31">
            <w:pPr>
              <w:rPr>
                <w:sz w:val="18"/>
                <w:szCs w:val="18"/>
              </w:rPr>
            </w:pPr>
            <w:r w:rsidRPr="008E6F5B">
              <w:rPr>
                <w:sz w:val="18"/>
                <w:szCs w:val="18"/>
              </w:rPr>
              <w:t>ПЛОВДИВ</w:t>
            </w:r>
          </w:p>
        </w:tc>
        <w:tc>
          <w:tcPr>
            <w:tcW w:w="2164" w:type="pct"/>
            <w:tcBorders>
              <w:top w:val="single" w:sz="4" w:space="0" w:color="auto"/>
              <w:left w:val="single" w:sz="4" w:space="0" w:color="auto"/>
              <w:bottom w:val="single" w:sz="4" w:space="0" w:color="auto"/>
              <w:right w:val="single" w:sz="4" w:space="0" w:color="auto"/>
            </w:tcBorders>
            <w:vAlign w:val="center"/>
          </w:tcPr>
          <w:p w14:paraId="2963A70D" w14:textId="77777777" w:rsidR="00FA568B" w:rsidRPr="008E6F5B" w:rsidRDefault="00FA568B" w:rsidP="00443F31">
            <w:pPr>
              <w:rPr>
                <w:sz w:val="18"/>
                <w:szCs w:val="18"/>
              </w:rPr>
            </w:pPr>
            <w:r w:rsidRPr="008E6F5B">
              <w:rPr>
                <w:sz w:val="18"/>
                <w:szCs w:val="18"/>
              </w:rPr>
              <w:t>НАЦИОНАЛЕН АЛИАНС "ОБЕДИНЕНИ БОЖИИ ЦЪРКВИ"</w:t>
            </w:r>
          </w:p>
        </w:tc>
        <w:tc>
          <w:tcPr>
            <w:tcW w:w="746" w:type="pct"/>
            <w:tcBorders>
              <w:top w:val="single" w:sz="4" w:space="0" w:color="auto"/>
              <w:left w:val="single" w:sz="4" w:space="0" w:color="auto"/>
              <w:bottom w:val="single" w:sz="4" w:space="0" w:color="auto"/>
              <w:right w:val="single" w:sz="4" w:space="0" w:color="auto"/>
            </w:tcBorders>
            <w:vAlign w:val="center"/>
          </w:tcPr>
          <w:p w14:paraId="6F0C6760" w14:textId="77777777" w:rsidR="00FA568B" w:rsidRPr="008E6F5B" w:rsidRDefault="00FA568B" w:rsidP="00443F31">
            <w:pPr>
              <w:jc w:val="center"/>
              <w:rPr>
                <w:sz w:val="18"/>
                <w:szCs w:val="18"/>
              </w:rPr>
            </w:pPr>
            <w:r w:rsidRPr="008E6F5B">
              <w:rPr>
                <w:sz w:val="18"/>
                <w:szCs w:val="18"/>
              </w:rPr>
              <w:t>2</w:t>
            </w:r>
          </w:p>
        </w:tc>
      </w:tr>
      <w:tr w:rsidR="00FA568B" w:rsidRPr="008E6F5B" w14:paraId="36BF42AF"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33EA64B4" w14:textId="77777777" w:rsidR="00FA568B" w:rsidRPr="008E6F5B" w:rsidRDefault="00FA568B" w:rsidP="00443F31">
            <w:pPr>
              <w:rPr>
                <w:sz w:val="18"/>
                <w:szCs w:val="18"/>
              </w:rPr>
            </w:pPr>
            <w:r w:rsidRPr="008E6F5B">
              <w:rPr>
                <w:sz w:val="18"/>
                <w:szCs w:val="18"/>
              </w:rPr>
              <w:t>КУКЛЕН</w:t>
            </w:r>
          </w:p>
        </w:tc>
        <w:tc>
          <w:tcPr>
            <w:tcW w:w="1045" w:type="pct"/>
            <w:tcBorders>
              <w:top w:val="single" w:sz="4" w:space="0" w:color="auto"/>
              <w:left w:val="single" w:sz="4" w:space="0" w:color="auto"/>
              <w:bottom w:val="single" w:sz="4" w:space="0" w:color="auto"/>
              <w:right w:val="single" w:sz="4" w:space="0" w:color="auto"/>
            </w:tcBorders>
            <w:vAlign w:val="center"/>
          </w:tcPr>
          <w:p w14:paraId="4226255B" w14:textId="77777777" w:rsidR="00FA568B" w:rsidRPr="008E6F5B" w:rsidRDefault="00FA568B" w:rsidP="00443F31">
            <w:pPr>
              <w:rPr>
                <w:sz w:val="18"/>
                <w:szCs w:val="18"/>
              </w:rPr>
            </w:pPr>
            <w:r w:rsidRPr="008E6F5B">
              <w:rPr>
                <w:sz w:val="18"/>
                <w:szCs w:val="18"/>
              </w:rPr>
              <w:t>ПЛОВДИВ</w:t>
            </w:r>
          </w:p>
        </w:tc>
        <w:tc>
          <w:tcPr>
            <w:tcW w:w="2164" w:type="pct"/>
            <w:tcBorders>
              <w:top w:val="single" w:sz="4" w:space="0" w:color="auto"/>
              <w:left w:val="single" w:sz="4" w:space="0" w:color="auto"/>
              <w:bottom w:val="single" w:sz="4" w:space="0" w:color="auto"/>
              <w:right w:val="single" w:sz="4" w:space="0" w:color="auto"/>
            </w:tcBorders>
            <w:vAlign w:val="center"/>
          </w:tcPr>
          <w:p w14:paraId="4C73F757"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17E491EF" w14:textId="77777777" w:rsidR="00FA568B" w:rsidRPr="008E6F5B" w:rsidRDefault="00FA568B" w:rsidP="00443F31">
            <w:pPr>
              <w:jc w:val="center"/>
              <w:rPr>
                <w:sz w:val="18"/>
                <w:szCs w:val="18"/>
              </w:rPr>
            </w:pPr>
            <w:r w:rsidRPr="008E6F5B">
              <w:rPr>
                <w:sz w:val="18"/>
                <w:szCs w:val="18"/>
              </w:rPr>
              <w:t>1</w:t>
            </w:r>
          </w:p>
        </w:tc>
      </w:tr>
      <w:tr w:rsidR="00FA568B" w:rsidRPr="008E6F5B" w14:paraId="020D0926"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626E0AA4" w14:textId="77777777" w:rsidR="00FA568B" w:rsidRPr="008E6F5B" w:rsidRDefault="00FA568B" w:rsidP="00443F31">
            <w:pPr>
              <w:rPr>
                <w:sz w:val="18"/>
                <w:szCs w:val="18"/>
              </w:rPr>
            </w:pPr>
            <w:r w:rsidRPr="008E6F5B">
              <w:rPr>
                <w:b/>
                <w:sz w:val="18"/>
                <w:szCs w:val="18"/>
              </w:rPr>
              <w:t>ОБЛАСТ РАЗГРАД</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329B11F7" w14:textId="77777777" w:rsidR="00FA568B" w:rsidRPr="008E6F5B" w:rsidRDefault="00FA568B" w:rsidP="00443F31">
            <w:pPr>
              <w:jc w:val="center"/>
              <w:rPr>
                <w:b/>
                <w:sz w:val="18"/>
                <w:szCs w:val="18"/>
              </w:rPr>
            </w:pPr>
            <w:r w:rsidRPr="008E6F5B">
              <w:rPr>
                <w:b/>
                <w:sz w:val="18"/>
                <w:szCs w:val="18"/>
              </w:rPr>
              <w:t>1</w:t>
            </w:r>
          </w:p>
        </w:tc>
      </w:tr>
      <w:tr w:rsidR="00FA568B" w:rsidRPr="008E6F5B" w14:paraId="7747FB60" w14:textId="77777777" w:rsidTr="00057048">
        <w:tc>
          <w:tcPr>
            <w:tcW w:w="1045" w:type="pct"/>
            <w:tcBorders>
              <w:top w:val="single" w:sz="4" w:space="0" w:color="auto"/>
              <w:left w:val="single" w:sz="4" w:space="0" w:color="auto"/>
              <w:bottom w:val="single" w:sz="4" w:space="0" w:color="auto"/>
              <w:right w:val="single" w:sz="4" w:space="0" w:color="auto"/>
            </w:tcBorders>
            <w:vAlign w:val="center"/>
            <w:hideMark/>
          </w:tcPr>
          <w:p w14:paraId="4924B72B" w14:textId="77777777" w:rsidR="00FA568B" w:rsidRPr="008E6F5B" w:rsidRDefault="00FA568B" w:rsidP="00443F31">
            <w:pPr>
              <w:rPr>
                <w:sz w:val="18"/>
                <w:szCs w:val="18"/>
              </w:rPr>
            </w:pPr>
            <w:r w:rsidRPr="008E6F5B">
              <w:rPr>
                <w:sz w:val="18"/>
                <w:szCs w:val="18"/>
              </w:rPr>
              <w:t>ЗАВЕТ</w:t>
            </w:r>
          </w:p>
        </w:tc>
        <w:tc>
          <w:tcPr>
            <w:tcW w:w="1045" w:type="pct"/>
            <w:tcBorders>
              <w:top w:val="single" w:sz="4" w:space="0" w:color="auto"/>
              <w:left w:val="single" w:sz="4" w:space="0" w:color="auto"/>
              <w:bottom w:val="single" w:sz="4" w:space="0" w:color="auto"/>
              <w:right w:val="single" w:sz="4" w:space="0" w:color="auto"/>
            </w:tcBorders>
            <w:vAlign w:val="center"/>
            <w:hideMark/>
          </w:tcPr>
          <w:p w14:paraId="2093C797" w14:textId="77777777" w:rsidR="00FA568B" w:rsidRPr="008E6F5B" w:rsidRDefault="00FA568B" w:rsidP="00443F31">
            <w:pPr>
              <w:rPr>
                <w:sz w:val="18"/>
                <w:szCs w:val="18"/>
              </w:rPr>
            </w:pPr>
            <w:r w:rsidRPr="008E6F5B">
              <w:rPr>
                <w:sz w:val="18"/>
                <w:szCs w:val="18"/>
              </w:rPr>
              <w:t>РАЗГРАД</w:t>
            </w:r>
          </w:p>
        </w:tc>
        <w:tc>
          <w:tcPr>
            <w:tcW w:w="2164" w:type="pct"/>
            <w:tcBorders>
              <w:top w:val="single" w:sz="4" w:space="0" w:color="auto"/>
              <w:left w:val="single" w:sz="4" w:space="0" w:color="auto"/>
              <w:bottom w:val="single" w:sz="4" w:space="0" w:color="auto"/>
              <w:right w:val="single" w:sz="4" w:space="0" w:color="auto"/>
            </w:tcBorders>
            <w:vAlign w:val="center"/>
          </w:tcPr>
          <w:p w14:paraId="605CA39A"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5CFD2A2D" w14:textId="77777777" w:rsidR="00FA568B" w:rsidRPr="008E6F5B" w:rsidRDefault="00FA568B" w:rsidP="00443F31">
            <w:pPr>
              <w:jc w:val="center"/>
              <w:rPr>
                <w:sz w:val="18"/>
                <w:szCs w:val="18"/>
              </w:rPr>
            </w:pPr>
            <w:r w:rsidRPr="008E6F5B">
              <w:rPr>
                <w:sz w:val="18"/>
                <w:szCs w:val="18"/>
              </w:rPr>
              <w:t>1</w:t>
            </w:r>
          </w:p>
        </w:tc>
      </w:tr>
      <w:tr w:rsidR="00FA568B" w:rsidRPr="008E6F5B" w14:paraId="17ABA83D"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hideMark/>
          </w:tcPr>
          <w:p w14:paraId="1F839BD2" w14:textId="77777777" w:rsidR="00FA568B" w:rsidRPr="008E6F5B" w:rsidRDefault="00FA568B" w:rsidP="00443F31">
            <w:pPr>
              <w:rPr>
                <w:sz w:val="18"/>
                <w:szCs w:val="18"/>
              </w:rPr>
            </w:pPr>
            <w:r w:rsidRPr="008E6F5B">
              <w:rPr>
                <w:b/>
                <w:sz w:val="18"/>
                <w:szCs w:val="18"/>
              </w:rPr>
              <w:t>ОБЛАСТ РУСЕ</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16FD8A34" w14:textId="77777777" w:rsidR="00FA568B" w:rsidRPr="008E6F5B" w:rsidRDefault="00FA568B" w:rsidP="00443F31">
            <w:pPr>
              <w:jc w:val="center"/>
              <w:rPr>
                <w:b/>
                <w:sz w:val="18"/>
                <w:szCs w:val="18"/>
              </w:rPr>
            </w:pPr>
            <w:r w:rsidRPr="008E6F5B">
              <w:rPr>
                <w:b/>
                <w:sz w:val="18"/>
                <w:szCs w:val="18"/>
              </w:rPr>
              <w:t>5</w:t>
            </w:r>
          </w:p>
        </w:tc>
      </w:tr>
      <w:tr w:rsidR="00FA568B" w:rsidRPr="008E6F5B" w14:paraId="60D9E534"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2F61DA3E" w14:textId="77777777" w:rsidR="00FA568B" w:rsidRPr="008E6F5B" w:rsidRDefault="00FA568B" w:rsidP="00443F31">
            <w:pPr>
              <w:rPr>
                <w:sz w:val="18"/>
                <w:szCs w:val="18"/>
              </w:rPr>
            </w:pPr>
            <w:r w:rsidRPr="008E6F5B">
              <w:rPr>
                <w:sz w:val="18"/>
                <w:szCs w:val="18"/>
              </w:rPr>
              <w:t>ДВЕ МОГИЛИ</w:t>
            </w:r>
          </w:p>
        </w:tc>
        <w:tc>
          <w:tcPr>
            <w:tcW w:w="1045" w:type="pct"/>
            <w:tcBorders>
              <w:top w:val="single" w:sz="4" w:space="0" w:color="auto"/>
              <w:left w:val="single" w:sz="4" w:space="0" w:color="auto"/>
              <w:bottom w:val="single" w:sz="4" w:space="0" w:color="auto"/>
              <w:right w:val="single" w:sz="4" w:space="0" w:color="auto"/>
            </w:tcBorders>
            <w:vAlign w:val="center"/>
          </w:tcPr>
          <w:p w14:paraId="57FE4B32" w14:textId="77777777" w:rsidR="00FA568B" w:rsidRPr="008E6F5B" w:rsidRDefault="00FA568B" w:rsidP="00443F31">
            <w:pPr>
              <w:rPr>
                <w:sz w:val="18"/>
                <w:szCs w:val="18"/>
              </w:rPr>
            </w:pPr>
            <w:r w:rsidRPr="008E6F5B">
              <w:rPr>
                <w:sz w:val="18"/>
                <w:szCs w:val="18"/>
              </w:rPr>
              <w:t>РУСЕ</w:t>
            </w:r>
          </w:p>
        </w:tc>
        <w:tc>
          <w:tcPr>
            <w:tcW w:w="2164" w:type="pct"/>
            <w:tcBorders>
              <w:top w:val="single" w:sz="4" w:space="0" w:color="auto"/>
              <w:left w:val="single" w:sz="4" w:space="0" w:color="auto"/>
              <w:bottom w:val="single" w:sz="4" w:space="0" w:color="auto"/>
              <w:right w:val="single" w:sz="4" w:space="0" w:color="auto"/>
            </w:tcBorders>
            <w:vAlign w:val="center"/>
          </w:tcPr>
          <w:p w14:paraId="5197B2BA"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43B0632F" w14:textId="77777777" w:rsidR="00FA568B" w:rsidRPr="008E6F5B" w:rsidRDefault="00FA568B" w:rsidP="00443F31">
            <w:pPr>
              <w:jc w:val="center"/>
              <w:rPr>
                <w:sz w:val="18"/>
                <w:szCs w:val="18"/>
              </w:rPr>
            </w:pPr>
            <w:r w:rsidRPr="008E6F5B">
              <w:rPr>
                <w:sz w:val="18"/>
                <w:szCs w:val="18"/>
              </w:rPr>
              <w:t>3</w:t>
            </w:r>
          </w:p>
        </w:tc>
      </w:tr>
      <w:tr w:rsidR="00FA568B" w:rsidRPr="008E6F5B" w14:paraId="7920CD08"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223AE1A5" w14:textId="77777777" w:rsidR="00FA568B" w:rsidRPr="008E6F5B" w:rsidRDefault="00FA568B" w:rsidP="00443F31">
            <w:pPr>
              <w:rPr>
                <w:sz w:val="18"/>
                <w:szCs w:val="18"/>
              </w:rPr>
            </w:pPr>
            <w:r w:rsidRPr="008E6F5B">
              <w:rPr>
                <w:sz w:val="18"/>
                <w:szCs w:val="18"/>
              </w:rPr>
              <w:t>РУСЕ</w:t>
            </w:r>
          </w:p>
        </w:tc>
        <w:tc>
          <w:tcPr>
            <w:tcW w:w="1045" w:type="pct"/>
            <w:tcBorders>
              <w:top w:val="single" w:sz="4" w:space="0" w:color="auto"/>
              <w:left w:val="single" w:sz="4" w:space="0" w:color="auto"/>
              <w:bottom w:val="single" w:sz="4" w:space="0" w:color="auto"/>
              <w:right w:val="single" w:sz="4" w:space="0" w:color="auto"/>
            </w:tcBorders>
            <w:vAlign w:val="center"/>
          </w:tcPr>
          <w:p w14:paraId="47EF440B" w14:textId="77777777" w:rsidR="00FA568B" w:rsidRPr="008E6F5B" w:rsidRDefault="00FA568B" w:rsidP="00443F31">
            <w:pPr>
              <w:rPr>
                <w:sz w:val="18"/>
                <w:szCs w:val="18"/>
              </w:rPr>
            </w:pPr>
            <w:r w:rsidRPr="008E6F5B">
              <w:rPr>
                <w:sz w:val="18"/>
                <w:szCs w:val="18"/>
              </w:rPr>
              <w:t>РУСЕ</w:t>
            </w:r>
          </w:p>
        </w:tc>
        <w:tc>
          <w:tcPr>
            <w:tcW w:w="2164" w:type="pct"/>
            <w:tcBorders>
              <w:top w:val="single" w:sz="4" w:space="0" w:color="auto"/>
              <w:left w:val="single" w:sz="4" w:space="0" w:color="auto"/>
              <w:bottom w:val="single" w:sz="4" w:space="0" w:color="auto"/>
              <w:right w:val="single" w:sz="4" w:space="0" w:color="auto"/>
            </w:tcBorders>
            <w:vAlign w:val="center"/>
          </w:tcPr>
          <w:p w14:paraId="41123050"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71D4507D" w14:textId="77777777" w:rsidR="00FA568B" w:rsidRPr="008E6F5B" w:rsidRDefault="00FA568B" w:rsidP="00443F31">
            <w:pPr>
              <w:jc w:val="center"/>
              <w:rPr>
                <w:sz w:val="18"/>
                <w:szCs w:val="18"/>
              </w:rPr>
            </w:pPr>
            <w:r w:rsidRPr="008E6F5B">
              <w:rPr>
                <w:sz w:val="18"/>
                <w:szCs w:val="18"/>
              </w:rPr>
              <w:t>1</w:t>
            </w:r>
          </w:p>
        </w:tc>
      </w:tr>
      <w:tr w:rsidR="00FA568B" w:rsidRPr="008E6F5B" w14:paraId="36612168"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7A66B565" w14:textId="77777777" w:rsidR="00FA568B" w:rsidRPr="008E6F5B" w:rsidRDefault="00FA568B" w:rsidP="00443F31">
            <w:pPr>
              <w:rPr>
                <w:sz w:val="18"/>
                <w:szCs w:val="18"/>
              </w:rPr>
            </w:pPr>
            <w:r w:rsidRPr="008E6F5B">
              <w:rPr>
                <w:sz w:val="18"/>
                <w:szCs w:val="18"/>
              </w:rPr>
              <w:t>СЛИВО ПОЛЕ</w:t>
            </w:r>
          </w:p>
        </w:tc>
        <w:tc>
          <w:tcPr>
            <w:tcW w:w="1045" w:type="pct"/>
            <w:tcBorders>
              <w:top w:val="single" w:sz="4" w:space="0" w:color="auto"/>
              <w:left w:val="single" w:sz="4" w:space="0" w:color="auto"/>
              <w:bottom w:val="single" w:sz="4" w:space="0" w:color="auto"/>
              <w:right w:val="single" w:sz="4" w:space="0" w:color="auto"/>
            </w:tcBorders>
            <w:vAlign w:val="center"/>
          </w:tcPr>
          <w:p w14:paraId="5149EFE2" w14:textId="77777777" w:rsidR="00FA568B" w:rsidRPr="008E6F5B" w:rsidRDefault="00FA568B" w:rsidP="00443F31">
            <w:pPr>
              <w:rPr>
                <w:sz w:val="18"/>
                <w:szCs w:val="18"/>
              </w:rPr>
            </w:pPr>
            <w:r w:rsidRPr="008E6F5B">
              <w:rPr>
                <w:sz w:val="18"/>
                <w:szCs w:val="18"/>
              </w:rPr>
              <w:t>РУСЕ</w:t>
            </w:r>
          </w:p>
        </w:tc>
        <w:tc>
          <w:tcPr>
            <w:tcW w:w="2164" w:type="pct"/>
            <w:tcBorders>
              <w:top w:val="single" w:sz="4" w:space="0" w:color="auto"/>
              <w:left w:val="single" w:sz="4" w:space="0" w:color="auto"/>
              <w:bottom w:val="single" w:sz="4" w:space="0" w:color="auto"/>
              <w:right w:val="single" w:sz="4" w:space="0" w:color="auto"/>
            </w:tcBorders>
            <w:vAlign w:val="center"/>
          </w:tcPr>
          <w:p w14:paraId="1C848540"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22F89B0E" w14:textId="77777777" w:rsidR="00FA568B" w:rsidRPr="008E6F5B" w:rsidRDefault="00FA568B" w:rsidP="00443F31">
            <w:pPr>
              <w:jc w:val="center"/>
              <w:rPr>
                <w:sz w:val="18"/>
                <w:szCs w:val="18"/>
              </w:rPr>
            </w:pPr>
            <w:r w:rsidRPr="008E6F5B">
              <w:rPr>
                <w:sz w:val="18"/>
                <w:szCs w:val="18"/>
              </w:rPr>
              <w:t>1</w:t>
            </w:r>
          </w:p>
        </w:tc>
      </w:tr>
      <w:tr w:rsidR="00FA568B" w:rsidRPr="008E6F5B" w14:paraId="3C8BB53B"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474B6AE6" w14:textId="77777777" w:rsidR="00FA568B" w:rsidRPr="008E6F5B" w:rsidRDefault="00FA568B" w:rsidP="00443F31">
            <w:pPr>
              <w:rPr>
                <w:sz w:val="18"/>
                <w:szCs w:val="18"/>
              </w:rPr>
            </w:pPr>
            <w:r w:rsidRPr="008E6F5B">
              <w:rPr>
                <w:b/>
                <w:sz w:val="18"/>
                <w:szCs w:val="18"/>
              </w:rPr>
              <w:t>ОБЛАСТ СИЛИСТРА</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3350C469" w14:textId="77777777" w:rsidR="00FA568B" w:rsidRPr="008E6F5B" w:rsidRDefault="00FA568B" w:rsidP="00443F31">
            <w:pPr>
              <w:jc w:val="center"/>
              <w:rPr>
                <w:b/>
                <w:sz w:val="18"/>
                <w:szCs w:val="18"/>
              </w:rPr>
            </w:pPr>
            <w:r w:rsidRPr="008E6F5B">
              <w:rPr>
                <w:b/>
                <w:sz w:val="18"/>
                <w:szCs w:val="18"/>
              </w:rPr>
              <w:t>6</w:t>
            </w:r>
          </w:p>
        </w:tc>
      </w:tr>
      <w:tr w:rsidR="00FA568B" w:rsidRPr="008E6F5B" w14:paraId="01BC9E5F"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56B45E0A" w14:textId="77777777" w:rsidR="00FA568B" w:rsidRPr="008E6F5B" w:rsidRDefault="00FA568B" w:rsidP="00443F31">
            <w:pPr>
              <w:rPr>
                <w:sz w:val="18"/>
                <w:szCs w:val="18"/>
              </w:rPr>
            </w:pPr>
            <w:r w:rsidRPr="008E6F5B">
              <w:rPr>
                <w:sz w:val="18"/>
                <w:szCs w:val="18"/>
              </w:rPr>
              <w:t>ГЛАВИНИЦА</w:t>
            </w:r>
          </w:p>
        </w:tc>
        <w:tc>
          <w:tcPr>
            <w:tcW w:w="1045" w:type="pct"/>
            <w:tcBorders>
              <w:top w:val="single" w:sz="4" w:space="0" w:color="auto"/>
              <w:left w:val="single" w:sz="4" w:space="0" w:color="auto"/>
              <w:bottom w:val="single" w:sz="4" w:space="0" w:color="auto"/>
              <w:right w:val="single" w:sz="4" w:space="0" w:color="auto"/>
            </w:tcBorders>
            <w:vAlign w:val="center"/>
          </w:tcPr>
          <w:p w14:paraId="60889C05" w14:textId="77777777" w:rsidR="00FA568B" w:rsidRPr="008E6F5B" w:rsidRDefault="00FA568B" w:rsidP="00443F31">
            <w:pPr>
              <w:rPr>
                <w:sz w:val="18"/>
                <w:szCs w:val="18"/>
              </w:rPr>
            </w:pPr>
            <w:r w:rsidRPr="008E6F5B">
              <w:rPr>
                <w:sz w:val="18"/>
                <w:szCs w:val="18"/>
              </w:rPr>
              <w:t>СИЛИСТРА</w:t>
            </w:r>
          </w:p>
        </w:tc>
        <w:tc>
          <w:tcPr>
            <w:tcW w:w="2164" w:type="pct"/>
            <w:tcBorders>
              <w:top w:val="single" w:sz="4" w:space="0" w:color="auto"/>
              <w:left w:val="single" w:sz="4" w:space="0" w:color="auto"/>
              <w:bottom w:val="single" w:sz="4" w:space="0" w:color="auto"/>
              <w:right w:val="single" w:sz="4" w:space="0" w:color="auto"/>
            </w:tcBorders>
            <w:vAlign w:val="center"/>
          </w:tcPr>
          <w:p w14:paraId="73D6455A"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7E2F9038" w14:textId="77777777" w:rsidR="00FA568B" w:rsidRPr="008E6F5B" w:rsidRDefault="00FA568B" w:rsidP="00443F31">
            <w:pPr>
              <w:jc w:val="center"/>
              <w:rPr>
                <w:sz w:val="18"/>
                <w:szCs w:val="18"/>
              </w:rPr>
            </w:pPr>
            <w:r w:rsidRPr="008E6F5B">
              <w:rPr>
                <w:sz w:val="18"/>
                <w:szCs w:val="18"/>
              </w:rPr>
              <w:t>1</w:t>
            </w:r>
          </w:p>
        </w:tc>
      </w:tr>
      <w:tr w:rsidR="00FA568B" w:rsidRPr="008E6F5B" w14:paraId="5FA2621C"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3C1456E3" w14:textId="77777777" w:rsidR="00FA568B" w:rsidRPr="008E6F5B" w:rsidRDefault="00FA568B" w:rsidP="00443F31">
            <w:pPr>
              <w:rPr>
                <w:sz w:val="18"/>
                <w:szCs w:val="18"/>
              </w:rPr>
            </w:pPr>
            <w:r w:rsidRPr="008E6F5B">
              <w:rPr>
                <w:sz w:val="18"/>
                <w:szCs w:val="18"/>
              </w:rPr>
              <w:t>ДУЛОВО</w:t>
            </w:r>
          </w:p>
        </w:tc>
        <w:tc>
          <w:tcPr>
            <w:tcW w:w="1045" w:type="pct"/>
            <w:tcBorders>
              <w:top w:val="single" w:sz="4" w:space="0" w:color="auto"/>
              <w:left w:val="single" w:sz="4" w:space="0" w:color="auto"/>
              <w:bottom w:val="single" w:sz="4" w:space="0" w:color="auto"/>
              <w:right w:val="single" w:sz="4" w:space="0" w:color="auto"/>
            </w:tcBorders>
            <w:vAlign w:val="center"/>
          </w:tcPr>
          <w:p w14:paraId="73561B08" w14:textId="77777777" w:rsidR="00FA568B" w:rsidRPr="008E6F5B" w:rsidRDefault="00FA568B" w:rsidP="00443F31">
            <w:pPr>
              <w:rPr>
                <w:sz w:val="18"/>
                <w:szCs w:val="18"/>
              </w:rPr>
            </w:pPr>
            <w:r w:rsidRPr="008E6F5B">
              <w:rPr>
                <w:sz w:val="18"/>
                <w:szCs w:val="18"/>
              </w:rPr>
              <w:t>СИЛИСТРА</w:t>
            </w:r>
          </w:p>
        </w:tc>
        <w:tc>
          <w:tcPr>
            <w:tcW w:w="2164" w:type="pct"/>
            <w:tcBorders>
              <w:top w:val="single" w:sz="4" w:space="0" w:color="auto"/>
              <w:left w:val="single" w:sz="4" w:space="0" w:color="auto"/>
              <w:bottom w:val="single" w:sz="4" w:space="0" w:color="auto"/>
              <w:right w:val="single" w:sz="4" w:space="0" w:color="auto"/>
            </w:tcBorders>
            <w:vAlign w:val="center"/>
          </w:tcPr>
          <w:p w14:paraId="4957E736"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4C4DCC45" w14:textId="77777777" w:rsidR="00FA568B" w:rsidRPr="008E6F5B" w:rsidRDefault="00FA568B" w:rsidP="00443F31">
            <w:pPr>
              <w:jc w:val="center"/>
              <w:rPr>
                <w:sz w:val="18"/>
                <w:szCs w:val="18"/>
              </w:rPr>
            </w:pPr>
            <w:r w:rsidRPr="008E6F5B">
              <w:rPr>
                <w:sz w:val="18"/>
                <w:szCs w:val="18"/>
              </w:rPr>
              <w:t>2</w:t>
            </w:r>
          </w:p>
        </w:tc>
      </w:tr>
      <w:tr w:rsidR="00FA568B" w:rsidRPr="008E6F5B" w14:paraId="4DD37E4F"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739AAD5A" w14:textId="77777777" w:rsidR="00FA568B" w:rsidRPr="008E6F5B" w:rsidRDefault="00FA568B" w:rsidP="00443F31">
            <w:pPr>
              <w:rPr>
                <w:sz w:val="18"/>
                <w:szCs w:val="18"/>
              </w:rPr>
            </w:pPr>
            <w:r w:rsidRPr="008E6F5B">
              <w:rPr>
                <w:sz w:val="18"/>
                <w:szCs w:val="18"/>
              </w:rPr>
              <w:t>СИЛИСТРА</w:t>
            </w:r>
          </w:p>
        </w:tc>
        <w:tc>
          <w:tcPr>
            <w:tcW w:w="1045" w:type="pct"/>
            <w:tcBorders>
              <w:top w:val="single" w:sz="4" w:space="0" w:color="auto"/>
              <w:left w:val="single" w:sz="4" w:space="0" w:color="auto"/>
              <w:bottom w:val="single" w:sz="4" w:space="0" w:color="auto"/>
              <w:right w:val="single" w:sz="4" w:space="0" w:color="auto"/>
            </w:tcBorders>
            <w:vAlign w:val="center"/>
          </w:tcPr>
          <w:p w14:paraId="0FF94617" w14:textId="77777777" w:rsidR="00FA568B" w:rsidRPr="008E6F5B" w:rsidRDefault="00FA568B" w:rsidP="00443F31">
            <w:pPr>
              <w:rPr>
                <w:sz w:val="18"/>
                <w:szCs w:val="18"/>
              </w:rPr>
            </w:pPr>
            <w:r w:rsidRPr="008E6F5B">
              <w:rPr>
                <w:sz w:val="18"/>
                <w:szCs w:val="18"/>
              </w:rPr>
              <w:t>СИЛИСТРА</w:t>
            </w:r>
          </w:p>
        </w:tc>
        <w:tc>
          <w:tcPr>
            <w:tcW w:w="2164" w:type="pct"/>
            <w:tcBorders>
              <w:top w:val="single" w:sz="4" w:space="0" w:color="auto"/>
              <w:left w:val="single" w:sz="4" w:space="0" w:color="auto"/>
              <w:bottom w:val="single" w:sz="4" w:space="0" w:color="auto"/>
              <w:right w:val="single" w:sz="4" w:space="0" w:color="auto"/>
            </w:tcBorders>
            <w:vAlign w:val="center"/>
          </w:tcPr>
          <w:p w14:paraId="6902A583"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25948588" w14:textId="77777777" w:rsidR="00FA568B" w:rsidRPr="008E6F5B" w:rsidRDefault="00FA568B" w:rsidP="00443F31">
            <w:pPr>
              <w:jc w:val="center"/>
              <w:rPr>
                <w:sz w:val="18"/>
                <w:szCs w:val="18"/>
              </w:rPr>
            </w:pPr>
            <w:r w:rsidRPr="008E6F5B">
              <w:rPr>
                <w:sz w:val="18"/>
                <w:szCs w:val="18"/>
              </w:rPr>
              <w:t>1</w:t>
            </w:r>
          </w:p>
        </w:tc>
      </w:tr>
      <w:tr w:rsidR="00FA568B" w:rsidRPr="008E6F5B" w14:paraId="7CB872BA"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45A1769D" w14:textId="77777777" w:rsidR="00FA568B" w:rsidRPr="008E6F5B" w:rsidRDefault="00FA568B" w:rsidP="00443F31">
            <w:pPr>
              <w:rPr>
                <w:sz w:val="18"/>
                <w:szCs w:val="18"/>
              </w:rPr>
            </w:pPr>
            <w:r w:rsidRPr="008E6F5B">
              <w:rPr>
                <w:sz w:val="18"/>
                <w:szCs w:val="18"/>
              </w:rPr>
              <w:t>СИТОВО</w:t>
            </w:r>
          </w:p>
        </w:tc>
        <w:tc>
          <w:tcPr>
            <w:tcW w:w="1045" w:type="pct"/>
            <w:tcBorders>
              <w:top w:val="single" w:sz="4" w:space="0" w:color="auto"/>
              <w:left w:val="single" w:sz="4" w:space="0" w:color="auto"/>
              <w:bottom w:val="single" w:sz="4" w:space="0" w:color="auto"/>
              <w:right w:val="single" w:sz="4" w:space="0" w:color="auto"/>
            </w:tcBorders>
            <w:vAlign w:val="center"/>
          </w:tcPr>
          <w:p w14:paraId="5E503DAC" w14:textId="77777777" w:rsidR="00FA568B" w:rsidRPr="008E6F5B" w:rsidRDefault="00FA568B" w:rsidP="00443F31">
            <w:pPr>
              <w:rPr>
                <w:sz w:val="18"/>
                <w:szCs w:val="18"/>
              </w:rPr>
            </w:pPr>
            <w:r w:rsidRPr="008E6F5B">
              <w:rPr>
                <w:sz w:val="18"/>
                <w:szCs w:val="18"/>
              </w:rPr>
              <w:t>СИЛИСТРА</w:t>
            </w:r>
          </w:p>
        </w:tc>
        <w:tc>
          <w:tcPr>
            <w:tcW w:w="2164" w:type="pct"/>
            <w:tcBorders>
              <w:top w:val="single" w:sz="4" w:space="0" w:color="auto"/>
              <w:left w:val="single" w:sz="4" w:space="0" w:color="auto"/>
              <w:bottom w:val="single" w:sz="4" w:space="0" w:color="auto"/>
              <w:right w:val="single" w:sz="4" w:space="0" w:color="auto"/>
            </w:tcBorders>
            <w:vAlign w:val="center"/>
          </w:tcPr>
          <w:p w14:paraId="475AEB1E"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05FAAC81" w14:textId="77777777" w:rsidR="00FA568B" w:rsidRPr="008E6F5B" w:rsidRDefault="00FA568B" w:rsidP="00443F31">
            <w:pPr>
              <w:jc w:val="center"/>
              <w:rPr>
                <w:sz w:val="18"/>
                <w:szCs w:val="18"/>
              </w:rPr>
            </w:pPr>
            <w:r w:rsidRPr="008E6F5B">
              <w:rPr>
                <w:sz w:val="18"/>
                <w:szCs w:val="18"/>
              </w:rPr>
              <w:t>2</w:t>
            </w:r>
          </w:p>
        </w:tc>
      </w:tr>
      <w:tr w:rsidR="00FA568B" w:rsidRPr="008E6F5B" w14:paraId="0DD60986"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hideMark/>
          </w:tcPr>
          <w:p w14:paraId="4B164DAB" w14:textId="77777777" w:rsidR="00FA568B" w:rsidRPr="008E6F5B" w:rsidRDefault="00FA568B" w:rsidP="00443F31">
            <w:pPr>
              <w:rPr>
                <w:sz w:val="18"/>
                <w:szCs w:val="18"/>
              </w:rPr>
            </w:pPr>
            <w:r w:rsidRPr="008E6F5B">
              <w:rPr>
                <w:b/>
                <w:sz w:val="18"/>
                <w:szCs w:val="18"/>
              </w:rPr>
              <w:t>ОБЛАСТ СЛИВЕН</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31AE7BF4" w14:textId="77777777" w:rsidR="00FA568B" w:rsidRPr="008E6F5B" w:rsidRDefault="00FA568B" w:rsidP="00443F31">
            <w:pPr>
              <w:jc w:val="center"/>
              <w:rPr>
                <w:b/>
                <w:sz w:val="18"/>
                <w:szCs w:val="18"/>
              </w:rPr>
            </w:pPr>
            <w:r w:rsidRPr="008E6F5B">
              <w:rPr>
                <w:b/>
                <w:sz w:val="18"/>
                <w:szCs w:val="18"/>
              </w:rPr>
              <w:t>4</w:t>
            </w:r>
          </w:p>
        </w:tc>
      </w:tr>
      <w:tr w:rsidR="00FA568B" w:rsidRPr="008E6F5B" w14:paraId="36CF14AD"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673810E6" w14:textId="77777777" w:rsidR="00FA568B" w:rsidRPr="008E6F5B" w:rsidRDefault="00FA568B" w:rsidP="00443F31">
            <w:pPr>
              <w:rPr>
                <w:sz w:val="18"/>
                <w:szCs w:val="18"/>
              </w:rPr>
            </w:pPr>
            <w:r w:rsidRPr="008E6F5B">
              <w:rPr>
                <w:sz w:val="18"/>
                <w:szCs w:val="18"/>
              </w:rPr>
              <w:t>СЛИВЕН</w:t>
            </w:r>
          </w:p>
        </w:tc>
        <w:tc>
          <w:tcPr>
            <w:tcW w:w="1045" w:type="pct"/>
            <w:tcBorders>
              <w:top w:val="single" w:sz="4" w:space="0" w:color="auto"/>
              <w:left w:val="single" w:sz="4" w:space="0" w:color="auto"/>
              <w:bottom w:val="single" w:sz="4" w:space="0" w:color="auto"/>
              <w:right w:val="single" w:sz="4" w:space="0" w:color="auto"/>
            </w:tcBorders>
            <w:vAlign w:val="center"/>
          </w:tcPr>
          <w:p w14:paraId="6CED42BC" w14:textId="77777777" w:rsidR="00FA568B" w:rsidRPr="008E6F5B" w:rsidRDefault="00FA568B" w:rsidP="00443F31">
            <w:pPr>
              <w:rPr>
                <w:sz w:val="18"/>
                <w:szCs w:val="18"/>
              </w:rPr>
            </w:pPr>
            <w:r w:rsidRPr="008E6F5B">
              <w:rPr>
                <w:sz w:val="18"/>
                <w:szCs w:val="18"/>
              </w:rPr>
              <w:t>СЛИВЕН</w:t>
            </w:r>
          </w:p>
        </w:tc>
        <w:tc>
          <w:tcPr>
            <w:tcW w:w="2164" w:type="pct"/>
            <w:tcBorders>
              <w:top w:val="single" w:sz="4" w:space="0" w:color="auto"/>
              <w:left w:val="single" w:sz="4" w:space="0" w:color="auto"/>
              <w:bottom w:val="single" w:sz="4" w:space="0" w:color="auto"/>
              <w:right w:val="single" w:sz="4" w:space="0" w:color="auto"/>
            </w:tcBorders>
            <w:vAlign w:val="center"/>
          </w:tcPr>
          <w:p w14:paraId="652617D0" w14:textId="77777777" w:rsidR="00FA568B" w:rsidRPr="008E6F5B" w:rsidRDefault="00FA568B" w:rsidP="00443F31">
            <w:pPr>
              <w:rPr>
                <w:sz w:val="18"/>
                <w:szCs w:val="18"/>
              </w:rPr>
            </w:pPr>
            <w:r w:rsidRPr="008E6F5B">
              <w:rPr>
                <w:sz w:val="18"/>
                <w:szCs w:val="18"/>
              </w:rPr>
              <w:t>СЪЮЗ НА ЕВАНГЕЛСКИТЕ ПЕТДЕСЯТНИ ЦЪРКВИ В БЪЛГАРИЯ</w:t>
            </w:r>
          </w:p>
        </w:tc>
        <w:tc>
          <w:tcPr>
            <w:tcW w:w="746" w:type="pct"/>
            <w:tcBorders>
              <w:top w:val="single" w:sz="4" w:space="0" w:color="auto"/>
              <w:left w:val="single" w:sz="4" w:space="0" w:color="auto"/>
              <w:bottom w:val="single" w:sz="4" w:space="0" w:color="auto"/>
              <w:right w:val="single" w:sz="4" w:space="0" w:color="auto"/>
            </w:tcBorders>
            <w:vAlign w:val="center"/>
          </w:tcPr>
          <w:p w14:paraId="016C6799" w14:textId="77777777" w:rsidR="00FA568B" w:rsidRPr="008E6F5B" w:rsidRDefault="00FA568B" w:rsidP="00443F31">
            <w:pPr>
              <w:jc w:val="center"/>
              <w:rPr>
                <w:sz w:val="18"/>
                <w:szCs w:val="18"/>
              </w:rPr>
            </w:pPr>
            <w:r w:rsidRPr="008E6F5B">
              <w:rPr>
                <w:sz w:val="18"/>
                <w:szCs w:val="18"/>
              </w:rPr>
              <w:t>1</w:t>
            </w:r>
          </w:p>
        </w:tc>
      </w:tr>
      <w:tr w:rsidR="00FA568B" w:rsidRPr="008E6F5B" w14:paraId="27A32028"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4158FE40" w14:textId="77777777" w:rsidR="00FA568B" w:rsidRPr="008E6F5B" w:rsidRDefault="00FA568B" w:rsidP="00443F31">
            <w:pPr>
              <w:rPr>
                <w:sz w:val="18"/>
                <w:szCs w:val="18"/>
              </w:rPr>
            </w:pPr>
            <w:r w:rsidRPr="008E6F5B">
              <w:rPr>
                <w:sz w:val="18"/>
                <w:szCs w:val="18"/>
              </w:rPr>
              <w:t>СЛИВЕН</w:t>
            </w:r>
          </w:p>
        </w:tc>
        <w:tc>
          <w:tcPr>
            <w:tcW w:w="1045" w:type="pct"/>
            <w:tcBorders>
              <w:top w:val="single" w:sz="4" w:space="0" w:color="auto"/>
              <w:left w:val="single" w:sz="4" w:space="0" w:color="auto"/>
              <w:bottom w:val="single" w:sz="4" w:space="0" w:color="auto"/>
              <w:right w:val="single" w:sz="4" w:space="0" w:color="auto"/>
            </w:tcBorders>
            <w:vAlign w:val="center"/>
          </w:tcPr>
          <w:p w14:paraId="0E1EB48B" w14:textId="77777777" w:rsidR="00FA568B" w:rsidRPr="008E6F5B" w:rsidRDefault="00FA568B" w:rsidP="00443F31">
            <w:pPr>
              <w:rPr>
                <w:sz w:val="18"/>
                <w:szCs w:val="18"/>
              </w:rPr>
            </w:pPr>
            <w:r w:rsidRPr="008E6F5B">
              <w:rPr>
                <w:sz w:val="18"/>
                <w:szCs w:val="18"/>
              </w:rPr>
              <w:t>СЛИВЕН</w:t>
            </w:r>
          </w:p>
        </w:tc>
        <w:tc>
          <w:tcPr>
            <w:tcW w:w="2164" w:type="pct"/>
            <w:tcBorders>
              <w:top w:val="single" w:sz="4" w:space="0" w:color="auto"/>
              <w:left w:val="single" w:sz="4" w:space="0" w:color="auto"/>
              <w:bottom w:val="single" w:sz="4" w:space="0" w:color="auto"/>
              <w:right w:val="single" w:sz="4" w:space="0" w:color="auto"/>
            </w:tcBorders>
            <w:vAlign w:val="center"/>
          </w:tcPr>
          <w:p w14:paraId="4B01036D" w14:textId="77777777" w:rsidR="00FA568B" w:rsidRPr="008E6F5B" w:rsidRDefault="00FA568B" w:rsidP="00443F31">
            <w:pPr>
              <w:rPr>
                <w:sz w:val="18"/>
                <w:szCs w:val="18"/>
              </w:rPr>
            </w:pPr>
            <w:r w:rsidRPr="008E6F5B">
              <w:rPr>
                <w:sz w:val="18"/>
                <w:szCs w:val="18"/>
              </w:rPr>
              <w:t>ХРИСТИЯНСКА ЕВАНГЕЛСКА БОЖИЯ ЦЪРКВА ОГЪН</w:t>
            </w:r>
          </w:p>
        </w:tc>
        <w:tc>
          <w:tcPr>
            <w:tcW w:w="746" w:type="pct"/>
            <w:tcBorders>
              <w:top w:val="single" w:sz="4" w:space="0" w:color="auto"/>
              <w:left w:val="single" w:sz="4" w:space="0" w:color="auto"/>
              <w:bottom w:val="single" w:sz="4" w:space="0" w:color="auto"/>
              <w:right w:val="single" w:sz="4" w:space="0" w:color="auto"/>
            </w:tcBorders>
            <w:vAlign w:val="center"/>
          </w:tcPr>
          <w:p w14:paraId="00ED38A7" w14:textId="77777777" w:rsidR="00FA568B" w:rsidRPr="008E6F5B" w:rsidRDefault="00FA568B" w:rsidP="00443F31">
            <w:pPr>
              <w:jc w:val="center"/>
              <w:rPr>
                <w:sz w:val="18"/>
                <w:szCs w:val="18"/>
              </w:rPr>
            </w:pPr>
            <w:r w:rsidRPr="008E6F5B">
              <w:rPr>
                <w:sz w:val="18"/>
                <w:szCs w:val="18"/>
              </w:rPr>
              <w:t>1</w:t>
            </w:r>
          </w:p>
        </w:tc>
      </w:tr>
      <w:tr w:rsidR="00FA568B" w:rsidRPr="008E6F5B" w14:paraId="709EAEF1" w14:textId="77777777" w:rsidTr="00057048">
        <w:tc>
          <w:tcPr>
            <w:tcW w:w="1045" w:type="pct"/>
            <w:tcBorders>
              <w:top w:val="single" w:sz="4" w:space="0" w:color="auto"/>
              <w:left w:val="single" w:sz="4" w:space="0" w:color="auto"/>
              <w:bottom w:val="single" w:sz="4" w:space="0" w:color="auto"/>
              <w:right w:val="single" w:sz="4" w:space="0" w:color="auto"/>
            </w:tcBorders>
            <w:vAlign w:val="center"/>
            <w:hideMark/>
          </w:tcPr>
          <w:p w14:paraId="38156EEE" w14:textId="77777777" w:rsidR="00FA568B" w:rsidRPr="008E6F5B" w:rsidRDefault="00FA568B" w:rsidP="00443F31">
            <w:pPr>
              <w:rPr>
                <w:sz w:val="18"/>
                <w:szCs w:val="18"/>
              </w:rPr>
            </w:pPr>
            <w:r w:rsidRPr="008E6F5B">
              <w:rPr>
                <w:sz w:val="18"/>
                <w:szCs w:val="18"/>
              </w:rPr>
              <w:t>СЛИВЕН</w:t>
            </w:r>
          </w:p>
        </w:tc>
        <w:tc>
          <w:tcPr>
            <w:tcW w:w="1045" w:type="pct"/>
            <w:tcBorders>
              <w:top w:val="single" w:sz="4" w:space="0" w:color="auto"/>
              <w:left w:val="single" w:sz="4" w:space="0" w:color="auto"/>
              <w:bottom w:val="single" w:sz="4" w:space="0" w:color="auto"/>
              <w:right w:val="single" w:sz="4" w:space="0" w:color="auto"/>
            </w:tcBorders>
            <w:vAlign w:val="center"/>
            <w:hideMark/>
          </w:tcPr>
          <w:p w14:paraId="294D81FB" w14:textId="77777777" w:rsidR="00FA568B" w:rsidRPr="008E6F5B" w:rsidRDefault="00FA568B" w:rsidP="00443F31">
            <w:pPr>
              <w:rPr>
                <w:sz w:val="18"/>
                <w:szCs w:val="18"/>
              </w:rPr>
            </w:pPr>
            <w:r w:rsidRPr="008E6F5B">
              <w:rPr>
                <w:sz w:val="18"/>
                <w:szCs w:val="18"/>
              </w:rPr>
              <w:t>СЛИВЕН</w:t>
            </w:r>
          </w:p>
        </w:tc>
        <w:tc>
          <w:tcPr>
            <w:tcW w:w="2164" w:type="pct"/>
            <w:tcBorders>
              <w:top w:val="single" w:sz="4" w:space="0" w:color="auto"/>
              <w:left w:val="single" w:sz="4" w:space="0" w:color="auto"/>
              <w:bottom w:val="single" w:sz="4" w:space="0" w:color="auto"/>
              <w:right w:val="single" w:sz="4" w:space="0" w:color="auto"/>
            </w:tcBorders>
            <w:vAlign w:val="center"/>
          </w:tcPr>
          <w:p w14:paraId="1D80505B" w14:textId="77777777" w:rsidR="00FA568B" w:rsidRPr="008E6F5B" w:rsidRDefault="00FA568B" w:rsidP="00443F31">
            <w:pPr>
              <w:rPr>
                <w:sz w:val="18"/>
                <w:szCs w:val="18"/>
              </w:rPr>
            </w:pPr>
            <w:r w:rsidRPr="008E6F5B">
              <w:rPr>
                <w:sz w:val="18"/>
                <w:szCs w:val="18"/>
              </w:rPr>
              <w:t xml:space="preserve">Българска православна </w:t>
            </w:r>
            <w:proofErr w:type="spellStart"/>
            <w:r w:rsidRPr="008E6F5B">
              <w:rPr>
                <w:sz w:val="18"/>
                <w:szCs w:val="18"/>
              </w:rPr>
              <w:t>старостилна</w:t>
            </w:r>
            <w:proofErr w:type="spellEnd"/>
            <w:r w:rsidRPr="008E6F5B">
              <w:rPr>
                <w:sz w:val="18"/>
                <w:szCs w:val="18"/>
              </w:rPr>
              <w:t xml:space="preserve"> църква</w:t>
            </w:r>
          </w:p>
        </w:tc>
        <w:tc>
          <w:tcPr>
            <w:tcW w:w="746" w:type="pct"/>
            <w:tcBorders>
              <w:top w:val="single" w:sz="4" w:space="0" w:color="auto"/>
              <w:left w:val="single" w:sz="4" w:space="0" w:color="auto"/>
              <w:bottom w:val="single" w:sz="4" w:space="0" w:color="auto"/>
              <w:right w:val="single" w:sz="4" w:space="0" w:color="auto"/>
            </w:tcBorders>
            <w:vAlign w:val="center"/>
          </w:tcPr>
          <w:p w14:paraId="5E976230" w14:textId="77777777" w:rsidR="00FA568B" w:rsidRPr="008E6F5B" w:rsidRDefault="00FA568B" w:rsidP="00443F31">
            <w:pPr>
              <w:jc w:val="center"/>
              <w:rPr>
                <w:sz w:val="18"/>
                <w:szCs w:val="18"/>
              </w:rPr>
            </w:pPr>
            <w:r w:rsidRPr="008E6F5B">
              <w:rPr>
                <w:sz w:val="18"/>
                <w:szCs w:val="18"/>
              </w:rPr>
              <w:t>1</w:t>
            </w:r>
          </w:p>
        </w:tc>
      </w:tr>
      <w:tr w:rsidR="00FA568B" w:rsidRPr="008E6F5B" w14:paraId="7DB122DE"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12AA35C9" w14:textId="77777777" w:rsidR="00FA568B" w:rsidRPr="008E6F5B" w:rsidRDefault="00FA568B" w:rsidP="00443F31">
            <w:pPr>
              <w:rPr>
                <w:sz w:val="18"/>
                <w:szCs w:val="18"/>
              </w:rPr>
            </w:pPr>
            <w:r w:rsidRPr="008E6F5B">
              <w:rPr>
                <w:sz w:val="18"/>
                <w:szCs w:val="18"/>
              </w:rPr>
              <w:t>ТВЪРДИЦА</w:t>
            </w:r>
          </w:p>
        </w:tc>
        <w:tc>
          <w:tcPr>
            <w:tcW w:w="1045" w:type="pct"/>
            <w:tcBorders>
              <w:top w:val="single" w:sz="4" w:space="0" w:color="auto"/>
              <w:left w:val="single" w:sz="4" w:space="0" w:color="auto"/>
              <w:bottom w:val="single" w:sz="4" w:space="0" w:color="auto"/>
              <w:right w:val="single" w:sz="4" w:space="0" w:color="auto"/>
            </w:tcBorders>
            <w:vAlign w:val="center"/>
          </w:tcPr>
          <w:p w14:paraId="26DE1898" w14:textId="77777777" w:rsidR="00FA568B" w:rsidRPr="008E6F5B" w:rsidRDefault="00FA568B" w:rsidP="00443F31">
            <w:pPr>
              <w:rPr>
                <w:sz w:val="18"/>
                <w:szCs w:val="18"/>
              </w:rPr>
            </w:pPr>
            <w:r w:rsidRPr="008E6F5B">
              <w:rPr>
                <w:sz w:val="18"/>
                <w:szCs w:val="18"/>
              </w:rPr>
              <w:t>СЛИВЕН</w:t>
            </w:r>
          </w:p>
        </w:tc>
        <w:tc>
          <w:tcPr>
            <w:tcW w:w="2164" w:type="pct"/>
            <w:tcBorders>
              <w:top w:val="single" w:sz="4" w:space="0" w:color="auto"/>
              <w:left w:val="single" w:sz="4" w:space="0" w:color="auto"/>
              <w:bottom w:val="single" w:sz="4" w:space="0" w:color="auto"/>
              <w:right w:val="single" w:sz="4" w:space="0" w:color="auto"/>
            </w:tcBorders>
            <w:vAlign w:val="center"/>
          </w:tcPr>
          <w:p w14:paraId="31623804" w14:textId="77777777" w:rsidR="00FA568B" w:rsidRPr="008E6F5B" w:rsidRDefault="00FA568B" w:rsidP="00443F31">
            <w:pPr>
              <w:rPr>
                <w:sz w:val="18"/>
                <w:szCs w:val="18"/>
              </w:rPr>
            </w:pPr>
            <w:r w:rsidRPr="008E6F5B">
              <w:rPr>
                <w:sz w:val="18"/>
                <w:szCs w:val="18"/>
              </w:rPr>
              <w:t>БОЖИЯ ЦЪРКВА В БЪЛГАРИЯ</w:t>
            </w:r>
          </w:p>
        </w:tc>
        <w:tc>
          <w:tcPr>
            <w:tcW w:w="746" w:type="pct"/>
            <w:tcBorders>
              <w:top w:val="single" w:sz="4" w:space="0" w:color="auto"/>
              <w:left w:val="single" w:sz="4" w:space="0" w:color="auto"/>
              <w:bottom w:val="single" w:sz="4" w:space="0" w:color="auto"/>
              <w:right w:val="single" w:sz="4" w:space="0" w:color="auto"/>
            </w:tcBorders>
            <w:vAlign w:val="center"/>
          </w:tcPr>
          <w:p w14:paraId="200BBF28" w14:textId="77777777" w:rsidR="00FA568B" w:rsidRPr="008E6F5B" w:rsidRDefault="00FA568B" w:rsidP="00443F31">
            <w:pPr>
              <w:jc w:val="center"/>
              <w:rPr>
                <w:sz w:val="18"/>
                <w:szCs w:val="18"/>
              </w:rPr>
            </w:pPr>
            <w:r w:rsidRPr="008E6F5B">
              <w:rPr>
                <w:sz w:val="18"/>
                <w:szCs w:val="18"/>
              </w:rPr>
              <w:t>1</w:t>
            </w:r>
          </w:p>
        </w:tc>
      </w:tr>
      <w:tr w:rsidR="00FA568B" w:rsidRPr="008E6F5B" w14:paraId="6DDB0A05"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hideMark/>
          </w:tcPr>
          <w:p w14:paraId="0F93877A" w14:textId="77777777" w:rsidR="00FA568B" w:rsidRPr="008E6F5B" w:rsidRDefault="00FA568B" w:rsidP="00443F31">
            <w:pPr>
              <w:rPr>
                <w:b/>
                <w:sz w:val="18"/>
                <w:szCs w:val="18"/>
              </w:rPr>
            </w:pPr>
            <w:r w:rsidRPr="008E6F5B">
              <w:rPr>
                <w:b/>
                <w:sz w:val="18"/>
                <w:szCs w:val="18"/>
              </w:rPr>
              <w:t>ОБЛАСТ СМОЛЯН</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29C10B4B" w14:textId="77777777" w:rsidR="00FA568B" w:rsidRPr="008E6F5B" w:rsidRDefault="00FA568B" w:rsidP="00443F31">
            <w:pPr>
              <w:jc w:val="center"/>
              <w:rPr>
                <w:b/>
                <w:sz w:val="18"/>
                <w:szCs w:val="18"/>
              </w:rPr>
            </w:pPr>
            <w:r w:rsidRPr="008E6F5B">
              <w:rPr>
                <w:b/>
                <w:sz w:val="18"/>
                <w:szCs w:val="18"/>
              </w:rPr>
              <w:t>17</w:t>
            </w:r>
          </w:p>
        </w:tc>
      </w:tr>
      <w:tr w:rsidR="00FA568B" w:rsidRPr="008E6F5B" w14:paraId="0957CBA4"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071C507D" w14:textId="77777777" w:rsidR="00FA568B" w:rsidRPr="008E6F5B" w:rsidRDefault="00FA568B" w:rsidP="00443F31">
            <w:pPr>
              <w:rPr>
                <w:sz w:val="18"/>
                <w:szCs w:val="18"/>
              </w:rPr>
            </w:pPr>
            <w:r w:rsidRPr="008E6F5B">
              <w:rPr>
                <w:sz w:val="18"/>
                <w:szCs w:val="18"/>
              </w:rPr>
              <w:t>ДЕВИН</w:t>
            </w:r>
          </w:p>
        </w:tc>
        <w:tc>
          <w:tcPr>
            <w:tcW w:w="1045" w:type="pct"/>
            <w:tcBorders>
              <w:top w:val="single" w:sz="4" w:space="0" w:color="auto"/>
              <w:left w:val="single" w:sz="4" w:space="0" w:color="auto"/>
              <w:bottom w:val="single" w:sz="4" w:space="0" w:color="auto"/>
              <w:right w:val="single" w:sz="4" w:space="0" w:color="auto"/>
            </w:tcBorders>
            <w:vAlign w:val="center"/>
          </w:tcPr>
          <w:p w14:paraId="644889D3" w14:textId="77777777" w:rsidR="00FA568B" w:rsidRPr="008E6F5B" w:rsidRDefault="00FA568B" w:rsidP="00443F31">
            <w:pPr>
              <w:rPr>
                <w:sz w:val="18"/>
                <w:szCs w:val="18"/>
              </w:rPr>
            </w:pPr>
            <w:r w:rsidRPr="008E6F5B">
              <w:rPr>
                <w:sz w:val="18"/>
                <w:szCs w:val="18"/>
              </w:rPr>
              <w:t>СМОЛЯН</w:t>
            </w:r>
          </w:p>
        </w:tc>
        <w:tc>
          <w:tcPr>
            <w:tcW w:w="2164" w:type="pct"/>
            <w:tcBorders>
              <w:top w:val="single" w:sz="4" w:space="0" w:color="auto"/>
              <w:left w:val="single" w:sz="4" w:space="0" w:color="auto"/>
              <w:bottom w:val="single" w:sz="4" w:space="0" w:color="auto"/>
              <w:right w:val="single" w:sz="4" w:space="0" w:color="auto"/>
            </w:tcBorders>
            <w:vAlign w:val="center"/>
          </w:tcPr>
          <w:p w14:paraId="4DDC4941"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16F32825" w14:textId="77777777" w:rsidR="00FA568B" w:rsidRPr="008E6F5B" w:rsidRDefault="00FA568B" w:rsidP="00443F31">
            <w:pPr>
              <w:jc w:val="center"/>
              <w:rPr>
                <w:sz w:val="18"/>
                <w:szCs w:val="18"/>
              </w:rPr>
            </w:pPr>
            <w:r w:rsidRPr="008E6F5B">
              <w:rPr>
                <w:sz w:val="18"/>
                <w:szCs w:val="18"/>
              </w:rPr>
              <w:t>1</w:t>
            </w:r>
          </w:p>
        </w:tc>
      </w:tr>
      <w:tr w:rsidR="00FA568B" w:rsidRPr="008E6F5B" w14:paraId="299827AC"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082C0EE6" w14:textId="77777777" w:rsidR="00FA568B" w:rsidRPr="008E6F5B" w:rsidRDefault="00FA568B" w:rsidP="00443F31">
            <w:pPr>
              <w:rPr>
                <w:sz w:val="18"/>
                <w:szCs w:val="18"/>
              </w:rPr>
            </w:pPr>
            <w:r w:rsidRPr="008E6F5B">
              <w:rPr>
                <w:sz w:val="18"/>
                <w:szCs w:val="18"/>
              </w:rPr>
              <w:t>ДОСПАТ</w:t>
            </w:r>
          </w:p>
        </w:tc>
        <w:tc>
          <w:tcPr>
            <w:tcW w:w="1045" w:type="pct"/>
            <w:tcBorders>
              <w:top w:val="single" w:sz="4" w:space="0" w:color="auto"/>
              <w:left w:val="single" w:sz="4" w:space="0" w:color="auto"/>
              <w:bottom w:val="single" w:sz="4" w:space="0" w:color="auto"/>
              <w:right w:val="single" w:sz="4" w:space="0" w:color="auto"/>
            </w:tcBorders>
            <w:vAlign w:val="center"/>
          </w:tcPr>
          <w:p w14:paraId="1D444980" w14:textId="77777777" w:rsidR="00FA568B" w:rsidRPr="008E6F5B" w:rsidRDefault="00FA568B" w:rsidP="00443F31">
            <w:pPr>
              <w:rPr>
                <w:sz w:val="18"/>
                <w:szCs w:val="18"/>
              </w:rPr>
            </w:pPr>
            <w:r w:rsidRPr="008E6F5B">
              <w:rPr>
                <w:sz w:val="18"/>
                <w:szCs w:val="18"/>
              </w:rPr>
              <w:t>СМОЛЯН</w:t>
            </w:r>
          </w:p>
        </w:tc>
        <w:tc>
          <w:tcPr>
            <w:tcW w:w="2164" w:type="pct"/>
            <w:tcBorders>
              <w:top w:val="single" w:sz="4" w:space="0" w:color="auto"/>
              <w:left w:val="single" w:sz="4" w:space="0" w:color="auto"/>
              <w:bottom w:val="single" w:sz="4" w:space="0" w:color="auto"/>
              <w:right w:val="single" w:sz="4" w:space="0" w:color="auto"/>
            </w:tcBorders>
            <w:vAlign w:val="center"/>
          </w:tcPr>
          <w:p w14:paraId="5FC472F6"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0E7B41CE" w14:textId="77777777" w:rsidR="00FA568B" w:rsidRPr="008E6F5B" w:rsidRDefault="00FA568B" w:rsidP="00443F31">
            <w:pPr>
              <w:jc w:val="center"/>
              <w:rPr>
                <w:sz w:val="18"/>
                <w:szCs w:val="18"/>
              </w:rPr>
            </w:pPr>
            <w:r w:rsidRPr="008E6F5B">
              <w:rPr>
                <w:sz w:val="18"/>
                <w:szCs w:val="18"/>
              </w:rPr>
              <w:t>1</w:t>
            </w:r>
          </w:p>
        </w:tc>
      </w:tr>
      <w:tr w:rsidR="00FA568B" w:rsidRPr="008E6F5B" w14:paraId="419FD9AF"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4D36AEED" w14:textId="77777777" w:rsidR="00FA568B" w:rsidRPr="008E6F5B" w:rsidRDefault="00FA568B" w:rsidP="00443F31">
            <w:pPr>
              <w:rPr>
                <w:sz w:val="18"/>
                <w:szCs w:val="18"/>
              </w:rPr>
            </w:pPr>
            <w:r w:rsidRPr="008E6F5B">
              <w:rPr>
                <w:sz w:val="18"/>
                <w:szCs w:val="18"/>
              </w:rPr>
              <w:t>МАДАН</w:t>
            </w:r>
          </w:p>
        </w:tc>
        <w:tc>
          <w:tcPr>
            <w:tcW w:w="1045" w:type="pct"/>
            <w:tcBorders>
              <w:top w:val="single" w:sz="4" w:space="0" w:color="auto"/>
              <w:left w:val="single" w:sz="4" w:space="0" w:color="auto"/>
              <w:bottom w:val="single" w:sz="4" w:space="0" w:color="auto"/>
              <w:right w:val="single" w:sz="4" w:space="0" w:color="auto"/>
            </w:tcBorders>
            <w:vAlign w:val="center"/>
            <w:hideMark/>
          </w:tcPr>
          <w:p w14:paraId="45E191D7" w14:textId="77777777" w:rsidR="00FA568B" w:rsidRPr="008E6F5B" w:rsidRDefault="00FA568B" w:rsidP="00443F31">
            <w:pPr>
              <w:rPr>
                <w:sz w:val="18"/>
                <w:szCs w:val="18"/>
              </w:rPr>
            </w:pPr>
            <w:r w:rsidRPr="008E6F5B">
              <w:rPr>
                <w:sz w:val="18"/>
                <w:szCs w:val="18"/>
              </w:rPr>
              <w:t>СМОЛЯН</w:t>
            </w:r>
          </w:p>
        </w:tc>
        <w:tc>
          <w:tcPr>
            <w:tcW w:w="2164" w:type="pct"/>
            <w:tcBorders>
              <w:top w:val="single" w:sz="4" w:space="0" w:color="auto"/>
              <w:left w:val="single" w:sz="4" w:space="0" w:color="auto"/>
              <w:bottom w:val="single" w:sz="4" w:space="0" w:color="auto"/>
              <w:right w:val="single" w:sz="4" w:space="0" w:color="auto"/>
            </w:tcBorders>
            <w:vAlign w:val="center"/>
          </w:tcPr>
          <w:p w14:paraId="79A4B37A"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3E864F60" w14:textId="77777777" w:rsidR="00FA568B" w:rsidRPr="008E6F5B" w:rsidRDefault="00FA568B" w:rsidP="00443F31">
            <w:pPr>
              <w:jc w:val="center"/>
              <w:rPr>
                <w:sz w:val="18"/>
                <w:szCs w:val="18"/>
              </w:rPr>
            </w:pPr>
            <w:r w:rsidRPr="008E6F5B">
              <w:rPr>
                <w:sz w:val="18"/>
                <w:szCs w:val="18"/>
              </w:rPr>
              <w:t>4</w:t>
            </w:r>
          </w:p>
        </w:tc>
      </w:tr>
      <w:tr w:rsidR="00FA568B" w:rsidRPr="008E6F5B" w14:paraId="52686F01"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2C6EF72D" w14:textId="77777777" w:rsidR="00FA568B" w:rsidRPr="008E6F5B" w:rsidRDefault="00FA568B" w:rsidP="00443F31">
            <w:pPr>
              <w:rPr>
                <w:sz w:val="18"/>
                <w:szCs w:val="18"/>
              </w:rPr>
            </w:pPr>
            <w:r w:rsidRPr="008E6F5B">
              <w:rPr>
                <w:sz w:val="18"/>
                <w:szCs w:val="18"/>
              </w:rPr>
              <w:t>РУДОЗЕМ</w:t>
            </w:r>
          </w:p>
        </w:tc>
        <w:tc>
          <w:tcPr>
            <w:tcW w:w="1045" w:type="pct"/>
            <w:tcBorders>
              <w:top w:val="single" w:sz="4" w:space="0" w:color="auto"/>
              <w:left w:val="single" w:sz="4" w:space="0" w:color="auto"/>
              <w:bottom w:val="single" w:sz="4" w:space="0" w:color="auto"/>
              <w:right w:val="single" w:sz="4" w:space="0" w:color="auto"/>
            </w:tcBorders>
            <w:vAlign w:val="center"/>
          </w:tcPr>
          <w:p w14:paraId="380D42B4" w14:textId="77777777" w:rsidR="00FA568B" w:rsidRPr="008E6F5B" w:rsidRDefault="00FA568B" w:rsidP="00443F31">
            <w:pPr>
              <w:rPr>
                <w:sz w:val="18"/>
                <w:szCs w:val="18"/>
              </w:rPr>
            </w:pPr>
            <w:r w:rsidRPr="008E6F5B">
              <w:rPr>
                <w:sz w:val="18"/>
                <w:szCs w:val="18"/>
              </w:rPr>
              <w:t>СМОЛЯН</w:t>
            </w:r>
          </w:p>
        </w:tc>
        <w:tc>
          <w:tcPr>
            <w:tcW w:w="2164" w:type="pct"/>
            <w:tcBorders>
              <w:top w:val="single" w:sz="4" w:space="0" w:color="auto"/>
              <w:left w:val="single" w:sz="4" w:space="0" w:color="auto"/>
              <w:bottom w:val="single" w:sz="4" w:space="0" w:color="auto"/>
              <w:right w:val="single" w:sz="4" w:space="0" w:color="auto"/>
            </w:tcBorders>
            <w:vAlign w:val="center"/>
          </w:tcPr>
          <w:p w14:paraId="6FC4C68F"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6B024D9D" w14:textId="77777777" w:rsidR="00FA568B" w:rsidRPr="008E6F5B" w:rsidRDefault="00FA568B" w:rsidP="00443F31">
            <w:pPr>
              <w:jc w:val="center"/>
              <w:rPr>
                <w:sz w:val="18"/>
                <w:szCs w:val="18"/>
              </w:rPr>
            </w:pPr>
            <w:r w:rsidRPr="008E6F5B">
              <w:rPr>
                <w:sz w:val="18"/>
                <w:szCs w:val="18"/>
              </w:rPr>
              <w:t>1</w:t>
            </w:r>
          </w:p>
        </w:tc>
      </w:tr>
      <w:tr w:rsidR="00FA568B" w:rsidRPr="008E6F5B" w14:paraId="0781143D"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0B7753A8" w14:textId="77777777" w:rsidR="00FA568B" w:rsidRPr="008E6F5B" w:rsidRDefault="00FA568B" w:rsidP="00443F31">
            <w:pPr>
              <w:rPr>
                <w:sz w:val="18"/>
                <w:szCs w:val="18"/>
              </w:rPr>
            </w:pPr>
            <w:r w:rsidRPr="008E6F5B">
              <w:rPr>
                <w:sz w:val="18"/>
                <w:szCs w:val="18"/>
              </w:rPr>
              <w:t>СМОЛЯН</w:t>
            </w:r>
          </w:p>
        </w:tc>
        <w:tc>
          <w:tcPr>
            <w:tcW w:w="1045" w:type="pct"/>
            <w:tcBorders>
              <w:top w:val="single" w:sz="4" w:space="0" w:color="auto"/>
              <w:left w:val="single" w:sz="4" w:space="0" w:color="auto"/>
              <w:bottom w:val="single" w:sz="4" w:space="0" w:color="auto"/>
              <w:right w:val="single" w:sz="4" w:space="0" w:color="auto"/>
            </w:tcBorders>
            <w:vAlign w:val="center"/>
            <w:hideMark/>
          </w:tcPr>
          <w:p w14:paraId="7BD102C8" w14:textId="77777777" w:rsidR="00FA568B" w:rsidRPr="008E6F5B" w:rsidRDefault="00FA568B" w:rsidP="00443F31">
            <w:pPr>
              <w:rPr>
                <w:sz w:val="18"/>
                <w:szCs w:val="18"/>
              </w:rPr>
            </w:pPr>
            <w:r w:rsidRPr="008E6F5B">
              <w:rPr>
                <w:sz w:val="18"/>
                <w:szCs w:val="18"/>
              </w:rPr>
              <w:t>СМОЛЯН</w:t>
            </w:r>
          </w:p>
        </w:tc>
        <w:tc>
          <w:tcPr>
            <w:tcW w:w="2164" w:type="pct"/>
            <w:tcBorders>
              <w:top w:val="single" w:sz="4" w:space="0" w:color="auto"/>
              <w:left w:val="single" w:sz="4" w:space="0" w:color="auto"/>
              <w:bottom w:val="single" w:sz="4" w:space="0" w:color="auto"/>
              <w:right w:val="single" w:sz="4" w:space="0" w:color="auto"/>
            </w:tcBorders>
            <w:vAlign w:val="center"/>
          </w:tcPr>
          <w:p w14:paraId="1C64C00C"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60285CE8" w14:textId="77777777" w:rsidR="00FA568B" w:rsidRPr="008E6F5B" w:rsidRDefault="00FA568B" w:rsidP="00443F31">
            <w:pPr>
              <w:jc w:val="center"/>
              <w:rPr>
                <w:sz w:val="18"/>
                <w:szCs w:val="18"/>
              </w:rPr>
            </w:pPr>
            <w:r w:rsidRPr="008E6F5B">
              <w:rPr>
                <w:sz w:val="18"/>
                <w:szCs w:val="18"/>
              </w:rPr>
              <w:t>1</w:t>
            </w:r>
          </w:p>
        </w:tc>
      </w:tr>
      <w:tr w:rsidR="00FA568B" w:rsidRPr="008E6F5B" w14:paraId="01406014"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7DF22779" w14:textId="77777777" w:rsidR="00FA568B" w:rsidRPr="008E6F5B" w:rsidRDefault="00FA568B" w:rsidP="00443F31">
            <w:pPr>
              <w:rPr>
                <w:sz w:val="18"/>
                <w:szCs w:val="18"/>
              </w:rPr>
            </w:pPr>
            <w:r w:rsidRPr="008E6F5B">
              <w:rPr>
                <w:sz w:val="18"/>
                <w:szCs w:val="18"/>
              </w:rPr>
              <w:t>ЧЕПЕЛАРЕ</w:t>
            </w:r>
          </w:p>
        </w:tc>
        <w:tc>
          <w:tcPr>
            <w:tcW w:w="1045" w:type="pct"/>
            <w:tcBorders>
              <w:top w:val="single" w:sz="4" w:space="0" w:color="auto"/>
              <w:left w:val="single" w:sz="4" w:space="0" w:color="auto"/>
              <w:bottom w:val="single" w:sz="4" w:space="0" w:color="auto"/>
              <w:right w:val="single" w:sz="4" w:space="0" w:color="auto"/>
            </w:tcBorders>
            <w:vAlign w:val="center"/>
          </w:tcPr>
          <w:p w14:paraId="4DE13974" w14:textId="77777777" w:rsidR="00FA568B" w:rsidRPr="008E6F5B" w:rsidRDefault="00FA568B" w:rsidP="00443F31">
            <w:pPr>
              <w:rPr>
                <w:sz w:val="18"/>
                <w:szCs w:val="18"/>
              </w:rPr>
            </w:pPr>
            <w:r w:rsidRPr="008E6F5B">
              <w:rPr>
                <w:sz w:val="18"/>
                <w:szCs w:val="18"/>
              </w:rPr>
              <w:t>СМОЛЯН</w:t>
            </w:r>
          </w:p>
        </w:tc>
        <w:tc>
          <w:tcPr>
            <w:tcW w:w="2164" w:type="pct"/>
            <w:tcBorders>
              <w:top w:val="single" w:sz="4" w:space="0" w:color="auto"/>
              <w:left w:val="single" w:sz="4" w:space="0" w:color="auto"/>
              <w:bottom w:val="single" w:sz="4" w:space="0" w:color="auto"/>
              <w:right w:val="single" w:sz="4" w:space="0" w:color="auto"/>
            </w:tcBorders>
            <w:vAlign w:val="center"/>
          </w:tcPr>
          <w:p w14:paraId="5465F194" w14:textId="77777777" w:rsidR="00FA568B" w:rsidRPr="008E6F5B" w:rsidRDefault="00FA568B" w:rsidP="00443F31">
            <w:pPr>
              <w:rPr>
                <w:sz w:val="18"/>
                <w:szCs w:val="18"/>
              </w:rPr>
            </w:pPr>
            <w:r w:rsidRPr="008E6F5B">
              <w:rPr>
                <w:sz w:val="18"/>
                <w:szCs w:val="18"/>
              </w:rPr>
              <w:t>БЪЛГАРСКА ПРАВОСЛАВНА ЦЪРКВА – БЪЛГАРСКА ПАТРИАРШИЯ</w:t>
            </w:r>
          </w:p>
        </w:tc>
        <w:tc>
          <w:tcPr>
            <w:tcW w:w="746" w:type="pct"/>
            <w:tcBorders>
              <w:top w:val="single" w:sz="4" w:space="0" w:color="auto"/>
              <w:left w:val="single" w:sz="4" w:space="0" w:color="auto"/>
              <w:bottom w:val="single" w:sz="4" w:space="0" w:color="auto"/>
              <w:right w:val="single" w:sz="4" w:space="0" w:color="auto"/>
            </w:tcBorders>
            <w:vAlign w:val="center"/>
          </w:tcPr>
          <w:p w14:paraId="65F19DD2" w14:textId="77777777" w:rsidR="00FA568B" w:rsidRPr="008E6F5B" w:rsidRDefault="00FA568B" w:rsidP="00443F31">
            <w:pPr>
              <w:jc w:val="center"/>
              <w:rPr>
                <w:sz w:val="18"/>
                <w:szCs w:val="18"/>
              </w:rPr>
            </w:pPr>
            <w:r w:rsidRPr="008E6F5B">
              <w:rPr>
                <w:sz w:val="18"/>
                <w:szCs w:val="18"/>
              </w:rPr>
              <w:t>9</w:t>
            </w:r>
          </w:p>
        </w:tc>
      </w:tr>
      <w:tr w:rsidR="00FA568B" w:rsidRPr="008E6F5B" w14:paraId="25808421"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1DB28A21" w14:textId="77777777" w:rsidR="00FA568B" w:rsidRPr="008E6F5B" w:rsidRDefault="00FA568B" w:rsidP="00443F31">
            <w:pPr>
              <w:rPr>
                <w:sz w:val="18"/>
                <w:szCs w:val="18"/>
              </w:rPr>
            </w:pPr>
            <w:r w:rsidRPr="008E6F5B">
              <w:rPr>
                <w:b/>
                <w:sz w:val="18"/>
                <w:szCs w:val="18"/>
              </w:rPr>
              <w:t>СОФИЯ (СТОЛИЦА)</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6569C391" w14:textId="77777777" w:rsidR="00FA568B" w:rsidRPr="008E6F5B" w:rsidRDefault="00FA568B" w:rsidP="00443F31">
            <w:pPr>
              <w:jc w:val="center"/>
              <w:rPr>
                <w:b/>
                <w:sz w:val="18"/>
                <w:szCs w:val="18"/>
              </w:rPr>
            </w:pPr>
            <w:r w:rsidRPr="008E6F5B">
              <w:rPr>
                <w:b/>
                <w:sz w:val="18"/>
                <w:szCs w:val="18"/>
              </w:rPr>
              <w:t>3</w:t>
            </w:r>
          </w:p>
        </w:tc>
      </w:tr>
      <w:tr w:rsidR="00FA568B" w:rsidRPr="008E6F5B" w14:paraId="5FD4DD5D"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4E59BE1A" w14:textId="77777777" w:rsidR="00FA568B" w:rsidRPr="008E6F5B" w:rsidRDefault="00FA568B" w:rsidP="00443F31">
            <w:pPr>
              <w:rPr>
                <w:sz w:val="18"/>
                <w:szCs w:val="18"/>
              </w:rPr>
            </w:pPr>
            <w:r w:rsidRPr="008E6F5B">
              <w:rPr>
                <w:sz w:val="18"/>
                <w:szCs w:val="18"/>
              </w:rPr>
              <w:t>СОФИЯ</w:t>
            </w:r>
          </w:p>
        </w:tc>
        <w:tc>
          <w:tcPr>
            <w:tcW w:w="1045" w:type="pct"/>
            <w:tcBorders>
              <w:top w:val="single" w:sz="4" w:space="0" w:color="auto"/>
              <w:left w:val="single" w:sz="4" w:space="0" w:color="auto"/>
              <w:bottom w:val="single" w:sz="4" w:space="0" w:color="auto"/>
              <w:right w:val="single" w:sz="4" w:space="0" w:color="auto"/>
            </w:tcBorders>
            <w:vAlign w:val="center"/>
          </w:tcPr>
          <w:p w14:paraId="63DEDCA9" w14:textId="77777777" w:rsidR="00FA568B" w:rsidRPr="008E6F5B" w:rsidRDefault="00FA568B" w:rsidP="00443F31">
            <w:pPr>
              <w:rPr>
                <w:sz w:val="18"/>
                <w:szCs w:val="18"/>
              </w:rPr>
            </w:pPr>
            <w:r w:rsidRPr="008E6F5B">
              <w:rPr>
                <w:sz w:val="18"/>
                <w:szCs w:val="18"/>
              </w:rPr>
              <w:t>СТОЛИЧНА</w:t>
            </w:r>
          </w:p>
        </w:tc>
        <w:tc>
          <w:tcPr>
            <w:tcW w:w="2164" w:type="pct"/>
            <w:tcBorders>
              <w:top w:val="single" w:sz="4" w:space="0" w:color="auto"/>
              <w:left w:val="single" w:sz="4" w:space="0" w:color="auto"/>
              <w:bottom w:val="single" w:sz="4" w:space="0" w:color="auto"/>
              <w:right w:val="single" w:sz="4" w:space="0" w:color="auto"/>
            </w:tcBorders>
            <w:vAlign w:val="center"/>
          </w:tcPr>
          <w:p w14:paraId="77C42AD7" w14:textId="77777777" w:rsidR="00FA568B" w:rsidRPr="008E6F5B" w:rsidRDefault="00FA568B" w:rsidP="00443F31">
            <w:pPr>
              <w:rPr>
                <w:sz w:val="18"/>
                <w:szCs w:val="18"/>
              </w:rPr>
            </w:pPr>
            <w:r w:rsidRPr="008E6F5B">
              <w:rPr>
                <w:sz w:val="18"/>
                <w:szCs w:val="18"/>
              </w:rPr>
              <w:t>"БОЖИЯ ЦЪРКВА В БЪЛГАРИЯ"</w:t>
            </w:r>
          </w:p>
        </w:tc>
        <w:tc>
          <w:tcPr>
            <w:tcW w:w="746" w:type="pct"/>
            <w:tcBorders>
              <w:top w:val="single" w:sz="4" w:space="0" w:color="auto"/>
              <w:left w:val="single" w:sz="4" w:space="0" w:color="auto"/>
              <w:bottom w:val="single" w:sz="4" w:space="0" w:color="auto"/>
              <w:right w:val="single" w:sz="4" w:space="0" w:color="auto"/>
            </w:tcBorders>
            <w:vAlign w:val="center"/>
          </w:tcPr>
          <w:p w14:paraId="3BAC6614" w14:textId="77777777" w:rsidR="00FA568B" w:rsidRPr="008E6F5B" w:rsidRDefault="00FA568B" w:rsidP="00443F31">
            <w:pPr>
              <w:jc w:val="center"/>
              <w:rPr>
                <w:sz w:val="18"/>
                <w:szCs w:val="18"/>
              </w:rPr>
            </w:pPr>
            <w:r w:rsidRPr="008E6F5B">
              <w:rPr>
                <w:sz w:val="18"/>
                <w:szCs w:val="18"/>
              </w:rPr>
              <w:t>2</w:t>
            </w:r>
          </w:p>
        </w:tc>
      </w:tr>
      <w:tr w:rsidR="00FA568B" w:rsidRPr="008E6F5B" w14:paraId="1A99C32B" w14:textId="77777777" w:rsidTr="00057048">
        <w:tc>
          <w:tcPr>
            <w:tcW w:w="1045" w:type="pct"/>
            <w:tcBorders>
              <w:top w:val="single" w:sz="4" w:space="0" w:color="auto"/>
              <w:left w:val="single" w:sz="4" w:space="0" w:color="auto"/>
              <w:bottom w:val="single" w:sz="4" w:space="0" w:color="auto"/>
              <w:right w:val="single" w:sz="4" w:space="0" w:color="auto"/>
            </w:tcBorders>
          </w:tcPr>
          <w:p w14:paraId="043D194C" w14:textId="77777777" w:rsidR="00FA568B" w:rsidRPr="008E6F5B" w:rsidRDefault="00FA568B" w:rsidP="00443F31">
            <w:pPr>
              <w:rPr>
                <w:sz w:val="18"/>
                <w:szCs w:val="18"/>
              </w:rPr>
            </w:pPr>
            <w:r w:rsidRPr="008E6F5B">
              <w:rPr>
                <w:sz w:val="18"/>
                <w:szCs w:val="18"/>
              </w:rPr>
              <w:t>СОФИЯ</w:t>
            </w:r>
          </w:p>
        </w:tc>
        <w:tc>
          <w:tcPr>
            <w:tcW w:w="1045" w:type="pct"/>
            <w:tcBorders>
              <w:top w:val="single" w:sz="4" w:space="0" w:color="auto"/>
              <w:left w:val="single" w:sz="4" w:space="0" w:color="auto"/>
              <w:bottom w:val="single" w:sz="4" w:space="0" w:color="auto"/>
              <w:right w:val="single" w:sz="4" w:space="0" w:color="auto"/>
            </w:tcBorders>
          </w:tcPr>
          <w:p w14:paraId="37002A4A" w14:textId="77777777" w:rsidR="00FA568B" w:rsidRPr="008E6F5B" w:rsidRDefault="00FA568B" w:rsidP="00443F31">
            <w:pPr>
              <w:rPr>
                <w:sz w:val="18"/>
                <w:szCs w:val="18"/>
              </w:rPr>
            </w:pPr>
            <w:r w:rsidRPr="008E6F5B">
              <w:rPr>
                <w:sz w:val="18"/>
                <w:szCs w:val="18"/>
              </w:rPr>
              <w:t>СТОЛИЧНА</w:t>
            </w:r>
          </w:p>
        </w:tc>
        <w:tc>
          <w:tcPr>
            <w:tcW w:w="2164" w:type="pct"/>
            <w:tcBorders>
              <w:top w:val="single" w:sz="4" w:space="0" w:color="auto"/>
              <w:left w:val="single" w:sz="4" w:space="0" w:color="auto"/>
              <w:bottom w:val="single" w:sz="4" w:space="0" w:color="auto"/>
              <w:right w:val="single" w:sz="4" w:space="0" w:color="auto"/>
            </w:tcBorders>
            <w:vAlign w:val="center"/>
          </w:tcPr>
          <w:p w14:paraId="1C631CC5" w14:textId="25BB175F" w:rsidR="00FA568B" w:rsidRPr="008E6F5B" w:rsidRDefault="00FA568B" w:rsidP="00443F31">
            <w:pPr>
              <w:rPr>
                <w:sz w:val="18"/>
                <w:szCs w:val="18"/>
              </w:rPr>
            </w:pPr>
            <w:r w:rsidRPr="008E6F5B">
              <w:rPr>
                <w:sz w:val="18"/>
                <w:szCs w:val="18"/>
              </w:rPr>
              <w:t>БОЖИЯ ЦЪРКВА</w:t>
            </w:r>
            <w:r w:rsidR="0062671F">
              <w:rPr>
                <w:sz w:val="18"/>
                <w:szCs w:val="18"/>
              </w:rPr>
              <w:t xml:space="preserve"> – </w:t>
            </w:r>
            <w:r w:rsidRPr="008E6F5B">
              <w:rPr>
                <w:sz w:val="18"/>
                <w:szCs w:val="18"/>
              </w:rPr>
              <w:t>АГАПЕ</w:t>
            </w:r>
          </w:p>
        </w:tc>
        <w:tc>
          <w:tcPr>
            <w:tcW w:w="746" w:type="pct"/>
            <w:tcBorders>
              <w:top w:val="single" w:sz="4" w:space="0" w:color="auto"/>
              <w:left w:val="single" w:sz="4" w:space="0" w:color="auto"/>
              <w:bottom w:val="single" w:sz="4" w:space="0" w:color="auto"/>
              <w:right w:val="single" w:sz="4" w:space="0" w:color="auto"/>
            </w:tcBorders>
            <w:vAlign w:val="center"/>
          </w:tcPr>
          <w:p w14:paraId="21537AC6" w14:textId="77777777" w:rsidR="00FA568B" w:rsidRPr="008E6F5B" w:rsidRDefault="00FA568B" w:rsidP="00443F31">
            <w:pPr>
              <w:jc w:val="center"/>
              <w:rPr>
                <w:sz w:val="18"/>
                <w:szCs w:val="18"/>
              </w:rPr>
            </w:pPr>
            <w:r w:rsidRPr="008E6F5B">
              <w:rPr>
                <w:sz w:val="18"/>
                <w:szCs w:val="18"/>
              </w:rPr>
              <w:t>1</w:t>
            </w:r>
          </w:p>
        </w:tc>
      </w:tr>
      <w:tr w:rsidR="00FA568B" w:rsidRPr="008E6F5B" w14:paraId="142532B1" w14:textId="77777777" w:rsidTr="00057048">
        <w:trPr>
          <w:trHeight w:val="77"/>
        </w:trPr>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hideMark/>
          </w:tcPr>
          <w:p w14:paraId="17E0F5CE" w14:textId="77777777" w:rsidR="00FA568B" w:rsidRPr="008E6F5B" w:rsidRDefault="00FA568B" w:rsidP="00443F31">
            <w:pPr>
              <w:rPr>
                <w:sz w:val="18"/>
                <w:szCs w:val="18"/>
              </w:rPr>
            </w:pPr>
            <w:r w:rsidRPr="008E6F5B">
              <w:rPr>
                <w:b/>
                <w:sz w:val="18"/>
                <w:szCs w:val="18"/>
              </w:rPr>
              <w:t xml:space="preserve">СОФИЙСКА ОБЛАСТ </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2C42A79E" w14:textId="77777777" w:rsidR="00FA568B" w:rsidRPr="008E6F5B" w:rsidRDefault="00FA568B" w:rsidP="00443F31">
            <w:pPr>
              <w:jc w:val="center"/>
              <w:rPr>
                <w:b/>
                <w:sz w:val="18"/>
                <w:szCs w:val="18"/>
              </w:rPr>
            </w:pPr>
            <w:r w:rsidRPr="008E6F5B">
              <w:rPr>
                <w:b/>
                <w:sz w:val="18"/>
                <w:szCs w:val="18"/>
              </w:rPr>
              <w:t>0</w:t>
            </w:r>
          </w:p>
        </w:tc>
      </w:tr>
      <w:tr w:rsidR="00FA568B" w:rsidRPr="008E6F5B" w14:paraId="17D23ECF"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72165F0E" w14:textId="77777777" w:rsidR="00FA568B" w:rsidRPr="008E6F5B" w:rsidRDefault="00FA568B" w:rsidP="00443F31">
            <w:pPr>
              <w:rPr>
                <w:sz w:val="18"/>
                <w:szCs w:val="18"/>
              </w:rPr>
            </w:pPr>
          </w:p>
        </w:tc>
        <w:tc>
          <w:tcPr>
            <w:tcW w:w="1045" w:type="pct"/>
            <w:tcBorders>
              <w:top w:val="single" w:sz="4" w:space="0" w:color="auto"/>
              <w:left w:val="single" w:sz="4" w:space="0" w:color="auto"/>
              <w:bottom w:val="single" w:sz="4" w:space="0" w:color="auto"/>
              <w:right w:val="single" w:sz="4" w:space="0" w:color="auto"/>
            </w:tcBorders>
            <w:vAlign w:val="center"/>
          </w:tcPr>
          <w:p w14:paraId="5F49831C" w14:textId="77777777" w:rsidR="00FA568B" w:rsidRPr="008E6F5B" w:rsidRDefault="00FA568B" w:rsidP="00443F31">
            <w:pPr>
              <w:rPr>
                <w:sz w:val="18"/>
                <w:szCs w:val="18"/>
              </w:rPr>
            </w:pPr>
          </w:p>
        </w:tc>
        <w:tc>
          <w:tcPr>
            <w:tcW w:w="2164" w:type="pct"/>
            <w:tcBorders>
              <w:top w:val="single" w:sz="4" w:space="0" w:color="auto"/>
              <w:left w:val="single" w:sz="4" w:space="0" w:color="auto"/>
              <w:bottom w:val="single" w:sz="4" w:space="0" w:color="auto"/>
              <w:right w:val="single" w:sz="4" w:space="0" w:color="auto"/>
            </w:tcBorders>
            <w:vAlign w:val="center"/>
          </w:tcPr>
          <w:p w14:paraId="2237C016" w14:textId="77777777" w:rsidR="00FA568B" w:rsidRPr="008E6F5B" w:rsidRDefault="00FA568B" w:rsidP="00443F31">
            <w:pPr>
              <w:rPr>
                <w:sz w:val="18"/>
                <w:szCs w:val="18"/>
              </w:rPr>
            </w:pPr>
          </w:p>
        </w:tc>
        <w:tc>
          <w:tcPr>
            <w:tcW w:w="746" w:type="pct"/>
            <w:tcBorders>
              <w:top w:val="single" w:sz="4" w:space="0" w:color="auto"/>
              <w:left w:val="single" w:sz="4" w:space="0" w:color="auto"/>
              <w:bottom w:val="single" w:sz="4" w:space="0" w:color="auto"/>
              <w:right w:val="single" w:sz="4" w:space="0" w:color="auto"/>
            </w:tcBorders>
            <w:vAlign w:val="center"/>
          </w:tcPr>
          <w:p w14:paraId="4FD0C995" w14:textId="77777777" w:rsidR="00FA568B" w:rsidRPr="008E6F5B" w:rsidRDefault="00FA568B" w:rsidP="00443F31">
            <w:pPr>
              <w:jc w:val="center"/>
              <w:rPr>
                <w:sz w:val="18"/>
                <w:szCs w:val="18"/>
              </w:rPr>
            </w:pPr>
          </w:p>
        </w:tc>
      </w:tr>
      <w:tr w:rsidR="00FA568B" w:rsidRPr="008E6F5B" w14:paraId="309B7A8F"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hideMark/>
          </w:tcPr>
          <w:p w14:paraId="77C05154" w14:textId="77777777" w:rsidR="00FA568B" w:rsidRPr="008E6F5B" w:rsidRDefault="00FA568B" w:rsidP="00443F31">
            <w:pPr>
              <w:rPr>
                <w:sz w:val="18"/>
                <w:szCs w:val="18"/>
              </w:rPr>
            </w:pPr>
            <w:r w:rsidRPr="008E6F5B">
              <w:rPr>
                <w:b/>
                <w:sz w:val="18"/>
                <w:szCs w:val="18"/>
              </w:rPr>
              <w:t>ОБЛАСТ СТАРА ЗАГОРА</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27FD0452" w14:textId="77777777" w:rsidR="00FA568B" w:rsidRPr="008E6F5B" w:rsidRDefault="00FA568B" w:rsidP="00443F31">
            <w:pPr>
              <w:jc w:val="center"/>
              <w:rPr>
                <w:b/>
                <w:sz w:val="18"/>
                <w:szCs w:val="18"/>
              </w:rPr>
            </w:pPr>
            <w:r w:rsidRPr="008E6F5B">
              <w:rPr>
                <w:b/>
                <w:sz w:val="18"/>
                <w:szCs w:val="18"/>
              </w:rPr>
              <w:t>7</w:t>
            </w:r>
          </w:p>
        </w:tc>
      </w:tr>
      <w:tr w:rsidR="00FA568B" w:rsidRPr="008E6F5B" w14:paraId="5632405C"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57B97F56" w14:textId="77777777" w:rsidR="00FA568B" w:rsidRPr="008E6F5B" w:rsidRDefault="00FA568B" w:rsidP="00443F31">
            <w:pPr>
              <w:rPr>
                <w:sz w:val="18"/>
                <w:szCs w:val="18"/>
              </w:rPr>
            </w:pPr>
            <w:r w:rsidRPr="008E6F5B">
              <w:rPr>
                <w:sz w:val="18"/>
                <w:szCs w:val="18"/>
              </w:rPr>
              <w:t>МЪГЛИЖ</w:t>
            </w:r>
          </w:p>
        </w:tc>
        <w:tc>
          <w:tcPr>
            <w:tcW w:w="1045" w:type="pct"/>
            <w:tcBorders>
              <w:top w:val="single" w:sz="4" w:space="0" w:color="auto"/>
              <w:left w:val="single" w:sz="4" w:space="0" w:color="auto"/>
              <w:bottom w:val="single" w:sz="4" w:space="0" w:color="auto"/>
              <w:right w:val="single" w:sz="4" w:space="0" w:color="auto"/>
            </w:tcBorders>
          </w:tcPr>
          <w:p w14:paraId="0256F9B6" w14:textId="77777777" w:rsidR="00FA568B" w:rsidRPr="008E6F5B" w:rsidRDefault="00FA568B" w:rsidP="00443F31">
            <w:pPr>
              <w:rPr>
                <w:sz w:val="18"/>
                <w:szCs w:val="18"/>
              </w:rPr>
            </w:pPr>
            <w:r w:rsidRPr="008E6F5B">
              <w:rPr>
                <w:sz w:val="18"/>
                <w:szCs w:val="18"/>
              </w:rPr>
              <w:t>СТАРА ЗАГОРА</w:t>
            </w:r>
          </w:p>
        </w:tc>
        <w:tc>
          <w:tcPr>
            <w:tcW w:w="2164" w:type="pct"/>
            <w:tcBorders>
              <w:top w:val="single" w:sz="4" w:space="0" w:color="auto"/>
              <w:left w:val="single" w:sz="4" w:space="0" w:color="auto"/>
              <w:bottom w:val="single" w:sz="4" w:space="0" w:color="auto"/>
              <w:right w:val="single" w:sz="4" w:space="0" w:color="auto"/>
            </w:tcBorders>
            <w:vAlign w:val="center"/>
          </w:tcPr>
          <w:p w14:paraId="5DB66B12" w14:textId="77777777" w:rsidR="00FA568B" w:rsidRPr="008E6F5B" w:rsidRDefault="00FA568B" w:rsidP="00443F31">
            <w:pPr>
              <w:rPr>
                <w:sz w:val="18"/>
                <w:szCs w:val="18"/>
              </w:rPr>
            </w:pPr>
            <w:r w:rsidRPr="008E6F5B">
              <w:rPr>
                <w:sz w:val="18"/>
                <w:szCs w:val="18"/>
              </w:rPr>
              <w:t>"ЦЪРКВА НА БОГА"</w:t>
            </w:r>
          </w:p>
        </w:tc>
        <w:tc>
          <w:tcPr>
            <w:tcW w:w="746" w:type="pct"/>
            <w:tcBorders>
              <w:top w:val="single" w:sz="4" w:space="0" w:color="auto"/>
              <w:left w:val="single" w:sz="4" w:space="0" w:color="auto"/>
              <w:bottom w:val="single" w:sz="4" w:space="0" w:color="auto"/>
              <w:right w:val="single" w:sz="4" w:space="0" w:color="auto"/>
            </w:tcBorders>
            <w:vAlign w:val="center"/>
          </w:tcPr>
          <w:p w14:paraId="3A3674F9" w14:textId="77777777" w:rsidR="00FA568B" w:rsidRPr="008E6F5B" w:rsidRDefault="00FA568B" w:rsidP="00443F31">
            <w:pPr>
              <w:jc w:val="center"/>
              <w:rPr>
                <w:sz w:val="18"/>
                <w:szCs w:val="18"/>
              </w:rPr>
            </w:pPr>
            <w:r w:rsidRPr="008E6F5B">
              <w:rPr>
                <w:sz w:val="18"/>
                <w:szCs w:val="18"/>
              </w:rPr>
              <w:t>1</w:t>
            </w:r>
          </w:p>
        </w:tc>
      </w:tr>
      <w:tr w:rsidR="00FA568B" w:rsidRPr="008E6F5B" w14:paraId="04CF6483"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60DBE356" w14:textId="77777777" w:rsidR="00FA568B" w:rsidRPr="008E6F5B" w:rsidRDefault="00FA568B" w:rsidP="00443F31">
            <w:pPr>
              <w:rPr>
                <w:sz w:val="18"/>
                <w:szCs w:val="18"/>
              </w:rPr>
            </w:pPr>
            <w:r w:rsidRPr="008E6F5B">
              <w:rPr>
                <w:sz w:val="18"/>
                <w:szCs w:val="18"/>
              </w:rPr>
              <w:t>НИКОЛАЕВО</w:t>
            </w:r>
          </w:p>
        </w:tc>
        <w:tc>
          <w:tcPr>
            <w:tcW w:w="1045" w:type="pct"/>
            <w:tcBorders>
              <w:top w:val="single" w:sz="4" w:space="0" w:color="auto"/>
              <w:left w:val="single" w:sz="4" w:space="0" w:color="auto"/>
              <w:bottom w:val="single" w:sz="4" w:space="0" w:color="auto"/>
              <w:right w:val="single" w:sz="4" w:space="0" w:color="auto"/>
            </w:tcBorders>
          </w:tcPr>
          <w:p w14:paraId="6EAD32E1" w14:textId="77777777" w:rsidR="00FA568B" w:rsidRPr="008E6F5B" w:rsidRDefault="00FA568B" w:rsidP="00443F31">
            <w:pPr>
              <w:rPr>
                <w:sz w:val="18"/>
                <w:szCs w:val="18"/>
              </w:rPr>
            </w:pPr>
            <w:r w:rsidRPr="008E6F5B">
              <w:rPr>
                <w:sz w:val="18"/>
                <w:szCs w:val="18"/>
              </w:rPr>
              <w:t>СТАРА ЗАГОРА</w:t>
            </w:r>
          </w:p>
        </w:tc>
        <w:tc>
          <w:tcPr>
            <w:tcW w:w="2164" w:type="pct"/>
            <w:tcBorders>
              <w:top w:val="single" w:sz="4" w:space="0" w:color="auto"/>
              <w:left w:val="single" w:sz="4" w:space="0" w:color="auto"/>
              <w:bottom w:val="single" w:sz="4" w:space="0" w:color="auto"/>
              <w:right w:val="single" w:sz="4" w:space="0" w:color="auto"/>
            </w:tcBorders>
            <w:vAlign w:val="center"/>
          </w:tcPr>
          <w:p w14:paraId="0585DD60" w14:textId="77777777" w:rsidR="00FA568B" w:rsidRPr="008E6F5B" w:rsidRDefault="00FA568B" w:rsidP="00443F31">
            <w:pPr>
              <w:rPr>
                <w:sz w:val="18"/>
                <w:szCs w:val="18"/>
              </w:rPr>
            </w:pPr>
            <w:r w:rsidRPr="008E6F5B">
              <w:rPr>
                <w:sz w:val="18"/>
                <w:szCs w:val="18"/>
              </w:rPr>
              <w:t>БЪЛГАРСКА ХРИСТИЯНСКА ЦЪРКВА</w:t>
            </w:r>
          </w:p>
        </w:tc>
        <w:tc>
          <w:tcPr>
            <w:tcW w:w="746" w:type="pct"/>
            <w:tcBorders>
              <w:top w:val="single" w:sz="4" w:space="0" w:color="auto"/>
              <w:left w:val="single" w:sz="4" w:space="0" w:color="auto"/>
              <w:bottom w:val="single" w:sz="4" w:space="0" w:color="auto"/>
              <w:right w:val="single" w:sz="4" w:space="0" w:color="auto"/>
            </w:tcBorders>
            <w:vAlign w:val="center"/>
          </w:tcPr>
          <w:p w14:paraId="7B8A5442" w14:textId="77777777" w:rsidR="00FA568B" w:rsidRPr="008E6F5B" w:rsidRDefault="00FA568B" w:rsidP="00443F31">
            <w:pPr>
              <w:jc w:val="center"/>
              <w:rPr>
                <w:sz w:val="18"/>
                <w:szCs w:val="18"/>
              </w:rPr>
            </w:pPr>
            <w:r w:rsidRPr="008E6F5B">
              <w:rPr>
                <w:sz w:val="18"/>
                <w:szCs w:val="18"/>
              </w:rPr>
              <w:t>1</w:t>
            </w:r>
          </w:p>
        </w:tc>
      </w:tr>
      <w:tr w:rsidR="00FA568B" w:rsidRPr="008E6F5B" w14:paraId="50D40FEA"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234FA4DF" w14:textId="77777777" w:rsidR="00FA568B" w:rsidRPr="008E6F5B" w:rsidRDefault="00FA568B" w:rsidP="00443F31">
            <w:pPr>
              <w:rPr>
                <w:sz w:val="18"/>
                <w:szCs w:val="18"/>
              </w:rPr>
            </w:pPr>
            <w:r w:rsidRPr="008E6F5B">
              <w:rPr>
                <w:sz w:val="18"/>
                <w:szCs w:val="18"/>
              </w:rPr>
              <w:t>ОПАН</w:t>
            </w:r>
          </w:p>
        </w:tc>
        <w:tc>
          <w:tcPr>
            <w:tcW w:w="1045" w:type="pct"/>
            <w:tcBorders>
              <w:top w:val="single" w:sz="4" w:space="0" w:color="auto"/>
              <w:left w:val="single" w:sz="4" w:space="0" w:color="auto"/>
              <w:bottom w:val="single" w:sz="4" w:space="0" w:color="auto"/>
              <w:right w:val="single" w:sz="4" w:space="0" w:color="auto"/>
            </w:tcBorders>
          </w:tcPr>
          <w:p w14:paraId="4174CA17" w14:textId="77777777" w:rsidR="00FA568B" w:rsidRPr="008E6F5B" w:rsidRDefault="00FA568B" w:rsidP="00443F31">
            <w:pPr>
              <w:rPr>
                <w:sz w:val="18"/>
                <w:szCs w:val="18"/>
              </w:rPr>
            </w:pPr>
            <w:r w:rsidRPr="008E6F5B">
              <w:rPr>
                <w:sz w:val="18"/>
                <w:szCs w:val="18"/>
              </w:rPr>
              <w:t>СТАРА ЗАГОРА</w:t>
            </w:r>
          </w:p>
        </w:tc>
        <w:tc>
          <w:tcPr>
            <w:tcW w:w="2164" w:type="pct"/>
            <w:tcBorders>
              <w:top w:val="single" w:sz="4" w:space="0" w:color="auto"/>
              <w:left w:val="single" w:sz="4" w:space="0" w:color="auto"/>
              <w:bottom w:val="single" w:sz="4" w:space="0" w:color="auto"/>
              <w:right w:val="single" w:sz="4" w:space="0" w:color="auto"/>
            </w:tcBorders>
            <w:vAlign w:val="center"/>
          </w:tcPr>
          <w:p w14:paraId="3879AE58" w14:textId="77777777" w:rsidR="00FA568B" w:rsidRPr="008E6F5B" w:rsidRDefault="00FA568B" w:rsidP="00443F31">
            <w:pPr>
              <w:rPr>
                <w:sz w:val="18"/>
                <w:szCs w:val="18"/>
              </w:rPr>
            </w:pPr>
            <w:r w:rsidRPr="008E6F5B">
              <w:rPr>
                <w:sz w:val="18"/>
                <w:szCs w:val="18"/>
              </w:rPr>
              <w:t>"ЦЪРКВА НА БОГА"</w:t>
            </w:r>
          </w:p>
        </w:tc>
        <w:tc>
          <w:tcPr>
            <w:tcW w:w="746" w:type="pct"/>
            <w:tcBorders>
              <w:top w:val="single" w:sz="4" w:space="0" w:color="auto"/>
              <w:left w:val="single" w:sz="4" w:space="0" w:color="auto"/>
              <w:bottom w:val="single" w:sz="4" w:space="0" w:color="auto"/>
              <w:right w:val="single" w:sz="4" w:space="0" w:color="auto"/>
            </w:tcBorders>
            <w:vAlign w:val="center"/>
          </w:tcPr>
          <w:p w14:paraId="2F224594" w14:textId="77777777" w:rsidR="00FA568B" w:rsidRPr="008E6F5B" w:rsidRDefault="00FA568B" w:rsidP="00443F31">
            <w:pPr>
              <w:jc w:val="center"/>
              <w:rPr>
                <w:sz w:val="18"/>
                <w:szCs w:val="18"/>
              </w:rPr>
            </w:pPr>
            <w:r w:rsidRPr="008E6F5B">
              <w:rPr>
                <w:sz w:val="18"/>
                <w:szCs w:val="18"/>
              </w:rPr>
              <w:t>1</w:t>
            </w:r>
          </w:p>
        </w:tc>
      </w:tr>
      <w:tr w:rsidR="00FA568B" w:rsidRPr="008E6F5B" w14:paraId="2812A93F"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727352FB" w14:textId="77777777" w:rsidR="00FA568B" w:rsidRPr="008E6F5B" w:rsidRDefault="00FA568B" w:rsidP="00443F31">
            <w:pPr>
              <w:rPr>
                <w:sz w:val="18"/>
                <w:szCs w:val="18"/>
              </w:rPr>
            </w:pPr>
            <w:r w:rsidRPr="008E6F5B">
              <w:rPr>
                <w:sz w:val="18"/>
                <w:szCs w:val="18"/>
              </w:rPr>
              <w:t>СТАРА ЗАГОРА</w:t>
            </w:r>
          </w:p>
        </w:tc>
        <w:tc>
          <w:tcPr>
            <w:tcW w:w="1045" w:type="pct"/>
            <w:tcBorders>
              <w:top w:val="single" w:sz="4" w:space="0" w:color="auto"/>
              <w:left w:val="single" w:sz="4" w:space="0" w:color="auto"/>
              <w:bottom w:val="single" w:sz="4" w:space="0" w:color="auto"/>
              <w:right w:val="single" w:sz="4" w:space="0" w:color="auto"/>
            </w:tcBorders>
          </w:tcPr>
          <w:p w14:paraId="4D435241" w14:textId="77777777" w:rsidR="00FA568B" w:rsidRPr="008E6F5B" w:rsidRDefault="00FA568B" w:rsidP="00443F31">
            <w:pPr>
              <w:rPr>
                <w:sz w:val="18"/>
                <w:szCs w:val="18"/>
              </w:rPr>
            </w:pPr>
            <w:r w:rsidRPr="008E6F5B">
              <w:rPr>
                <w:sz w:val="18"/>
                <w:szCs w:val="18"/>
              </w:rPr>
              <w:t>СТАРА ЗАГОРА</w:t>
            </w:r>
          </w:p>
        </w:tc>
        <w:tc>
          <w:tcPr>
            <w:tcW w:w="2164" w:type="pct"/>
            <w:tcBorders>
              <w:top w:val="single" w:sz="4" w:space="0" w:color="auto"/>
              <w:left w:val="single" w:sz="4" w:space="0" w:color="auto"/>
              <w:bottom w:val="single" w:sz="4" w:space="0" w:color="auto"/>
              <w:right w:val="single" w:sz="4" w:space="0" w:color="auto"/>
            </w:tcBorders>
            <w:vAlign w:val="center"/>
          </w:tcPr>
          <w:p w14:paraId="2AB7772F" w14:textId="77777777" w:rsidR="00FA568B" w:rsidRPr="008E6F5B" w:rsidRDefault="00FA568B" w:rsidP="00443F31">
            <w:pPr>
              <w:rPr>
                <w:sz w:val="18"/>
                <w:szCs w:val="18"/>
              </w:rPr>
            </w:pPr>
            <w:r w:rsidRPr="008E6F5B">
              <w:rPr>
                <w:sz w:val="18"/>
                <w:szCs w:val="18"/>
              </w:rPr>
              <w:t>"ХРИСТИЯНСКИ ЦЪРКВИ НА ВЯРА В БЪЛГАРИЯ"</w:t>
            </w:r>
          </w:p>
        </w:tc>
        <w:tc>
          <w:tcPr>
            <w:tcW w:w="746" w:type="pct"/>
            <w:tcBorders>
              <w:top w:val="single" w:sz="4" w:space="0" w:color="auto"/>
              <w:left w:val="single" w:sz="4" w:space="0" w:color="auto"/>
              <w:bottom w:val="single" w:sz="4" w:space="0" w:color="auto"/>
              <w:right w:val="single" w:sz="4" w:space="0" w:color="auto"/>
            </w:tcBorders>
            <w:vAlign w:val="center"/>
          </w:tcPr>
          <w:p w14:paraId="5B640B4E" w14:textId="77777777" w:rsidR="00FA568B" w:rsidRPr="008E6F5B" w:rsidRDefault="00FA568B" w:rsidP="00443F31">
            <w:pPr>
              <w:jc w:val="center"/>
              <w:rPr>
                <w:sz w:val="18"/>
                <w:szCs w:val="18"/>
              </w:rPr>
            </w:pPr>
            <w:r w:rsidRPr="008E6F5B">
              <w:rPr>
                <w:sz w:val="18"/>
                <w:szCs w:val="18"/>
              </w:rPr>
              <w:t>1</w:t>
            </w:r>
          </w:p>
        </w:tc>
      </w:tr>
      <w:tr w:rsidR="00FA568B" w:rsidRPr="008E6F5B" w14:paraId="36164583"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6EF39DAA" w14:textId="77777777" w:rsidR="00FA568B" w:rsidRPr="008E6F5B" w:rsidRDefault="00FA568B" w:rsidP="00443F31">
            <w:pPr>
              <w:rPr>
                <w:sz w:val="18"/>
                <w:szCs w:val="18"/>
              </w:rPr>
            </w:pPr>
            <w:r w:rsidRPr="008E6F5B">
              <w:rPr>
                <w:sz w:val="18"/>
                <w:szCs w:val="18"/>
              </w:rPr>
              <w:t>СТАРА ЗАГОРА</w:t>
            </w:r>
          </w:p>
        </w:tc>
        <w:tc>
          <w:tcPr>
            <w:tcW w:w="1045" w:type="pct"/>
            <w:tcBorders>
              <w:top w:val="single" w:sz="4" w:space="0" w:color="auto"/>
              <w:left w:val="single" w:sz="4" w:space="0" w:color="auto"/>
              <w:bottom w:val="single" w:sz="4" w:space="0" w:color="auto"/>
              <w:right w:val="single" w:sz="4" w:space="0" w:color="auto"/>
            </w:tcBorders>
          </w:tcPr>
          <w:p w14:paraId="12F4836A" w14:textId="77777777" w:rsidR="00FA568B" w:rsidRPr="008E6F5B" w:rsidRDefault="00FA568B" w:rsidP="00443F31">
            <w:pPr>
              <w:rPr>
                <w:sz w:val="18"/>
                <w:szCs w:val="18"/>
              </w:rPr>
            </w:pPr>
            <w:r w:rsidRPr="008E6F5B">
              <w:rPr>
                <w:sz w:val="18"/>
                <w:szCs w:val="18"/>
              </w:rPr>
              <w:t>СТАРА ЗАГОРА</w:t>
            </w:r>
          </w:p>
        </w:tc>
        <w:tc>
          <w:tcPr>
            <w:tcW w:w="2164" w:type="pct"/>
            <w:tcBorders>
              <w:top w:val="single" w:sz="4" w:space="0" w:color="auto"/>
              <w:left w:val="single" w:sz="4" w:space="0" w:color="auto"/>
              <w:bottom w:val="single" w:sz="4" w:space="0" w:color="auto"/>
              <w:right w:val="single" w:sz="4" w:space="0" w:color="auto"/>
            </w:tcBorders>
            <w:vAlign w:val="center"/>
          </w:tcPr>
          <w:p w14:paraId="49622856" w14:textId="77777777" w:rsidR="00FA568B" w:rsidRPr="008E6F5B" w:rsidRDefault="00FA568B" w:rsidP="00443F31">
            <w:pPr>
              <w:rPr>
                <w:sz w:val="18"/>
                <w:szCs w:val="18"/>
              </w:rPr>
            </w:pPr>
            <w:r w:rsidRPr="008E6F5B">
              <w:rPr>
                <w:sz w:val="18"/>
                <w:szCs w:val="18"/>
              </w:rPr>
              <w:t>БЪЛГАРСКА БОЖИЯ ЦЪРКВА</w:t>
            </w:r>
          </w:p>
        </w:tc>
        <w:tc>
          <w:tcPr>
            <w:tcW w:w="746" w:type="pct"/>
            <w:tcBorders>
              <w:top w:val="single" w:sz="4" w:space="0" w:color="auto"/>
              <w:left w:val="single" w:sz="4" w:space="0" w:color="auto"/>
              <w:bottom w:val="single" w:sz="4" w:space="0" w:color="auto"/>
              <w:right w:val="single" w:sz="4" w:space="0" w:color="auto"/>
            </w:tcBorders>
            <w:vAlign w:val="center"/>
          </w:tcPr>
          <w:p w14:paraId="55B2593C" w14:textId="77777777" w:rsidR="00FA568B" w:rsidRPr="008E6F5B" w:rsidRDefault="00FA568B" w:rsidP="00443F31">
            <w:pPr>
              <w:jc w:val="center"/>
              <w:rPr>
                <w:sz w:val="18"/>
                <w:szCs w:val="18"/>
              </w:rPr>
            </w:pPr>
            <w:r w:rsidRPr="008E6F5B">
              <w:rPr>
                <w:sz w:val="18"/>
                <w:szCs w:val="18"/>
              </w:rPr>
              <w:t>1</w:t>
            </w:r>
          </w:p>
        </w:tc>
      </w:tr>
      <w:tr w:rsidR="00FA568B" w:rsidRPr="008E6F5B" w14:paraId="5713C0EB"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0F758FF4" w14:textId="77777777" w:rsidR="00FA568B" w:rsidRPr="008E6F5B" w:rsidRDefault="00FA568B" w:rsidP="00443F31">
            <w:pPr>
              <w:rPr>
                <w:sz w:val="18"/>
                <w:szCs w:val="18"/>
              </w:rPr>
            </w:pPr>
            <w:r w:rsidRPr="008E6F5B">
              <w:rPr>
                <w:sz w:val="18"/>
                <w:szCs w:val="18"/>
              </w:rPr>
              <w:t>СТАРА ЗАГОРА</w:t>
            </w:r>
          </w:p>
        </w:tc>
        <w:tc>
          <w:tcPr>
            <w:tcW w:w="1045" w:type="pct"/>
            <w:tcBorders>
              <w:top w:val="single" w:sz="4" w:space="0" w:color="auto"/>
              <w:left w:val="single" w:sz="4" w:space="0" w:color="auto"/>
              <w:bottom w:val="single" w:sz="4" w:space="0" w:color="auto"/>
              <w:right w:val="single" w:sz="4" w:space="0" w:color="auto"/>
            </w:tcBorders>
          </w:tcPr>
          <w:p w14:paraId="2C20438E" w14:textId="77777777" w:rsidR="00FA568B" w:rsidRPr="008E6F5B" w:rsidRDefault="00FA568B" w:rsidP="00443F31">
            <w:pPr>
              <w:rPr>
                <w:sz w:val="18"/>
                <w:szCs w:val="18"/>
              </w:rPr>
            </w:pPr>
            <w:r w:rsidRPr="008E6F5B">
              <w:rPr>
                <w:sz w:val="18"/>
                <w:szCs w:val="18"/>
              </w:rPr>
              <w:t>СТАРА ЗАГОРА</w:t>
            </w:r>
          </w:p>
        </w:tc>
        <w:tc>
          <w:tcPr>
            <w:tcW w:w="2164" w:type="pct"/>
            <w:tcBorders>
              <w:top w:val="single" w:sz="4" w:space="0" w:color="auto"/>
              <w:left w:val="single" w:sz="4" w:space="0" w:color="auto"/>
              <w:bottom w:val="single" w:sz="4" w:space="0" w:color="auto"/>
              <w:right w:val="single" w:sz="4" w:space="0" w:color="auto"/>
            </w:tcBorders>
            <w:vAlign w:val="center"/>
          </w:tcPr>
          <w:p w14:paraId="6CCC761A" w14:textId="77777777" w:rsidR="00FA568B" w:rsidRPr="008E6F5B" w:rsidRDefault="00FA568B" w:rsidP="00443F31">
            <w:pPr>
              <w:rPr>
                <w:sz w:val="18"/>
                <w:szCs w:val="18"/>
              </w:rPr>
            </w:pPr>
            <w:r w:rsidRPr="008E6F5B">
              <w:rPr>
                <w:sz w:val="18"/>
                <w:szCs w:val="18"/>
              </w:rPr>
              <w:t>"ЕВАНГЕЛСКА ЦЪРКВА ДОМЪТ НА ГРЪНЧАРЯ"</w:t>
            </w:r>
          </w:p>
        </w:tc>
        <w:tc>
          <w:tcPr>
            <w:tcW w:w="746" w:type="pct"/>
            <w:tcBorders>
              <w:top w:val="single" w:sz="4" w:space="0" w:color="auto"/>
              <w:left w:val="single" w:sz="4" w:space="0" w:color="auto"/>
              <w:bottom w:val="single" w:sz="4" w:space="0" w:color="auto"/>
              <w:right w:val="single" w:sz="4" w:space="0" w:color="auto"/>
            </w:tcBorders>
            <w:vAlign w:val="center"/>
          </w:tcPr>
          <w:p w14:paraId="7ADBA346" w14:textId="77777777" w:rsidR="00FA568B" w:rsidRPr="008E6F5B" w:rsidRDefault="00FA568B" w:rsidP="00443F31">
            <w:pPr>
              <w:jc w:val="center"/>
              <w:rPr>
                <w:sz w:val="18"/>
                <w:szCs w:val="18"/>
              </w:rPr>
            </w:pPr>
            <w:r w:rsidRPr="008E6F5B">
              <w:rPr>
                <w:sz w:val="18"/>
                <w:szCs w:val="18"/>
              </w:rPr>
              <w:t>1</w:t>
            </w:r>
          </w:p>
        </w:tc>
      </w:tr>
      <w:tr w:rsidR="00FA568B" w:rsidRPr="008E6F5B" w14:paraId="4380DB02" w14:textId="77777777" w:rsidTr="00057048">
        <w:tc>
          <w:tcPr>
            <w:tcW w:w="1045" w:type="pct"/>
            <w:tcBorders>
              <w:top w:val="single" w:sz="4" w:space="0" w:color="auto"/>
              <w:left w:val="single" w:sz="4" w:space="0" w:color="auto"/>
              <w:bottom w:val="single" w:sz="4" w:space="0" w:color="auto"/>
              <w:right w:val="single" w:sz="4" w:space="0" w:color="auto"/>
            </w:tcBorders>
            <w:vAlign w:val="center"/>
            <w:hideMark/>
          </w:tcPr>
          <w:p w14:paraId="2BDCE764" w14:textId="77777777" w:rsidR="00FA568B" w:rsidRPr="008E6F5B" w:rsidRDefault="00FA568B" w:rsidP="00443F31">
            <w:pPr>
              <w:rPr>
                <w:sz w:val="18"/>
                <w:szCs w:val="18"/>
              </w:rPr>
            </w:pPr>
            <w:r w:rsidRPr="008E6F5B">
              <w:rPr>
                <w:sz w:val="18"/>
                <w:szCs w:val="18"/>
              </w:rPr>
              <w:t>ЧИРПАН</w:t>
            </w:r>
          </w:p>
        </w:tc>
        <w:tc>
          <w:tcPr>
            <w:tcW w:w="1045" w:type="pct"/>
            <w:tcBorders>
              <w:top w:val="single" w:sz="4" w:space="0" w:color="auto"/>
              <w:left w:val="single" w:sz="4" w:space="0" w:color="auto"/>
              <w:bottom w:val="single" w:sz="4" w:space="0" w:color="auto"/>
              <w:right w:val="single" w:sz="4" w:space="0" w:color="auto"/>
            </w:tcBorders>
            <w:hideMark/>
          </w:tcPr>
          <w:p w14:paraId="54A5B002" w14:textId="77777777" w:rsidR="00FA568B" w:rsidRPr="008E6F5B" w:rsidRDefault="00FA568B" w:rsidP="00443F31">
            <w:pPr>
              <w:rPr>
                <w:sz w:val="18"/>
                <w:szCs w:val="18"/>
              </w:rPr>
            </w:pPr>
            <w:r w:rsidRPr="008E6F5B">
              <w:rPr>
                <w:sz w:val="18"/>
                <w:szCs w:val="18"/>
              </w:rPr>
              <w:t>СТАРА ЗАГОРА</w:t>
            </w:r>
          </w:p>
        </w:tc>
        <w:tc>
          <w:tcPr>
            <w:tcW w:w="2164" w:type="pct"/>
            <w:tcBorders>
              <w:top w:val="single" w:sz="4" w:space="0" w:color="auto"/>
              <w:left w:val="single" w:sz="4" w:space="0" w:color="auto"/>
              <w:bottom w:val="single" w:sz="4" w:space="0" w:color="auto"/>
              <w:right w:val="single" w:sz="4" w:space="0" w:color="auto"/>
            </w:tcBorders>
            <w:vAlign w:val="center"/>
          </w:tcPr>
          <w:p w14:paraId="735E1DE8" w14:textId="77777777" w:rsidR="00FA568B" w:rsidRPr="008E6F5B" w:rsidRDefault="00FA568B" w:rsidP="00443F31">
            <w:pPr>
              <w:rPr>
                <w:sz w:val="18"/>
                <w:szCs w:val="18"/>
              </w:rPr>
            </w:pPr>
            <w:r w:rsidRPr="008E6F5B">
              <w:rPr>
                <w:sz w:val="18"/>
                <w:szCs w:val="18"/>
              </w:rPr>
              <w:t>"ЦЪРКВА НА БОГА"</w:t>
            </w:r>
          </w:p>
        </w:tc>
        <w:tc>
          <w:tcPr>
            <w:tcW w:w="746" w:type="pct"/>
            <w:tcBorders>
              <w:top w:val="single" w:sz="4" w:space="0" w:color="auto"/>
              <w:left w:val="single" w:sz="4" w:space="0" w:color="auto"/>
              <w:bottom w:val="single" w:sz="4" w:space="0" w:color="auto"/>
              <w:right w:val="single" w:sz="4" w:space="0" w:color="auto"/>
            </w:tcBorders>
            <w:vAlign w:val="center"/>
          </w:tcPr>
          <w:p w14:paraId="7CAE3DAC" w14:textId="77777777" w:rsidR="00FA568B" w:rsidRPr="008E6F5B" w:rsidRDefault="00FA568B" w:rsidP="00443F31">
            <w:pPr>
              <w:jc w:val="center"/>
              <w:rPr>
                <w:sz w:val="18"/>
                <w:szCs w:val="18"/>
              </w:rPr>
            </w:pPr>
            <w:r w:rsidRPr="008E6F5B">
              <w:rPr>
                <w:sz w:val="18"/>
                <w:szCs w:val="18"/>
              </w:rPr>
              <w:t>1</w:t>
            </w:r>
          </w:p>
        </w:tc>
      </w:tr>
      <w:tr w:rsidR="00FA568B" w:rsidRPr="008E6F5B" w14:paraId="11035BF8"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hideMark/>
          </w:tcPr>
          <w:p w14:paraId="415EA861" w14:textId="77777777" w:rsidR="00FA568B" w:rsidRPr="008E6F5B" w:rsidRDefault="00FA568B" w:rsidP="00443F31">
            <w:pPr>
              <w:rPr>
                <w:sz w:val="18"/>
                <w:szCs w:val="18"/>
              </w:rPr>
            </w:pPr>
            <w:r w:rsidRPr="008E6F5B">
              <w:rPr>
                <w:b/>
                <w:sz w:val="18"/>
                <w:szCs w:val="18"/>
              </w:rPr>
              <w:t>ОБЛАСТ ТЪРГОВИЩЕ</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676E641B" w14:textId="77777777" w:rsidR="00FA568B" w:rsidRPr="008E6F5B" w:rsidRDefault="00FA568B" w:rsidP="00443F31">
            <w:pPr>
              <w:jc w:val="center"/>
              <w:rPr>
                <w:b/>
                <w:sz w:val="18"/>
                <w:szCs w:val="18"/>
              </w:rPr>
            </w:pPr>
            <w:r w:rsidRPr="008E6F5B">
              <w:rPr>
                <w:b/>
                <w:sz w:val="18"/>
                <w:szCs w:val="18"/>
              </w:rPr>
              <w:t>7</w:t>
            </w:r>
          </w:p>
        </w:tc>
      </w:tr>
      <w:tr w:rsidR="00FA568B" w:rsidRPr="008E6F5B" w14:paraId="5775EED5"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48EBEBBF" w14:textId="77777777" w:rsidR="00FA568B" w:rsidRPr="008E6F5B" w:rsidRDefault="00FA568B" w:rsidP="00443F31">
            <w:pPr>
              <w:rPr>
                <w:sz w:val="18"/>
                <w:szCs w:val="18"/>
              </w:rPr>
            </w:pPr>
            <w:r w:rsidRPr="008E6F5B">
              <w:rPr>
                <w:sz w:val="18"/>
                <w:szCs w:val="18"/>
              </w:rPr>
              <w:t>АНТОНОВО</w:t>
            </w:r>
          </w:p>
        </w:tc>
        <w:tc>
          <w:tcPr>
            <w:tcW w:w="1045" w:type="pct"/>
            <w:tcBorders>
              <w:top w:val="single" w:sz="4" w:space="0" w:color="auto"/>
              <w:left w:val="single" w:sz="4" w:space="0" w:color="auto"/>
              <w:bottom w:val="single" w:sz="4" w:space="0" w:color="auto"/>
              <w:right w:val="single" w:sz="4" w:space="0" w:color="auto"/>
            </w:tcBorders>
            <w:vAlign w:val="center"/>
          </w:tcPr>
          <w:p w14:paraId="1DBFD023" w14:textId="77777777" w:rsidR="00FA568B" w:rsidRPr="008E6F5B" w:rsidRDefault="00FA568B" w:rsidP="00443F31">
            <w:pPr>
              <w:rPr>
                <w:sz w:val="18"/>
                <w:szCs w:val="18"/>
              </w:rPr>
            </w:pPr>
            <w:r w:rsidRPr="008E6F5B">
              <w:rPr>
                <w:sz w:val="18"/>
                <w:szCs w:val="18"/>
              </w:rPr>
              <w:t>ТЪРГОВИЩЕ</w:t>
            </w:r>
          </w:p>
        </w:tc>
        <w:tc>
          <w:tcPr>
            <w:tcW w:w="2164" w:type="pct"/>
            <w:tcBorders>
              <w:top w:val="single" w:sz="4" w:space="0" w:color="auto"/>
              <w:left w:val="single" w:sz="4" w:space="0" w:color="auto"/>
              <w:bottom w:val="single" w:sz="4" w:space="0" w:color="auto"/>
              <w:right w:val="single" w:sz="4" w:space="0" w:color="auto"/>
            </w:tcBorders>
            <w:vAlign w:val="center"/>
          </w:tcPr>
          <w:p w14:paraId="62A088B5"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43A97839" w14:textId="77777777" w:rsidR="00FA568B" w:rsidRPr="008E6F5B" w:rsidRDefault="00FA568B" w:rsidP="00443F31">
            <w:pPr>
              <w:jc w:val="center"/>
              <w:rPr>
                <w:sz w:val="18"/>
                <w:szCs w:val="18"/>
              </w:rPr>
            </w:pPr>
            <w:r w:rsidRPr="008E6F5B">
              <w:rPr>
                <w:sz w:val="18"/>
                <w:szCs w:val="18"/>
              </w:rPr>
              <w:t>1</w:t>
            </w:r>
          </w:p>
        </w:tc>
      </w:tr>
      <w:tr w:rsidR="00FA568B" w:rsidRPr="008E6F5B" w14:paraId="6D1E9E9B" w14:textId="77777777" w:rsidTr="00057048">
        <w:tc>
          <w:tcPr>
            <w:tcW w:w="1045" w:type="pct"/>
            <w:tcBorders>
              <w:top w:val="single" w:sz="4" w:space="0" w:color="auto"/>
              <w:left w:val="single" w:sz="4" w:space="0" w:color="auto"/>
              <w:bottom w:val="single" w:sz="4" w:space="0" w:color="auto"/>
              <w:right w:val="single" w:sz="4" w:space="0" w:color="auto"/>
            </w:tcBorders>
            <w:vAlign w:val="center"/>
            <w:hideMark/>
          </w:tcPr>
          <w:p w14:paraId="62585032" w14:textId="77777777" w:rsidR="00FA568B" w:rsidRPr="008E6F5B" w:rsidRDefault="00FA568B" w:rsidP="00443F31">
            <w:pPr>
              <w:rPr>
                <w:sz w:val="18"/>
                <w:szCs w:val="18"/>
              </w:rPr>
            </w:pPr>
            <w:r w:rsidRPr="008E6F5B">
              <w:rPr>
                <w:sz w:val="18"/>
                <w:szCs w:val="18"/>
              </w:rPr>
              <w:t>ОМУРТАГ</w:t>
            </w:r>
          </w:p>
        </w:tc>
        <w:tc>
          <w:tcPr>
            <w:tcW w:w="1045" w:type="pct"/>
            <w:tcBorders>
              <w:top w:val="single" w:sz="4" w:space="0" w:color="auto"/>
              <w:left w:val="single" w:sz="4" w:space="0" w:color="auto"/>
              <w:bottom w:val="single" w:sz="4" w:space="0" w:color="auto"/>
              <w:right w:val="single" w:sz="4" w:space="0" w:color="auto"/>
            </w:tcBorders>
            <w:vAlign w:val="center"/>
            <w:hideMark/>
          </w:tcPr>
          <w:p w14:paraId="710980CD" w14:textId="77777777" w:rsidR="00FA568B" w:rsidRPr="008E6F5B" w:rsidRDefault="00FA568B" w:rsidP="00443F31">
            <w:pPr>
              <w:rPr>
                <w:sz w:val="18"/>
                <w:szCs w:val="18"/>
              </w:rPr>
            </w:pPr>
            <w:r w:rsidRPr="008E6F5B">
              <w:rPr>
                <w:sz w:val="18"/>
                <w:szCs w:val="18"/>
              </w:rPr>
              <w:t>ТЪРГОВИЩЕ</w:t>
            </w:r>
          </w:p>
        </w:tc>
        <w:tc>
          <w:tcPr>
            <w:tcW w:w="2164" w:type="pct"/>
            <w:tcBorders>
              <w:top w:val="single" w:sz="4" w:space="0" w:color="auto"/>
              <w:left w:val="single" w:sz="4" w:space="0" w:color="auto"/>
              <w:bottom w:val="single" w:sz="4" w:space="0" w:color="auto"/>
              <w:right w:val="single" w:sz="4" w:space="0" w:color="auto"/>
            </w:tcBorders>
            <w:vAlign w:val="center"/>
          </w:tcPr>
          <w:p w14:paraId="149F353B"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3AC9DC8B" w14:textId="77777777" w:rsidR="00FA568B" w:rsidRPr="008E6F5B" w:rsidRDefault="00FA568B" w:rsidP="00443F31">
            <w:pPr>
              <w:jc w:val="center"/>
              <w:rPr>
                <w:sz w:val="18"/>
                <w:szCs w:val="18"/>
              </w:rPr>
            </w:pPr>
            <w:r w:rsidRPr="008E6F5B">
              <w:rPr>
                <w:sz w:val="18"/>
                <w:szCs w:val="18"/>
              </w:rPr>
              <w:t>4</w:t>
            </w:r>
          </w:p>
        </w:tc>
      </w:tr>
      <w:tr w:rsidR="00FA568B" w:rsidRPr="008E6F5B" w14:paraId="3A92F43C"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4AB77F8B" w14:textId="77777777" w:rsidR="00FA568B" w:rsidRPr="008E6F5B" w:rsidRDefault="00FA568B" w:rsidP="00443F31">
            <w:pPr>
              <w:rPr>
                <w:sz w:val="18"/>
                <w:szCs w:val="18"/>
              </w:rPr>
            </w:pPr>
            <w:r w:rsidRPr="008E6F5B">
              <w:rPr>
                <w:sz w:val="18"/>
                <w:szCs w:val="18"/>
              </w:rPr>
              <w:t>ОПАКА</w:t>
            </w:r>
          </w:p>
        </w:tc>
        <w:tc>
          <w:tcPr>
            <w:tcW w:w="1045" w:type="pct"/>
            <w:tcBorders>
              <w:top w:val="single" w:sz="4" w:space="0" w:color="auto"/>
              <w:left w:val="single" w:sz="4" w:space="0" w:color="auto"/>
              <w:bottom w:val="single" w:sz="4" w:space="0" w:color="auto"/>
              <w:right w:val="single" w:sz="4" w:space="0" w:color="auto"/>
            </w:tcBorders>
            <w:vAlign w:val="center"/>
          </w:tcPr>
          <w:p w14:paraId="7CA4CC3D" w14:textId="77777777" w:rsidR="00FA568B" w:rsidRPr="008E6F5B" w:rsidRDefault="00FA568B" w:rsidP="00443F31">
            <w:pPr>
              <w:rPr>
                <w:sz w:val="18"/>
                <w:szCs w:val="18"/>
              </w:rPr>
            </w:pPr>
            <w:r w:rsidRPr="008E6F5B">
              <w:rPr>
                <w:sz w:val="18"/>
                <w:szCs w:val="18"/>
              </w:rPr>
              <w:t>ТЪРГОВИЩЕ</w:t>
            </w:r>
          </w:p>
        </w:tc>
        <w:tc>
          <w:tcPr>
            <w:tcW w:w="2164" w:type="pct"/>
            <w:tcBorders>
              <w:top w:val="single" w:sz="4" w:space="0" w:color="auto"/>
              <w:left w:val="single" w:sz="4" w:space="0" w:color="auto"/>
              <w:bottom w:val="single" w:sz="4" w:space="0" w:color="auto"/>
              <w:right w:val="single" w:sz="4" w:space="0" w:color="auto"/>
            </w:tcBorders>
            <w:vAlign w:val="center"/>
          </w:tcPr>
          <w:p w14:paraId="593C2AB5"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743F46FB" w14:textId="77777777" w:rsidR="00FA568B" w:rsidRPr="008E6F5B" w:rsidRDefault="00FA568B" w:rsidP="00443F31">
            <w:pPr>
              <w:jc w:val="center"/>
              <w:rPr>
                <w:sz w:val="18"/>
                <w:szCs w:val="18"/>
              </w:rPr>
            </w:pPr>
            <w:r w:rsidRPr="008E6F5B">
              <w:rPr>
                <w:sz w:val="18"/>
                <w:szCs w:val="18"/>
              </w:rPr>
              <w:t>2</w:t>
            </w:r>
          </w:p>
        </w:tc>
      </w:tr>
      <w:tr w:rsidR="00FA568B" w:rsidRPr="008E6F5B" w14:paraId="43FAD1A9"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hideMark/>
          </w:tcPr>
          <w:p w14:paraId="32B06EC0" w14:textId="77777777" w:rsidR="00FA568B" w:rsidRPr="008E6F5B" w:rsidRDefault="00FA568B" w:rsidP="00443F31">
            <w:pPr>
              <w:rPr>
                <w:sz w:val="18"/>
                <w:szCs w:val="18"/>
              </w:rPr>
            </w:pPr>
            <w:r w:rsidRPr="008E6F5B">
              <w:rPr>
                <w:b/>
                <w:sz w:val="18"/>
                <w:szCs w:val="18"/>
              </w:rPr>
              <w:t>ОБЛАСТ ХАСКОВО</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35958422" w14:textId="77777777" w:rsidR="00FA568B" w:rsidRPr="008E6F5B" w:rsidRDefault="00FA568B" w:rsidP="00443F31">
            <w:pPr>
              <w:jc w:val="center"/>
              <w:rPr>
                <w:b/>
                <w:sz w:val="18"/>
                <w:szCs w:val="18"/>
              </w:rPr>
            </w:pPr>
            <w:r w:rsidRPr="008E6F5B">
              <w:rPr>
                <w:b/>
                <w:sz w:val="18"/>
                <w:szCs w:val="18"/>
              </w:rPr>
              <w:t>17</w:t>
            </w:r>
          </w:p>
        </w:tc>
      </w:tr>
      <w:tr w:rsidR="00FA568B" w:rsidRPr="008E6F5B" w14:paraId="76897000" w14:textId="77777777" w:rsidTr="00057048">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084A1AE9" w14:textId="77777777" w:rsidR="00FA568B" w:rsidRPr="008E6F5B" w:rsidRDefault="00FA568B" w:rsidP="00443F31">
            <w:pPr>
              <w:rPr>
                <w:sz w:val="18"/>
                <w:szCs w:val="18"/>
              </w:rPr>
            </w:pPr>
            <w:r w:rsidRPr="008E6F5B">
              <w:rPr>
                <w:sz w:val="18"/>
                <w:szCs w:val="18"/>
              </w:rPr>
              <w:t>ХАСКОВО</w:t>
            </w: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1DF7204F" w14:textId="77777777" w:rsidR="00FA568B" w:rsidRPr="008E6F5B" w:rsidRDefault="00FA568B" w:rsidP="00443F31">
            <w:pPr>
              <w:rPr>
                <w:sz w:val="18"/>
                <w:szCs w:val="18"/>
              </w:rPr>
            </w:pPr>
            <w:r w:rsidRPr="008E6F5B">
              <w:rPr>
                <w:sz w:val="18"/>
                <w:szCs w:val="18"/>
              </w:rPr>
              <w:t>ХАСКОВО</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2C9F2B00" w14:textId="77777777" w:rsidR="00FA568B" w:rsidRPr="008E6F5B" w:rsidRDefault="00FA568B" w:rsidP="00443F31">
            <w:pPr>
              <w:rPr>
                <w:sz w:val="18"/>
                <w:szCs w:val="18"/>
              </w:rPr>
            </w:pPr>
            <w:r w:rsidRPr="008E6F5B">
              <w:rPr>
                <w:sz w:val="18"/>
                <w:szCs w:val="18"/>
              </w:rPr>
              <w:t>ОБЩЕСТВО БЯЛО БРАТСТВО</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71417098" w14:textId="77777777" w:rsidR="00FA568B" w:rsidRPr="008E6F5B" w:rsidRDefault="00FA568B" w:rsidP="00443F31">
            <w:pPr>
              <w:jc w:val="center"/>
              <w:rPr>
                <w:sz w:val="18"/>
                <w:szCs w:val="18"/>
              </w:rPr>
            </w:pPr>
            <w:r w:rsidRPr="008E6F5B">
              <w:rPr>
                <w:sz w:val="18"/>
                <w:szCs w:val="18"/>
              </w:rPr>
              <w:t>1</w:t>
            </w:r>
          </w:p>
        </w:tc>
      </w:tr>
      <w:tr w:rsidR="00FA568B" w:rsidRPr="008E6F5B" w14:paraId="29810432" w14:textId="77777777" w:rsidTr="00057048">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119AA8B6" w14:textId="77777777" w:rsidR="00FA568B" w:rsidRPr="008E6F5B" w:rsidRDefault="00FA568B" w:rsidP="00443F31">
            <w:pPr>
              <w:rPr>
                <w:sz w:val="18"/>
                <w:szCs w:val="18"/>
              </w:rPr>
            </w:pPr>
            <w:r w:rsidRPr="008E6F5B">
              <w:rPr>
                <w:sz w:val="18"/>
                <w:szCs w:val="18"/>
              </w:rPr>
              <w:t>ХАСКОВО</w:t>
            </w: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75471991" w14:textId="77777777" w:rsidR="00FA568B" w:rsidRPr="008E6F5B" w:rsidRDefault="00FA568B" w:rsidP="00443F31">
            <w:pPr>
              <w:rPr>
                <w:sz w:val="18"/>
                <w:szCs w:val="18"/>
              </w:rPr>
            </w:pPr>
            <w:r w:rsidRPr="008E6F5B">
              <w:rPr>
                <w:sz w:val="18"/>
                <w:szCs w:val="18"/>
              </w:rPr>
              <w:t>ХАСКОВО</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43ACCC82" w14:textId="77777777" w:rsidR="00FA568B" w:rsidRPr="008E6F5B" w:rsidRDefault="00FA568B" w:rsidP="00443F31">
            <w:pPr>
              <w:rPr>
                <w:sz w:val="18"/>
                <w:szCs w:val="18"/>
              </w:rPr>
            </w:pPr>
            <w:r w:rsidRPr="008E6F5B">
              <w:rPr>
                <w:sz w:val="18"/>
                <w:szCs w:val="18"/>
              </w:rPr>
              <w:t>"ХРИСТИЯНСКА ПРЕЗВИТЕРСКА ЦЪРКВА В БЪЛГАРИЯ"</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572E6261" w14:textId="77777777" w:rsidR="00FA568B" w:rsidRPr="008E6F5B" w:rsidRDefault="00FA568B" w:rsidP="00443F31">
            <w:pPr>
              <w:jc w:val="center"/>
              <w:rPr>
                <w:sz w:val="18"/>
                <w:szCs w:val="18"/>
              </w:rPr>
            </w:pPr>
            <w:r w:rsidRPr="008E6F5B">
              <w:rPr>
                <w:sz w:val="18"/>
                <w:szCs w:val="18"/>
              </w:rPr>
              <w:t>1</w:t>
            </w:r>
          </w:p>
        </w:tc>
      </w:tr>
      <w:tr w:rsidR="00FA568B" w:rsidRPr="008E6F5B" w14:paraId="792BC4A1" w14:textId="77777777" w:rsidTr="00057048">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558ACDA7" w14:textId="77777777" w:rsidR="00FA568B" w:rsidRPr="008E6F5B" w:rsidRDefault="00FA568B" w:rsidP="00443F31">
            <w:pPr>
              <w:rPr>
                <w:sz w:val="18"/>
                <w:szCs w:val="18"/>
              </w:rPr>
            </w:pPr>
            <w:r w:rsidRPr="008E6F5B">
              <w:rPr>
                <w:sz w:val="18"/>
                <w:szCs w:val="18"/>
              </w:rPr>
              <w:t>ХАСКОВО</w:t>
            </w: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49005131" w14:textId="77777777" w:rsidR="00FA568B" w:rsidRPr="008E6F5B" w:rsidRDefault="00FA568B" w:rsidP="00443F31">
            <w:pPr>
              <w:rPr>
                <w:sz w:val="18"/>
                <w:szCs w:val="18"/>
              </w:rPr>
            </w:pPr>
            <w:r w:rsidRPr="008E6F5B">
              <w:rPr>
                <w:sz w:val="18"/>
                <w:szCs w:val="18"/>
              </w:rPr>
              <w:t>ХАСКОВО</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2C379041"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6AA5E414" w14:textId="77777777" w:rsidR="00FA568B" w:rsidRPr="008E6F5B" w:rsidRDefault="00FA568B" w:rsidP="00443F31">
            <w:pPr>
              <w:jc w:val="center"/>
              <w:rPr>
                <w:sz w:val="18"/>
                <w:szCs w:val="18"/>
              </w:rPr>
            </w:pPr>
            <w:r w:rsidRPr="008E6F5B">
              <w:rPr>
                <w:sz w:val="18"/>
                <w:szCs w:val="18"/>
              </w:rPr>
              <w:t>6</w:t>
            </w:r>
          </w:p>
        </w:tc>
      </w:tr>
      <w:tr w:rsidR="00FA568B" w:rsidRPr="008E6F5B" w14:paraId="6EB31B9F" w14:textId="77777777" w:rsidTr="00057048">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1F234DE0" w14:textId="77777777" w:rsidR="00FA568B" w:rsidRPr="008E6F5B" w:rsidRDefault="00FA568B" w:rsidP="00443F31">
            <w:pPr>
              <w:rPr>
                <w:sz w:val="18"/>
                <w:szCs w:val="18"/>
              </w:rPr>
            </w:pPr>
            <w:r w:rsidRPr="008E6F5B">
              <w:rPr>
                <w:sz w:val="18"/>
                <w:szCs w:val="18"/>
              </w:rPr>
              <w:t>СТАМБОЛОВО</w:t>
            </w: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286F47BE" w14:textId="77777777" w:rsidR="00FA568B" w:rsidRPr="008E6F5B" w:rsidRDefault="00FA568B" w:rsidP="00443F31">
            <w:pPr>
              <w:rPr>
                <w:sz w:val="18"/>
                <w:szCs w:val="18"/>
              </w:rPr>
            </w:pPr>
            <w:r w:rsidRPr="008E6F5B">
              <w:rPr>
                <w:sz w:val="18"/>
                <w:szCs w:val="18"/>
              </w:rPr>
              <w:t>ХАСКОВО</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502014CC"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79CAA89A" w14:textId="77777777" w:rsidR="00FA568B" w:rsidRPr="008E6F5B" w:rsidRDefault="00FA568B" w:rsidP="00443F31">
            <w:pPr>
              <w:jc w:val="center"/>
              <w:rPr>
                <w:sz w:val="18"/>
                <w:szCs w:val="18"/>
              </w:rPr>
            </w:pPr>
            <w:r w:rsidRPr="008E6F5B">
              <w:rPr>
                <w:sz w:val="18"/>
                <w:szCs w:val="18"/>
              </w:rPr>
              <w:t>6</w:t>
            </w:r>
          </w:p>
        </w:tc>
      </w:tr>
      <w:tr w:rsidR="00FA568B" w:rsidRPr="008E6F5B" w14:paraId="322D680B" w14:textId="77777777" w:rsidTr="00057048">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68379061" w14:textId="77777777" w:rsidR="00FA568B" w:rsidRPr="008E6F5B" w:rsidRDefault="00FA568B" w:rsidP="00443F31">
            <w:pPr>
              <w:rPr>
                <w:sz w:val="18"/>
                <w:szCs w:val="18"/>
              </w:rPr>
            </w:pPr>
            <w:r w:rsidRPr="008E6F5B">
              <w:rPr>
                <w:sz w:val="18"/>
                <w:szCs w:val="18"/>
              </w:rPr>
              <w:lastRenderedPageBreak/>
              <w:t>СВИЛЕНГРАД</w:t>
            </w: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36AACF8D" w14:textId="77777777" w:rsidR="00FA568B" w:rsidRPr="008E6F5B" w:rsidRDefault="00FA568B" w:rsidP="00443F31">
            <w:pPr>
              <w:rPr>
                <w:sz w:val="18"/>
                <w:szCs w:val="18"/>
              </w:rPr>
            </w:pPr>
            <w:r w:rsidRPr="008E6F5B">
              <w:rPr>
                <w:sz w:val="18"/>
                <w:szCs w:val="18"/>
              </w:rPr>
              <w:t>ХАСКОВО</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51E926CB" w14:textId="77777777" w:rsidR="00FA568B" w:rsidRPr="008E6F5B" w:rsidRDefault="00FA568B" w:rsidP="00443F31">
            <w:pPr>
              <w:rPr>
                <w:sz w:val="18"/>
                <w:szCs w:val="18"/>
              </w:rPr>
            </w:pPr>
            <w:r w:rsidRPr="008E6F5B">
              <w:rPr>
                <w:sz w:val="18"/>
                <w:szCs w:val="18"/>
              </w:rPr>
              <w:t>„ЦЪРКВА НА БОГА“</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78821A07" w14:textId="77777777" w:rsidR="00FA568B" w:rsidRPr="008E6F5B" w:rsidRDefault="00FA568B" w:rsidP="00443F31">
            <w:pPr>
              <w:jc w:val="center"/>
              <w:rPr>
                <w:sz w:val="18"/>
                <w:szCs w:val="18"/>
              </w:rPr>
            </w:pPr>
            <w:r w:rsidRPr="008E6F5B">
              <w:rPr>
                <w:sz w:val="18"/>
                <w:szCs w:val="18"/>
              </w:rPr>
              <w:t>1</w:t>
            </w:r>
          </w:p>
        </w:tc>
      </w:tr>
      <w:tr w:rsidR="00FA568B" w:rsidRPr="008E6F5B" w14:paraId="2E575F2E" w14:textId="77777777" w:rsidTr="00057048">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12FD3E3F" w14:textId="77777777" w:rsidR="00FA568B" w:rsidRPr="008E6F5B" w:rsidRDefault="00FA568B" w:rsidP="00443F31">
            <w:pPr>
              <w:rPr>
                <w:sz w:val="18"/>
                <w:szCs w:val="18"/>
              </w:rPr>
            </w:pPr>
            <w:r w:rsidRPr="008E6F5B">
              <w:rPr>
                <w:sz w:val="18"/>
                <w:szCs w:val="18"/>
              </w:rPr>
              <w:t>МИНЕРАЛНИ БАНИ</w:t>
            </w: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1849BEF8" w14:textId="77777777" w:rsidR="00FA568B" w:rsidRPr="008E6F5B" w:rsidRDefault="00FA568B" w:rsidP="00443F31">
            <w:pPr>
              <w:rPr>
                <w:sz w:val="18"/>
                <w:szCs w:val="18"/>
              </w:rPr>
            </w:pPr>
            <w:r w:rsidRPr="008E6F5B">
              <w:rPr>
                <w:sz w:val="18"/>
                <w:szCs w:val="18"/>
              </w:rPr>
              <w:t>ХАСКОВО</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602FFFE4"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2C78B8D4" w14:textId="77777777" w:rsidR="00FA568B" w:rsidRPr="008E6F5B" w:rsidRDefault="00FA568B" w:rsidP="00443F31">
            <w:pPr>
              <w:jc w:val="center"/>
              <w:rPr>
                <w:sz w:val="18"/>
                <w:szCs w:val="18"/>
              </w:rPr>
            </w:pPr>
            <w:r w:rsidRPr="008E6F5B">
              <w:rPr>
                <w:sz w:val="18"/>
                <w:szCs w:val="18"/>
              </w:rPr>
              <w:t>2</w:t>
            </w:r>
          </w:p>
        </w:tc>
      </w:tr>
      <w:tr w:rsidR="00FA568B" w:rsidRPr="008E6F5B" w14:paraId="3B0BA5CE"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68EB2A18" w14:textId="77777777" w:rsidR="00FA568B" w:rsidRPr="008E6F5B" w:rsidRDefault="00FA568B" w:rsidP="00443F31">
            <w:pPr>
              <w:rPr>
                <w:b/>
                <w:sz w:val="18"/>
                <w:szCs w:val="18"/>
              </w:rPr>
            </w:pPr>
            <w:r w:rsidRPr="008E6F5B">
              <w:rPr>
                <w:b/>
                <w:sz w:val="18"/>
                <w:szCs w:val="18"/>
              </w:rPr>
              <w:t>ОБЛАСТ ШУМЕН</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20BAD860" w14:textId="77777777" w:rsidR="00FA568B" w:rsidRPr="008E6F5B" w:rsidRDefault="00FA568B" w:rsidP="00443F31">
            <w:pPr>
              <w:jc w:val="center"/>
              <w:rPr>
                <w:b/>
                <w:sz w:val="18"/>
                <w:szCs w:val="18"/>
              </w:rPr>
            </w:pPr>
            <w:r w:rsidRPr="008E6F5B">
              <w:rPr>
                <w:b/>
                <w:sz w:val="18"/>
                <w:szCs w:val="18"/>
              </w:rPr>
              <w:t>3</w:t>
            </w:r>
          </w:p>
        </w:tc>
      </w:tr>
      <w:tr w:rsidR="00FA568B" w:rsidRPr="008E6F5B" w14:paraId="23CCA40B"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48E49BE3" w14:textId="77777777" w:rsidR="00FA568B" w:rsidRPr="008E6F5B" w:rsidRDefault="00FA568B" w:rsidP="00443F31">
            <w:pPr>
              <w:rPr>
                <w:sz w:val="18"/>
                <w:szCs w:val="18"/>
              </w:rPr>
            </w:pPr>
            <w:r w:rsidRPr="008E6F5B">
              <w:rPr>
                <w:sz w:val="18"/>
                <w:szCs w:val="18"/>
              </w:rPr>
              <w:t>КАОЛИНОВО</w:t>
            </w:r>
          </w:p>
        </w:tc>
        <w:tc>
          <w:tcPr>
            <w:tcW w:w="1045" w:type="pct"/>
            <w:tcBorders>
              <w:top w:val="single" w:sz="4" w:space="0" w:color="auto"/>
              <w:left w:val="single" w:sz="4" w:space="0" w:color="auto"/>
              <w:bottom w:val="single" w:sz="4" w:space="0" w:color="auto"/>
              <w:right w:val="single" w:sz="4" w:space="0" w:color="auto"/>
            </w:tcBorders>
            <w:vAlign w:val="center"/>
          </w:tcPr>
          <w:p w14:paraId="053D3B52" w14:textId="77777777" w:rsidR="00FA568B" w:rsidRPr="008E6F5B" w:rsidRDefault="00FA568B" w:rsidP="00443F31">
            <w:pPr>
              <w:rPr>
                <w:sz w:val="18"/>
                <w:szCs w:val="18"/>
              </w:rPr>
            </w:pPr>
            <w:r w:rsidRPr="008E6F5B">
              <w:rPr>
                <w:sz w:val="18"/>
                <w:szCs w:val="18"/>
              </w:rPr>
              <w:t>ШУМЕН</w:t>
            </w:r>
          </w:p>
        </w:tc>
        <w:tc>
          <w:tcPr>
            <w:tcW w:w="2164" w:type="pct"/>
            <w:tcBorders>
              <w:top w:val="single" w:sz="4" w:space="0" w:color="auto"/>
              <w:left w:val="single" w:sz="4" w:space="0" w:color="auto"/>
              <w:bottom w:val="single" w:sz="4" w:space="0" w:color="auto"/>
              <w:right w:val="single" w:sz="4" w:space="0" w:color="auto"/>
            </w:tcBorders>
            <w:vAlign w:val="center"/>
          </w:tcPr>
          <w:p w14:paraId="191962D4"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7DF10EAB" w14:textId="77777777" w:rsidR="00FA568B" w:rsidRPr="008E6F5B" w:rsidRDefault="00FA568B" w:rsidP="00443F31">
            <w:pPr>
              <w:jc w:val="center"/>
              <w:rPr>
                <w:sz w:val="18"/>
                <w:szCs w:val="18"/>
              </w:rPr>
            </w:pPr>
            <w:r w:rsidRPr="008E6F5B">
              <w:rPr>
                <w:sz w:val="18"/>
                <w:szCs w:val="18"/>
              </w:rPr>
              <w:t>1</w:t>
            </w:r>
          </w:p>
        </w:tc>
      </w:tr>
      <w:tr w:rsidR="00FA568B" w:rsidRPr="008E6F5B" w14:paraId="38E599F9"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7CBDFF74" w14:textId="77777777" w:rsidR="00FA568B" w:rsidRPr="008E6F5B" w:rsidRDefault="00FA568B" w:rsidP="00443F31">
            <w:pPr>
              <w:rPr>
                <w:sz w:val="18"/>
                <w:szCs w:val="18"/>
              </w:rPr>
            </w:pPr>
            <w:r w:rsidRPr="008E6F5B">
              <w:rPr>
                <w:sz w:val="18"/>
                <w:szCs w:val="18"/>
              </w:rPr>
              <w:t>НИКОЛА КОЗЛЕВО</w:t>
            </w:r>
          </w:p>
        </w:tc>
        <w:tc>
          <w:tcPr>
            <w:tcW w:w="1045" w:type="pct"/>
            <w:tcBorders>
              <w:top w:val="single" w:sz="4" w:space="0" w:color="auto"/>
              <w:left w:val="single" w:sz="4" w:space="0" w:color="auto"/>
              <w:bottom w:val="single" w:sz="4" w:space="0" w:color="auto"/>
              <w:right w:val="single" w:sz="4" w:space="0" w:color="auto"/>
            </w:tcBorders>
            <w:vAlign w:val="center"/>
          </w:tcPr>
          <w:p w14:paraId="1FFDED98" w14:textId="77777777" w:rsidR="00FA568B" w:rsidRPr="008E6F5B" w:rsidRDefault="00FA568B" w:rsidP="00443F31">
            <w:pPr>
              <w:rPr>
                <w:sz w:val="18"/>
                <w:szCs w:val="18"/>
              </w:rPr>
            </w:pPr>
            <w:r w:rsidRPr="008E6F5B">
              <w:rPr>
                <w:sz w:val="18"/>
                <w:szCs w:val="18"/>
              </w:rPr>
              <w:t>ШУМЕН</w:t>
            </w:r>
          </w:p>
        </w:tc>
        <w:tc>
          <w:tcPr>
            <w:tcW w:w="2164" w:type="pct"/>
            <w:tcBorders>
              <w:top w:val="single" w:sz="4" w:space="0" w:color="auto"/>
              <w:left w:val="single" w:sz="4" w:space="0" w:color="auto"/>
              <w:bottom w:val="single" w:sz="4" w:space="0" w:color="auto"/>
              <w:right w:val="single" w:sz="4" w:space="0" w:color="auto"/>
            </w:tcBorders>
            <w:vAlign w:val="center"/>
          </w:tcPr>
          <w:p w14:paraId="6B909BC9" w14:textId="77777777" w:rsidR="00FA568B" w:rsidRPr="008E6F5B" w:rsidRDefault="00FA568B" w:rsidP="00443F31">
            <w:pPr>
              <w:rPr>
                <w:sz w:val="18"/>
                <w:szCs w:val="18"/>
              </w:rPr>
            </w:pPr>
            <w:r w:rsidRPr="008E6F5B">
              <w:rPr>
                <w:sz w:val="18"/>
                <w:szCs w:val="18"/>
              </w:rPr>
              <w:t>МЮСЮЛМАНСКО ИЗПОВЕДАНИЕ</w:t>
            </w:r>
          </w:p>
        </w:tc>
        <w:tc>
          <w:tcPr>
            <w:tcW w:w="746" w:type="pct"/>
            <w:tcBorders>
              <w:top w:val="single" w:sz="4" w:space="0" w:color="auto"/>
              <w:left w:val="single" w:sz="4" w:space="0" w:color="auto"/>
              <w:bottom w:val="single" w:sz="4" w:space="0" w:color="auto"/>
              <w:right w:val="single" w:sz="4" w:space="0" w:color="auto"/>
            </w:tcBorders>
            <w:vAlign w:val="center"/>
          </w:tcPr>
          <w:p w14:paraId="25B5575F" w14:textId="77777777" w:rsidR="00FA568B" w:rsidRPr="008E6F5B" w:rsidRDefault="00FA568B" w:rsidP="00443F31">
            <w:pPr>
              <w:jc w:val="center"/>
              <w:rPr>
                <w:sz w:val="18"/>
                <w:szCs w:val="18"/>
              </w:rPr>
            </w:pPr>
            <w:r w:rsidRPr="008E6F5B">
              <w:rPr>
                <w:sz w:val="18"/>
                <w:szCs w:val="18"/>
              </w:rPr>
              <w:t>2</w:t>
            </w:r>
          </w:p>
        </w:tc>
      </w:tr>
      <w:tr w:rsidR="00FA568B" w:rsidRPr="008E6F5B" w14:paraId="45644318" w14:textId="77777777" w:rsidTr="00057048">
        <w:tc>
          <w:tcPr>
            <w:tcW w:w="4254" w:type="pct"/>
            <w:gridSpan w:val="3"/>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hideMark/>
          </w:tcPr>
          <w:p w14:paraId="5B50C3B7" w14:textId="77777777" w:rsidR="00FA568B" w:rsidRPr="008E6F5B" w:rsidRDefault="00FA568B" w:rsidP="00443F31">
            <w:pPr>
              <w:rPr>
                <w:sz w:val="18"/>
                <w:szCs w:val="18"/>
              </w:rPr>
            </w:pPr>
            <w:r w:rsidRPr="008E6F5B">
              <w:rPr>
                <w:b/>
                <w:sz w:val="18"/>
                <w:szCs w:val="18"/>
              </w:rPr>
              <w:t>ОБЛАСТ ЯМБОЛ</w:t>
            </w:r>
          </w:p>
        </w:tc>
        <w:tc>
          <w:tcPr>
            <w:tcW w:w="746" w:type="pct"/>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447130A7" w14:textId="77777777" w:rsidR="00FA568B" w:rsidRPr="008E6F5B" w:rsidRDefault="00FA568B" w:rsidP="00443F31">
            <w:pPr>
              <w:jc w:val="center"/>
              <w:rPr>
                <w:b/>
                <w:sz w:val="18"/>
                <w:szCs w:val="18"/>
                <w:lang w:val="en-US"/>
              </w:rPr>
            </w:pPr>
            <w:r w:rsidRPr="008E6F5B">
              <w:rPr>
                <w:b/>
                <w:sz w:val="18"/>
                <w:szCs w:val="18"/>
              </w:rPr>
              <w:t>2</w:t>
            </w:r>
          </w:p>
        </w:tc>
      </w:tr>
      <w:tr w:rsidR="00FA568B" w:rsidRPr="008E6F5B" w14:paraId="61352D1A"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326ED40D" w14:textId="77777777" w:rsidR="00FA568B" w:rsidRPr="008E6F5B" w:rsidRDefault="00FA568B" w:rsidP="00443F31">
            <w:pPr>
              <w:rPr>
                <w:sz w:val="18"/>
                <w:szCs w:val="18"/>
              </w:rPr>
            </w:pPr>
            <w:r w:rsidRPr="008E6F5B">
              <w:rPr>
                <w:sz w:val="18"/>
                <w:szCs w:val="18"/>
              </w:rPr>
              <w:t>ЯМБОЛ</w:t>
            </w:r>
          </w:p>
        </w:tc>
        <w:tc>
          <w:tcPr>
            <w:tcW w:w="1045" w:type="pct"/>
            <w:tcBorders>
              <w:top w:val="single" w:sz="4" w:space="0" w:color="auto"/>
              <w:left w:val="single" w:sz="4" w:space="0" w:color="auto"/>
              <w:bottom w:val="single" w:sz="4" w:space="0" w:color="auto"/>
              <w:right w:val="single" w:sz="4" w:space="0" w:color="auto"/>
            </w:tcBorders>
            <w:vAlign w:val="center"/>
          </w:tcPr>
          <w:p w14:paraId="60C9B284" w14:textId="77777777" w:rsidR="00FA568B" w:rsidRPr="008E6F5B" w:rsidRDefault="00FA568B" w:rsidP="00443F31">
            <w:pPr>
              <w:rPr>
                <w:sz w:val="18"/>
                <w:szCs w:val="18"/>
              </w:rPr>
            </w:pPr>
            <w:r w:rsidRPr="008E6F5B">
              <w:rPr>
                <w:sz w:val="18"/>
                <w:szCs w:val="18"/>
              </w:rPr>
              <w:t>ЯМБОЛ</w:t>
            </w:r>
          </w:p>
        </w:tc>
        <w:tc>
          <w:tcPr>
            <w:tcW w:w="2164" w:type="pct"/>
            <w:tcBorders>
              <w:top w:val="single" w:sz="4" w:space="0" w:color="auto"/>
              <w:left w:val="single" w:sz="4" w:space="0" w:color="auto"/>
              <w:bottom w:val="single" w:sz="4" w:space="0" w:color="auto"/>
              <w:right w:val="single" w:sz="4" w:space="0" w:color="auto"/>
            </w:tcBorders>
            <w:vAlign w:val="center"/>
          </w:tcPr>
          <w:p w14:paraId="34D249D8" w14:textId="77777777" w:rsidR="00FA568B" w:rsidRPr="008E6F5B" w:rsidRDefault="00FA568B" w:rsidP="00443F31">
            <w:pPr>
              <w:rPr>
                <w:sz w:val="18"/>
                <w:szCs w:val="18"/>
              </w:rPr>
            </w:pPr>
            <w:r w:rsidRPr="008E6F5B">
              <w:rPr>
                <w:sz w:val="18"/>
                <w:szCs w:val="18"/>
              </w:rPr>
              <w:t>СЪЮЗ НА ЕВАНГЕЛСКИТЕ ПЕТДЕСЯТНИ ЦЪРКВИ В БЪЛГАРИЯ</w:t>
            </w:r>
          </w:p>
        </w:tc>
        <w:tc>
          <w:tcPr>
            <w:tcW w:w="746" w:type="pct"/>
            <w:tcBorders>
              <w:top w:val="single" w:sz="4" w:space="0" w:color="auto"/>
              <w:left w:val="single" w:sz="4" w:space="0" w:color="auto"/>
              <w:bottom w:val="single" w:sz="4" w:space="0" w:color="auto"/>
              <w:right w:val="single" w:sz="4" w:space="0" w:color="auto"/>
            </w:tcBorders>
            <w:vAlign w:val="center"/>
          </w:tcPr>
          <w:p w14:paraId="0267BFC9" w14:textId="77777777" w:rsidR="00FA568B" w:rsidRPr="008E6F5B" w:rsidRDefault="00FA568B" w:rsidP="00443F31">
            <w:pPr>
              <w:jc w:val="center"/>
              <w:rPr>
                <w:sz w:val="18"/>
                <w:szCs w:val="18"/>
              </w:rPr>
            </w:pPr>
            <w:r w:rsidRPr="008E6F5B">
              <w:rPr>
                <w:sz w:val="18"/>
                <w:szCs w:val="18"/>
              </w:rPr>
              <w:t>1</w:t>
            </w:r>
          </w:p>
        </w:tc>
      </w:tr>
      <w:tr w:rsidR="00FA568B" w:rsidRPr="008E6F5B" w14:paraId="5200A875" w14:textId="77777777" w:rsidTr="00057048">
        <w:tc>
          <w:tcPr>
            <w:tcW w:w="1045" w:type="pct"/>
            <w:tcBorders>
              <w:top w:val="single" w:sz="4" w:space="0" w:color="auto"/>
              <w:left w:val="single" w:sz="4" w:space="0" w:color="auto"/>
              <w:bottom w:val="single" w:sz="4" w:space="0" w:color="auto"/>
              <w:right w:val="single" w:sz="4" w:space="0" w:color="auto"/>
            </w:tcBorders>
            <w:vAlign w:val="center"/>
          </w:tcPr>
          <w:p w14:paraId="5010294B" w14:textId="77777777" w:rsidR="00FA568B" w:rsidRPr="008E6F5B" w:rsidRDefault="00FA568B" w:rsidP="00443F31">
            <w:pPr>
              <w:rPr>
                <w:sz w:val="18"/>
                <w:szCs w:val="18"/>
              </w:rPr>
            </w:pPr>
            <w:r w:rsidRPr="008E6F5B">
              <w:rPr>
                <w:sz w:val="18"/>
                <w:szCs w:val="18"/>
              </w:rPr>
              <w:t>ЯМБОЛ</w:t>
            </w:r>
          </w:p>
        </w:tc>
        <w:tc>
          <w:tcPr>
            <w:tcW w:w="1045" w:type="pct"/>
            <w:tcBorders>
              <w:top w:val="single" w:sz="4" w:space="0" w:color="auto"/>
              <w:left w:val="single" w:sz="4" w:space="0" w:color="auto"/>
              <w:bottom w:val="single" w:sz="4" w:space="0" w:color="auto"/>
              <w:right w:val="single" w:sz="4" w:space="0" w:color="auto"/>
            </w:tcBorders>
            <w:vAlign w:val="center"/>
          </w:tcPr>
          <w:p w14:paraId="170D13D7" w14:textId="77777777" w:rsidR="00FA568B" w:rsidRPr="008E6F5B" w:rsidRDefault="00FA568B" w:rsidP="00443F31">
            <w:pPr>
              <w:rPr>
                <w:sz w:val="18"/>
                <w:szCs w:val="18"/>
              </w:rPr>
            </w:pPr>
            <w:r w:rsidRPr="008E6F5B">
              <w:rPr>
                <w:sz w:val="18"/>
                <w:szCs w:val="18"/>
              </w:rPr>
              <w:t>ЯМБОЛ</w:t>
            </w:r>
          </w:p>
        </w:tc>
        <w:tc>
          <w:tcPr>
            <w:tcW w:w="2164" w:type="pct"/>
            <w:tcBorders>
              <w:top w:val="single" w:sz="4" w:space="0" w:color="auto"/>
              <w:left w:val="single" w:sz="4" w:space="0" w:color="auto"/>
              <w:bottom w:val="single" w:sz="4" w:space="0" w:color="auto"/>
              <w:right w:val="single" w:sz="4" w:space="0" w:color="auto"/>
            </w:tcBorders>
            <w:vAlign w:val="center"/>
          </w:tcPr>
          <w:p w14:paraId="6BBEE0AA" w14:textId="77777777" w:rsidR="00FA568B" w:rsidRPr="008E6F5B" w:rsidRDefault="00FA568B" w:rsidP="00443F31">
            <w:pPr>
              <w:rPr>
                <w:sz w:val="18"/>
                <w:szCs w:val="18"/>
              </w:rPr>
            </w:pPr>
            <w:r w:rsidRPr="008E6F5B">
              <w:rPr>
                <w:sz w:val="18"/>
                <w:szCs w:val="18"/>
              </w:rPr>
              <w:t>НАЦИОНАЛЕН АЛИАНС "ОБЕДИНЕНИ БОЖИИ ЦЪРКВИ"</w:t>
            </w:r>
          </w:p>
        </w:tc>
        <w:tc>
          <w:tcPr>
            <w:tcW w:w="746" w:type="pct"/>
            <w:tcBorders>
              <w:top w:val="single" w:sz="4" w:space="0" w:color="auto"/>
              <w:left w:val="single" w:sz="4" w:space="0" w:color="auto"/>
              <w:bottom w:val="single" w:sz="4" w:space="0" w:color="auto"/>
              <w:right w:val="single" w:sz="4" w:space="0" w:color="auto"/>
            </w:tcBorders>
            <w:vAlign w:val="center"/>
          </w:tcPr>
          <w:p w14:paraId="14BDD77E" w14:textId="77777777" w:rsidR="00FA568B" w:rsidRPr="008E6F5B" w:rsidRDefault="00FA568B" w:rsidP="00443F31">
            <w:pPr>
              <w:jc w:val="center"/>
              <w:rPr>
                <w:sz w:val="18"/>
                <w:szCs w:val="18"/>
              </w:rPr>
            </w:pPr>
            <w:r w:rsidRPr="008E6F5B">
              <w:rPr>
                <w:sz w:val="18"/>
                <w:szCs w:val="18"/>
              </w:rPr>
              <w:t>1</w:t>
            </w:r>
          </w:p>
        </w:tc>
      </w:tr>
    </w:tbl>
    <w:p w14:paraId="2908F89D" w14:textId="614CA870" w:rsidR="00577095" w:rsidRPr="00577095" w:rsidRDefault="00577095" w:rsidP="009C4D63">
      <w:pPr>
        <w:numPr>
          <w:ilvl w:val="0"/>
          <w:numId w:val="10"/>
        </w:numPr>
        <w:shd w:val="clear" w:color="auto" w:fill="FFFFFF" w:themeFill="background1"/>
        <w:tabs>
          <w:tab w:val="clear" w:pos="1068"/>
          <w:tab w:val="num" w:pos="709"/>
        </w:tabs>
        <w:spacing w:before="240"/>
        <w:ind w:left="709" w:hanging="284"/>
        <w:jc w:val="both"/>
        <w:rPr>
          <w:b/>
          <w:i/>
          <w:specVanish/>
        </w:rPr>
      </w:pPr>
      <w:r w:rsidRPr="00577095">
        <w:rPr>
          <w:b/>
          <w:i/>
          <w:specVanish/>
        </w:rPr>
        <w:t>Участие в заседания на работни групи</w:t>
      </w:r>
    </w:p>
    <w:p w14:paraId="5929EB63" w14:textId="1F8E5FC6" w:rsidR="00577095" w:rsidRPr="00577095" w:rsidRDefault="00577095" w:rsidP="009C4D63">
      <w:pPr>
        <w:numPr>
          <w:ilvl w:val="0"/>
          <w:numId w:val="42"/>
        </w:numPr>
        <w:shd w:val="clear" w:color="auto" w:fill="FFFFFF" w:themeFill="background1"/>
        <w:tabs>
          <w:tab w:val="left" w:pos="709"/>
        </w:tabs>
        <w:ind w:left="0" w:firstLine="425"/>
        <w:jc w:val="both"/>
        <w:rPr>
          <w:sz w:val="22"/>
          <w:szCs w:val="22"/>
        </w:rPr>
      </w:pPr>
      <w:r w:rsidRPr="00577095">
        <w:rPr>
          <w:sz w:val="22"/>
          <w:szCs w:val="22"/>
        </w:rPr>
        <w:t>Участие на директора на дирекция „Вероизповедания“ г-н Георги Кръстев в среща с министър-председателя при Негово Светейшество Българския патриарх Даниил на 07.01.2025 г.</w:t>
      </w:r>
      <w:r w:rsidR="00E61AB5">
        <w:rPr>
          <w:sz w:val="22"/>
          <w:szCs w:val="22"/>
        </w:rPr>
        <w:t>;</w:t>
      </w:r>
    </w:p>
    <w:p w14:paraId="38380FB4" w14:textId="0A729D2D" w:rsidR="00577095" w:rsidRPr="00577095" w:rsidRDefault="00577095" w:rsidP="009C4D63">
      <w:pPr>
        <w:numPr>
          <w:ilvl w:val="0"/>
          <w:numId w:val="42"/>
        </w:numPr>
        <w:shd w:val="clear" w:color="auto" w:fill="FFFFFF" w:themeFill="background1"/>
        <w:tabs>
          <w:tab w:val="left" w:pos="709"/>
        </w:tabs>
        <w:ind w:left="0" w:firstLine="425"/>
        <w:jc w:val="both"/>
        <w:rPr>
          <w:sz w:val="22"/>
          <w:szCs w:val="22"/>
        </w:rPr>
      </w:pPr>
      <w:r w:rsidRPr="00577095">
        <w:rPr>
          <w:sz w:val="22"/>
          <w:szCs w:val="22"/>
        </w:rPr>
        <w:t>Участие на директора на дирекция „Вероизповедания“ г-н Георги Кръстев и експерти от дирекцията в освещаването на новия български храм „Св. Йоан Рилски“ в гр. Лондон, Великобритания на 23.02.2025 г.</w:t>
      </w:r>
      <w:r w:rsidR="00E44FE8">
        <w:rPr>
          <w:sz w:val="22"/>
          <w:szCs w:val="22"/>
        </w:rPr>
        <w:t>;</w:t>
      </w:r>
    </w:p>
    <w:p w14:paraId="59BF44F4" w14:textId="7BD102C8" w:rsidR="00577095" w:rsidRPr="00577095" w:rsidRDefault="00577095" w:rsidP="009C4D63">
      <w:pPr>
        <w:numPr>
          <w:ilvl w:val="0"/>
          <w:numId w:val="42"/>
        </w:numPr>
        <w:shd w:val="clear" w:color="auto" w:fill="FFFFFF" w:themeFill="background1"/>
        <w:tabs>
          <w:tab w:val="left" w:pos="709"/>
        </w:tabs>
        <w:ind w:left="0" w:firstLine="425"/>
        <w:jc w:val="both"/>
        <w:rPr>
          <w:sz w:val="22"/>
          <w:szCs w:val="22"/>
        </w:rPr>
      </w:pPr>
      <w:r w:rsidRPr="00577095">
        <w:rPr>
          <w:sz w:val="22"/>
          <w:szCs w:val="22"/>
        </w:rPr>
        <w:t>Участие на директора на дирекция „Вероизповедания“ г-н Георги Кръстев и държавен експерт Жасмина Донкова в заседание на Комисията по правата на човека и вероизповеданията към Народното събрание на Република България, на 27.02.2025 г.</w:t>
      </w:r>
      <w:r w:rsidR="00E44FE8">
        <w:rPr>
          <w:sz w:val="22"/>
          <w:szCs w:val="22"/>
        </w:rPr>
        <w:t>;</w:t>
      </w:r>
    </w:p>
    <w:p w14:paraId="19C5394E" w14:textId="170D13D7" w:rsidR="00577095" w:rsidRPr="00577095" w:rsidRDefault="00577095" w:rsidP="009C4D63">
      <w:pPr>
        <w:numPr>
          <w:ilvl w:val="0"/>
          <w:numId w:val="42"/>
        </w:numPr>
        <w:shd w:val="clear" w:color="auto" w:fill="FFFFFF" w:themeFill="background1"/>
        <w:tabs>
          <w:tab w:val="left" w:pos="709"/>
        </w:tabs>
        <w:ind w:left="0" w:firstLine="425"/>
        <w:jc w:val="both"/>
        <w:rPr>
          <w:sz w:val="22"/>
          <w:szCs w:val="22"/>
        </w:rPr>
      </w:pPr>
      <w:r w:rsidRPr="00577095">
        <w:rPr>
          <w:sz w:val="22"/>
          <w:szCs w:val="22"/>
        </w:rPr>
        <w:t xml:space="preserve">Участие на </w:t>
      </w:r>
      <w:proofErr w:type="spellStart"/>
      <w:r w:rsidRPr="00577095">
        <w:rPr>
          <w:sz w:val="22"/>
          <w:szCs w:val="22"/>
        </w:rPr>
        <w:t>и.д</w:t>
      </w:r>
      <w:proofErr w:type="spellEnd"/>
      <w:r w:rsidRPr="00577095">
        <w:rPr>
          <w:sz w:val="22"/>
          <w:szCs w:val="22"/>
        </w:rPr>
        <w:t>. директора г-н Никола Петков в конференция в Българската академия  на науките на 24.04.2025 г.</w:t>
      </w:r>
      <w:r w:rsidR="00E44FE8">
        <w:rPr>
          <w:sz w:val="22"/>
          <w:szCs w:val="22"/>
        </w:rPr>
        <w:t>;</w:t>
      </w:r>
    </w:p>
    <w:p w14:paraId="3E34380F" w14:textId="3A5BFF49" w:rsidR="00577095" w:rsidRPr="00577095" w:rsidRDefault="00577095" w:rsidP="009C4D63">
      <w:pPr>
        <w:numPr>
          <w:ilvl w:val="0"/>
          <w:numId w:val="42"/>
        </w:numPr>
        <w:shd w:val="clear" w:color="auto" w:fill="FFFFFF" w:themeFill="background1"/>
        <w:tabs>
          <w:tab w:val="left" w:pos="709"/>
        </w:tabs>
        <w:ind w:left="0" w:firstLine="425"/>
        <w:jc w:val="both"/>
        <w:rPr>
          <w:sz w:val="22"/>
          <w:szCs w:val="22"/>
        </w:rPr>
      </w:pPr>
      <w:r w:rsidRPr="00577095">
        <w:rPr>
          <w:sz w:val="22"/>
          <w:szCs w:val="22"/>
        </w:rPr>
        <w:t xml:space="preserve">Участие на </w:t>
      </w:r>
      <w:proofErr w:type="spellStart"/>
      <w:r w:rsidRPr="00577095">
        <w:rPr>
          <w:sz w:val="22"/>
          <w:szCs w:val="22"/>
        </w:rPr>
        <w:t>и.д</w:t>
      </w:r>
      <w:proofErr w:type="spellEnd"/>
      <w:r w:rsidRPr="00577095">
        <w:rPr>
          <w:sz w:val="22"/>
          <w:szCs w:val="22"/>
        </w:rPr>
        <w:t>. директора г-н Никола Петков в конференция в Националния дворец на културата относно въвеждането на предмет „Религия и добродетели“ в училищата на 24.04.2025 г.</w:t>
      </w:r>
      <w:r w:rsidR="00E44FE8">
        <w:rPr>
          <w:sz w:val="22"/>
          <w:szCs w:val="22"/>
        </w:rPr>
        <w:t>;</w:t>
      </w:r>
    </w:p>
    <w:p w14:paraId="74575F4D" w14:textId="5606F2BB" w:rsidR="00577095" w:rsidRPr="00577095" w:rsidRDefault="00577095" w:rsidP="009C4D63">
      <w:pPr>
        <w:numPr>
          <w:ilvl w:val="0"/>
          <w:numId w:val="42"/>
        </w:numPr>
        <w:shd w:val="clear" w:color="auto" w:fill="FFFFFF" w:themeFill="background1"/>
        <w:tabs>
          <w:tab w:val="left" w:pos="709"/>
        </w:tabs>
        <w:ind w:left="0" w:firstLine="425"/>
        <w:jc w:val="both"/>
        <w:rPr>
          <w:sz w:val="22"/>
          <w:szCs w:val="22"/>
        </w:rPr>
      </w:pPr>
      <w:r w:rsidRPr="00577095">
        <w:rPr>
          <w:sz w:val="22"/>
          <w:szCs w:val="22"/>
        </w:rPr>
        <w:t xml:space="preserve">Участие на </w:t>
      </w:r>
      <w:proofErr w:type="spellStart"/>
      <w:r w:rsidRPr="00577095">
        <w:rPr>
          <w:sz w:val="22"/>
          <w:szCs w:val="22"/>
        </w:rPr>
        <w:t>и.д</w:t>
      </w:r>
      <w:proofErr w:type="spellEnd"/>
      <w:r w:rsidRPr="00577095">
        <w:rPr>
          <w:sz w:val="22"/>
          <w:szCs w:val="22"/>
        </w:rPr>
        <w:t>. директора г-н Никола Петков и държавен експерт Евгени Емилов в заседание в Министерството на земеделието и храните, по повод финансиране на обекти по програмата за развитие на селските райони, поведена на 28.04.2025 г.</w:t>
      </w:r>
      <w:r w:rsidR="00E44FE8">
        <w:rPr>
          <w:sz w:val="22"/>
          <w:szCs w:val="22"/>
        </w:rPr>
        <w:t>;</w:t>
      </w:r>
    </w:p>
    <w:p w14:paraId="56F01498" w14:textId="0FBAC354" w:rsidR="00577095" w:rsidRPr="00577095" w:rsidRDefault="00577095" w:rsidP="009C4D63">
      <w:pPr>
        <w:numPr>
          <w:ilvl w:val="0"/>
          <w:numId w:val="42"/>
        </w:numPr>
        <w:shd w:val="clear" w:color="auto" w:fill="FFFFFF" w:themeFill="background1"/>
        <w:tabs>
          <w:tab w:val="left" w:pos="709"/>
        </w:tabs>
        <w:ind w:left="0" w:firstLine="425"/>
        <w:jc w:val="both"/>
        <w:rPr>
          <w:sz w:val="22"/>
          <w:szCs w:val="22"/>
        </w:rPr>
      </w:pPr>
      <w:r w:rsidRPr="00577095">
        <w:rPr>
          <w:sz w:val="22"/>
          <w:szCs w:val="22"/>
        </w:rPr>
        <w:t xml:space="preserve">Участие на </w:t>
      </w:r>
      <w:proofErr w:type="spellStart"/>
      <w:r w:rsidRPr="00577095">
        <w:rPr>
          <w:sz w:val="22"/>
          <w:szCs w:val="22"/>
        </w:rPr>
        <w:t>и.д</w:t>
      </w:r>
      <w:proofErr w:type="spellEnd"/>
      <w:r w:rsidRPr="00577095">
        <w:rPr>
          <w:sz w:val="22"/>
          <w:szCs w:val="22"/>
        </w:rPr>
        <w:t>. директора г-н Никола Петков и държавен експерт Евгени Емилов в тържествата по случай отбелязването на 1160 години от Покръстването на българския народ и 1</w:t>
      </w:r>
      <w:r w:rsidR="00E61AB5">
        <w:rPr>
          <w:sz w:val="22"/>
          <w:szCs w:val="22"/>
        </w:rPr>
        <w:t xml:space="preserve"> </w:t>
      </w:r>
      <w:r w:rsidRPr="00577095">
        <w:rPr>
          <w:sz w:val="22"/>
          <w:szCs w:val="22"/>
        </w:rPr>
        <w:t>170 години от създаването на българската азбука, в периода 01.05</w:t>
      </w:r>
      <w:r w:rsidR="00E61AB5">
        <w:rPr>
          <w:sz w:val="22"/>
          <w:szCs w:val="22"/>
        </w:rPr>
        <w:t xml:space="preserve"> – </w:t>
      </w:r>
      <w:r w:rsidRPr="00577095">
        <w:rPr>
          <w:sz w:val="22"/>
          <w:szCs w:val="22"/>
        </w:rPr>
        <w:t>03.05.2025 г.</w:t>
      </w:r>
      <w:r w:rsidR="00E44FE8">
        <w:rPr>
          <w:sz w:val="22"/>
          <w:szCs w:val="22"/>
        </w:rPr>
        <w:t>;</w:t>
      </w:r>
    </w:p>
    <w:p w14:paraId="5352DC5E" w14:textId="10C95B4E" w:rsidR="00577095" w:rsidRPr="00577095" w:rsidRDefault="00577095" w:rsidP="009C4D63">
      <w:pPr>
        <w:numPr>
          <w:ilvl w:val="0"/>
          <w:numId w:val="42"/>
        </w:numPr>
        <w:shd w:val="clear" w:color="auto" w:fill="FFFFFF" w:themeFill="background1"/>
        <w:tabs>
          <w:tab w:val="left" w:pos="709"/>
        </w:tabs>
        <w:ind w:left="0" w:firstLine="425"/>
        <w:jc w:val="both"/>
        <w:rPr>
          <w:sz w:val="22"/>
          <w:szCs w:val="22"/>
        </w:rPr>
      </w:pPr>
      <w:r w:rsidRPr="00577095">
        <w:rPr>
          <w:sz w:val="22"/>
          <w:szCs w:val="22"/>
        </w:rPr>
        <w:t xml:space="preserve">Участие на </w:t>
      </w:r>
      <w:proofErr w:type="spellStart"/>
      <w:r w:rsidRPr="00577095">
        <w:rPr>
          <w:sz w:val="22"/>
          <w:szCs w:val="22"/>
        </w:rPr>
        <w:t>и.д</w:t>
      </w:r>
      <w:proofErr w:type="spellEnd"/>
      <w:r w:rsidRPr="00577095">
        <w:rPr>
          <w:sz w:val="22"/>
          <w:szCs w:val="22"/>
        </w:rPr>
        <w:t>. директора г-н Никола Петков и държавен експерт Жасмина Донкова в конференция в Министерство на външните работи на Република България на 12.05.2025 г.</w:t>
      </w:r>
      <w:r w:rsidR="00E44FE8">
        <w:rPr>
          <w:sz w:val="22"/>
          <w:szCs w:val="22"/>
        </w:rPr>
        <w:t>;</w:t>
      </w:r>
    </w:p>
    <w:p w14:paraId="2CDCD120" w14:textId="0516635E" w:rsidR="00577095" w:rsidRPr="00577095" w:rsidRDefault="00577095" w:rsidP="009C4D63">
      <w:pPr>
        <w:numPr>
          <w:ilvl w:val="0"/>
          <w:numId w:val="42"/>
        </w:numPr>
        <w:shd w:val="clear" w:color="auto" w:fill="FFFFFF" w:themeFill="background1"/>
        <w:tabs>
          <w:tab w:val="left" w:pos="709"/>
        </w:tabs>
        <w:ind w:left="0" w:firstLine="425"/>
        <w:jc w:val="both"/>
        <w:rPr>
          <w:sz w:val="22"/>
          <w:szCs w:val="22"/>
        </w:rPr>
      </w:pPr>
      <w:r w:rsidRPr="00577095">
        <w:rPr>
          <w:sz w:val="22"/>
          <w:szCs w:val="22"/>
        </w:rPr>
        <w:t xml:space="preserve">Участие на държавен експерт Жасмина Донкова в конференция, проведена в </w:t>
      </w:r>
      <w:r w:rsidR="00E44FE8">
        <w:rPr>
          <w:sz w:val="22"/>
          <w:szCs w:val="22"/>
        </w:rPr>
        <w:t>Българската академия на науките</w:t>
      </w:r>
      <w:r w:rsidRPr="00577095">
        <w:rPr>
          <w:sz w:val="22"/>
          <w:szCs w:val="22"/>
        </w:rPr>
        <w:t xml:space="preserve"> на 02.06.2025 г.</w:t>
      </w:r>
      <w:r w:rsidR="00E44FE8">
        <w:rPr>
          <w:sz w:val="22"/>
          <w:szCs w:val="22"/>
        </w:rPr>
        <w:t>;</w:t>
      </w:r>
    </w:p>
    <w:p w14:paraId="2E4F7D56" w14:textId="6B7918FB" w:rsidR="00577095" w:rsidRPr="00577095" w:rsidRDefault="00577095" w:rsidP="009C4D63">
      <w:pPr>
        <w:numPr>
          <w:ilvl w:val="0"/>
          <w:numId w:val="42"/>
        </w:numPr>
        <w:shd w:val="clear" w:color="auto" w:fill="FFFFFF" w:themeFill="background1"/>
        <w:tabs>
          <w:tab w:val="left" w:pos="709"/>
        </w:tabs>
        <w:ind w:left="0" w:firstLine="425"/>
        <w:jc w:val="both"/>
        <w:rPr>
          <w:sz w:val="22"/>
          <w:szCs w:val="22"/>
        </w:rPr>
      </w:pPr>
      <w:r w:rsidRPr="00577095">
        <w:rPr>
          <w:sz w:val="22"/>
          <w:szCs w:val="22"/>
        </w:rPr>
        <w:t xml:space="preserve">Участие на </w:t>
      </w:r>
      <w:proofErr w:type="spellStart"/>
      <w:r w:rsidRPr="00577095">
        <w:rPr>
          <w:sz w:val="22"/>
          <w:szCs w:val="22"/>
        </w:rPr>
        <w:t>и.д</w:t>
      </w:r>
      <w:proofErr w:type="spellEnd"/>
      <w:r w:rsidRPr="00577095">
        <w:rPr>
          <w:sz w:val="22"/>
          <w:szCs w:val="22"/>
        </w:rPr>
        <w:t xml:space="preserve">. директора на дирекция „Вероизповедания“ г-н Никола Петков в заседание на Специализирания експертен съвет по опазване на недвижимите културни ценности към Министерство на културата, проведено на </w:t>
      </w:r>
      <w:r w:rsidR="00E44FE8">
        <w:rPr>
          <w:sz w:val="22"/>
          <w:szCs w:val="22"/>
        </w:rPr>
        <w:t>0</w:t>
      </w:r>
      <w:r w:rsidRPr="00577095">
        <w:rPr>
          <w:sz w:val="22"/>
          <w:szCs w:val="22"/>
        </w:rPr>
        <w:t>9.06.2025 г.</w:t>
      </w:r>
      <w:r w:rsidR="00E44FE8">
        <w:rPr>
          <w:sz w:val="22"/>
          <w:szCs w:val="22"/>
        </w:rPr>
        <w:t>;</w:t>
      </w:r>
    </w:p>
    <w:p w14:paraId="3A88155F" w14:textId="2F1A1908" w:rsidR="00577095" w:rsidRPr="00577095" w:rsidRDefault="00577095" w:rsidP="009C4D63">
      <w:pPr>
        <w:numPr>
          <w:ilvl w:val="0"/>
          <w:numId w:val="42"/>
        </w:numPr>
        <w:shd w:val="clear" w:color="auto" w:fill="FFFFFF" w:themeFill="background1"/>
        <w:tabs>
          <w:tab w:val="left" w:pos="709"/>
        </w:tabs>
        <w:ind w:left="0" w:firstLine="425"/>
        <w:jc w:val="both"/>
        <w:rPr>
          <w:sz w:val="22"/>
          <w:szCs w:val="22"/>
        </w:rPr>
      </w:pPr>
      <w:r w:rsidRPr="00577095">
        <w:rPr>
          <w:sz w:val="22"/>
          <w:szCs w:val="22"/>
        </w:rPr>
        <w:t>Участие на държавен експерт Евгени Емилов в заседание в Министерството на земеделието и храните, по повод финансиране на обекти по програмата за развитие на селските райони, поведена на 18.06.2025 г.</w:t>
      </w:r>
      <w:r w:rsidR="00E44FE8">
        <w:rPr>
          <w:sz w:val="22"/>
          <w:szCs w:val="22"/>
        </w:rPr>
        <w:t>;</w:t>
      </w:r>
    </w:p>
    <w:p w14:paraId="7836CF8A" w14:textId="15B4A00E" w:rsidR="00DB23D8" w:rsidRPr="00577095" w:rsidRDefault="00577095" w:rsidP="009C4D63">
      <w:pPr>
        <w:numPr>
          <w:ilvl w:val="0"/>
          <w:numId w:val="42"/>
        </w:numPr>
        <w:shd w:val="clear" w:color="auto" w:fill="FFFFFF" w:themeFill="background1"/>
        <w:tabs>
          <w:tab w:val="left" w:pos="709"/>
        </w:tabs>
        <w:spacing w:after="120"/>
        <w:ind w:left="0" w:firstLine="425"/>
        <w:jc w:val="both"/>
        <w:rPr>
          <w:sz w:val="22"/>
          <w:szCs w:val="22"/>
        </w:rPr>
      </w:pPr>
      <w:r w:rsidRPr="00577095">
        <w:rPr>
          <w:sz w:val="22"/>
          <w:szCs w:val="22"/>
        </w:rPr>
        <w:t xml:space="preserve">Участие на </w:t>
      </w:r>
      <w:proofErr w:type="spellStart"/>
      <w:r w:rsidRPr="00577095">
        <w:rPr>
          <w:sz w:val="22"/>
          <w:szCs w:val="22"/>
        </w:rPr>
        <w:t>и.д</w:t>
      </w:r>
      <w:proofErr w:type="spellEnd"/>
      <w:r w:rsidRPr="00577095">
        <w:rPr>
          <w:sz w:val="22"/>
          <w:szCs w:val="22"/>
        </w:rPr>
        <w:t xml:space="preserve">. директора г-н Никола Петков в тържествата по случай отбелязването на една година от </w:t>
      </w:r>
      <w:proofErr w:type="spellStart"/>
      <w:r w:rsidRPr="00577095">
        <w:rPr>
          <w:sz w:val="22"/>
          <w:szCs w:val="22"/>
        </w:rPr>
        <w:t>интронизацията</w:t>
      </w:r>
      <w:proofErr w:type="spellEnd"/>
      <w:r w:rsidRPr="00577095">
        <w:rPr>
          <w:sz w:val="22"/>
          <w:szCs w:val="22"/>
        </w:rPr>
        <w:t xml:space="preserve"> на Негово Светейшество Българския патриарх Даниил на 30.06.2025 г.</w:t>
      </w:r>
    </w:p>
    <w:p w14:paraId="61428893" w14:textId="77777777" w:rsidR="00E44FE8" w:rsidRPr="009C4D63" w:rsidRDefault="00E44FE8" w:rsidP="009C4D63">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9C4D63">
        <w:rPr>
          <w:b/>
          <w:bCs/>
          <w:i/>
          <w:iCs/>
          <w:color w:val="215E99" w:themeColor="text2" w:themeTint="BF"/>
          <w:sz w:val="22"/>
          <w:szCs w:val="22"/>
        </w:rPr>
        <w:t>Разпределение и контрол по усвояване на държавната субсидия за вероизповеданията</w:t>
      </w:r>
    </w:p>
    <w:p w14:paraId="15711362" w14:textId="77777777" w:rsidR="00675584" w:rsidRPr="00675584" w:rsidRDefault="00675584" w:rsidP="009C4D63">
      <w:pPr>
        <w:widowControl w:val="0"/>
        <w:shd w:val="clear" w:color="auto" w:fill="FFFFFF" w:themeFill="background1"/>
        <w:ind w:firstLine="425"/>
        <w:jc w:val="both"/>
        <w:outlineLvl w:val="3"/>
        <w:rPr>
          <w:b/>
          <w:i/>
          <w:color w:val="800000"/>
          <w:sz w:val="22"/>
          <w:szCs w:val="22"/>
        </w:rPr>
      </w:pPr>
      <w:r w:rsidRPr="00675584">
        <w:rPr>
          <w:b/>
          <w:i/>
          <w:color w:val="800000"/>
          <w:sz w:val="22"/>
          <w:szCs w:val="22"/>
        </w:rPr>
        <w:t>Дейности за предоставяне на продукта/услугата:</w:t>
      </w:r>
    </w:p>
    <w:p w14:paraId="67B8E53D" w14:textId="2D96A214" w:rsidR="00675584" w:rsidRPr="00675584" w:rsidRDefault="00675584" w:rsidP="009C4D63">
      <w:pPr>
        <w:numPr>
          <w:ilvl w:val="0"/>
          <w:numId w:val="42"/>
        </w:numPr>
        <w:shd w:val="clear" w:color="auto" w:fill="FFFFFF" w:themeFill="background1"/>
        <w:tabs>
          <w:tab w:val="left" w:pos="709"/>
          <w:tab w:val="num" w:pos="1439"/>
        </w:tabs>
        <w:ind w:left="0" w:firstLine="425"/>
        <w:jc w:val="both"/>
        <w:rPr>
          <w:sz w:val="22"/>
          <w:szCs w:val="22"/>
        </w:rPr>
      </w:pPr>
      <w:r w:rsidRPr="00675584">
        <w:rPr>
          <w:sz w:val="22"/>
          <w:szCs w:val="22"/>
        </w:rPr>
        <w:t xml:space="preserve">Установяване на нуждите от субсидии за различните вероизповедания </w:t>
      </w:r>
      <w:r>
        <w:rPr>
          <w:sz w:val="22"/>
          <w:szCs w:val="22"/>
        </w:rPr>
        <w:t>(по планираните разходи);</w:t>
      </w:r>
    </w:p>
    <w:p w14:paraId="3B3F530A" w14:textId="5F9E154C" w:rsidR="00675584" w:rsidRPr="00675584" w:rsidRDefault="00675584" w:rsidP="009C4D63">
      <w:pPr>
        <w:numPr>
          <w:ilvl w:val="0"/>
          <w:numId w:val="42"/>
        </w:numPr>
        <w:shd w:val="clear" w:color="auto" w:fill="FFFFFF" w:themeFill="background1"/>
        <w:tabs>
          <w:tab w:val="left" w:pos="709"/>
          <w:tab w:val="num" w:pos="1439"/>
        </w:tabs>
        <w:ind w:left="0" w:firstLine="425"/>
        <w:jc w:val="both"/>
        <w:rPr>
          <w:sz w:val="22"/>
          <w:szCs w:val="22"/>
        </w:rPr>
      </w:pPr>
      <w:r w:rsidRPr="00675584">
        <w:rPr>
          <w:sz w:val="22"/>
          <w:szCs w:val="22"/>
        </w:rPr>
        <w:t xml:space="preserve">Извършва се разпределението на субсидиите за централните </w:t>
      </w:r>
      <w:r>
        <w:rPr>
          <w:sz w:val="22"/>
          <w:szCs w:val="22"/>
        </w:rPr>
        <w:t>поделения на вероизповеданията;</w:t>
      </w:r>
    </w:p>
    <w:p w14:paraId="07618678" w14:textId="579A9D26" w:rsidR="00675584" w:rsidRPr="00675584" w:rsidRDefault="00675584" w:rsidP="009C4D63">
      <w:pPr>
        <w:numPr>
          <w:ilvl w:val="0"/>
          <w:numId w:val="42"/>
        </w:numPr>
        <w:shd w:val="clear" w:color="auto" w:fill="FFFFFF" w:themeFill="background1"/>
        <w:tabs>
          <w:tab w:val="left" w:pos="709"/>
          <w:tab w:val="num" w:pos="1439"/>
        </w:tabs>
        <w:ind w:left="0" w:firstLine="425"/>
        <w:jc w:val="both"/>
        <w:rPr>
          <w:sz w:val="22"/>
          <w:szCs w:val="22"/>
        </w:rPr>
      </w:pPr>
      <w:r w:rsidRPr="00675584">
        <w:rPr>
          <w:sz w:val="22"/>
          <w:szCs w:val="22"/>
        </w:rPr>
        <w:t>След одобрението, средствата се изпр</w:t>
      </w:r>
      <w:r>
        <w:rPr>
          <w:sz w:val="22"/>
          <w:szCs w:val="22"/>
        </w:rPr>
        <w:t>ащат на централните ръководства;</w:t>
      </w:r>
    </w:p>
    <w:p w14:paraId="43706948" w14:textId="1F2BFC70" w:rsidR="00675584" w:rsidRPr="00675584" w:rsidRDefault="00675584" w:rsidP="009C4D63">
      <w:pPr>
        <w:numPr>
          <w:ilvl w:val="0"/>
          <w:numId w:val="42"/>
        </w:numPr>
        <w:shd w:val="clear" w:color="auto" w:fill="FFFFFF" w:themeFill="background1"/>
        <w:tabs>
          <w:tab w:val="left" w:pos="709"/>
          <w:tab w:val="num" w:pos="1439"/>
        </w:tabs>
        <w:ind w:left="0" w:firstLine="425"/>
        <w:jc w:val="both"/>
        <w:rPr>
          <w:sz w:val="22"/>
          <w:szCs w:val="22"/>
        </w:rPr>
      </w:pPr>
      <w:r w:rsidRPr="00675584">
        <w:rPr>
          <w:sz w:val="22"/>
          <w:szCs w:val="22"/>
        </w:rPr>
        <w:t>Уведомяват се писмено получателите за размера на държавни субсидии  и им се дават указания за разходването и отч</w:t>
      </w:r>
      <w:r>
        <w:rPr>
          <w:sz w:val="22"/>
          <w:szCs w:val="22"/>
        </w:rPr>
        <w:t>итането на финансовите средства;</w:t>
      </w:r>
    </w:p>
    <w:p w14:paraId="4A83D821" w14:textId="5FADF34D" w:rsidR="00675584" w:rsidRPr="00675584" w:rsidRDefault="00675584" w:rsidP="009C4D63">
      <w:pPr>
        <w:numPr>
          <w:ilvl w:val="0"/>
          <w:numId w:val="42"/>
        </w:numPr>
        <w:shd w:val="clear" w:color="auto" w:fill="FFFFFF" w:themeFill="background1"/>
        <w:tabs>
          <w:tab w:val="left" w:pos="709"/>
          <w:tab w:val="num" w:pos="1439"/>
        </w:tabs>
        <w:ind w:left="0" w:firstLine="425"/>
        <w:jc w:val="both"/>
        <w:rPr>
          <w:sz w:val="22"/>
          <w:szCs w:val="22"/>
        </w:rPr>
      </w:pPr>
      <w:r w:rsidRPr="00675584">
        <w:rPr>
          <w:sz w:val="22"/>
          <w:szCs w:val="22"/>
        </w:rPr>
        <w:t>Осъществява се необходимия контрол /на случаен принцип/ или по сигнал на мяс</w:t>
      </w:r>
      <w:r>
        <w:rPr>
          <w:sz w:val="22"/>
          <w:szCs w:val="22"/>
        </w:rPr>
        <w:t>то по усвояването на субсидията;</w:t>
      </w:r>
    </w:p>
    <w:p w14:paraId="3F07562F" w14:textId="644889D3" w:rsidR="00675584" w:rsidRPr="00675584" w:rsidRDefault="00675584" w:rsidP="009C4D63">
      <w:pPr>
        <w:numPr>
          <w:ilvl w:val="0"/>
          <w:numId w:val="42"/>
        </w:numPr>
        <w:shd w:val="clear" w:color="auto" w:fill="FFFFFF" w:themeFill="background1"/>
        <w:tabs>
          <w:tab w:val="left" w:pos="709"/>
          <w:tab w:val="num" w:pos="1439"/>
        </w:tabs>
        <w:ind w:left="0" w:firstLine="425"/>
        <w:jc w:val="both"/>
        <w:rPr>
          <w:sz w:val="22"/>
          <w:szCs w:val="22"/>
        </w:rPr>
      </w:pPr>
      <w:r w:rsidRPr="00675584">
        <w:rPr>
          <w:sz w:val="22"/>
          <w:szCs w:val="22"/>
        </w:rPr>
        <w:lastRenderedPageBreak/>
        <w:t>Приемат се заверени копия от отчети</w:t>
      </w:r>
      <w:r>
        <w:rPr>
          <w:sz w:val="22"/>
          <w:szCs w:val="22"/>
        </w:rPr>
        <w:t>те на централните ръководства, които се подреждат по траншове;</w:t>
      </w:r>
    </w:p>
    <w:p w14:paraId="17822E01" w14:textId="7FF3CB15" w:rsidR="00675584" w:rsidRPr="00675584" w:rsidRDefault="00675584" w:rsidP="009C4D63">
      <w:pPr>
        <w:numPr>
          <w:ilvl w:val="0"/>
          <w:numId w:val="42"/>
        </w:numPr>
        <w:shd w:val="clear" w:color="auto" w:fill="FFFFFF" w:themeFill="background1"/>
        <w:tabs>
          <w:tab w:val="left" w:pos="709"/>
          <w:tab w:val="num" w:pos="1439"/>
        </w:tabs>
        <w:ind w:left="0" w:firstLine="425"/>
        <w:jc w:val="both"/>
        <w:rPr>
          <w:sz w:val="22"/>
          <w:szCs w:val="22"/>
        </w:rPr>
      </w:pPr>
      <w:r w:rsidRPr="00675584">
        <w:rPr>
          <w:sz w:val="22"/>
          <w:szCs w:val="22"/>
        </w:rPr>
        <w:t>Подредените отчети се съхраняват в д</w:t>
      </w:r>
      <w:r>
        <w:rPr>
          <w:sz w:val="22"/>
          <w:szCs w:val="22"/>
        </w:rPr>
        <w:t>ирекция „Вероизповедания” на МС;</w:t>
      </w:r>
    </w:p>
    <w:p w14:paraId="782BA989" w14:textId="77777777" w:rsidR="00675584" w:rsidRPr="00675584" w:rsidRDefault="00675584" w:rsidP="009C4D63">
      <w:pPr>
        <w:numPr>
          <w:ilvl w:val="0"/>
          <w:numId w:val="42"/>
        </w:numPr>
        <w:shd w:val="clear" w:color="auto" w:fill="FFFFFF" w:themeFill="background1"/>
        <w:tabs>
          <w:tab w:val="left" w:pos="709"/>
          <w:tab w:val="num" w:pos="1439"/>
        </w:tabs>
        <w:ind w:left="0" w:firstLine="425"/>
        <w:jc w:val="both"/>
        <w:rPr>
          <w:sz w:val="22"/>
          <w:szCs w:val="22"/>
        </w:rPr>
      </w:pPr>
      <w:r w:rsidRPr="00675584">
        <w:rPr>
          <w:sz w:val="22"/>
          <w:szCs w:val="22"/>
        </w:rPr>
        <w:t>В дирекция „Вероизповедания“ се води регистър на постъпилите искания за отпускане на държавна субсидия, съдържащ следната информация:</w:t>
      </w:r>
    </w:p>
    <w:p w14:paraId="3E13F06B" w14:textId="4E5A6E5D" w:rsidR="00675584" w:rsidRPr="005C7735" w:rsidRDefault="00675584" w:rsidP="009C4D63">
      <w:pPr>
        <w:pStyle w:val="ListParagraph"/>
        <w:numPr>
          <w:ilvl w:val="0"/>
          <w:numId w:val="44"/>
        </w:numPr>
        <w:shd w:val="clear" w:color="auto" w:fill="FFFFFF" w:themeFill="background1"/>
        <w:tabs>
          <w:tab w:val="left" w:pos="709"/>
        </w:tabs>
        <w:ind w:left="993" w:hanging="284"/>
        <w:jc w:val="both"/>
        <w:rPr>
          <w:sz w:val="22"/>
          <w:szCs w:val="22"/>
        </w:rPr>
      </w:pPr>
      <w:r w:rsidRPr="005C7735">
        <w:rPr>
          <w:sz w:val="22"/>
          <w:szCs w:val="22"/>
        </w:rPr>
        <w:t>наименование на молитвения дом</w:t>
      </w:r>
      <w:r w:rsidRPr="005C7735">
        <w:rPr>
          <w:sz w:val="22"/>
          <w:szCs w:val="22"/>
          <w:lang w:val="bg-BG"/>
        </w:rPr>
        <w:t>;</w:t>
      </w:r>
    </w:p>
    <w:p w14:paraId="1DFB1842" w14:textId="135AD3D9" w:rsidR="00675584" w:rsidRPr="005C7735" w:rsidRDefault="00675584" w:rsidP="009C4D63">
      <w:pPr>
        <w:pStyle w:val="ListParagraph"/>
        <w:numPr>
          <w:ilvl w:val="0"/>
          <w:numId w:val="44"/>
        </w:numPr>
        <w:shd w:val="clear" w:color="auto" w:fill="FFFFFF" w:themeFill="background1"/>
        <w:tabs>
          <w:tab w:val="left" w:pos="709"/>
        </w:tabs>
        <w:ind w:left="993" w:hanging="284"/>
        <w:jc w:val="both"/>
        <w:rPr>
          <w:sz w:val="22"/>
          <w:szCs w:val="22"/>
        </w:rPr>
      </w:pPr>
      <w:r w:rsidRPr="005C7735">
        <w:rPr>
          <w:rFonts w:eastAsia="Times New Roman"/>
          <w:sz w:val="22"/>
          <w:szCs w:val="22"/>
          <w:lang w:eastAsia="bg-BG"/>
        </w:rPr>
        <w:t>населено място</w:t>
      </w:r>
      <w:r w:rsidRPr="005C7735">
        <w:rPr>
          <w:rFonts w:eastAsia="Times New Roman"/>
          <w:sz w:val="22"/>
          <w:szCs w:val="22"/>
          <w:lang w:val="bg-BG" w:eastAsia="bg-BG"/>
        </w:rPr>
        <w:t>;</w:t>
      </w:r>
    </w:p>
    <w:p w14:paraId="44DE5838" w14:textId="08DF1017" w:rsidR="00675584" w:rsidRPr="005C7735" w:rsidRDefault="00675584" w:rsidP="009C4D63">
      <w:pPr>
        <w:pStyle w:val="ListParagraph"/>
        <w:numPr>
          <w:ilvl w:val="0"/>
          <w:numId w:val="44"/>
        </w:numPr>
        <w:shd w:val="clear" w:color="auto" w:fill="FFFFFF" w:themeFill="background1"/>
        <w:tabs>
          <w:tab w:val="left" w:pos="709"/>
        </w:tabs>
        <w:ind w:left="993" w:hanging="284"/>
        <w:jc w:val="both"/>
        <w:rPr>
          <w:sz w:val="22"/>
          <w:szCs w:val="22"/>
        </w:rPr>
      </w:pPr>
      <w:r w:rsidRPr="005C7735">
        <w:rPr>
          <w:rFonts w:eastAsia="Times New Roman"/>
          <w:sz w:val="22"/>
          <w:szCs w:val="22"/>
          <w:lang w:eastAsia="bg-BG"/>
        </w:rPr>
        <w:t>входящ номер на искането за отпускане на държавна субсидия</w:t>
      </w:r>
      <w:r w:rsidRPr="005C7735">
        <w:rPr>
          <w:rFonts w:eastAsia="Times New Roman"/>
          <w:sz w:val="22"/>
          <w:szCs w:val="22"/>
          <w:lang w:val="bg-BG" w:eastAsia="bg-BG"/>
        </w:rPr>
        <w:t>;</w:t>
      </w:r>
    </w:p>
    <w:p w14:paraId="20EB37AF" w14:textId="517DCB80" w:rsidR="00675584" w:rsidRPr="005C7735" w:rsidRDefault="00675584" w:rsidP="009C4D63">
      <w:pPr>
        <w:pStyle w:val="ListParagraph"/>
        <w:numPr>
          <w:ilvl w:val="0"/>
          <w:numId w:val="44"/>
        </w:numPr>
        <w:shd w:val="clear" w:color="auto" w:fill="FFFFFF" w:themeFill="background1"/>
        <w:tabs>
          <w:tab w:val="left" w:pos="709"/>
        </w:tabs>
        <w:ind w:left="993" w:hanging="284"/>
        <w:jc w:val="both"/>
        <w:rPr>
          <w:sz w:val="22"/>
          <w:szCs w:val="22"/>
        </w:rPr>
      </w:pPr>
      <w:r w:rsidRPr="005C7735">
        <w:rPr>
          <w:rFonts w:eastAsia="Times New Roman"/>
          <w:sz w:val="22"/>
          <w:szCs w:val="22"/>
          <w:lang w:eastAsia="bg-BG"/>
        </w:rPr>
        <w:t>дата на разглеждане на искането за отпускане на държавна субсидия,</w:t>
      </w:r>
    </w:p>
    <w:p w14:paraId="7AC3F828" w14:textId="561A462A" w:rsidR="00675584" w:rsidRPr="005C7735" w:rsidRDefault="00675584" w:rsidP="009C4D63">
      <w:pPr>
        <w:pStyle w:val="ListParagraph"/>
        <w:numPr>
          <w:ilvl w:val="0"/>
          <w:numId w:val="44"/>
        </w:numPr>
        <w:shd w:val="clear" w:color="auto" w:fill="FFFFFF" w:themeFill="background1"/>
        <w:tabs>
          <w:tab w:val="left" w:pos="709"/>
        </w:tabs>
        <w:ind w:left="993" w:hanging="284"/>
        <w:jc w:val="both"/>
        <w:rPr>
          <w:rFonts w:eastAsia="Times New Roman"/>
          <w:sz w:val="22"/>
          <w:szCs w:val="22"/>
          <w:lang w:eastAsia="bg-BG"/>
        </w:rPr>
      </w:pPr>
      <w:r w:rsidRPr="005C7735">
        <w:rPr>
          <w:rFonts w:eastAsia="Times New Roman"/>
          <w:sz w:val="22"/>
          <w:szCs w:val="22"/>
          <w:lang w:eastAsia="bg-BG"/>
        </w:rPr>
        <w:t>резултат от разглеждане на искането за отпускане на държавна субсиди</w:t>
      </w:r>
      <w:r w:rsidR="00554FCF" w:rsidRPr="005C7735">
        <w:rPr>
          <w:rFonts w:eastAsia="Times New Roman"/>
          <w:sz w:val="22"/>
          <w:szCs w:val="22"/>
          <w:lang w:eastAsia="bg-BG"/>
        </w:rPr>
        <w:t>я</w:t>
      </w:r>
      <w:r w:rsidR="00554FCF" w:rsidRPr="005C7735">
        <w:rPr>
          <w:rFonts w:eastAsia="Times New Roman"/>
          <w:sz w:val="22"/>
          <w:szCs w:val="22"/>
          <w:lang w:val="bg-BG" w:eastAsia="bg-BG"/>
        </w:rPr>
        <w:t>;</w:t>
      </w:r>
    </w:p>
    <w:p w14:paraId="4B141097" w14:textId="585D3752" w:rsidR="00675584" w:rsidRPr="005C7735" w:rsidRDefault="00554FCF" w:rsidP="009C4D63">
      <w:pPr>
        <w:pStyle w:val="ListParagraph"/>
        <w:numPr>
          <w:ilvl w:val="0"/>
          <w:numId w:val="44"/>
        </w:numPr>
        <w:shd w:val="clear" w:color="auto" w:fill="FFFFFF" w:themeFill="background1"/>
        <w:tabs>
          <w:tab w:val="left" w:pos="709"/>
        </w:tabs>
        <w:ind w:left="993" w:hanging="284"/>
        <w:jc w:val="both"/>
        <w:rPr>
          <w:rFonts w:eastAsia="Times New Roman"/>
          <w:sz w:val="22"/>
          <w:szCs w:val="22"/>
          <w:lang w:eastAsia="bg-BG"/>
        </w:rPr>
      </w:pPr>
      <w:r w:rsidRPr="005C7735">
        <w:rPr>
          <w:rFonts w:eastAsia="Times New Roman"/>
          <w:sz w:val="22"/>
          <w:szCs w:val="22"/>
          <w:lang w:eastAsia="bg-BG"/>
        </w:rPr>
        <w:t>отпусната сума</w:t>
      </w:r>
      <w:r w:rsidRPr="005C7735">
        <w:rPr>
          <w:rFonts w:eastAsia="Times New Roman"/>
          <w:sz w:val="22"/>
          <w:szCs w:val="22"/>
          <w:lang w:val="bg-BG" w:eastAsia="bg-BG"/>
        </w:rPr>
        <w:t>;</w:t>
      </w:r>
    </w:p>
    <w:p w14:paraId="5BCD46A6" w14:textId="6CD58150" w:rsidR="00675584" w:rsidRPr="005C7735" w:rsidRDefault="00675584" w:rsidP="009C4D63">
      <w:pPr>
        <w:pStyle w:val="ListParagraph"/>
        <w:numPr>
          <w:ilvl w:val="0"/>
          <w:numId w:val="44"/>
        </w:numPr>
        <w:shd w:val="clear" w:color="auto" w:fill="FFFFFF" w:themeFill="background1"/>
        <w:tabs>
          <w:tab w:val="left" w:pos="709"/>
        </w:tabs>
        <w:ind w:left="993" w:hanging="284"/>
        <w:jc w:val="both"/>
        <w:rPr>
          <w:rFonts w:eastAsia="Times New Roman"/>
          <w:sz w:val="22"/>
          <w:szCs w:val="22"/>
          <w:lang w:eastAsia="bg-BG"/>
        </w:rPr>
      </w:pPr>
      <w:r w:rsidRPr="005C7735">
        <w:rPr>
          <w:rFonts w:eastAsia="Times New Roman"/>
          <w:sz w:val="22"/>
          <w:szCs w:val="22"/>
          <w:lang w:eastAsia="bg-BG"/>
        </w:rPr>
        <w:t>изходящ номер на наше уве</w:t>
      </w:r>
      <w:r w:rsidR="00554FCF" w:rsidRPr="005C7735">
        <w:rPr>
          <w:rFonts w:eastAsia="Times New Roman"/>
          <w:sz w:val="22"/>
          <w:szCs w:val="22"/>
          <w:lang w:eastAsia="bg-BG"/>
        </w:rPr>
        <w:t>домително писмо до бенефициента</w:t>
      </w:r>
      <w:r w:rsidR="00554FCF" w:rsidRPr="005C7735">
        <w:rPr>
          <w:rFonts w:eastAsia="Times New Roman"/>
          <w:sz w:val="22"/>
          <w:szCs w:val="22"/>
          <w:lang w:val="bg-BG" w:eastAsia="bg-BG"/>
        </w:rPr>
        <w:t>;</w:t>
      </w:r>
    </w:p>
    <w:p w14:paraId="6D1C2751" w14:textId="4920F464" w:rsidR="00675584" w:rsidRPr="005C7735" w:rsidRDefault="00675584" w:rsidP="009C4D63">
      <w:pPr>
        <w:pStyle w:val="ListParagraph"/>
        <w:numPr>
          <w:ilvl w:val="0"/>
          <w:numId w:val="44"/>
        </w:numPr>
        <w:shd w:val="clear" w:color="auto" w:fill="FFFFFF" w:themeFill="background1"/>
        <w:tabs>
          <w:tab w:val="left" w:pos="709"/>
        </w:tabs>
        <w:ind w:left="993" w:hanging="284"/>
        <w:jc w:val="both"/>
        <w:rPr>
          <w:rFonts w:eastAsia="Times New Roman"/>
          <w:sz w:val="22"/>
          <w:szCs w:val="22"/>
          <w:lang w:eastAsia="bg-BG"/>
        </w:rPr>
      </w:pPr>
      <w:r w:rsidRPr="005C7735">
        <w:rPr>
          <w:rFonts w:eastAsia="Times New Roman"/>
          <w:sz w:val="22"/>
          <w:szCs w:val="22"/>
          <w:lang w:eastAsia="bg-BG"/>
        </w:rPr>
        <w:t>входящ номер на постъпило в дирекция „Вероизповедания“ потвърдително писмо от бе</w:t>
      </w:r>
      <w:r w:rsidR="00554FCF" w:rsidRPr="005C7735">
        <w:rPr>
          <w:rFonts w:eastAsia="Times New Roman"/>
          <w:sz w:val="22"/>
          <w:szCs w:val="22"/>
          <w:lang w:eastAsia="bg-BG"/>
        </w:rPr>
        <w:t>нефициента за получена субсидия</w:t>
      </w:r>
      <w:r w:rsidR="00554FCF" w:rsidRPr="005C7735">
        <w:rPr>
          <w:rFonts w:eastAsia="Times New Roman"/>
          <w:sz w:val="22"/>
          <w:szCs w:val="22"/>
          <w:lang w:val="bg-BG" w:eastAsia="bg-BG"/>
        </w:rPr>
        <w:t>;</w:t>
      </w:r>
    </w:p>
    <w:p w14:paraId="6C1D4689" w14:textId="752C1887" w:rsidR="00675584" w:rsidRPr="005C7735" w:rsidRDefault="00675584" w:rsidP="009C4D63">
      <w:pPr>
        <w:pStyle w:val="ListParagraph"/>
        <w:numPr>
          <w:ilvl w:val="0"/>
          <w:numId w:val="44"/>
        </w:numPr>
        <w:shd w:val="clear" w:color="auto" w:fill="FFFFFF" w:themeFill="background1"/>
        <w:tabs>
          <w:tab w:val="left" w:pos="709"/>
        </w:tabs>
        <w:ind w:left="993" w:hanging="284"/>
        <w:jc w:val="both"/>
        <w:rPr>
          <w:rFonts w:eastAsia="Times New Roman"/>
          <w:sz w:val="22"/>
          <w:szCs w:val="22"/>
          <w:lang w:eastAsia="bg-BG"/>
        </w:rPr>
      </w:pPr>
      <w:r w:rsidRPr="005C7735">
        <w:rPr>
          <w:rFonts w:eastAsia="Times New Roman"/>
          <w:sz w:val="22"/>
          <w:szCs w:val="22"/>
          <w:lang w:eastAsia="bg-BG"/>
        </w:rPr>
        <w:t>входящ номер на постъпили заверени копия на разходно-оправдателни докумен</w:t>
      </w:r>
      <w:r w:rsidR="00554FCF" w:rsidRPr="005C7735">
        <w:rPr>
          <w:rFonts w:eastAsia="Times New Roman"/>
          <w:sz w:val="22"/>
          <w:szCs w:val="22"/>
          <w:lang w:eastAsia="bg-BG"/>
        </w:rPr>
        <w:t>ти в дирекция „Вероизповедания“</w:t>
      </w:r>
      <w:r w:rsidR="00554FCF" w:rsidRPr="005C7735">
        <w:rPr>
          <w:rFonts w:eastAsia="Times New Roman"/>
          <w:sz w:val="22"/>
          <w:szCs w:val="22"/>
          <w:lang w:val="bg-BG" w:eastAsia="bg-BG"/>
        </w:rPr>
        <w:t>;</w:t>
      </w:r>
    </w:p>
    <w:p w14:paraId="3A27D634" w14:textId="77777777" w:rsidR="00675584" w:rsidRPr="005C7735" w:rsidRDefault="00675584" w:rsidP="009C4D63">
      <w:pPr>
        <w:pStyle w:val="ListParagraph"/>
        <w:numPr>
          <w:ilvl w:val="0"/>
          <w:numId w:val="44"/>
        </w:numPr>
        <w:shd w:val="clear" w:color="auto" w:fill="FFFFFF" w:themeFill="background1"/>
        <w:tabs>
          <w:tab w:val="left" w:pos="709"/>
        </w:tabs>
        <w:spacing w:after="120"/>
        <w:ind w:left="993" w:hanging="284"/>
        <w:jc w:val="both"/>
        <w:rPr>
          <w:rFonts w:eastAsia="Times New Roman"/>
          <w:sz w:val="22"/>
          <w:szCs w:val="22"/>
          <w:lang w:eastAsia="bg-BG"/>
        </w:rPr>
      </w:pPr>
      <w:r w:rsidRPr="005C7735">
        <w:rPr>
          <w:rFonts w:eastAsia="Times New Roman"/>
          <w:sz w:val="22"/>
          <w:szCs w:val="22"/>
          <w:lang w:eastAsia="bg-BG"/>
        </w:rPr>
        <w:t>опис на постъпилите заверени копия на разходно-оправдателни документи.</w:t>
      </w:r>
    </w:p>
    <w:p w14:paraId="3CF8009C" w14:textId="1718F9CF" w:rsidR="00675584" w:rsidRPr="005C7735" w:rsidRDefault="00675584" w:rsidP="009C4D63">
      <w:pPr>
        <w:shd w:val="clear" w:color="auto" w:fill="FFFFFF" w:themeFill="background1"/>
        <w:ind w:firstLine="426"/>
        <w:rPr>
          <w:b/>
          <w:i/>
          <w:sz w:val="22"/>
          <w:szCs w:val="22"/>
        </w:rPr>
      </w:pPr>
      <w:r w:rsidRPr="005C7735">
        <w:rPr>
          <w:b/>
          <w:i/>
          <w:sz w:val="22"/>
          <w:szCs w:val="22"/>
        </w:rPr>
        <w:t>Заявката за разходите по програмата е съобразена с:</w:t>
      </w:r>
    </w:p>
    <w:p w14:paraId="113C2562" w14:textId="77777777" w:rsidR="00675584" w:rsidRPr="005C7735" w:rsidRDefault="00675584" w:rsidP="009C4D63">
      <w:pPr>
        <w:numPr>
          <w:ilvl w:val="0"/>
          <w:numId w:val="42"/>
        </w:numPr>
        <w:shd w:val="clear" w:color="auto" w:fill="FFFFFF" w:themeFill="background1"/>
        <w:tabs>
          <w:tab w:val="left" w:pos="709"/>
          <w:tab w:val="num" w:pos="1439"/>
        </w:tabs>
        <w:ind w:left="0" w:firstLine="425"/>
        <w:jc w:val="both"/>
        <w:rPr>
          <w:sz w:val="22"/>
          <w:szCs w:val="22"/>
        </w:rPr>
      </w:pPr>
      <w:r w:rsidRPr="005C7735">
        <w:rPr>
          <w:sz w:val="22"/>
          <w:szCs w:val="22"/>
        </w:rPr>
        <w:t>Броят на официално регистрираните вероизповедания в страната.</w:t>
      </w:r>
    </w:p>
    <w:p w14:paraId="4B72E9BB" w14:textId="2CFD913C" w:rsidR="00675584" w:rsidRPr="005C7735" w:rsidRDefault="00675584" w:rsidP="009C4D63">
      <w:pPr>
        <w:numPr>
          <w:ilvl w:val="0"/>
          <w:numId w:val="42"/>
        </w:numPr>
        <w:shd w:val="clear" w:color="auto" w:fill="FFFFFF" w:themeFill="background1"/>
        <w:tabs>
          <w:tab w:val="left" w:pos="709"/>
          <w:tab w:val="num" w:pos="1439"/>
        </w:tabs>
        <w:ind w:left="0" w:firstLine="425"/>
        <w:jc w:val="both"/>
        <w:rPr>
          <w:sz w:val="22"/>
          <w:szCs w:val="22"/>
        </w:rPr>
      </w:pPr>
      <w:r w:rsidRPr="005C7735">
        <w:rPr>
          <w:sz w:val="22"/>
          <w:szCs w:val="22"/>
        </w:rPr>
        <w:t>Работата на дирекцията с Българските правосл</w:t>
      </w:r>
      <w:r w:rsidR="00400A1F" w:rsidRPr="005C7735">
        <w:rPr>
          <w:sz w:val="22"/>
          <w:szCs w:val="22"/>
        </w:rPr>
        <w:t xml:space="preserve">авни общини в чужбина (Европа, </w:t>
      </w:r>
      <w:r w:rsidRPr="005C7735">
        <w:rPr>
          <w:sz w:val="22"/>
          <w:szCs w:val="22"/>
        </w:rPr>
        <w:t>Австралия, САЩ, Канада) и постоянно увеличаващия се брой и влияние на Българските православни общини сред българската емиграция.</w:t>
      </w:r>
    </w:p>
    <w:p w14:paraId="127D8F91" w14:textId="77777777" w:rsidR="00675584" w:rsidRPr="005C7735" w:rsidRDefault="00675584" w:rsidP="009C4D63">
      <w:pPr>
        <w:numPr>
          <w:ilvl w:val="0"/>
          <w:numId w:val="42"/>
        </w:numPr>
        <w:shd w:val="clear" w:color="auto" w:fill="FFFFFF" w:themeFill="background1"/>
        <w:tabs>
          <w:tab w:val="left" w:pos="709"/>
          <w:tab w:val="num" w:pos="1439"/>
        </w:tabs>
        <w:ind w:left="0" w:firstLine="425"/>
        <w:jc w:val="both"/>
        <w:rPr>
          <w:sz w:val="22"/>
          <w:szCs w:val="22"/>
        </w:rPr>
      </w:pPr>
      <w:r w:rsidRPr="005C7735">
        <w:rPr>
          <w:sz w:val="22"/>
          <w:szCs w:val="22"/>
        </w:rPr>
        <w:t>Променената философия на финансиране в Закона за вероизповеданията.</w:t>
      </w:r>
    </w:p>
    <w:p w14:paraId="7ABD8A96" w14:textId="77777777" w:rsidR="00675584" w:rsidRPr="00132BFF" w:rsidRDefault="00675584" w:rsidP="00132BFF">
      <w:pPr>
        <w:widowControl w:val="0"/>
        <w:shd w:val="clear" w:color="auto" w:fill="FFFFFF" w:themeFill="background1"/>
        <w:spacing w:before="120"/>
        <w:ind w:firstLine="425"/>
        <w:jc w:val="both"/>
        <w:outlineLvl w:val="3"/>
        <w:rPr>
          <w:b/>
          <w:i/>
          <w:color w:val="800000"/>
          <w:sz w:val="22"/>
          <w:szCs w:val="22"/>
          <w:specVanish/>
        </w:rPr>
      </w:pPr>
      <w:r w:rsidRPr="00132BFF">
        <w:rPr>
          <w:b/>
          <w:i/>
          <w:color w:val="800000"/>
          <w:sz w:val="22"/>
          <w:szCs w:val="22"/>
          <w:specVanish/>
        </w:rPr>
        <w:t>Резултати от предоставянето на продукта/услугата:</w:t>
      </w:r>
    </w:p>
    <w:p w14:paraId="547AA0BD" w14:textId="7475BBD2" w:rsidR="00675584" w:rsidRPr="001C0F7E" w:rsidRDefault="00675584" w:rsidP="009C4D63">
      <w:pPr>
        <w:shd w:val="clear" w:color="auto" w:fill="FFFFFF" w:themeFill="background1"/>
        <w:ind w:firstLine="425"/>
        <w:jc w:val="both"/>
        <w:rPr>
          <w:color w:val="000000"/>
          <w:sz w:val="22"/>
          <w:szCs w:val="22"/>
        </w:rPr>
      </w:pPr>
      <w:r w:rsidRPr="001C0F7E">
        <w:rPr>
          <w:color w:val="000000"/>
          <w:sz w:val="22"/>
          <w:szCs w:val="22"/>
        </w:rPr>
        <w:t xml:space="preserve">За периода 01.01.2025 </w:t>
      </w:r>
      <w:r w:rsidR="00750EE0" w:rsidRPr="001C0F7E">
        <w:rPr>
          <w:color w:val="000000"/>
          <w:sz w:val="22"/>
          <w:szCs w:val="22"/>
        </w:rPr>
        <w:t>–</w:t>
      </w:r>
      <w:r w:rsidRPr="001C0F7E">
        <w:rPr>
          <w:color w:val="000000"/>
          <w:sz w:val="22"/>
          <w:szCs w:val="22"/>
        </w:rPr>
        <w:t xml:space="preserve"> 30.06.2025 г. в </w:t>
      </w:r>
      <w:r w:rsidR="00750EE0" w:rsidRPr="001C0F7E">
        <w:rPr>
          <w:color w:val="000000"/>
          <w:sz w:val="22"/>
          <w:szCs w:val="22"/>
        </w:rPr>
        <w:t xml:space="preserve">работата на </w:t>
      </w:r>
      <w:r w:rsidRPr="001C0F7E">
        <w:rPr>
          <w:color w:val="000000"/>
          <w:sz w:val="22"/>
          <w:szCs w:val="22"/>
        </w:rPr>
        <w:t>дирекция „Вероизповедания” на МС по предоставяне на продукта/услугата „Разпределение и контрол по усвояване на държавната субсидия за вероизповеданията“ са обработени 59 преписки с общ брой изпратени уведомителни писма и писма за пренасочване 16.</w:t>
      </w:r>
    </w:p>
    <w:p w14:paraId="7F75636C" w14:textId="77777777" w:rsidR="00675584" w:rsidRPr="00750EE0" w:rsidRDefault="00675584" w:rsidP="009C4D63">
      <w:pPr>
        <w:shd w:val="clear" w:color="auto" w:fill="FFFFFF" w:themeFill="background1"/>
        <w:ind w:firstLine="425"/>
        <w:jc w:val="both"/>
        <w:rPr>
          <w:color w:val="000000"/>
          <w:sz w:val="22"/>
          <w:szCs w:val="22"/>
        </w:rPr>
      </w:pPr>
      <w:r w:rsidRPr="00750EE0">
        <w:rPr>
          <w:color w:val="000000"/>
          <w:sz w:val="22"/>
          <w:szCs w:val="22"/>
        </w:rPr>
        <w:t>В това число:</w:t>
      </w:r>
    </w:p>
    <w:p w14:paraId="55743499" w14:textId="7AAD65FA" w:rsidR="00675584" w:rsidRPr="00750EE0" w:rsidRDefault="00675584" w:rsidP="009C4D63">
      <w:pPr>
        <w:numPr>
          <w:ilvl w:val="0"/>
          <w:numId w:val="42"/>
        </w:numPr>
        <w:shd w:val="clear" w:color="auto" w:fill="FFFFFF" w:themeFill="background1"/>
        <w:tabs>
          <w:tab w:val="left" w:pos="709"/>
          <w:tab w:val="num" w:pos="1439"/>
        </w:tabs>
        <w:ind w:left="0" w:firstLine="425"/>
        <w:jc w:val="both"/>
        <w:rPr>
          <w:sz w:val="22"/>
          <w:szCs w:val="22"/>
        </w:rPr>
      </w:pPr>
      <w:r w:rsidRPr="00750EE0">
        <w:rPr>
          <w:sz w:val="22"/>
          <w:szCs w:val="22"/>
        </w:rPr>
        <w:t xml:space="preserve">Приети и разгледани молби за отпускане на субсидии от държавния бюджет за вероизповеданията – </w:t>
      </w:r>
      <w:r w:rsidRPr="00750EE0">
        <w:rPr>
          <w:b/>
          <w:sz w:val="22"/>
          <w:szCs w:val="22"/>
        </w:rPr>
        <w:t>32</w:t>
      </w:r>
      <w:r w:rsidR="00750EE0">
        <w:rPr>
          <w:sz w:val="22"/>
          <w:szCs w:val="22"/>
        </w:rPr>
        <w:t>;</w:t>
      </w:r>
    </w:p>
    <w:p w14:paraId="6612AFEA" w14:textId="36129956" w:rsidR="00675584" w:rsidRPr="00750EE0" w:rsidRDefault="00675584" w:rsidP="009C4D63">
      <w:pPr>
        <w:numPr>
          <w:ilvl w:val="0"/>
          <w:numId w:val="42"/>
        </w:numPr>
        <w:shd w:val="clear" w:color="auto" w:fill="FFFFFF" w:themeFill="background1"/>
        <w:tabs>
          <w:tab w:val="left" w:pos="709"/>
          <w:tab w:val="num" w:pos="1439"/>
        </w:tabs>
        <w:ind w:left="0" w:firstLine="425"/>
        <w:jc w:val="both"/>
        <w:rPr>
          <w:sz w:val="22"/>
          <w:szCs w:val="22"/>
        </w:rPr>
      </w:pPr>
      <w:r w:rsidRPr="00750EE0">
        <w:rPr>
          <w:sz w:val="22"/>
          <w:szCs w:val="22"/>
        </w:rPr>
        <w:t xml:space="preserve">Изготвени писма по искане на бенефициенти на държавната субсидия за вероизповеданията за удължаване срока за усвояване на средствата – </w:t>
      </w:r>
      <w:r w:rsidRPr="00750EE0">
        <w:rPr>
          <w:b/>
          <w:sz w:val="22"/>
          <w:szCs w:val="22"/>
        </w:rPr>
        <w:t>1</w:t>
      </w:r>
      <w:r w:rsidR="00750EE0">
        <w:rPr>
          <w:sz w:val="22"/>
          <w:szCs w:val="22"/>
        </w:rPr>
        <w:t>;</w:t>
      </w:r>
    </w:p>
    <w:p w14:paraId="75F39825" w14:textId="30B39985" w:rsidR="00675584" w:rsidRPr="00750EE0" w:rsidRDefault="00675584" w:rsidP="009C4D63">
      <w:pPr>
        <w:numPr>
          <w:ilvl w:val="0"/>
          <w:numId w:val="42"/>
        </w:numPr>
        <w:shd w:val="clear" w:color="auto" w:fill="FFFFFF" w:themeFill="background1"/>
        <w:tabs>
          <w:tab w:val="left" w:pos="709"/>
          <w:tab w:val="num" w:pos="1439"/>
        </w:tabs>
        <w:ind w:left="0" w:firstLine="425"/>
        <w:jc w:val="both"/>
        <w:rPr>
          <w:sz w:val="22"/>
          <w:szCs w:val="22"/>
        </w:rPr>
      </w:pPr>
      <w:r w:rsidRPr="00750EE0">
        <w:rPr>
          <w:sz w:val="22"/>
          <w:szCs w:val="22"/>
        </w:rPr>
        <w:t xml:space="preserve">Получени писмени потвърждения за получени и </w:t>
      </w:r>
      <w:proofErr w:type="spellStart"/>
      <w:r w:rsidRPr="00750EE0">
        <w:rPr>
          <w:sz w:val="22"/>
          <w:szCs w:val="22"/>
        </w:rPr>
        <w:t>заприходени</w:t>
      </w:r>
      <w:proofErr w:type="spellEnd"/>
      <w:r w:rsidRPr="00750EE0">
        <w:rPr>
          <w:sz w:val="22"/>
          <w:szCs w:val="22"/>
        </w:rPr>
        <w:t xml:space="preserve"> субсидии – </w:t>
      </w:r>
      <w:r w:rsidRPr="00750EE0">
        <w:rPr>
          <w:b/>
          <w:sz w:val="22"/>
          <w:szCs w:val="22"/>
        </w:rPr>
        <w:t>0</w:t>
      </w:r>
      <w:r w:rsidR="00750EE0">
        <w:rPr>
          <w:sz w:val="22"/>
          <w:szCs w:val="22"/>
        </w:rPr>
        <w:t>;</w:t>
      </w:r>
    </w:p>
    <w:p w14:paraId="1D20B21D" w14:textId="3A2D053B" w:rsidR="00675584" w:rsidRPr="00750EE0" w:rsidRDefault="00675584" w:rsidP="009C4D63">
      <w:pPr>
        <w:numPr>
          <w:ilvl w:val="0"/>
          <w:numId w:val="42"/>
        </w:numPr>
        <w:shd w:val="clear" w:color="auto" w:fill="FFFFFF" w:themeFill="background1"/>
        <w:tabs>
          <w:tab w:val="left" w:pos="709"/>
          <w:tab w:val="num" w:pos="1439"/>
        </w:tabs>
        <w:ind w:left="0" w:firstLine="425"/>
        <w:jc w:val="both"/>
        <w:rPr>
          <w:sz w:val="22"/>
          <w:szCs w:val="22"/>
        </w:rPr>
      </w:pPr>
      <w:r w:rsidRPr="00750EE0">
        <w:rPr>
          <w:sz w:val="22"/>
          <w:szCs w:val="22"/>
        </w:rPr>
        <w:t>Приети и обработени отчетно-финансови документи за о</w:t>
      </w:r>
      <w:r w:rsidR="00750EE0">
        <w:rPr>
          <w:sz w:val="22"/>
          <w:szCs w:val="22"/>
        </w:rPr>
        <w:t xml:space="preserve">тпусната субсидия през 2024 г. </w:t>
      </w:r>
      <w:r w:rsidRPr="00750EE0">
        <w:rPr>
          <w:sz w:val="22"/>
          <w:szCs w:val="22"/>
        </w:rPr>
        <w:t xml:space="preserve">– </w:t>
      </w:r>
      <w:r w:rsidRPr="00750EE0">
        <w:rPr>
          <w:b/>
          <w:sz w:val="22"/>
          <w:szCs w:val="22"/>
        </w:rPr>
        <w:t>11</w:t>
      </w:r>
    </w:p>
    <w:p w14:paraId="0A5DC0F4" w14:textId="4DD37E4F" w:rsidR="00675584" w:rsidRPr="00750EE0" w:rsidRDefault="00675584" w:rsidP="009C4D63">
      <w:pPr>
        <w:numPr>
          <w:ilvl w:val="0"/>
          <w:numId w:val="42"/>
        </w:numPr>
        <w:shd w:val="clear" w:color="auto" w:fill="FFFFFF" w:themeFill="background1"/>
        <w:tabs>
          <w:tab w:val="left" w:pos="709"/>
          <w:tab w:val="num" w:pos="1439"/>
        </w:tabs>
        <w:ind w:left="0" w:firstLine="425"/>
        <w:jc w:val="both"/>
        <w:rPr>
          <w:sz w:val="22"/>
          <w:szCs w:val="22"/>
        </w:rPr>
      </w:pPr>
      <w:r w:rsidRPr="00750EE0">
        <w:rPr>
          <w:sz w:val="22"/>
          <w:szCs w:val="22"/>
        </w:rPr>
        <w:t xml:space="preserve">Препратени по предназначение молби за финансиране ремонта и възстановяване на молитвени домове </w:t>
      </w:r>
      <w:r w:rsidR="00750EE0">
        <w:rPr>
          <w:sz w:val="22"/>
          <w:szCs w:val="22"/>
        </w:rPr>
        <w:t>–</w:t>
      </w:r>
      <w:r w:rsidRPr="00750EE0">
        <w:rPr>
          <w:sz w:val="22"/>
          <w:szCs w:val="22"/>
        </w:rPr>
        <w:t xml:space="preserve"> </w:t>
      </w:r>
      <w:r w:rsidRPr="00750EE0">
        <w:rPr>
          <w:b/>
          <w:sz w:val="22"/>
          <w:szCs w:val="22"/>
        </w:rPr>
        <w:t>5</w:t>
      </w:r>
      <w:r w:rsidR="00750EE0">
        <w:rPr>
          <w:sz w:val="22"/>
          <w:szCs w:val="22"/>
        </w:rPr>
        <w:t>;</w:t>
      </w:r>
    </w:p>
    <w:p w14:paraId="49C00FE1" w14:textId="1DBFD023" w:rsidR="00675584" w:rsidRPr="00750EE0" w:rsidRDefault="00675584" w:rsidP="009C4D63">
      <w:pPr>
        <w:numPr>
          <w:ilvl w:val="0"/>
          <w:numId w:val="42"/>
        </w:numPr>
        <w:shd w:val="clear" w:color="auto" w:fill="FFFFFF" w:themeFill="background1"/>
        <w:tabs>
          <w:tab w:val="left" w:pos="709"/>
          <w:tab w:val="num" w:pos="1439"/>
        </w:tabs>
        <w:spacing w:after="120"/>
        <w:ind w:left="0" w:firstLine="425"/>
        <w:jc w:val="both"/>
        <w:rPr>
          <w:sz w:val="22"/>
          <w:szCs w:val="22"/>
        </w:rPr>
      </w:pPr>
      <w:r w:rsidRPr="00750EE0">
        <w:rPr>
          <w:sz w:val="22"/>
          <w:szCs w:val="22"/>
        </w:rPr>
        <w:t xml:space="preserve">Изпратени уведомителни писма за отпусната субсидия – </w:t>
      </w:r>
      <w:r w:rsidRPr="00750EE0">
        <w:rPr>
          <w:b/>
          <w:sz w:val="22"/>
          <w:szCs w:val="22"/>
        </w:rPr>
        <w:t>10</w:t>
      </w:r>
      <w:r w:rsidR="00750EE0">
        <w:rPr>
          <w:sz w:val="22"/>
          <w:szCs w:val="22"/>
        </w:rPr>
        <w:t>.</w:t>
      </w:r>
    </w:p>
    <w:p w14:paraId="4A32DF43" w14:textId="0B186A63" w:rsidR="00675584" w:rsidRPr="00980A30" w:rsidRDefault="00675584" w:rsidP="009C4D63">
      <w:pPr>
        <w:shd w:val="clear" w:color="auto" w:fill="FFFFFF" w:themeFill="background1"/>
        <w:ind w:firstLine="425"/>
        <w:jc w:val="both"/>
        <w:rPr>
          <w:color w:val="000000"/>
          <w:sz w:val="22"/>
          <w:szCs w:val="22"/>
        </w:rPr>
      </w:pPr>
      <w:r w:rsidRPr="00980A30">
        <w:rPr>
          <w:color w:val="000000"/>
          <w:sz w:val="22"/>
          <w:szCs w:val="22"/>
        </w:rPr>
        <w:t>Съгласно</w:t>
      </w:r>
      <w:r w:rsidRPr="00980A30">
        <w:rPr>
          <w:sz w:val="22"/>
          <w:szCs w:val="22"/>
        </w:rPr>
        <w:t xml:space="preserve"> </w:t>
      </w:r>
      <w:r w:rsidRPr="00980A30">
        <w:rPr>
          <w:color w:val="000000"/>
          <w:sz w:val="22"/>
          <w:szCs w:val="22"/>
        </w:rPr>
        <w:t>Закона за държавния бюджет на Република България за 202</w:t>
      </w:r>
      <w:r w:rsidRPr="00980A30">
        <w:rPr>
          <w:color w:val="000000"/>
          <w:sz w:val="22"/>
          <w:szCs w:val="22"/>
          <w:lang w:val="en-US"/>
        </w:rPr>
        <w:t>5</w:t>
      </w:r>
      <w:r w:rsidRPr="00980A30">
        <w:rPr>
          <w:color w:val="000000"/>
          <w:sz w:val="22"/>
          <w:szCs w:val="22"/>
        </w:rPr>
        <w:t xml:space="preserve"> г. (</w:t>
      </w:r>
      <w:r w:rsidR="00AC3A5E">
        <w:rPr>
          <w:bCs/>
          <w:color w:val="000000"/>
          <w:sz w:val="22"/>
          <w:szCs w:val="22"/>
        </w:rPr>
        <w:t>чл. 6, ал. 4 от ЗДБ, обн. ДВ. бр. 26 от 27.03.</w:t>
      </w:r>
      <w:r w:rsidRPr="00980A30">
        <w:rPr>
          <w:bCs/>
          <w:color w:val="000000"/>
          <w:sz w:val="22"/>
          <w:szCs w:val="22"/>
        </w:rPr>
        <w:t>2025 г.),</w:t>
      </w:r>
      <w:r w:rsidRPr="00980A30">
        <w:rPr>
          <w:color w:val="000000"/>
          <w:sz w:val="22"/>
          <w:szCs w:val="22"/>
        </w:rPr>
        <w:t xml:space="preserve"> държавната субсидия за вероизповеданията е в размер </w:t>
      </w:r>
      <w:r w:rsidR="00AC3A5E">
        <w:rPr>
          <w:color w:val="000000"/>
          <w:sz w:val="22"/>
          <w:szCs w:val="22"/>
        </w:rPr>
        <w:br/>
      </w:r>
      <w:r w:rsidR="00AC3A5E">
        <w:rPr>
          <w:b/>
          <w:color w:val="000000"/>
          <w:sz w:val="22"/>
          <w:szCs w:val="22"/>
        </w:rPr>
        <w:t xml:space="preserve">78 </w:t>
      </w:r>
      <w:r w:rsidRPr="00980A30">
        <w:rPr>
          <w:b/>
          <w:color w:val="000000"/>
          <w:sz w:val="22"/>
          <w:szCs w:val="22"/>
        </w:rPr>
        <w:t>004 100 лв</w:t>
      </w:r>
      <w:r w:rsidRPr="00980A30">
        <w:rPr>
          <w:color w:val="000000"/>
          <w:sz w:val="22"/>
          <w:szCs w:val="22"/>
        </w:rPr>
        <w:t>.</w:t>
      </w:r>
    </w:p>
    <w:p w14:paraId="0B23D220" w14:textId="5CD37E1B" w:rsidR="00675584" w:rsidRPr="0052793A" w:rsidRDefault="00675584" w:rsidP="009C4D63">
      <w:pPr>
        <w:shd w:val="clear" w:color="auto" w:fill="FFFFFF" w:themeFill="background1"/>
        <w:ind w:firstLine="425"/>
        <w:jc w:val="both"/>
        <w:rPr>
          <w:color w:val="000000"/>
          <w:sz w:val="22"/>
          <w:szCs w:val="22"/>
        </w:rPr>
      </w:pPr>
      <w:r w:rsidRPr="0052793A">
        <w:rPr>
          <w:color w:val="000000"/>
          <w:sz w:val="22"/>
          <w:szCs w:val="22"/>
        </w:rPr>
        <w:t xml:space="preserve">С ПМС № </w:t>
      </w:r>
      <w:r w:rsidR="0052793A">
        <w:rPr>
          <w:color w:val="000000"/>
          <w:sz w:val="22"/>
          <w:szCs w:val="22"/>
        </w:rPr>
        <w:t>64</w:t>
      </w:r>
      <w:r w:rsidRPr="0052793A">
        <w:rPr>
          <w:color w:val="000000"/>
          <w:sz w:val="22"/>
          <w:szCs w:val="22"/>
        </w:rPr>
        <w:t>/21.05.2025 г. Министерски съвет одобри допълнителни разходи по бюджета на Министерски съвет за 202</w:t>
      </w:r>
      <w:r w:rsidR="0052793A">
        <w:rPr>
          <w:color w:val="000000"/>
          <w:sz w:val="22"/>
          <w:szCs w:val="22"/>
        </w:rPr>
        <w:t xml:space="preserve">5 г. в размер на </w:t>
      </w:r>
      <w:r w:rsidRPr="0052793A">
        <w:rPr>
          <w:b/>
          <w:color w:val="000000"/>
          <w:sz w:val="22"/>
          <w:szCs w:val="22"/>
        </w:rPr>
        <w:t>3 945 087 лв.</w:t>
      </w:r>
      <w:r w:rsidRPr="0052793A">
        <w:rPr>
          <w:color w:val="000000"/>
          <w:sz w:val="22"/>
          <w:szCs w:val="22"/>
        </w:rPr>
        <w:t xml:space="preserve"> на Българска православна църква – Бъл</w:t>
      </w:r>
      <w:r w:rsidR="0052793A">
        <w:rPr>
          <w:color w:val="000000"/>
          <w:sz w:val="22"/>
          <w:szCs w:val="22"/>
        </w:rPr>
        <w:t>гарска патриаршия, както следва</w:t>
      </w:r>
      <w:r w:rsidRPr="0052793A">
        <w:rPr>
          <w:color w:val="000000"/>
          <w:sz w:val="22"/>
          <w:szCs w:val="22"/>
        </w:rPr>
        <w:t>:</w:t>
      </w:r>
    </w:p>
    <w:p w14:paraId="7840D516" w14:textId="67C68AB8" w:rsidR="00675584" w:rsidRPr="00524AA2" w:rsidRDefault="00675584" w:rsidP="009C4D63">
      <w:pPr>
        <w:numPr>
          <w:ilvl w:val="0"/>
          <w:numId w:val="42"/>
        </w:numPr>
        <w:shd w:val="clear" w:color="auto" w:fill="FFFFFF" w:themeFill="background1"/>
        <w:tabs>
          <w:tab w:val="left" w:pos="709"/>
          <w:tab w:val="num" w:pos="1439"/>
        </w:tabs>
        <w:ind w:left="0" w:firstLine="425"/>
        <w:jc w:val="both"/>
        <w:rPr>
          <w:sz w:val="22"/>
          <w:szCs w:val="22"/>
        </w:rPr>
      </w:pPr>
      <w:r w:rsidRPr="00524AA2">
        <w:rPr>
          <w:b/>
          <w:sz w:val="22"/>
          <w:szCs w:val="22"/>
        </w:rPr>
        <w:t>2 958 127 лв.</w:t>
      </w:r>
      <w:r w:rsidRPr="00524AA2">
        <w:rPr>
          <w:sz w:val="22"/>
          <w:szCs w:val="22"/>
        </w:rPr>
        <w:t xml:space="preserve"> </w:t>
      </w:r>
      <w:r w:rsidR="00524AA2">
        <w:rPr>
          <w:sz w:val="22"/>
          <w:szCs w:val="22"/>
        </w:rPr>
        <w:t>–</w:t>
      </w:r>
      <w:r w:rsidRPr="00524AA2">
        <w:rPr>
          <w:sz w:val="22"/>
          <w:szCs w:val="22"/>
        </w:rPr>
        <w:t xml:space="preserve"> за неотложни ремонтни и </w:t>
      </w:r>
      <w:proofErr w:type="spellStart"/>
      <w:r w:rsidRPr="00524AA2">
        <w:rPr>
          <w:sz w:val="22"/>
          <w:szCs w:val="22"/>
        </w:rPr>
        <w:t>консервационно</w:t>
      </w:r>
      <w:proofErr w:type="spellEnd"/>
      <w:r w:rsidRPr="00524AA2">
        <w:rPr>
          <w:sz w:val="22"/>
          <w:szCs w:val="22"/>
        </w:rPr>
        <w:t>-реставр</w:t>
      </w:r>
      <w:r w:rsidR="00524AA2">
        <w:rPr>
          <w:sz w:val="22"/>
          <w:szCs w:val="22"/>
        </w:rPr>
        <w:t xml:space="preserve">ационни дейности на катедрален </w:t>
      </w:r>
      <w:r w:rsidRPr="00524AA2">
        <w:rPr>
          <w:sz w:val="22"/>
          <w:szCs w:val="22"/>
        </w:rPr>
        <w:t>храм „С</w:t>
      </w:r>
      <w:r w:rsidR="00524AA2">
        <w:rPr>
          <w:sz w:val="22"/>
          <w:szCs w:val="22"/>
        </w:rPr>
        <w:t>в. Димитър Солунски“, гр. Видин;</w:t>
      </w:r>
    </w:p>
    <w:p w14:paraId="6A3BA76C" w14:textId="77777777" w:rsidR="00675584" w:rsidRPr="00524AA2" w:rsidRDefault="00675584" w:rsidP="009C4D63">
      <w:pPr>
        <w:numPr>
          <w:ilvl w:val="0"/>
          <w:numId w:val="42"/>
        </w:numPr>
        <w:shd w:val="clear" w:color="auto" w:fill="FFFFFF" w:themeFill="background1"/>
        <w:tabs>
          <w:tab w:val="left" w:pos="709"/>
          <w:tab w:val="num" w:pos="1439"/>
        </w:tabs>
        <w:ind w:left="0" w:firstLine="425"/>
        <w:jc w:val="both"/>
        <w:rPr>
          <w:sz w:val="22"/>
          <w:szCs w:val="22"/>
        </w:rPr>
      </w:pPr>
      <w:r w:rsidRPr="00524AA2">
        <w:rPr>
          <w:b/>
          <w:sz w:val="22"/>
          <w:szCs w:val="22"/>
        </w:rPr>
        <w:t>986 960 лв.</w:t>
      </w:r>
      <w:r w:rsidRPr="00524AA2">
        <w:rPr>
          <w:sz w:val="22"/>
          <w:szCs w:val="22"/>
        </w:rPr>
        <w:t xml:space="preserve"> – за ремонт на административната сграда на Видинска митрополия.</w:t>
      </w:r>
    </w:p>
    <w:p w14:paraId="54B3594A" w14:textId="63D30122" w:rsidR="00675584" w:rsidRPr="00980A30" w:rsidRDefault="00675584" w:rsidP="009C4D63">
      <w:pPr>
        <w:shd w:val="clear" w:color="auto" w:fill="FFFFFF" w:themeFill="background1"/>
        <w:spacing w:after="120"/>
        <w:ind w:right="23" w:firstLine="425"/>
        <w:contextualSpacing/>
        <w:jc w:val="both"/>
        <w:rPr>
          <w:bCs/>
          <w:sz w:val="22"/>
          <w:szCs w:val="22"/>
        </w:rPr>
      </w:pPr>
      <w:r w:rsidRPr="00980A30">
        <w:rPr>
          <w:bCs/>
          <w:sz w:val="22"/>
          <w:szCs w:val="22"/>
        </w:rPr>
        <w:t>Допълнителните разходи по бюджета на Министерски с</w:t>
      </w:r>
      <w:r w:rsidR="007C5788">
        <w:rPr>
          <w:bCs/>
          <w:sz w:val="22"/>
          <w:szCs w:val="22"/>
        </w:rPr>
        <w:t xml:space="preserve">ъвет през първото полугодие на </w:t>
      </w:r>
      <w:r w:rsidR="007C5788">
        <w:rPr>
          <w:bCs/>
          <w:sz w:val="22"/>
          <w:szCs w:val="22"/>
        </w:rPr>
        <w:br/>
      </w:r>
      <w:r w:rsidRPr="00980A30">
        <w:rPr>
          <w:bCs/>
          <w:sz w:val="22"/>
          <w:szCs w:val="22"/>
        </w:rPr>
        <w:t>20</w:t>
      </w:r>
      <w:r w:rsidRPr="00980A30">
        <w:rPr>
          <w:bCs/>
          <w:sz w:val="22"/>
          <w:szCs w:val="22"/>
          <w:lang w:val="en-US"/>
        </w:rPr>
        <w:t>2</w:t>
      </w:r>
      <w:r w:rsidRPr="00980A30">
        <w:rPr>
          <w:bCs/>
          <w:sz w:val="22"/>
          <w:szCs w:val="22"/>
        </w:rPr>
        <w:t xml:space="preserve">5 г. за вероизповеданията в общ размер на </w:t>
      </w:r>
      <w:r w:rsidRPr="00980A30">
        <w:rPr>
          <w:b/>
          <w:bCs/>
          <w:sz w:val="22"/>
          <w:szCs w:val="22"/>
        </w:rPr>
        <w:t xml:space="preserve">3 945 087 лв. </w:t>
      </w:r>
      <w:r w:rsidRPr="00980A30">
        <w:rPr>
          <w:bCs/>
          <w:sz w:val="22"/>
          <w:szCs w:val="22"/>
        </w:rPr>
        <w:t xml:space="preserve">Така държавната субсидия за регистрираните вероизповедания в страната за 2025 г. се увеличи на </w:t>
      </w:r>
      <w:r w:rsidRPr="00980A30">
        <w:rPr>
          <w:b/>
          <w:bCs/>
          <w:sz w:val="22"/>
          <w:szCs w:val="22"/>
        </w:rPr>
        <w:t>81 949 187 лв</w:t>
      </w:r>
      <w:r w:rsidRPr="00980A30">
        <w:rPr>
          <w:bCs/>
          <w:sz w:val="22"/>
          <w:szCs w:val="22"/>
        </w:rPr>
        <w:t>.</w:t>
      </w:r>
    </w:p>
    <w:p w14:paraId="5533AB83" w14:textId="1F6C1FEC" w:rsidR="00675584" w:rsidRDefault="001C27A6" w:rsidP="009C4D63">
      <w:pPr>
        <w:shd w:val="clear" w:color="auto" w:fill="FFFFFF" w:themeFill="background1"/>
        <w:spacing w:before="120" w:after="120"/>
        <w:ind w:right="23" w:firstLine="425"/>
        <w:contextualSpacing/>
        <w:jc w:val="both"/>
        <w:rPr>
          <w:color w:val="000000"/>
          <w:spacing w:val="3"/>
          <w:sz w:val="22"/>
          <w:szCs w:val="22"/>
        </w:rPr>
      </w:pPr>
      <w:r w:rsidRPr="001C27A6">
        <w:rPr>
          <w:color w:val="000000"/>
          <w:spacing w:val="3"/>
          <w:sz w:val="22"/>
          <w:szCs w:val="22"/>
        </w:rPr>
        <w:lastRenderedPageBreak/>
        <w:t xml:space="preserve">От тази сума за периода 01.01.2025 – 30.06.2025 г. е разпределена държавна </w:t>
      </w:r>
      <w:r>
        <w:rPr>
          <w:color w:val="000000"/>
          <w:spacing w:val="3"/>
          <w:sz w:val="22"/>
          <w:szCs w:val="22"/>
        </w:rPr>
        <w:t xml:space="preserve">субсидия в размер на </w:t>
      </w:r>
      <w:r w:rsidRPr="001C27A6">
        <w:rPr>
          <w:b/>
          <w:color w:val="000000"/>
          <w:spacing w:val="3"/>
          <w:sz w:val="22"/>
          <w:szCs w:val="22"/>
        </w:rPr>
        <w:t>38 835 660.09 лв.</w:t>
      </w:r>
      <w:r w:rsidRPr="001C27A6">
        <w:rPr>
          <w:color w:val="000000"/>
          <w:spacing w:val="3"/>
          <w:sz w:val="22"/>
          <w:szCs w:val="22"/>
        </w:rPr>
        <w:t xml:space="preserve"> на регистрирани в страната вероизповедания и на Българските православни църковни общини в чужбина.</w:t>
      </w:r>
    </w:p>
    <w:p w14:paraId="320386B8" w14:textId="77777777" w:rsidR="005C7735" w:rsidRPr="00903F9E" w:rsidRDefault="005C7735" w:rsidP="00132BFF">
      <w:pPr>
        <w:shd w:val="clear" w:color="auto" w:fill="FFFFFF" w:themeFill="background1"/>
        <w:spacing w:before="240"/>
        <w:ind w:firstLine="425"/>
        <w:rPr>
          <w:b/>
          <w:i/>
          <w:sz w:val="22"/>
          <w:szCs w:val="22"/>
        </w:rPr>
      </w:pPr>
      <w:r w:rsidRPr="00903F9E">
        <w:rPr>
          <w:b/>
          <w:i/>
          <w:sz w:val="22"/>
          <w:szCs w:val="22"/>
        </w:rPr>
        <w:t>Направеното разпределение по точки е както следва:</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7088"/>
        <w:gridCol w:w="1593"/>
      </w:tblGrid>
      <w:tr w:rsidR="00903F9E" w:rsidRPr="00711965" w14:paraId="6C917329" w14:textId="77777777" w:rsidTr="00132BFF">
        <w:trPr>
          <w:trHeight w:val="362"/>
          <w:jc w:val="center"/>
        </w:trPr>
        <w:tc>
          <w:tcPr>
            <w:tcW w:w="7088" w:type="dxa"/>
            <w:tcBorders>
              <w:top w:val="single" w:sz="4" w:space="0" w:color="auto"/>
              <w:left w:val="single" w:sz="4" w:space="0" w:color="auto"/>
              <w:bottom w:val="single" w:sz="4" w:space="0" w:color="auto"/>
              <w:right w:val="single" w:sz="4" w:space="0" w:color="auto"/>
            </w:tcBorders>
            <w:shd w:val="clear" w:color="auto" w:fill="F6C5AC" w:themeFill="accent2" w:themeFillTint="66"/>
            <w:vAlign w:val="center"/>
          </w:tcPr>
          <w:p w14:paraId="407CC77F" w14:textId="77777777" w:rsidR="00903F9E" w:rsidRPr="00711965" w:rsidRDefault="00903F9E" w:rsidP="00443F31">
            <w:pPr>
              <w:jc w:val="center"/>
              <w:rPr>
                <w:b/>
                <w:sz w:val="18"/>
                <w:szCs w:val="18"/>
              </w:rPr>
            </w:pPr>
            <w:r w:rsidRPr="00711965">
              <w:rPr>
                <w:b/>
                <w:sz w:val="18"/>
                <w:szCs w:val="18"/>
              </w:rPr>
              <w:t>ВЕРОИЗПОВЕДАНИЕ</w:t>
            </w:r>
          </w:p>
        </w:tc>
        <w:tc>
          <w:tcPr>
            <w:tcW w:w="1593" w:type="dxa"/>
            <w:tcBorders>
              <w:top w:val="single" w:sz="4" w:space="0" w:color="auto"/>
              <w:left w:val="single" w:sz="4" w:space="0" w:color="auto"/>
              <w:bottom w:val="single" w:sz="4" w:space="0" w:color="auto"/>
              <w:right w:val="single" w:sz="4" w:space="0" w:color="auto"/>
            </w:tcBorders>
            <w:shd w:val="clear" w:color="auto" w:fill="F6C5AC" w:themeFill="accent2" w:themeFillTint="66"/>
            <w:vAlign w:val="center"/>
          </w:tcPr>
          <w:p w14:paraId="0DFE3705" w14:textId="77777777" w:rsidR="00903F9E" w:rsidRPr="00711965" w:rsidRDefault="00903F9E" w:rsidP="00443F31">
            <w:pPr>
              <w:jc w:val="center"/>
              <w:rPr>
                <w:b/>
                <w:sz w:val="18"/>
                <w:szCs w:val="18"/>
              </w:rPr>
            </w:pPr>
            <w:r w:rsidRPr="00711965">
              <w:rPr>
                <w:b/>
                <w:sz w:val="18"/>
                <w:szCs w:val="18"/>
              </w:rPr>
              <w:t>СУМА</w:t>
            </w:r>
          </w:p>
        </w:tc>
      </w:tr>
      <w:tr w:rsidR="00903F9E" w:rsidRPr="00711965" w14:paraId="5563381D" w14:textId="77777777" w:rsidTr="00DB41F9">
        <w:trPr>
          <w:trHeight w:val="408"/>
          <w:jc w:val="center"/>
        </w:trPr>
        <w:tc>
          <w:tcPr>
            <w:tcW w:w="7088" w:type="dxa"/>
            <w:tcBorders>
              <w:top w:val="single" w:sz="4" w:space="0" w:color="auto"/>
              <w:left w:val="single" w:sz="4" w:space="0" w:color="auto"/>
              <w:bottom w:val="single" w:sz="4" w:space="0" w:color="auto"/>
              <w:right w:val="single" w:sz="4" w:space="0" w:color="auto"/>
            </w:tcBorders>
            <w:hideMark/>
          </w:tcPr>
          <w:p w14:paraId="22FBDC84" w14:textId="77777777" w:rsidR="00903F9E" w:rsidRPr="00711965" w:rsidRDefault="00903F9E" w:rsidP="00443F31">
            <w:pPr>
              <w:rPr>
                <w:sz w:val="18"/>
                <w:szCs w:val="18"/>
              </w:rPr>
            </w:pPr>
            <w:r w:rsidRPr="00711965">
              <w:rPr>
                <w:sz w:val="18"/>
                <w:szCs w:val="18"/>
              </w:rPr>
              <w:t>За източноправославното вероизповедание – на Българската православна църква – Българска патриаршия</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34767BB" w14:textId="66F6A39A" w:rsidR="00903F9E" w:rsidRPr="00711965" w:rsidRDefault="00903F9E" w:rsidP="00443F31">
            <w:pPr>
              <w:jc w:val="right"/>
              <w:rPr>
                <w:sz w:val="18"/>
                <w:szCs w:val="18"/>
                <w:highlight w:val="yellow"/>
              </w:rPr>
            </w:pPr>
            <w:r>
              <w:rPr>
                <w:sz w:val="18"/>
                <w:szCs w:val="18"/>
              </w:rPr>
              <w:t xml:space="preserve">30 </w:t>
            </w:r>
            <w:r w:rsidRPr="00711965">
              <w:rPr>
                <w:sz w:val="18"/>
                <w:szCs w:val="18"/>
              </w:rPr>
              <w:t>778 420 лв.</w:t>
            </w:r>
          </w:p>
        </w:tc>
      </w:tr>
      <w:tr w:rsidR="00903F9E" w:rsidRPr="00711965" w14:paraId="47805EFA" w14:textId="77777777" w:rsidTr="008D64AB">
        <w:trPr>
          <w:trHeight w:val="272"/>
          <w:jc w:val="center"/>
        </w:trPr>
        <w:tc>
          <w:tcPr>
            <w:tcW w:w="7088" w:type="dxa"/>
            <w:tcBorders>
              <w:top w:val="single" w:sz="4" w:space="0" w:color="auto"/>
              <w:left w:val="single" w:sz="4" w:space="0" w:color="auto"/>
              <w:bottom w:val="single" w:sz="4" w:space="0" w:color="auto"/>
              <w:right w:val="single" w:sz="4" w:space="0" w:color="auto"/>
            </w:tcBorders>
            <w:hideMark/>
          </w:tcPr>
          <w:p w14:paraId="5A6C9FCD" w14:textId="77777777" w:rsidR="00903F9E" w:rsidRPr="00711965" w:rsidRDefault="00903F9E" w:rsidP="00443F31">
            <w:pPr>
              <w:rPr>
                <w:sz w:val="18"/>
                <w:szCs w:val="18"/>
              </w:rPr>
            </w:pPr>
            <w:r w:rsidRPr="00711965">
              <w:rPr>
                <w:sz w:val="18"/>
                <w:szCs w:val="18"/>
              </w:rPr>
              <w:t xml:space="preserve">За мюсюлманското вероизповедание – на Мюсюлманското изповедание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43B7190" w14:textId="77777777" w:rsidR="00903F9E" w:rsidRPr="00711965" w:rsidRDefault="00903F9E" w:rsidP="00443F31">
            <w:pPr>
              <w:jc w:val="right"/>
              <w:rPr>
                <w:sz w:val="18"/>
                <w:szCs w:val="18"/>
                <w:highlight w:val="yellow"/>
              </w:rPr>
            </w:pPr>
            <w:r w:rsidRPr="00711965">
              <w:rPr>
                <w:sz w:val="18"/>
                <w:szCs w:val="18"/>
              </w:rPr>
              <w:t>5 854 764 лв.</w:t>
            </w:r>
          </w:p>
        </w:tc>
      </w:tr>
      <w:tr w:rsidR="00903F9E" w:rsidRPr="00711965" w14:paraId="18F54F20" w14:textId="77777777" w:rsidTr="00F6463E">
        <w:trPr>
          <w:jc w:val="center"/>
        </w:trPr>
        <w:tc>
          <w:tcPr>
            <w:tcW w:w="7088" w:type="dxa"/>
            <w:tcBorders>
              <w:top w:val="single" w:sz="4" w:space="0" w:color="auto"/>
              <w:left w:val="single" w:sz="4" w:space="0" w:color="auto"/>
              <w:bottom w:val="single" w:sz="4" w:space="0" w:color="auto"/>
              <w:right w:val="single" w:sz="4" w:space="0" w:color="auto"/>
            </w:tcBorders>
            <w:hideMark/>
          </w:tcPr>
          <w:p w14:paraId="22C88978" w14:textId="77777777" w:rsidR="00903F9E" w:rsidRPr="00711965" w:rsidRDefault="00903F9E" w:rsidP="00443F31">
            <w:pPr>
              <w:rPr>
                <w:sz w:val="18"/>
                <w:szCs w:val="18"/>
              </w:rPr>
            </w:pPr>
            <w:r w:rsidRPr="00711965">
              <w:rPr>
                <w:sz w:val="18"/>
                <w:szCs w:val="18"/>
              </w:rPr>
              <w:t xml:space="preserve">За задграничните епархии или митрополии в </w:t>
            </w:r>
            <w:proofErr w:type="spellStart"/>
            <w:r w:rsidRPr="00711965">
              <w:rPr>
                <w:sz w:val="18"/>
                <w:szCs w:val="18"/>
              </w:rPr>
              <w:t>диоцеза</w:t>
            </w:r>
            <w:proofErr w:type="spellEnd"/>
            <w:r w:rsidRPr="00711965">
              <w:rPr>
                <w:sz w:val="18"/>
                <w:szCs w:val="18"/>
              </w:rPr>
              <w:t xml:space="preserve"> и юрисдикцията на Българската православна църква – Българска патриаршия – на Българската източноправославна епархия в Западна и Средна Европа</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24E829C" w14:textId="77777777" w:rsidR="00903F9E" w:rsidRPr="00711965" w:rsidRDefault="00903F9E" w:rsidP="00443F31">
            <w:pPr>
              <w:jc w:val="right"/>
              <w:rPr>
                <w:sz w:val="18"/>
                <w:szCs w:val="18"/>
              </w:rPr>
            </w:pPr>
            <w:r w:rsidRPr="00711965">
              <w:rPr>
                <w:sz w:val="18"/>
                <w:szCs w:val="18"/>
              </w:rPr>
              <w:t>946 600 лв.</w:t>
            </w:r>
          </w:p>
        </w:tc>
      </w:tr>
      <w:tr w:rsidR="00903F9E" w:rsidRPr="00711965" w14:paraId="57A9FD46" w14:textId="77777777" w:rsidTr="008D64AB">
        <w:trPr>
          <w:trHeight w:val="213"/>
          <w:jc w:val="center"/>
        </w:trPr>
        <w:tc>
          <w:tcPr>
            <w:tcW w:w="7088" w:type="dxa"/>
            <w:tcBorders>
              <w:top w:val="single" w:sz="4" w:space="0" w:color="auto"/>
              <w:left w:val="single" w:sz="4" w:space="0" w:color="auto"/>
              <w:bottom w:val="single" w:sz="4" w:space="0" w:color="auto"/>
              <w:right w:val="single" w:sz="4" w:space="0" w:color="auto"/>
            </w:tcBorders>
            <w:hideMark/>
          </w:tcPr>
          <w:p w14:paraId="15E937CD" w14:textId="70F39BBA" w:rsidR="00F6463E" w:rsidRPr="00711965" w:rsidRDefault="00903F9E" w:rsidP="00443F31">
            <w:pPr>
              <w:rPr>
                <w:sz w:val="18"/>
                <w:szCs w:val="18"/>
              </w:rPr>
            </w:pPr>
            <w:r w:rsidRPr="00711965">
              <w:rPr>
                <w:sz w:val="18"/>
                <w:szCs w:val="18"/>
              </w:rPr>
              <w:t>За Българските православни църковни общини в чужбина</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F0E6E4B" w14:textId="738BFEDB" w:rsidR="00903F9E" w:rsidRPr="00711965" w:rsidRDefault="009C4D63" w:rsidP="009C4D63">
            <w:pPr>
              <w:jc w:val="right"/>
              <w:rPr>
                <w:sz w:val="18"/>
                <w:szCs w:val="18"/>
              </w:rPr>
            </w:pPr>
            <w:r>
              <w:rPr>
                <w:sz w:val="18"/>
                <w:szCs w:val="18"/>
              </w:rPr>
              <w:t>288 876</w:t>
            </w:r>
            <w:r w:rsidR="00903F9E" w:rsidRPr="00711965">
              <w:rPr>
                <w:sz w:val="18"/>
                <w:szCs w:val="18"/>
              </w:rPr>
              <w:t xml:space="preserve"> лв.</w:t>
            </w:r>
          </w:p>
        </w:tc>
      </w:tr>
      <w:tr w:rsidR="00903F9E" w:rsidRPr="00711965" w14:paraId="7FF4923E" w14:textId="77777777" w:rsidTr="00F6463E">
        <w:trPr>
          <w:jc w:val="center"/>
        </w:trPr>
        <w:tc>
          <w:tcPr>
            <w:tcW w:w="7088" w:type="dxa"/>
            <w:tcBorders>
              <w:top w:val="single" w:sz="4" w:space="0" w:color="auto"/>
              <w:left w:val="single" w:sz="4" w:space="0" w:color="auto"/>
              <w:bottom w:val="single" w:sz="4" w:space="0" w:color="auto"/>
              <w:right w:val="single" w:sz="4" w:space="0" w:color="auto"/>
            </w:tcBorders>
            <w:hideMark/>
          </w:tcPr>
          <w:p w14:paraId="2F6651F4" w14:textId="4CAA1CF0" w:rsidR="00F6463E" w:rsidRPr="00711965" w:rsidRDefault="00903F9E" w:rsidP="00443F31">
            <w:pPr>
              <w:rPr>
                <w:sz w:val="18"/>
                <w:szCs w:val="18"/>
              </w:rPr>
            </w:pPr>
            <w:r w:rsidRPr="00711965">
              <w:rPr>
                <w:sz w:val="18"/>
                <w:szCs w:val="18"/>
              </w:rPr>
              <w:t>За Католическата църква в България</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362CA39" w14:textId="77777777" w:rsidR="00903F9E" w:rsidRPr="00711965" w:rsidRDefault="00903F9E" w:rsidP="00443F31">
            <w:pPr>
              <w:jc w:val="right"/>
              <w:rPr>
                <w:sz w:val="18"/>
                <w:szCs w:val="18"/>
                <w:lang w:val="en-US"/>
              </w:rPr>
            </w:pPr>
            <w:r w:rsidRPr="00711965">
              <w:rPr>
                <w:sz w:val="18"/>
                <w:szCs w:val="18"/>
              </w:rPr>
              <w:t>774 000</w:t>
            </w:r>
            <w:r w:rsidRPr="00711965">
              <w:rPr>
                <w:sz w:val="18"/>
                <w:szCs w:val="18"/>
                <w:lang w:val="en-US"/>
              </w:rPr>
              <w:t xml:space="preserve"> </w:t>
            </w:r>
            <w:r w:rsidRPr="00711965">
              <w:rPr>
                <w:sz w:val="18"/>
                <w:szCs w:val="18"/>
              </w:rPr>
              <w:t>лв.</w:t>
            </w:r>
          </w:p>
        </w:tc>
      </w:tr>
      <w:tr w:rsidR="00903F9E" w:rsidRPr="00711965" w14:paraId="4863CECE" w14:textId="77777777" w:rsidTr="00F6463E">
        <w:trPr>
          <w:jc w:val="center"/>
        </w:trPr>
        <w:tc>
          <w:tcPr>
            <w:tcW w:w="7088" w:type="dxa"/>
            <w:tcBorders>
              <w:top w:val="single" w:sz="4" w:space="0" w:color="auto"/>
              <w:left w:val="single" w:sz="4" w:space="0" w:color="auto"/>
              <w:bottom w:val="single" w:sz="4" w:space="0" w:color="auto"/>
              <w:right w:val="single" w:sz="4" w:space="0" w:color="auto"/>
            </w:tcBorders>
            <w:hideMark/>
          </w:tcPr>
          <w:p w14:paraId="649B54CC" w14:textId="35251275" w:rsidR="00F6463E" w:rsidRPr="00711965" w:rsidRDefault="00903F9E" w:rsidP="00443F31">
            <w:pPr>
              <w:rPr>
                <w:sz w:val="18"/>
                <w:szCs w:val="18"/>
              </w:rPr>
            </w:pPr>
            <w:r w:rsidRPr="00711965">
              <w:rPr>
                <w:sz w:val="18"/>
                <w:szCs w:val="18"/>
              </w:rPr>
              <w:t>За протестантските вероизповедания в България</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611151D" w14:textId="77777777" w:rsidR="00903F9E" w:rsidRPr="00711965" w:rsidRDefault="00903F9E" w:rsidP="00443F31">
            <w:pPr>
              <w:jc w:val="right"/>
              <w:rPr>
                <w:sz w:val="18"/>
                <w:szCs w:val="18"/>
              </w:rPr>
            </w:pPr>
            <w:r w:rsidRPr="00711965">
              <w:rPr>
                <w:sz w:val="18"/>
                <w:szCs w:val="18"/>
              </w:rPr>
              <w:t>0 лв.</w:t>
            </w:r>
          </w:p>
        </w:tc>
      </w:tr>
      <w:tr w:rsidR="00903F9E" w:rsidRPr="00711965" w14:paraId="2C34401C" w14:textId="77777777" w:rsidTr="00F6463E">
        <w:trPr>
          <w:jc w:val="center"/>
        </w:trPr>
        <w:tc>
          <w:tcPr>
            <w:tcW w:w="7088" w:type="dxa"/>
            <w:tcBorders>
              <w:top w:val="single" w:sz="4" w:space="0" w:color="auto"/>
              <w:left w:val="single" w:sz="4" w:space="0" w:color="auto"/>
              <w:bottom w:val="single" w:sz="4" w:space="0" w:color="auto"/>
              <w:right w:val="single" w:sz="4" w:space="0" w:color="auto"/>
            </w:tcBorders>
            <w:hideMark/>
          </w:tcPr>
          <w:p w14:paraId="38018370" w14:textId="6A41E23A" w:rsidR="00F6463E" w:rsidRPr="00711965" w:rsidRDefault="00903F9E" w:rsidP="00443F31">
            <w:pPr>
              <w:rPr>
                <w:sz w:val="18"/>
                <w:szCs w:val="18"/>
              </w:rPr>
            </w:pPr>
            <w:r w:rsidRPr="00711965">
              <w:rPr>
                <w:sz w:val="18"/>
                <w:szCs w:val="18"/>
              </w:rPr>
              <w:t>За Религиозната общност на евреите в България</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D1C27EB" w14:textId="77777777" w:rsidR="00903F9E" w:rsidRPr="00711965" w:rsidRDefault="00903F9E" w:rsidP="00443F31">
            <w:pPr>
              <w:jc w:val="right"/>
              <w:rPr>
                <w:sz w:val="18"/>
                <w:szCs w:val="18"/>
              </w:rPr>
            </w:pPr>
            <w:r w:rsidRPr="00711965">
              <w:rPr>
                <w:sz w:val="18"/>
                <w:szCs w:val="18"/>
              </w:rPr>
              <w:t>93 000 лв.</w:t>
            </w:r>
          </w:p>
        </w:tc>
      </w:tr>
      <w:tr w:rsidR="00903F9E" w:rsidRPr="00711965" w14:paraId="563EE346" w14:textId="77777777" w:rsidTr="00F6463E">
        <w:trPr>
          <w:jc w:val="center"/>
        </w:trPr>
        <w:tc>
          <w:tcPr>
            <w:tcW w:w="7088" w:type="dxa"/>
            <w:tcBorders>
              <w:top w:val="single" w:sz="4" w:space="0" w:color="auto"/>
              <w:left w:val="single" w:sz="4" w:space="0" w:color="auto"/>
              <w:bottom w:val="single" w:sz="4" w:space="0" w:color="auto"/>
              <w:right w:val="single" w:sz="4" w:space="0" w:color="auto"/>
            </w:tcBorders>
            <w:hideMark/>
          </w:tcPr>
          <w:p w14:paraId="6B8C2E90" w14:textId="7C90AF19" w:rsidR="00F6463E" w:rsidRPr="00711965" w:rsidRDefault="00903F9E" w:rsidP="00443F31">
            <w:pPr>
              <w:rPr>
                <w:sz w:val="18"/>
                <w:szCs w:val="18"/>
              </w:rPr>
            </w:pPr>
            <w:r w:rsidRPr="00711965">
              <w:rPr>
                <w:sz w:val="18"/>
                <w:szCs w:val="18"/>
              </w:rPr>
              <w:t>За Арменската Апостолическа православна света църква</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BE33395" w14:textId="77777777" w:rsidR="00903F9E" w:rsidRPr="00711965" w:rsidRDefault="00903F9E" w:rsidP="00443F31">
            <w:pPr>
              <w:jc w:val="right"/>
              <w:rPr>
                <w:sz w:val="18"/>
                <w:szCs w:val="18"/>
              </w:rPr>
            </w:pPr>
            <w:r w:rsidRPr="00711965">
              <w:rPr>
                <w:sz w:val="18"/>
                <w:szCs w:val="18"/>
              </w:rPr>
              <w:t>100 000 лв.</w:t>
            </w:r>
          </w:p>
        </w:tc>
      </w:tr>
      <w:tr w:rsidR="00903F9E" w:rsidRPr="00711965" w14:paraId="0698C0B8" w14:textId="77777777" w:rsidTr="008A2BE5">
        <w:trPr>
          <w:jc w:val="center"/>
        </w:trPr>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58584A" w14:textId="77777777" w:rsidR="00312065" w:rsidRDefault="00312065" w:rsidP="00F6463E">
            <w:pPr>
              <w:jc w:val="right"/>
              <w:rPr>
                <w:b/>
                <w:sz w:val="18"/>
                <w:szCs w:val="18"/>
              </w:rPr>
            </w:pPr>
          </w:p>
          <w:p w14:paraId="22EA0F7C" w14:textId="15F7B145" w:rsidR="00903F9E" w:rsidRPr="00711965" w:rsidRDefault="00903F9E" w:rsidP="00F6463E">
            <w:pPr>
              <w:jc w:val="right"/>
              <w:rPr>
                <w:b/>
                <w:sz w:val="18"/>
                <w:szCs w:val="18"/>
              </w:rPr>
            </w:pPr>
            <w:r w:rsidRPr="00711965">
              <w:rPr>
                <w:b/>
                <w:sz w:val="18"/>
                <w:szCs w:val="18"/>
              </w:rPr>
              <w:t>ОБЩО:</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437556AD" w14:textId="77777777" w:rsidR="00312065" w:rsidRDefault="00312065" w:rsidP="00443F31">
            <w:pPr>
              <w:jc w:val="right"/>
              <w:rPr>
                <w:b/>
                <w:color w:val="000000"/>
                <w:spacing w:val="1"/>
                <w:sz w:val="18"/>
                <w:szCs w:val="18"/>
              </w:rPr>
            </w:pPr>
          </w:p>
          <w:p w14:paraId="0860DA06" w14:textId="099B69C0" w:rsidR="00903F9E" w:rsidRPr="00711965" w:rsidRDefault="00F6463E" w:rsidP="009C4D63">
            <w:pPr>
              <w:jc w:val="right"/>
              <w:rPr>
                <w:b/>
                <w:sz w:val="18"/>
                <w:szCs w:val="18"/>
              </w:rPr>
            </w:pPr>
            <w:r>
              <w:rPr>
                <w:b/>
                <w:color w:val="000000"/>
                <w:spacing w:val="1"/>
                <w:sz w:val="18"/>
                <w:szCs w:val="18"/>
              </w:rPr>
              <w:t>38 835 660</w:t>
            </w:r>
            <w:r w:rsidR="00903F9E" w:rsidRPr="00711965">
              <w:rPr>
                <w:b/>
                <w:color w:val="000000"/>
                <w:spacing w:val="1"/>
                <w:sz w:val="18"/>
                <w:szCs w:val="18"/>
                <w:lang w:val="en-US"/>
              </w:rPr>
              <w:t xml:space="preserve"> </w:t>
            </w:r>
            <w:r w:rsidR="00903F9E" w:rsidRPr="00711965">
              <w:rPr>
                <w:b/>
                <w:color w:val="000000"/>
                <w:spacing w:val="1"/>
                <w:sz w:val="18"/>
                <w:szCs w:val="18"/>
              </w:rPr>
              <w:t>лв.</w:t>
            </w:r>
          </w:p>
        </w:tc>
      </w:tr>
    </w:tbl>
    <w:p w14:paraId="27A8E45C" w14:textId="631C9C98" w:rsidR="00247844" w:rsidRPr="00247844" w:rsidRDefault="00247844" w:rsidP="00132BFF">
      <w:pPr>
        <w:widowControl w:val="0"/>
        <w:numPr>
          <w:ilvl w:val="0"/>
          <w:numId w:val="6"/>
        </w:numPr>
        <w:shd w:val="clear" w:color="auto" w:fill="FFFFFF" w:themeFill="background1"/>
        <w:autoSpaceDE w:val="0"/>
        <w:autoSpaceDN w:val="0"/>
        <w:adjustRightInd w:val="0"/>
        <w:spacing w:before="120"/>
        <w:ind w:left="0" w:firstLine="426"/>
        <w:jc w:val="both"/>
        <w:rPr>
          <w:bCs/>
          <w:sz w:val="22"/>
          <w:szCs w:val="22"/>
        </w:rPr>
      </w:pPr>
      <w:r w:rsidRPr="00247844">
        <w:rPr>
          <w:b/>
          <w:bCs/>
          <w:spacing w:val="-1"/>
          <w:sz w:val="22"/>
          <w:szCs w:val="22"/>
        </w:rPr>
        <w:t>По т. 1 от чл. 6, ал. 4 на ЗДБ за 20</w:t>
      </w:r>
      <w:r w:rsidRPr="00247844">
        <w:rPr>
          <w:b/>
          <w:bCs/>
          <w:spacing w:val="-1"/>
          <w:sz w:val="22"/>
          <w:szCs w:val="22"/>
          <w:lang w:val="en-US"/>
        </w:rPr>
        <w:t>2</w:t>
      </w:r>
      <w:r w:rsidRPr="00247844">
        <w:rPr>
          <w:b/>
          <w:bCs/>
          <w:spacing w:val="-1"/>
          <w:sz w:val="22"/>
          <w:szCs w:val="22"/>
        </w:rPr>
        <w:t>5 г.</w:t>
      </w:r>
      <w:r w:rsidRPr="00247844">
        <w:rPr>
          <w:bCs/>
          <w:spacing w:val="-1"/>
          <w:sz w:val="22"/>
          <w:szCs w:val="22"/>
        </w:rPr>
        <w:t xml:space="preserve"> </w:t>
      </w:r>
    </w:p>
    <w:p w14:paraId="154D52C6" w14:textId="223BE4F9" w:rsidR="00247844" w:rsidRPr="00247844" w:rsidRDefault="00247844" w:rsidP="00132BFF">
      <w:pPr>
        <w:widowControl w:val="0"/>
        <w:shd w:val="clear" w:color="auto" w:fill="FFFFFF" w:themeFill="background1"/>
        <w:autoSpaceDE w:val="0"/>
        <w:autoSpaceDN w:val="0"/>
        <w:adjustRightInd w:val="0"/>
        <w:ind w:left="426"/>
        <w:jc w:val="both"/>
        <w:rPr>
          <w:bCs/>
          <w:sz w:val="22"/>
          <w:szCs w:val="22"/>
        </w:rPr>
      </w:pPr>
      <w:r w:rsidRPr="00247844">
        <w:rPr>
          <w:bCs/>
          <w:spacing w:val="-1"/>
          <w:sz w:val="22"/>
          <w:szCs w:val="22"/>
        </w:rPr>
        <w:t xml:space="preserve">От държавната субсидия, предназначена за </w:t>
      </w:r>
      <w:r w:rsidRPr="00247844">
        <w:rPr>
          <w:sz w:val="22"/>
          <w:szCs w:val="22"/>
        </w:rPr>
        <w:t>източноправославното вероизповедание – на Българската православна църква – Българска патриаршия</w:t>
      </w:r>
      <w:r w:rsidRPr="00247844">
        <w:rPr>
          <w:bCs/>
          <w:spacing w:val="-1"/>
          <w:sz w:val="22"/>
          <w:szCs w:val="22"/>
        </w:rPr>
        <w:t>, която е в размер на 61</w:t>
      </w:r>
      <w:r w:rsidRPr="00247844">
        <w:rPr>
          <w:bCs/>
          <w:spacing w:val="-1"/>
          <w:sz w:val="22"/>
          <w:szCs w:val="22"/>
          <w:lang w:val="en-US"/>
        </w:rPr>
        <w:t xml:space="preserve"> 0</w:t>
      </w:r>
      <w:r w:rsidRPr="00247844">
        <w:rPr>
          <w:bCs/>
          <w:spacing w:val="-1"/>
          <w:sz w:val="22"/>
          <w:szCs w:val="22"/>
        </w:rPr>
        <w:t>00 000 лв., през първото полугодие на 20</w:t>
      </w:r>
      <w:r w:rsidRPr="00247844">
        <w:rPr>
          <w:bCs/>
          <w:spacing w:val="-1"/>
          <w:sz w:val="22"/>
          <w:szCs w:val="22"/>
          <w:lang w:val="en-US"/>
        </w:rPr>
        <w:t>2</w:t>
      </w:r>
      <w:r w:rsidRPr="00247844">
        <w:rPr>
          <w:bCs/>
          <w:spacing w:val="-1"/>
          <w:sz w:val="22"/>
          <w:szCs w:val="22"/>
        </w:rPr>
        <w:t>5 г. са изразходени 30 778 420 лв. от които 26 833 333 лв.</w:t>
      </w:r>
      <w:r w:rsidRPr="00247844">
        <w:rPr>
          <w:sz w:val="22"/>
          <w:szCs w:val="22"/>
        </w:rPr>
        <w:t xml:space="preserve"> по чл. 6, ал.</w:t>
      </w:r>
      <w:r w:rsidR="007D38CD">
        <w:rPr>
          <w:sz w:val="22"/>
          <w:szCs w:val="22"/>
        </w:rPr>
        <w:t xml:space="preserve"> </w:t>
      </w:r>
      <w:r w:rsidRPr="00247844">
        <w:rPr>
          <w:sz w:val="22"/>
          <w:szCs w:val="22"/>
        </w:rPr>
        <w:t xml:space="preserve">4 от ЗДБ за 2025 г. </w:t>
      </w:r>
      <w:r w:rsidRPr="00247844">
        <w:rPr>
          <w:spacing w:val="5"/>
          <w:sz w:val="22"/>
          <w:szCs w:val="22"/>
        </w:rPr>
        <w:t>за текуща издръжка на Светия Синод на БПЦ-БП (съгласно писмо на Светия Синод на БПЦ-БП с вх. №</w:t>
      </w:r>
      <w:r w:rsidR="007D38CD">
        <w:rPr>
          <w:spacing w:val="5"/>
          <w:sz w:val="22"/>
          <w:szCs w:val="22"/>
        </w:rPr>
        <w:t xml:space="preserve"> 02.18-216/</w:t>
      </w:r>
      <w:r w:rsidRPr="00247844">
        <w:rPr>
          <w:spacing w:val="5"/>
          <w:sz w:val="22"/>
          <w:szCs w:val="22"/>
        </w:rPr>
        <w:t>27.03.2025 г.)</w:t>
      </w:r>
      <w:r w:rsidRPr="00247844">
        <w:rPr>
          <w:bCs/>
          <w:spacing w:val="-1"/>
          <w:sz w:val="22"/>
          <w:szCs w:val="22"/>
        </w:rPr>
        <w:t xml:space="preserve"> са изпращани по целевата сметка на Светия Синод на БПЦ-БП за текущи разходи съгласно чл.</w:t>
      </w:r>
      <w:r w:rsidR="007D38CD">
        <w:rPr>
          <w:bCs/>
          <w:spacing w:val="-1"/>
          <w:sz w:val="22"/>
          <w:szCs w:val="22"/>
        </w:rPr>
        <w:t xml:space="preserve"> </w:t>
      </w:r>
      <w:r w:rsidRPr="00247844">
        <w:rPr>
          <w:bCs/>
          <w:spacing w:val="-1"/>
          <w:sz w:val="22"/>
          <w:szCs w:val="22"/>
        </w:rPr>
        <w:t>28, ал.</w:t>
      </w:r>
      <w:r w:rsidR="007D38CD">
        <w:rPr>
          <w:bCs/>
          <w:spacing w:val="-1"/>
          <w:sz w:val="22"/>
          <w:szCs w:val="22"/>
        </w:rPr>
        <w:t xml:space="preserve"> </w:t>
      </w:r>
      <w:r w:rsidRPr="00247844">
        <w:rPr>
          <w:bCs/>
          <w:spacing w:val="-1"/>
          <w:sz w:val="22"/>
          <w:szCs w:val="22"/>
        </w:rPr>
        <w:t>9 от ЗВ</w:t>
      </w:r>
      <w:r w:rsidRPr="00247844">
        <w:rPr>
          <w:bCs/>
          <w:sz w:val="22"/>
          <w:szCs w:val="22"/>
        </w:rPr>
        <w:t>. Средствата, отпуснати за ремонтно-възстановителни дейности, приети с Пос</w:t>
      </w:r>
      <w:r w:rsidR="007D38CD">
        <w:rPr>
          <w:bCs/>
          <w:sz w:val="22"/>
          <w:szCs w:val="22"/>
        </w:rPr>
        <w:t>тановления на Министерски съвет</w:t>
      </w:r>
      <w:r w:rsidRPr="00247844">
        <w:rPr>
          <w:bCs/>
          <w:sz w:val="22"/>
          <w:szCs w:val="22"/>
        </w:rPr>
        <w:t>, в размер на 3 945 087 лв. са превеждани по целевите сметки за капиталови разходи.</w:t>
      </w:r>
    </w:p>
    <w:p w14:paraId="42BD36BA" w14:textId="14BBC29D" w:rsidR="00247844" w:rsidRPr="007D38CD" w:rsidRDefault="00247844" w:rsidP="00132BFF">
      <w:pPr>
        <w:widowControl w:val="0"/>
        <w:numPr>
          <w:ilvl w:val="0"/>
          <w:numId w:val="6"/>
        </w:numPr>
        <w:shd w:val="clear" w:color="auto" w:fill="FFFFFF" w:themeFill="background1"/>
        <w:autoSpaceDE w:val="0"/>
        <w:autoSpaceDN w:val="0"/>
        <w:adjustRightInd w:val="0"/>
        <w:jc w:val="both"/>
        <w:rPr>
          <w:spacing w:val="-1"/>
          <w:sz w:val="22"/>
          <w:szCs w:val="22"/>
        </w:rPr>
      </w:pPr>
      <w:r w:rsidRPr="007D38CD">
        <w:rPr>
          <w:b/>
          <w:bCs/>
          <w:spacing w:val="-1"/>
          <w:sz w:val="22"/>
          <w:szCs w:val="22"/>
        </w:rPr>
        <w:t>По т. 2 от чл.</w:t>
      </w:r>
      <w:r w:rsidR="007D38CD" w:rsidRPr="007D38CD">
        <w:rPr>
          <w:b/>
          <w:bCs/>
          <w:spacing w:val="-1"/>
          <w:sz w:val="22"/>
          <w:szCs w:val="22"/>
        </w:rPr>
        <w:t xml:space="preserve"> 6, </w:t>
      </w:r>
      <w:r w:rsidRPr="007D38CD">
        <w:rPr>
          <w:b/>
          <w:bCs/>
          <w:spacing w:val="-1"/>
          <w:sz w:val="22"/>
          <w:szCs w:val="22"/>
        </w:rPr>
        <w:t>ал.</w:t>
      </w:r>
      <w:r w:rsidR="007D38CD" w:rsidRPr="007D38CD">
        <w:rPr>
          <w:b/>
          <w:bCs/>
          <w:spacing w:val="-1"/>
          <w:sz w:val="22"/>
          <w:szCs w:val="22"/>
        </w:rPr>
        <w:t xml:space="preserve"> </w:t>
      </w:r>
      <w:r w:rsidRPr="007D38CD">
        <w:rPr>
          <w:b/>
          <w:bCs/>
          <w:spacing w:val="-1"/>
          <w:sz w:val="22"/>
          <w:szCs w:val="22"/>
        </w:rPr>
        <w:t xml:space="preserve">4 на ЗДБ за 2025 г. </w:t>
      </w:r>
    </w:p>
    <w:p w14:paraId="6FE95529" w14:textId="3FB6A5D6" w:rsidR="00247844" w:rsidRPr="00BD29BF" w:rsidRDefault="00247844" w:rsidP="00132BFF">
      <w:pPr>
        <w:widowControl w:val="0"/>
        <w:shd w:val="clear" w:color="auto" w:fill="FFFFFF" w:themeFill="background1"/>
        <w:autoSpaceDE w:val="0"/>
        <w:autoSpaceDN w:val="0"/>
        <w:adjustRightInd w:val="0"/>
        <w:ind w:left="426"/>
        <w:jc w:val="both"/>
        <w:rPr>
          <w:bCs/>
          <w:spacing w:val="-1"/>
          <w:sz w:val="22"/>
          <w:szCs w:val="22"/>
        </w:rPr>
      </w:pPr>
      <w:r w:rsidRPr="00247844">
        <w:rPr>
          <w:bCs/>
          <w:spacing w:val="-1"/>
          <w:sz w:val="22"/>
          <w:szCs w:val="22"/>
        </w:rPr>
        <w:t xml:space="preserve">Държавната субсидия, предназначена за </w:t>
      </w:r>
      <w:r w:rsidRPr="00BD29BF">
        <w:rPr>
          <w:bCs/>
          <w:spacing w:val="-1"/>
          <w:sz w:val="22"/>
          <w:szCs w:val="22"/>
        </w:rPr>
        <w:t>Мюсюлманското вероизповедание в страната е в размер на 12 774 000 лв. Съгласно чл.</w:t>
      </w:r>
      <w:r w:rsidR="007D38CD" w:rsidRPr="00BD29BF">
        <w:rPr>
          <w:bCs/>
          <w:spacing w:val="-1"/>
          <w:sz w:val="22"/>
          <w:szCs w:val="22"/>
        </w:rPr>
        <w:t xml:space="preserve"> </w:t>
      </w:r>
      <w:r w:rsidRPr="00BD29BF">
        <w:rPr>
          <w:bCs/>
          <w:spacing w:val="-1"/>
          <w:sz w:val="22"/>
          <w:szCs w:val="22"/>
        </w:rPr>
        <w:t>28, ал.</w:t>
      </w:r>
      <w:r w:rsidR="007D38CD" w:rsidRPr="00BD29BF">
        <w:rPr>
          <w:bCs/>
          <w:spacing w:val="-1"/>
          <w:sz w:val="22"/>
          <w:szCs w:val="22"/>
        </w:rPr>
        <w:t xml:space="preserve"> 7 от ЗВ</w:t>
      </w:r>
      <w:r w:rsidRPr="00BD29BF">
        <w:rPr>
          <w:bCs/>
          <w:spacing w:val="-1"/>
          <w:sz w:val="22"/>
          <w:szCs w:val="22"/>
        </w:rPr>
        <w:t xml:space="preserve">, с писмо на Главно мюфтийство под </w:t>
      </w:r>
      <w:r w:rsidR="007D38CD" w:rsidRPr="00BD29BF">
        <w:rPr>
          <w:bCs/>
          <w:spacing w:val="-1"/>
          <w:sz w:val="22"/>
          <w:szCs w:val="22"/>
        </w:rPr>
        <w:br/>
        <w:t>№ 02.18-225/</w:t>
      </w:r>
      <w:r w:rsidRPr="00BD29BF">
        <w:rPr>
          <w:bCs/>
          <w:spacing w:val="-1"/>
          <w:sz w:val="22"/>
          <w:szCs w:val="22"/>
        </w:rPr>
        <w:t>07.04.2025 г. е уведомило дирекция „Вероизповедания“, че държавната субсидия ще бъде разх</w:t>
      </w:r>
      <w:r w:rsidR="007D38CD" w:rsidRPr="00BD29BF">
        <w:rPr>
          <w:bCs/>
          <w:spacing w:val="-1"/>
          <w:sz w:val="22"/>
          <w:szCs w:val="22"/>
        </w:rPr>
        <w:t xml:space="preserve">одвана само за текущи разходи. </w:t>
      </w:r>
      <w:r w:rsidRPr="00BD29BF">
        <w:rPr>
          <w:bCs/>
          <w:spacing w:val="-1"/>
          <w:sz w:val="22"/>
          <w:szCs w:val="22"/>
        </w:rPr>
        <w:t xml:space="preserve">Към 30.06.2025 г. е отпусната субсидия в общ размер на 5 854 764 лв. за текущи разходи. Средствата са отпуснати по целевите сметки на Главно мюфтийство. </w:t>
      </w:r>
    </w:p>
    <w:p w14:paraId="51A94A98" w14:textId="7360031E" w:rsidR="00247844" w:rsidRPr="007D38CD" w:rsidRDefault="00247844" w:rsidP="00132BFF">
      <w:pPr>
        <w:widowControl w:val="0"/>
        <w:numPr>
          <w:ilvl w:val="0"/>
          <w:numId w:val="6"/>
        </w:numPr>
        <w:shd w:val="clear" w:color="auto" w:fill="FFFFFF" w:themeFill="background1"/>
        <w:autoSpaceDE w:val="0"/>
        <w:autoSpaceDN w:val="0"/>
        <w:adjustRightInd w:val="0"/>
        <w:jc w:val="both"/>
        <w:rPr>
          <w:sz w:val="22"/>
          <w:szCs w:val="22"/>
        </w:rPr>
      </w:pPr>
      <w:r w:rsidRPr="007D38CD">
        <w:rPr>
          <w:b/>
          <w:bCs/>
          <w:spacing w:val="-1"/>
          <w:sz w:val="22"/>
          <w:szCs w:val="22"/>
        </w:rPr>
        <w:t>По т. 3 от чл.</w:t>
      </w:r>
      <w:r w:rsidR="007D38CD">
        <w:rPr>
          <w:b/>
          <w:bCs/>
          <w:spacing w:val="-1"/>
          <w:sz w:val="22"/>
          <w:szCs w:val="22"/>
        </w:rPr>
        <w:t xml:space="preserve"> </w:t>
      </w:r>
      <w:r w:rsidRPr="007D38CD">
        <w:rPr>
          <w:b/>
          <w:bCs/>
          <w:spacing w:val="-1"/>
          <w:sz w:val="22"/>
          <w:szCs w:val="22"/>
        </w:rPr>
        <w:t>6, ал.</w:t>
      </w:r>
      <w:r w:rsidR="007D38CD">
        <w:rPr>
          <w:b/>
          <w:bCs/>
          <w:spacing w:val="-1"/>
          <w:sz w:val="22"/>
          <w:szCs w:val="22"/>
        </w:rPr>
        <w:t xml:space="preserve"> </w:t>
      </w:r>
      <w:r w:rsidRPr="007D38CD">
        <w:rPr>
          <w:b/>
          <w:bCs/>
          <w:spacing w:val="-1"/>
          <w:sz w:val="22"/>
          <w:szCs w:val="22"/>
        </w:rPr>
        <w:t xml:space="preserve">4 на ЗДБ за 2025 г. </w:t>
      </w:r>
    </w:p>
    <w:p w14:paraId="669F9291" w14:textId="75C9C80F" w:rsidR="00247844" w:rsidRPr="00BD29BF" w:rsidRDefault="00247844" w:rsidP="00132BFF">
      <w:pPr>
        <w:widowControl w:val="0"/>
        <w:shd w:val="clear" w:color="auto" w:fill="FFFFFF" w:themeFill="background1"/>
        <w:autoSpaceDE w:val="0"/>
        <w:autoSpaceDN w:val="0"/>
        <w:adjustRightInd w:val="0"/>
        <w:ind w:left="426"/>
        <w:jc w:val="both"/>
        <w:rPr>
          <w:bCs/>
          <w:spacing w:val="-1"/>
          <w:sz w:val="22"/>
          <w:szCs w:val="22"/>
        </w:rPr>
      </w:pPr>
      <w:r w:rsidRPr="00247844">
        <w:rPr>
          <w:bCs/>
          <w:spacing w:val="-1"/>
          <w:sz w:val="22"/>
          <w:szCs w:val="22"/>
        </w:rPr>
        <w:t xml:space="preserve">Държавната субсидия, предназначена за </w:t>
      </w:r>
      <w:r w:rsidRPr="00BD29BF">
        <w:rPr>
          <w:bCs/>
          <w:spacing w:val="-1"/>
          <w:sz w:val="22"/>
          <w:szCs w:val="22"/>
        </w:rPr>
        <w:t xml:space="preserve">задграничните епархии или митрополии в </w:t>
      </w:r>
      <w:proofErr w:type="spellStart"/>
      <w:r w:rsidRPr="00BD29BF">
        <w:rPr>
          <w:bCs/>
          <w:spacing w:val="-1"/>
          <w:sz w:val="22"/>
          <w:szCs w:val="22"/>
        </w:rPr>
        <w:t>диоцеза</w:t>
      </w:r>
      <w:proofErr w:type="spellEnd"/>
      <w:r w:rsidRPr="00BD29BF">
        <w:rPr>
          <w:bCs/>
          <w:spacing w:val="-1"/>
          <w:sz w:val="22"/>
          <w:szCs w:val="22"/>
        </w:rPr>
        <w:t xml:space="preserve"> и юрисдикцията на Българската православна църква – Българска патриаршия – на Българската източноправославна епархия в Западна и Средна Европа е в размер на </w:t>
      </w:r>
      <w:r w:rsidR="007D38CD" w:rsidRPr="00BD29BF">
        <w:rPr>
          <w:bCs/>
          <w:spacing w:val="-1"/>
          <w:sz w:val="22"/>
          <w:szCs w:val="22"/>
        </w:rPr>
        <w:br/>
      </w:r>
      <w:r w:rsidRPr="00BD29BF">
        <w:rPr>
          <w:bCs/>
          <w:spacing w:val="-1"/>
          <w:sz w:val="22"/>
          <w:szCs w:val="22"/>
        </w:rPr>
        <w:t xml:space="preserve">946 600 лв. Към 30.06.2025 г. е отпусната по сметката на Западно- и средноевропейската митрополия пълната субсидия </w:t>
      </w:r>
      <w:r w:rsidR="007D38CD" w:rsidRPr="00BD29BF">
        <w:rPr>
          <w:bCs/>
          <w:spacing w:val="-1"/>
          <w:sz w:val="22"/>
          <w:szCs w:val="22"/>
        </w:rPr>
        <w:t>в</w:t>
      </w:r>
      <w:r w:rsidRPr="00BD29BF">
        <w:rPr>
          <w:bCs/>
          <w:spacing w:val="-1"/>
          <w:sz w:val="22"/>
          <w:szCs w:val="22"/>
        </w:rPr>
        <w:t xml:space="preserve"> размер на 946 600 лв. за издръжка на Западно- и Средноевропейска митрополия, гр.</w:t>
      </w:r>
      <w:r w:rsidR="007D38CD" w:rsidRPr="00BD29BF">
        <w:rPr>
          <w:bCs/>
          <w:spacing w:val="-1"/>
          <w:sz w:val="22"/>
          <w:szCs w:val="22"/>
        </w:rPr>
        <w:t xml:space="preserve"> </w:t>
      </w:r>
      <w:r w:rsidRPr="00BD29BF">
        <w:rPr>
          <w:bCs/>
          <w:spacing w:val="-1"/>
          <w:sz w:val="22"/>
          <w:szCs w:val="22"/>
        </w:rPr>
        <w:t xml:space="preserve">Берлин, Германия. </w:t>
      </w:r>
    </w:p>
    <w:p w14:paraId="6AF52604" w14:textId="77777777" w:rsidR="00247844" w:rsidRPr="007D38CD" w:rsidRDefault="00247844" w:rsidP="00132BFF">
      <w:pPr>
        <w:widowControl w:val="0"/>
        <w:numPr>
          <w:ilvl w:val="0"/>
          <w:numId w:val="6"/>
        </w:numPr>
        <w:shd w:val="clear" w:color="auto" w:fill="FFFFFF" w:themeFill="background1"/>
        <w:autoSpaceDE w:val="0"/>
        <w:autoSpaceDN w:val="0"/>
        <w:adjustRightInd w:val="0"/>
        <w:jc w:val="both"/>
        <w:rPr>
          <w:bCs/>
          <w:sz w:val="22"/>
          <w:szCs w:val="22"/>
        </w:rPr>
      </w:pPr>
      <w:r w:rsidRPr="007D38CD">
        <w:rPr>
          <w:b/>
          <w:bCs/>
          <w:spacing w:val="-1"/>
          <w:sz w:val="22"/>
          <w:szCs w:val="22"/>
        </w:rPr>
        <w:t>По т. 4 от чл.6, ал.4 на ЗДБ за 2025 г.</w:t>
      </w:r>
    </w:p>
    <w:p w14:paraId="59C05CDD" w14:textId="6DB47710" w:rsidR="00247844" w:rsidRPr="00BD29BF" w:rsidRDefault="00247844" w:rsidP="00132BFF">
      <w:pPr>
        <w:widowControl w:val="0"/>
        <w:shd w:val="clear" w:color="auto" w:fill="FFFFFF" w:themeFill="background1"/>
        <w:autoSpaceDE w:val="0"/>
        <w:autoSpaceDN w:val="0"/>
        <w:adjustRightInd w:val="0"/>
        <w:ind w:left="426"/>
        <w:jc w:val="both"/>
        <w:rPr>
          <w:bCs/>
          <w:spacing w:val="-1"/>
          <w:sz w:val="22"/>
          <w:szCs w:val="22"/>
        </w:rPr>
      </w:pPr>
      <w:r w:rsidRPr="00247844">
        <w:rPr>
          <w:bCs/>
          <w:spacing w:val="-1"/>
          <w:sz w:val="22"/>
          <w:szCs w:val="22"/>
        </w:rPr>
        <w:t xml:space="preserve">Държавната субсидия, предназначена за Българските православни общини в чужбина е в размер </w:t>
      </w:r>
      <w:r w:rsidRPr="00BD29BF">
        <w:rPr>
          <w:bCs/>
          <w:spacing w:val="-1"/>
          <w:sz w:val="22"/>
          <w:szCs w:val="22"/>
        </w:rPr>
        <w:t>на 919 500 лв. Отпуснатите към 30.06.2025 г. средства са размер на 288 876,12 лв. за: закупуването на столове за храм „Св. Йоа</w:t>
      </w:r>
      <w:r w:rsidR="007D38CD" w:rsidRPr="00BD29BF">
        <w:rPr>
          <w:bCs/>
          <w:spacing w:val="-1"/>
          <w:sz w:val="22"/>
          <w:szCs w:val="22"/>
        </w:rPr>
        <w:t xml:space="preserve">н Рилски“ гр. </w:t>
      </w:r>
      <w:proofErr w:type="spellStart"/>
      <w:r w:rsidR="007D38CD" w:rsidRPr="00BD29BF">
        <w:rPr>
          <w:bCs/>
          <w:spacing w:val="-1"/>
          <w:sz w:val="22"/>
          <w:szCs w:val="22"/>
        </w:rPr>
        <w:t>Мидранд</w:t>
      </w:r>
      <w:proofErr w:type="spellEnd"/>
      <w:r w:rsidR="007D38CD" w:rsidRPr="00BD29BF">
        <w:rPr>
          <w:bCs/>
          <w:spacing w:val="-1"/>
          <w:sz w:val="22"/>
          <w:szCs w:val="22"/>
        </w:rPr>
        <w:t xml:space="preserve">, РЮА; за </w:t>
      </w:r>
      <w:r w:rsidRPr="00BD29BF">
        <w:rPr>
          <w:bCs/>
          <w:spacing w:val="-1"/>
          <w:sz w:val="22"/>
          <w:szCs w:val="22"/>
        </w:rPr>
        <w:t>подпомагане дейността н</w:t>
      </w:r>
      <w:r w:rsidR="007D38CD" w:rsidRPr="00BD29BF">
        <w:rPr>
          <w:bCs/>
          <w:spacing w:val="-1"/>
          <w:sz w:val="22"/>
          <w:szCs w:val="22"/>
        </w:rPr>
        <w:t>а свещенослужителя на БПЦ в РЮА</w:t>
      </w:r>
      <w:r w:rsidRPr="00BD29BF">
        <w:rPr>
          <w:bCs/>
          <w:spacing w:val="-1"/>
          <w:sz w:val="22"/>
          <w:szCs w:val="22"/>
        </w:rPr>
        <w:t>, както и за подпомагане дейността на свещенослужителя на БПЦ в Република Гърция и в гр. Мелбърн, Австралийски съюз, за подпомагане дейността на храм „Св Иван Рилски</w:t>
      </w:r>
      <w:r w:rsidR="007D38CD" w:rsidRPr="00BD29BF">
        <w:rPr>
          <w:bCs/>
          <w:spacing w:val="-1"/>
          <w:sz w:val="22"/>
          <w:szCs w:val="22"/>
        </w:rPr>
        <w:t>“</w:t>
      </w:r>
      <w:r w:rsidRPr="00BD29BF">
        <w:rPr>
          <w:bCs/>
          <w:spacing w:val="-1"/>
          <w:sz w:val="22"/>
          <w:szCs w:val="22"/>
        </w:rPr>
        <w:t>, гр</w:t>
      </w:r>
      <w:r w:rsidR="00EE33E3" w:rsidRPr="00BD29BF">
        <w:rPr>
          <w:bCs/>
          <w:spacing w:val="-1"/>
          <w:sz w:val="22"/>
          <w:szCs w:val="22"/>
        </w:rPr>
        <w:t>.</w:t>
      </w:r>
      <w:r w:rsidRPr="00BD29BF">
        <w:rPr>
          <w:bCs/>
          <w:spacing w:val="-1"/>
          <w:sz w:val="22"/>
          <w:szCs w:val="22"/>
        </w:rPr>
        <w:t xml:space="preserve"> Виена, Австрия; за довършване ремонта на храм „Св. Иван Рилски“, гр. Лондон, Великобритания; </w:t>
      </w:r>
      <w:r w:rsidRPr="00247844">
        <w:rPr>
          <w:bCs/>
          <w:spacing w:val="-1"/>
          <w:sz w:val="22"/>
          <w:szCs w:val="22"/>
        </w:rPr>
        <w:t>Субсидиите са изпращани по сметките на българските дипломатически ми</w:t>
      </w:r>
      <w:r w:rsidRPr="00BD29BF">
        <w:rPr>
          <w:bCs/>
          <w:spacing w:val="-1"/>
          <w:sz w:val="22"/>
          <w:szCs w:val="22"/>
        </w:rPr>
        <w:t>сии в съответните страни и по сметката на Западно- и Средноевропейска митрополия, гр. Берлин, Германия. Дирекция „Вероизповедания“ на МС е изпратила до ръководителите на мисиите уведомителни писма с указания за целевото усвояване на средствата от съответните БПЦО.</w:t>
      </w:r>
    </w:p>
    <w:p w14:paraId="712C4765" w14:textId="0076075E" w:rsidR="00247844" w:rsidRPr="007D38CD" w:rsidRDefault="00247844" w:rsidP="00132BFF">
      <w:pPr>
        <w:widowControl w:val="0"/>
        <w:numPr>
          <w:ilvl w:val="0"/>
          <w:numId w:val="6"/>
        </w:numPr>
        <w:shd w:val="clear" w:color="auto" w:fill="FFFFFF" w:themeFill="background1"/>
        <w:autoSpaceDE w:val="0"/>
        <w:autoSpaceDN w:val="0"/>
        <w:adjustRightInd w:val="0"/>
        <w:jc w:val="both"/>
        <w:rPr>
          <w:b/>
          <w:sz w:val="22"/>
          <w:szCs w:val="22"/>
        </w:rPr>
      </w:pPr>
      <w:r w:rsidRPr="007D38CD">
        <w:rPr>
          <w:b/>
          <w:bCs/>
          <w:spacing w:val="-1"/>
          <w:sz w:val="22"/>
          <w:szCs w:val="22"/>
        </w:rPr>
        <w:t>По т. 5 от чл.</w:t>
      </w:r>
      <w:r w:rsidR="007D38CD">
        <w:rPr>
          <w:b/>
          <w:bCs/>
          <w:spacing w:val="-1"/>
          <w:sz w:val="22"/>
          <w:szCs w:val="22"/>
        </w:rPr>
        <w:t xml:space="preserve"> </w:t>
      </w:r>
      <w:r w:rsidRPr="007D38CD">
        <w:rPr>
          <w:b/>
          <w:bCs/>
          <w:spacing w:val="-1"/>
          <w:sz w:val="22"/>
          <w:szCs w:val="22"/>
        </w:rPr>
        <w:t>6, ал.</w:t>
      </w:r>
      <w:r w:rsidR="007D38CD">
        <w:rPr>
          <w:b/>
          <w:bCs/>
          <w:spacing w:val="-1"/>
          <w:sz w:val="22"/>
          <w:szCs w:val="22"/>
        </w:rPr>
        <w:t xml:space="preserve"> </w:t>
      </w:r>
      <w:r w:rsidRPr="007D38CD">
        <w:rPr>
          <w:b/>
          <w:bCs/>
          <w:spacing w:val="-1"/>
          <w:sz w:val="22"/>
          <w:szCs w:val="22"/>
        </w:rPr>
        <w:t xml:space="preserve">4 на ЗДБ за 2025 г. </w:t>
      </w:r>
    </w:p>
    <w:p w14:paraId="4ABBCE93" w14:textId="39F013BD" w:rsidR="00247844" w:rsidRPr="00BD29BF" w:rsidRDefault="00247844" w:rsidP="00132BFF">
      <w:pPr>
        <w:widowControl w:val="0"/>
        <w:shd w:val="clear" w:color="auto" w:fill="FFFFFF" w:themeFill="background1"/>
        <w:autoSpaceDE w:val="0"/>
        <w:autoSpaceDN w:val="0"/>
        <w:adjustRightInd w:val="0"/>
        <w:ind w:left="426"/>
        <w:jc w:val="both"/>
        <w:rPr>
          <w:bCs/>
          <w:spacing w:val="-1"/>
          <w:sz w:val="22"/>
          <w:szCs w:val="22"/>
        </w:rPr>
      </w:pPr>
      <w:r w:rsidRPr="00247844">
        <w:rPr>
          <w:bCs/>
          <w:spacing w:val="-1"/>
          <w:sz w:val="22"/>
          <w:szCs w:val="22"/>
        </w:rPr>
        <w:lastRenderedPageBreak/>
        <w:t xml:space="preserve">Държавната субсидия, предназначена за </w:t>
      </w:r>
      <w:r w:rsidRPr="00BD29BF">
        <w:rPr>
          <w:bCs/>
          <w:spacing w:val="-1"/>
          <w:sz w:val="22"/>
          <w:szCs w:val="22"/>
        </w:rPr>
        <w:t xml:space="preserve">Католическата църква в България е в размер на </w:t>
      </w:r>
      <w:r w:rsidR="007006D7" w:rsidRPr="00BD29BF">
        <w:rPr>
          <w:bCs/>
          <w:spacing w:val="-1"/>
          <w:sz w:val="22"/>
          <w:szCs w:val="22"/>
        </w:rPr>
        <w:br/>
      </w:r>
      <w:r w:rsidRPr="00BD29BF">
        <w:rPr>
          <w:bCs/>
          <w:spacing w:val="-1"/>
          <w:sz w:val="22"/>
          <w:szCs w:val="22"/>
        </w:rPr>
        <w:t>774 000 лв. Пълния</w:t>
      </w:r>
      <w:r w:rsidR="007006D7" w:rsidRPr="00BD29BF">
        <w:rPr>
          <w:bCs/>
          <w:spacing w:val="-1"/>
          <w:sz w:val="22"/>
          <w:szCs w:val="22"/>
        </w:rPr>
        <w:t>т</w:t>
      </w:r>
      <w:r w:rsidRPr="00BD29BF">
        <w:rPr>
          <w:bCs/>
          <w:spacing w:val="-1"/>
          <w:sz w:val="22"/>
          <w:szCs w:val="22"/>
        </w:rPr>
        <w:t xml:space="preserve"> размер на субсидията за 2025 г</w:t>
      </w:r>
      <w:r w:rsidR="007006D7" w:rsidRPr="00BD29BF">
        <w:rPr>
          <w:bCs/>
          <w:spacing w:val="-1"/>
          <w:sz w:val="22"/>
          <w:szCs w:val="22"/>
        </w:rPr>
        <w:t>.</w:t>
      </w:r>
      <w:r w:rsidRPr="00BD29BF">
        <w:rPr>
          <w:bCs/>
          <w:spacing w:val="-1"/>
          <w:sz w:val="22"/>
          <w:szCs w:val="22"/>
        </w:rPr>
        <w:t xml:space="preserve"> е отпусната по сметката на централното ръководство на вероизповеданието.</w:t>
      </w:r>
    </w:p>
    <w:p w14:paraId="29E96040" w14:textId="59A91A9C" w:rsidR="00247844" w:rsidRPr="00822099" w:rsidRDefault="00247844" w:rsidP="00132BFF">
      <w:pPr>
        <w:widowControl w:val="0"/>
        <w:numPr>
          <w:ilvl w:val="0"/>
          <w:numId w:val="6"/>
        </w:numPr>
        <w:shd w:val="clear" w:color="auto" w:fill="FFFFFF" w:themeFill="background1"/>
        <w:autoSpaceDE w:val="0"/>
        <w:autoSpaceDN w:val="0"/>
        <w:adjustRightInd w:val="0"/>
        <w:jc w:val="both"/>
        <w:rPr>
          <w:sz w:val="22"/>
          <w:szCs w:val="22"/>
        </w:rPr>
      </w:pPr>
      <w:r w:rsidRPr="00822099">
        <w:rPr>
          <w:b/>
          <w:bCs/>
          <w:spacing w:val="-1"/>
          <w:sz w:val="22"/>
          <w:szCs w:val="22"/>
        </w:rPr>
        <w:t>По т. 6 от чл.</w:t>
      </w:r>
      <w:r w:rsidR="00822099">
        <w:rPr>
          <w:b/>
          <w:bCs/>
          <w:spacing w:val="-1"/>
          <w:sz w:val="22"/>
          <w:szCs w:val="22"/>
        </w:rPr>
        <w:t xml:space="preserve"> </w:t>
      </w:r>
      <w:r w:rsidRPr="00822099">
        <w:rPr>
          <w:b/>
          <w:bCs/>
          <w:spacing w:val="-1"/>
          <w:sz w:val="22"/>
          <w:szCs w:val="22"/>
        </w:rPr>
        <w:t>6, ал.</w:t>
      </w:r>
      <w:r w:rsidR="00822099">
        <w:rPr>
          <w:b/>
          <w:bCs/>
          <w:spacing w:val="-1"/>
          <w:sz w:val="22"/>
          <w:szCs w:val="22"/>
        </w:rPr>
        <w:t xml:space="preserve"> </w:t>
      </w:r>
      <w:r w:rsidRPr="00822099">
        <w:rPr>
          <w:b/>
          <w:bCs/>
          <w:spacing w:val="-1"/>
          <w:sz w:val="22"/>
          <w:szCs w:val="22"/>
        </w:rPr>
        <w:t xml:space="preserve">4 на ЗДБ за 2025 г. </w:t>
      </w:r>
    </w:p>
    <w:p w14:paraId="791E3E34" w14:textId="77777777" w:rsidR="00247844" w:rsidRPr="00FB6697" w:rsidRDefault="00247844" w:rsidP="00132BFF">
      <w:pPr>
        <w:widowControl w:val="0"/>
        <w:shd w:val="clear" w:color="auto" w:fill="FFFFFF" w:themeFill="background1"/>
        <w:autoSpaceDE w:val="0"/>
        <w:autoSpaceDN w:val="0"/>
        <w:adjustRightInd w:val="0"/>
        <w:ind w:left="426"/>
        <w:jc w:val="both"/>
        <w:rPr>
          <w:bCs/>
          <w:spacing w:val="-1"/>
          <w:sz w:val="22"/>
          <w:szCs w:val="22"/>
        </w:rPr>
      </w:pPr>
      <w:r w:rsidRPr="00247844">
        <w:rPr>
          <w:bCs/>
          <w:spacing w:val="-1"/>
          <w:sz w:val="22"/>
          <w:szCs w:val="22"/>
        </w:rPr>
        <w:t xml:space="preserve">Държавната субсидия, предназначена за </w:t>
      </w:r>
      <w:r w:rsidRPr="00FB6697">
        <w:rPr>
          <w:bCs/>
          <w:spacing w:val="-1"/>
          <w:sz w:val="22"/>
          <w:szCs w:val="22"/>
        </w:rPr>
        <w:t>протестантските вероизповедания в България е в размер на 1 397 000 лв. Към 30.06.2025 г. не са разглеждани, одобрени и подпомогнати проекти за ремонт на молитвени домове на протестантските вероизповедания.</w:t>
      </w:r>
    </w:p>
    <w:p w14:paraId="3658F6A3" w14:textId="1AB39090" w:rsidR="00247844" w:rsidRPr="003E346F" w:rsidRDefault="00247844" w:rsidP="00132BFF">
      <w:pPr>
        <w:widowControl w:val="0"/>
        <w:numPr>
          <w:ilvl w:val="0"/>
          <w:numId w:val="6"/>
        </w:numPr>
        <w:shd w:val="clear" w:color="auto" w:fill="FFFFFF" w:themeFill="background1"/>
        <w:autoSpaceDE w:val="0"/>
        <w:autoSpaceDN w:val="0"/>
        <w:adjustRightInd w:val="0"/>
        <w:jc w:val="both"/>
        <w:rPr>
          <w:sz w:val="22"/>
          <w:szCs w:val="22"/>
        </w:rPr>
      </w:pPr>
      <w:r w:rsidRPr="003E346F">
        <w:rPr>
          <w:b/>
          <w:bCs/>
          <w:spacing w:val="-1"/>
          <w:sz w:val="22"/>
          <w:szCs w:val="22"/>
        </w:rPr>
        <w:t>По т. 7 от чл.</w:t>
      </w:r>
      <w:r w:rsidR="003E346F">
        <w:rPr>
          <w:b/>
          <w:bCs/>
          <w:spacing w:val="-1"/>
          <w:sz w:val="22"/>
          <w:szCs w:val="22"/>
        </w:rPr>
        <w:t xml:space="preserve"> </w:t>
      </w:r>
      <w:r w:rsidRPr="003E346F">
        <w:rPr>
          <w:b/>
          <w:bCs/>
          <w:spacing w:val="-1"/>
          <w:sz w:val="22"/>
          <w:szCs w:val="22"/>
        </w:rPr>
        <w:t>6, ал.</w:t>
      </w:r>
      <w:r w:rsidR="003E346F">
        <w:rPr>
          <w:b/>
          <w:bCs/>
          <w:spacing w:val="-1"/>
          <w:sz w:val="22"/>
          <w:szCs w:val="22"/>
        </w:rPr>
        <w:t xml:space="preserve"> </w:t>
      </w:r>
      <w:r w:rsidRPr="003E346F">
        <w:rPr>
          <w:b/>
          <w:bCs/>
          <w:spacing w:val="-1"/>
          <w:sz w:val="22"/>
          <w:szCs w:val="22"/>
        </w:rPr>
        <w:t xml:space="preserve">4 на ЗДБ за 2025 г. </w:t>
      </w:r>
    </w:p>
    <w:p w14:paraId="0DFA95B2" w14:textId="6C7960E7" w:rsidR="00247844" w:rsidRPr="00FB6697" w:rsidRDefault="00247844" w:rsidP="00132BFF">
      <w:pPr>
        <w:widowControl w:val="0"/>
        <w:shd w:val="clear" w:color="auto" w:fill="FFFFFF" w:themeFill="background1"/>
        <w:autoSpaceDE w:val="0"/>
        <w:autoSpaceDN w:val="0"/>
        <w:adjustRightInd w:val="0"/>
        <w:ind w:left="426"/>
        <w:jc w:val="both"/>
        <w:rPr>
          <w:bCs/>
          <w:spacing w:val="-1"/>
          <w:sz w:val="22"/>
          <w:szCs w:val="22"/>
        </w:rPr>
      </w:pPr>
      <w:r w:rsidRPr="00247844">
        <w:rPr>
          <w:bCs/>
          <w:spacing w:val="-1"/>
          <w:sz w:val="22"/>
          <w:szCs w:val="22"/>
        </w:rPr>
        <w:t xml:space="preserve">Държавната субсидия, предназначена за </w:t>
      </w:r>
      <w:r w:rsidRPr="00FB6697">
        <w:rPr>
          <w:bCs/>
          <w:spacing w:val="-1"/>
          <w:sz w:val="22"/>
          <w:szCs w:val="22"/>
        </w:rPr>
        <w:t>Религиозната общност на евреите в България е в размер на 93 000 лв. Пълния размер на субсидията за 2025 г</w:t>
      </w:r>
      <w:r w:rsidR="003E346F" w:rsidRPr="00FB6697">
        <w:rPr>
          <w:bCs/>
          <w:spacing w:val="-1"/>
          <w:sz w:val="22"/>
          <w:szCs w:val="22"/>
        </w:rPr>
        <w:t>.</w:t>
      </w:r>
      <w:r w:rsidRPr="00FB6697">
        <w:rPr>
          <w:bCs/>
          <w:spacing w:val="-1"/>
          <w:sz w:val="22"/>
          <w:szCs w:val="22"/>
        </w:rPr>
        <w:t xml:space="preserve"> е отпусната по сметката на централното ръководство на вероизповеданието.</w:t>
      </w:r>
    </w:p>
    <w:p w14:paraId="788AAF47" w14:textId="52D5CED4" w:rsidR="00247844" w:rsidRPr="003E346F" w:rsidRDefault="00247844" w:rsidP="00132BFF">
      <w:pPr>
        <w:widowControl w:val="0"/>
        <w:numPr>
          <w:ilvl w:val="0"/>
          <w:numId w:val="6"/>
        </w:numPr>
        <w:shd w:val="clear" w:color="auto" w:fill="FFFFFF" w:themeFill="background1"/>
        <w:autoSpaceDE w:val="0"/>
        <w:autoSpaceDN w:val="0"/>
        <w:adjustRightInd w:val="0"/>
        <w:jc w:val="both"/>
        <w:rPr>
          <w:sz w:val="22"/>
          <w:szCs w:val="22"/>
        </w:rPr>
      </w:pPr>
      <w:r w:rsidRPr="003E346F">
        <w:rPr>
          <w:b/>
          <w:bCs/>
          <w:spacing w:val="-1"/>
          <w:sz w:val="22"/>
          <w:szCs w:val="22"/>
        </w:rPr>
        <w:t>По т. 8 от чл.</w:t>
      </w:r>
      <w:r w:rsidR="003E346F">
        <w:rPr>
          <w:b/>
          <w:bCs/>
          <w:spacing w:val="-1"/>
          <w:sz w:val="22"/>
          <w:szCs w:val="22"/>
        </w:rPr>
        <w:t xml:space="preserve"> </w:t>
      </w:r>
      <w:r w:rsidRPr="003E346F">
        <w:rPr>
          <w:b/>
          <w:bCs/>
          <w:spacing w:val="-1"/>
          <w:sz w:val="22"/>
          <w:szCs w:val="22"/>
        </w:rPr>
        <w:t>6, ал.</w:t>
      </w:r>
      <w:r w:rsidR="003E346F">
        <w:rPr>
          <w:b/>
          <w:bCs/>
          <w:spacing w:val="-1"/>
          <w:sz w:val="22"/>
          <w:szCs w:val="22"/>
        </w:rPr>
        <w:t xml:space="preserve"> </w:t>
      </w:r>
      <w:r w:rsidRPr="003E346F">
        <w:rPr>
          <w:b/>
          <w:bCs/>
          <w:spacing w:val="-1"/>
          <w:sz w:val="22"/>
          <w:szCs w:val="22"/>
        </w:rPr>
        <w:t xml:space="preserve">4 на ЗДБ за 2025 г. </w:t>
      </w:r>
    </w:p>
    <w:p w14:paraId="7B732B4E" w14:textId="3D272DD5" w:rsidR="00247844" w:rsidRPr="00FB6697" w:rsidRDefault="00247844" w:rsidP="00132BFF">
      <w:pPr>
        <w:widowControl w:val="0"/>
        <w:shd w:val="clear" w:color="auto" w:fill="FFFFFF" w:themeFill="background1"/>
        <w:autoSpaceDE w:val="0"/>
        <w:autoSpaceDN w:val="0"/>
        <w:adjustRightInd w:val="0"/>
        <w:ind w:left="426"/>
        <w:jc w:val="both"/>
        <w:rPr>
          <w:bCs/>
          <w:spacing w:val="-1"/>
          <w:sz w:val="22"/>
          <w:szCs w:val="22"/>
        </w:rPr>
      </w:pPr>
      <w:r w:rsidRPr="00247844">
        <w:rPr>
          <w:bCs/>
          <w:spacing w:val="-1"/>
          <w:sz w:val="22"/>
          <w:szCs w:val="22"/>
        </w:rPr>
        <w:t xml:space="preserve">Държавната субсидия, предназначена за </w:t>
      </w:r>
      <w:r w:rsidRPr="00FB6697">
        <w:rPr>
          <w:bCs/>
          <w:spacing w:val="-1"/>
          <w:sz w:val="22"/>
          <w:szCs w:val="22"/>
        </w:rPr>
        <w:t>Арменската Апостолическа православна света църква е в размер на 100 000 лв. Пълния размер на субсидията за 2025 г</w:t>
      </w:r>
      <w:r w:rsidR="002E01BC" w:rsidRPr="00FB6697">
        <w:rPr>
          <w:bCs/>
          <w:spacing w:val="-1"/>
          <w:sz w:val="22"/>
          <w:szCs w:val="22"/>
        </w:rPr>
        <w:t>.</w:t>
      </w:r>
      <w:r w:rsidRPr="00FB6697">
        <w:rPr>
          <w:bCs/>
          <w:spacing w:val="-1"/>
          <w:sz w:val="22"/>
          <w:szCs w:val="22"/>
        </w:rPr>
        <w:t xml:space="preserve"> е отпусната по сметката на централното ръководство на вероизповеданието.</w:t>
      </w:r>
    </w:p>
    <w:p w14:paraId="237736AB" w14:textId="7F923489" w:rsidR="00E754C0" w:rsidRPr="00013B08" w:rsidRDefault="00CB6A2B" w:rsidP="00132BFF">
      <w:pPr>
        <w:widowControl w:val="0"/>
        <w:shd w:val="clear" w:color="auto" w:fill="FFFFFF" w:themeFill="background1"/>
        <w:tabs>
          <w:tab w:val="left" w:pos="426"/>
        </w:tabs>
        <w:spacing w:before="120"/>
        <w:ind w:firstLine="425"/>
        <w:jc w:val="both"/>
        <w:outlineLvl w:val="3"/>
        <w:rPr>
          <w:b/>
          <w:bCs/>
          <w:iCs/>
          <w:color w:val="215E99" w:themeColor="text2" w:themeTint="BF"/>
          <w:sz w:val="22"/>
          <w:szCs w:val="22"/>
          <w:lang w:eastAsia="en-US"/>
        </w:rPr>
      </w:pPr>
      <w:r w:rsidRPr="00013B08">
        <w:rPr>
          <w:b/>
          <w:bCs/>
          <w:iCs/>
          <w:color w:val="215E99" w:themeColor="text2" w:themeTint="BF"/>
          <w:sz w:val="22"/>
          <w:szCs w:val="22"/>
          <w:lang w:eastAsia="en-US"/>
        </w:rPr>
        <w:t>Отчет на разходите по бюджетната програма с разпределение по ведомствени и администрирани разходи</w:t>
      </w:r>
    </w:p>
    <w:p w14:paraId="2986D8C4" w14:textId="1148DCDB" w:rsidR="00013B08" w:rsidRPr="00970254" w:rsidRDefault="002866AB" w:rsidP="00132BFF">
      <w:pPr>
        <w:shd w:val="clear" w:color="auto" w:fill="FFFFFF" w:themeFill="background1"/>
        <w:jc w:val="right"/>
        <w:rPr>
          <w:i/>
          <w:iCs/>
          <w:sz w:val="20"/>
          <w:szCs w:val="20"/>
        </w:rPr>
      </w:pPr>
      <w:r w:rsidRPr="00970254">
        <w:rPr>
          <w:b/>
          <w:i/>
          <w:iCs/>
          <w:sz w:val="20"/>
          <w:szCs w:val="20"/>
        </w:rPr>
        <w:t>Приложение № 7</w:t>
      </w:r>
    </w:p>
    <w:p w14:paraId="2F78F079" w14:textId="7391556B" w:rsidR="002866AB" w:rsidRPr="00970254" w:rsidRDefault="002866AB" w:rsidP="00132BFF">
      <w:pPr>
        <w:shd w:val="clear" w:color="auto" w:fill="FFFFFF" w:themeFill="background1"/>
        <w:jc w:val="both"/>
        <w:rPr>
          <w:bCs/>
          <w:i/>
          <w:iCs/>
          <w:sz w:val="20"/>
          <w:szCs w:val="20"/>
        </w:rPr>
      </w:pPr>
      <w:r w:rsidRPr="00970254">
        <w:rPr>
          <w:bCs/>
          <w:i/>
          <w:iCs/>
          <w:sz w:val="20"/>
          <w:szCs w:val="20"/>
        </w:rPr>
        <w:t>Отчет на разходите по бюджетните програми с разпределение по ведомствени и администрирани разходи</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6354"/>
        <w:gridCol w:w="936"/>
        <w:gridCol w:w="936"/>
        <w:gridCol w:w="936"/>
      </w:tblGrid>
      <w:tr w:rsidR="00B963F8" w14:paraId="0B5FE921" w14:textId="77777777" w:rsidTr="00122663">
        <w:trPr>
          <w:trHeight w:val="315"/>
        </w:trPr>
        <w:tc>
          <w:tcPr>
            <w:tcW w:w="230" w:type="pct"/>
            <w:vMerge w:val="restart"/>
            <w:shd w:val="clear" w:color="000000" w:fill="E6E6E6"/>
            <w:noWrap/>
            <w:vAlign w:val="center"/>
            <w:hideMark/>
          </w:tcPr>
          <w:p w14:paraId="5502E4E5" w14:textId="77777777" w:rsidR="00F34273" w:rsidRDefault="00F34273">
            <w:pPr>
              <w:jc w:val="center"/>
              <w:rPr>
                <w:b/>
                <w:bCs/>
                <w:sz w:val="16"/>
                <w:szCs w:val="16"/>
              </w:rPr>
            </w:pPr>
            <w:r>
              <w:rPr>
                <w:b/>
                <w:bCs/>
                <w:sz w:val="16"/>
                <w:szCs w:val="16"/>
              </w:rPr>
              <w:t>№</w:t>
            </w:r>
          </w:p>
        </w:tc>
        <w:tc>
          <w:tcPr>
            <w:tcW w:w="3249" w:type="pct"/>
            <w:tcBorders>
              <w:bottom w:val="nil"/>
            </w:tcBorders>
            <w:shd w:val="clear" w:color="000000" w:fill="E6E6E6"/>
            <w:noWrap/>
            <w:vAlign w:val="center"/>
            <w:hideMark/>
          </w:tcPr>
          <w:p w14:paraId="6B13FB95" w14:textId="77777777" w:rsidR="00F34273" w:rsidRDefault="00F34273">
            <w:pPr>
              <w:jc w:val="center"/>
              <w:rPr>
                <w:b/>
                <w:bCs/>
                <w:sz w:val="16"/>
                <w:szCs w:val="16"/>
              </w:rPr>
            </w:pPr>
            <w:r>
              <w:rPr>
                <w:b/>
                <w:bCs/>
                <w:sz w:val="16"/>
                <w:szCs w:val="16"/>
              </w:rPr>
              <w:t>0300.04.01 'Бюджетна програма „Вероизповедания”</w:t>
            </w:r>
          </w:p>
        </w:tc>
        <w:tc>
          <w:tcPr>
            <w:tcW w:w="481" w:type="pct"/>
            <w:vMerge w:val="restart"/>
            <w:shd w:val="clear" w:color="000000" w:fill="E6E6E6"/>
            <w:vAlign w:val="center"/>
            <w:hideMark/>
          </w:tcPr>
          <w:p w14:paraId="78A76D86" w14:textId="77777777" w:rsidR="00F34273" w:rsidRDefault="00F34273">
            <w:pPr>
              <w:jc w:val="center"/>
              <w:rPr>
                <w:b/>
                <w:bCs/>
                <w:sz w:val="16"/>
                <w:szCs w:val="16"/>
              </w:rPr>
            </w:pPr>
            <w:r>
              <w:rPr>
                <w:b/>
                <w:bCs/>
                <w:sz w:val="16"/>
                <w:szCs w:val="16"/>
              </w:rPr>
              <w:t>Закон</w:t>
            </w:r>
          </w:p>
        </w:tc>
        <w:tc>
          <w:tcPr>
            <w:tcW w:w="481" w:type="pct"/>
            <w:vMerge w:val="restart"/>
            <w:shd w:val="clear" w:color="000000" w:fill="E6E6E6"/>
            <w:vAlign w:val="center"/>
            <w:hideMark/>
          </w:tcPr>
          <w:p w14:paraId="4A21AB2F" w14:textId="77777777" w:rsidR="00F34273" w:rsidRDefault="00F34273">
            <w:pPr>
              <w:jc w:val="center"/>
              <w:rPr>
                <w:b/>
                <w:bCs/>
                <w:sz w:val="16"/>
                <w:szCs w:val="16"/>
              </w:rPr>
            </w:pPr>
            <w:r>
              <w:rPr>
                <w:b/>
                <w:bCs/>
                <w:sz w:val="16"/>
                <w:szCs w:val="16"/>
              </w:rPr>
              <w:t>Уточнен план</w:t>
            </w:r>
          </w:p>
        </w:tc>
        <w:tc>
          <w:tcPr>
            <w:tcW w:w="559" w:type="pct"/>
            <w:vMerge w:val="restart"/>
            <w:shd w:val="clear" w:color="000000" w:fill="E6E6E6"/>
            <w:vAlign w:val="center"/>
            <w:hideMark/>
          </w:tcPr>
          <w:p w14:paraId="08B10D82" w14:textId="77777777" w:rsidR="00F34273" w:rsidRDefault="00F34273">
            <w:pPr>
              <w:jc w:val="center"/>
              <w:rPr>
                <w:b/>
                <w:bCs/>
                <w:sz w:val="16"/>
                <w:szCs w:val="16"/>
              </w:rPr>
            </w:pPr>
            <w:r>
              <w:rPr>
                <w:b/>
                <w:bCs/>
                <w:sz w:val="16"/>
                <w:szCs w:val="16"/>
              </w:rPr>
              <w:t>Отчет</w:t>
            </w:r>
          </w:p>
        </w:tc>
      </w:tr>
      <w:tr w:rsidR="00077875" w14:paraId="27812BC3" w14:textId="77777777" w:rsidTr="00122663">
        <w:trPr>
          <w:trHeight w:val="200"/>
        </w:trPr>
        <w:tc>
          <w:tcPr>
            <w:tcW w:w="230" w:type="pct"/>
            <w:vMerge/>
            <w:vAlign w:val="center"/>
            <w:hideMark/>
          </w:tcPr>
          <w:p w14:paraId="797F539A" w14:textId="77777777" w:rsidR="00F34273" w:rsidRDefault="00F34273">
            <w:pPr>
              <w:rPr>
                <w:b/>
                <w:bCs/>
                <w:sz w:val="16"/>
                <w:szCs w:val="16"/>
              </w:rPr>
            </w:pPr>
          </w:p>
        </w:tc>
        <w:tc>
          <w:tcPr>
            <w:tcW w:w="3249" w:type="pct"/>
            <w:tcBorders>
              <w:top w:val="nil"/>
            </w:tcBorders>
            <w:shd w:val="clear" w:color="000000" w:fill="E6E6E6"/>
            <w:noWrap/>
            <w:vAlign w:val="center"/>
            <w:hideMark/>
          </w:tcPr>
          <w:p w14:paraId="24B73920" w14:textId="77777777" w:rsidR="00F34273" w:rsidRDefault="00F34273">
            <w:pPr>
              <w:jc w:val="center"/>
              <w:rPr>
                <w:b/>
                <w:bCs/>
                <w:sz w:val="16"/>
                <w:szCs w:val="16"/>
              </w:rPr>
            </w:pPr>
            <w:r>
              <w:rPr>
                <w:b/>
                <w:bCs/>
                <w:sz w:val="16"/>
                <w:szCs w:val="16"/>
              </w:rPr>
              <w:t>(в лева)</w:t>
            </w:r>
          </w:p>
        </w:tc>
        <w:tc>
          <w:tcPr>
            <w:tcW w:w="481" w:type="pct"/>
            <w:vMerge/>
            <w:vAlign w:val="center"/>
            <w:hideMark/>
          </w:tcPr>
          <w:p w14:paraId="241755F8" w14:textId="77777777" w:rsidR="00F34273" w:rsidRDefault="00F34273">
            <w:pPr>
              <w:rPr>
                <w:b/>
                <w:bCs/>
                <w:sz w:val="16"/>
                <w:szCs w:val="16"/>
              </w:rPr>
            </w:pPr>
          </w:p>
        </w:tc>
        <w:tc>
          <w:tcPr>
            <w:tcW w:w="481" w:type="pct"/>
            <w:vMerge/>
            <w:vAlign w:val="center"/>
            <w:hideMark/>
          </w:tcPr>
          <w:p w14:paraId="2E49E0AA" w14:textId="77777777" w:rsidR="00F34273" w:rsidRDefault="00F34273">
            <w:pPr>
              <w:rPr>
                <w:b/>
                <w:bCs/>
                <w:sz w:val="16"/>
                <w:szCs w:val="16"/>
              </w:rPr>
            </w:pPr>
          </w:p>
        </w:tc>
        <w:tc>
          <w:tcPr>
            <w:tcW w:w="559" w:type="pct"/>
            <w:vMerge/>
            <w:vAlign w:val="center"/>
            <w:hideMark/>
          </w:tcPr>
          <w:p w14:paraId="633C9DDE" w14:textId="77777777" w:rsidR="00F34273" w:rsidRDefault="00F34273">
            <w:pPr>
              <w:rPr>
                <w:b/>
                <w:bCs/>
                <w:sz w:val="16"/>
                <w:szCs w:val="16"/>
              </w:rPr>
            </w:pPr>
          </w:p>
        </w:tc>
      </w:tr>
      <w:tr w:rsidR="00077875" w14:paraId="7F153C41" w14:textId="77777777" w:rsidTr="00122663">
        <w:trPr>
          <w:trHeight w:val="274"/>
        </w:trPr>
        <w:tc>
          <w:tcPr>
            <w:tcW w:w="230" w:type="pct"/>
            <w:shd w:val="clear" w:color="000000" w:fill="E6E6E6"/>
            <w:noWrap/>
            <w:vAlign w:val="center"/>
            <w:hideMark/>
          </w:tcPr>
          <w:p w14:paraId="217890B6" w14:textId="77777777" w:rsidR="00F34273" w:rsidRDefault="00F34273">
            <w:pPr>
              <w:jc w:val="both"/>
              <w:rPr>
                <w:b/>
                <w:bCs/>
                <w:sz w:val="16"/>
                <w:szCs w:val="16"/>
              </w:rPr>
            </w:pPr>
            <w:r>
              <w:rPr>
                <w:b/>
                <w:bCs/>
                <w:sz w:val="16"/>
                <w:szCs w:val="16"/>
              </w:rPr>
              <w:t>І.</w:t>
            </w:r>
          </w:p>
        </w:tc>
        <w:tc>
          <w:tcPr>
            <w:tcW w:w="3249" w:type="pct"/>
            <w:shd w:val="clear" w:color="000000" w:fill="E6E6E6"/>
            <w:noWrap/>
            <w:vAlign w:val="center"/>
            <w:hideMark/>
          </w:tcPr>
          <w:p w14:paraId="29546ACA" w14:textId="77777777" w:rsidR="00F34273" w:rsidRDefault="00F34273">
            <w:pPr>
              <w:rPr>
                <w:b/>
                <w:bCs/>
                <w:sz w:val="16"/>
                <w:szCs w:val="16"/>
              </w:rPr>
            </w:pPr>
            <w:r>
              <w:rPr>
                <w:b/>
                <w:bCs/>
                <w:sz w:val="16"/>
                <w:szCs w:val="16"/>
              </w:rPr>
              <w:t>Общо ведомствени разходи:</w:t>
            </w:r>
          </w:p>
        </w:tc>
        <w:tc>
          <w:tcPr>
            <w:tcW w:w="481" w:type="pct"/>
            <w:shd w:val="clear" w:color="000000" w:fill="E6E6E6"/>
            <w:noWrap/>
            <w:vAlign w:val="center"/>
            <w:hideMark/>
          </w:tcPr>
          <w:p w14:paraId="2691849A" w14:textId="77777777" w:rsidR="00F34273" w:rsidRDefault="00F34273">
            <w:pPr>
              <w:jc w:val="right"/>
              <w:rPr>
                <w:b/>
                <w:bCs/>
                <w:sz w:val="16"/>
                <w:szCs w:val="16"/>
              </w:rPr>
            </w:pPr>
            <w:r>
              <w:rPr>
                <w:b/>
                <w:bCs/>
                <w:sz w:val="16"/>
                <w:szCs w:val="16"/>
              </w:rPr>
              <w:t>364 500</w:t>
            </w:r>
          </w:p>
        </w:tc>
        <w:tc>
          <w:tcPr>
            <w:tcW w:w="481" w:type="pct"/>
            <w:shd w:val="clear" w:color="000000" w:fill="E6E6E6"/>
            <w:noWrap/>
            <w:vAlign w:val="center"/>
            <w:hideMark/>
          </w:tcPr>
          <w:p w14:paraId="3798CAC8" w14:textId="77777777" w:rsidR="00F34273" w:rsidRDefault="00F34273">
            <w:pPr>
              <w:jc w:val="right"/>
              <w:rPr>
                <w:b/>
                <w:bCs/>
                <w:sz w:val="16"/>
                <w:szCs w:val="16"/>
              </w:rPr>
            </w:pPr>
            <w:r>
              <w:rPr>
                <w:b/>
                <w:bCs/>
                <w:sz w:val="16"/>
                <w:szCs w:val="16"/>
              </w:rPr>
              <w:t>364 500</w:t>
            </w:r>
          </w:p>
        </w:tc>
        <w:tc>
          <w:tcPr>
            <w:tcW w:w="559" w:type="pct"/>
            <w:shd w:val="clear" w:color="000000" w:fill="E6E6E6"/>
            <w:noWrap/>
            <w:vAlign w:val="center"/>
            <w:hideMark/>
          </w:tcPr>
          <w:p w14:paraId="7BA83564" w14:textId="77777777" w:rsidR="00F34273" w:rsidRDefault="00F34273">
            <w:pPr>
              <w:jc w:val="right"/>
              <w:rPr>
                <w:b/>
                <w:bCs/>
                <w:sz w:val="16"/>
                <w:szCs w:val="16"/>
              </w:rPr>
            </w:pPr>
            <w:r>
              <w:rPr>
                <w:b/>
                <w:bCs/>
                <w:sz w:val="16"/>
                <w:szCs w:val="16"/>
              </w:rPr>
              <w:t>247 457</w:t>
            </w:r>
          </w:p>
        </w:tc>
      </w:tr>
      <w:tr w:rsidR="00077875" w14:paraId="1CE5754A" w14:textId="77777777" w:rsidTr="00122663">
        <w:trPr>
          <w:trHeight w:val="277"/>
        </w:trPr>
        <w:tc>
          <w:tcPr>
            <w:tcW w:w="230" w:type="pct"/>
            <w:shd w:val="clear" w:color="auto" w:fill="auto"/>
            <w:noWrap/>
            <w:vAlign w:val="center"/>
            <w:hideMark/>
          </w:tcPr>
          <w:p w14:paraId="6CB57E6D" w14:textId="77777777" w:rsidR="00F34273" w:rsidRDefault="00F34273">
            <w:pPr>
              <w:jc w:val="both"/>
              <w:rPr>
                <w:sz w:val="16"/>
                <w:szCs w:val="16"/>
              </w:rPr>
            </w:pPr>
            <w:r>
              <w:rPr>
                <w:sz w:val="16"/>
                <w:szCs w:val="16"/>
              </w:rPr>
              <w:t> </w:t>
            </w:r>
          </w:p>
        </w:tc>
        <w:tc>
          <w:tcPr>
            <w:tcW w:w="3249" w:type="pct"/>
            <w:shd w:val="clear" w:color="auto" w:fill="auto"/>
            <w:noWrap/>
            <w:vAlign w:val="center"/>
            <w:hideMark/>
          </w:tcPr>
          <w:p w14:paraId="09BFFC55" w14:textId="6CB345BE" w:rsidR="00F34273" w:rsidRDefault="00F34273" w:rsidP="00732F10">
            <w:pPr>
              <w:ind w:firstLine="159"/>
              <w:rPr>
                <w:sz w:val="16"/>
                <w:szCs w:val="16"/>
              </w:rPr>
            </w:pPr>
            <w:r>
              <w:rPr>
                <w:sz w:val="16"/>
                <w:szCs w:val="16"/>
              </w:rPr>
              <w:t>Персонал</w:t>
            </w:r>
          </w:p>
        </w:tc>
        <w:tc>
          <w:tcPr>
            <w:tcW w:w="481" w:type="pct"/>
            <w:shd w:val="clear" w:color="auto" w:fill="auto"/>
            <w:noWrap/>
            <w:vAlign w:val="center"/>
            <w:hideMark/>
          </w:tcPr>
          <w:p w14:paraId="25400F8A" w14:textId="77777777" w:rsidR="00F34273" w:rsidRDefault="00F34273">
            <w:pPr>
              <w:jc w:val="right"/>
              <w:rPr>
                <w:sz w:val="16"/>
                <w:szCs w:val="16"/>
              </w:rPr>
            </w:pPr>
            <w:r>
              <w:rPr>
                <w:sz w:val="16"/>
                <w:szCs w:val="16"/>
              </w:rPr>
              <w:t>340 200</w:t>
            </w:r>
          </w:p>
        </w:tc>
        <w:tc>
          <w:tcPr>
            <w:tcW w:w="481" w:type="pct"/>
            <w:shd w:val="clear" w:color="auto" w:fill="auto"/>
            <w:noWrap/>
            <w:vAlign w:val="center"/>
            <w:hideMark/>
          </w:tcPr>
          <w:p w14:paraId="25A0DFA0" w14:textId="77777777" w:rsidR="00F34273" w:rsidRDefault="00F34273">
            <w:pPr>
              <w:jc w:val="right"/>
              <w:rPr>
                <w:sz w:val="16"/>
                <w:szCs w:val="16"/>
              </w:rPr>
            </w:pPr>
            <w:r>
              <w:rPr>
                <w:sz w:val="16"/>
                <w:szCs w:val="16"/>
              </w:rPr>
              <w:t>340 200</w:t>
            </w:r>
          </w:p>
        </w:tc>
        <w:tc>
          <w:tcPr>
            <w:tcW w:w="559" w:type="pct"/>
            <w:shd w:val="clear" w:color="auto" w:fill="auto"/>
            <w:noWrap/>
            <w:vAlign w:val="center"/>
            <w:hideMark/>
          </w:tcPr>
          <w:p w14:paraId="27AFC356" w14:textId="77777777" w:rsidR="00F34273" w:rsidRDefault="00F34273">
            <w:pPr>
              <w:jc w:val="right"/>
              <w:rPr>
                <w:sz w:val="16"/>
                <w:szCs w:val="16"/>
              </w:rPr>
            </w:pPr>
            <w:r>
              <w:rPr>
                <w:sz w:val="16"/>
                <w:szCs w:val="16"/>
              </w:rPr>
              <w:t>246 623</w:t>
            </w:r>
          </w:p>
        </w:tc>
      </w:tr>
      <w:tr w:rsidR="00077875" w14:paraId="17281D47" w14:textId="77777777" w:rsidTr="00122663">
        <w:trPr>
          <w:trHeight w:val="268"/>
        </w:trPr>
        <w:tc>
          <w:tcPr>
            <w:tcW w:w="230" w:type="pct"/>
            <w:shd w:val="clear" w:color="auto" w:fill="auto"/>
            <w:noWrap/>
            <w:vAlign w:val="center"/>
            <w:hideMark/>
          </w:tcPr>
          <w:p w14:paraId="29D15075" w14:textId="77777777" w:rsidR="00F34273" w:rsidRDefault="00F34273">
            <w:pPr>
              <w:jc w:val="both"/>
              <w:rPr>
                <w:sz w:val="16"/>
                <w:szCs w:val="16"/>
              </w:rPr>
            </w:pPr>
            <w:r>
              <w:rPr>
                <w:sz w:val="16"/>
                <w:szCs w:val="16"/>
              </w:rPr>
              <w:t> </w:t>
            </w:r>
          </w:p>
        </w:tc>
        <w:tc>
          <w:tcPr>
            <w:tcW w:w="3249" w:type="pct"/>
            <w:shd w:val="clear" w:color="auto" w:fill="auto"/>
            <w:noWrap/>
            <w:vAlign w:val="center"/>
            <w:hideMark/>
          </w:tcPr>
          <w:p w14:paraId="5E08514C" w14:textId="591EF7FE" w:rsidR="00F34273" w:rsidRDefault="00F34273" w:rsidP="00732F10">
            <w:pPr>
              <w:ind w:firstLine="159"/>
              <w:rPr>
                <w:sz w:val="16"/>
                <w:szCs w:val="16"/>
              </w:rPr>
            </w:pPr>
            <w:r>
              <w:rPr>
                <w:sz w:val="16"/>
                <w:szCs w:val="16"/>
              </w:rPr>
              <w:t>Издръжка</w:t>
            </w:r>
          </w:p>
        </w:tc>
        <w:tc>
          <w:tcPr>
            <w:tcW w:w="481" w:type="pct"/>
            <w:shd w:val="clear" w:color="auto" w:fill="auto"/>
            <w:noWrap/>
            <w:vAlign w:val="center"/>
            <w:hideMark/>
          </w:tcPr>
          <w:p w14:paraId="0023C4AD" w14:textId="77777777" w:rsidR="00F34273" w:rsidRDefault="00F34273">
            <w:pPr>
              <w:jc w:val="right"/>
              <w:rPr>
                <w:sz w:val="16"/>
                <w:szCs w:val="16"/>
              </w:rPr>
            </w:pPr>
            <w:r>
              <w:rPr>
                <w:sz w:val="16"/>
                <w:szCs w:val="16"/>
              </w:rPr>
              <w:t>24 300</w:t>
            </w:r>
          </w:p>
        </w:tc>
        <w:tc>
          <w:tcPr>
            <w:tcW w:w="481" w:type="pct"/>
            <w:shd w:val="clear" w:color="auto" w:fill="auto"/>
            <w:noWrap/>
            <w:vAlign w:val="center"/>
            <w:hideMark/>
          </w:tcPr>
          <w:p w14:paraId="773CE22F" w14:textId="77777777" w:rsidR="00F34273" w:rsidRDefault="00F34273">
            <w:pPr>
              <w:jc w:val="right"/>
              <w:rPr>
                <w:sz w:val="16"/>
                <w:szCs w:val="16"/>
              </w:rPr>
            </w:pPr>
            <w:r>
              <w:rPr>
                <w:sz w:val="16"/>
                <w:szCs w:val="16"/>
              </w:rPr>
              <w:t>24 300</w:t>
            </w:r>
          </w:p>
        </w:tc>
        <w:tc>
          <w:tcPr>
            <w:tcW w:w="559" w:type="pct"/>
            <w:shd w:val="clear" w:color="auto" w:fill="auto"/>
            <w:noWrap/>
            <w:vAlign w:val="center"/>
            <w:hideMark/>
          </w:tcPr>
          <w:p w14:paraId="75BE0DE6" w14:textId="77777777" w:rsidR="00F34273" w:rsidRDefault="00F34273">
            <w:pPr>
              <w:jc w:val="right"/>
              <w:rPr>
                <w:sz w:val="16"/>
                <w:szCs w:val="16"/>
              </w:rPr>
            </w:pPr>
            <w:r>
              <w:rPr>
                <w:sz w:val="16"/>
                <w:szCs w:val="16"/>
              </w:rPr>
              <w:t>834</w:t>
            </w:r>
          </w:p>
        </w:tc>
      </w:tr>
      <w:tr w:rsidR="00077875" w14:paraId="51132658" w14:textId="77777777" w:rsidTr="00122663">
        <w:trPr>
          <w:trHeight w:val="272"/>
        </w:trPr>
        <w:tc>
          <w:tcPr>
            <w:tcW w:w="230" w:type="pct"/>
            <w:shd w:val="clear" w:color="auto" w:fill="auto"/>
            <w:noWrap/>
            <w:vAlign w:val="center"/>
            <w:hideMark/>
          </w:tcPr>
          <w:p w14:paraId="78F7F5D8" w14:textId="77777777" w:rsidR="00F34273" w:rsidRDefault="00F34273">
            <w:pPr>
              <w:jc w:val="both"/>
              <w:rPr>
                <w:sz w:val="16"/>
                <w:szCs w:val="16"/>
              </w:rPr>
            </w:pPr>
            <w:r>
              <w:rPr>
                <w:sz w:val="16"/>
                <w:szCs w:val="16"/>
              </w:rPr>
              <w:t> </w:t>
            </w:r>
          </w:p>
        </w:tc>
        <w:tc>
          <w:tcPr>
            <w:tcW w:w="3249" w:type="pct"/>
            <w:shd w:val="clear" w:color="auto" w:fill="auto"/>
            <w:noWrap/>
            <w:vAlign w:val="center"/>
            <w:hideMark/>
          </w:tcPr>
          <w:p w14:paraId="5B9F637E" w14:textId="0D520BA0" w:rsidR="00F34273" w:rsidRDefault="00F34273" w:rsidP="00732F10">
            <w:pPr>
              <w:ind w:firstLine="159"/>
              <w:rPr>
                <w:sz w:val="16"/>
                <w:szCs w:val="16"/>
              </w:rPr>
            </w:pPr>
            <w:r>
              <w:rPr>
                <w:sz w:val="16"/>
                <w:szCs w:val="16"/>
              </w:rPr>
              <w:t>Капиталови разходи</w:t>
            </w:r>
          </w:p>
        </w:tc>
        <w:tc>
          <w:tcPr>
            <w:tcW w:w="481" w:type="pct"/>
            <w:shd w:val="clear" w:color="auto" w:fill="auto"/>
            <w:noWrap/>
            <w:vAlign w:val="center"/>
            <w:hideMark/>
          </w:tcPr>
          <w:p w14:paraId="0CB8B4B7" w14:textId="77777777" w:rsidR="00F34273" w:rsidRDefault="00F34273">
            <w:pPr>
              <w:jc w:val="right"/>
              <w:rPr>
                <w:sz w:val="16"/>
                <w:szCs w:val="16"/>
              </w:rPr>
            </w:pPr>
            <w:r>
              <w:rPr>
                <w:sz w:val="16"/>
                <w:szCs w:val="16"/>
              </w:rPr>
              <w:t>0</w:t>
            </w:r>
          </w:p>
        </w:tc>
        <w:tc>
          <w:tcPr>
            <w:tcW w:w="481" w:type="pct"/>
            <w:shd w:val="clear" w:color="auto" w:fill="auto"/>
            <w:noWrap/>
            <w:vAlign w:val="center"/>
            <w:hideMark/>
          </w:tcPr>
          <w:p w14:paraId="24F97F16" w14:textId="77777777" w:rsidR="00F34273" w:rsidRDefault="00F34273">
            <w:pPr>
              <w:jc w:val="right"/>
              <w:rPr>
                <w:sz w:val="16"/>
                <w:szCs w:val="16"/>
              </w:rPr>
            </w:pPr>
            <w:r>
              <w:rPr>
                <w:sz w:val="16"/>
                <w:szCs w:val="16"/>
              </w:rPr>
              <w:t>0</w:t>
            </w:r>
          </w:p>
        </w:tc>
        <w:tc>
          <w:tcPr>
            <w:tcW w:w="559" w:type="pct"/>
            <w:shd w:val="clear" w:color="auto" w:fill="auto"/>
            <w:noWrap/>
            <w:vAlign w:val="center"/>
            <w:hideMark/>
          </w:tcPr>
          <w:p w14:paraId="128D4816" w14:textId="77777777" w:rsidR="00F34273" w:rsidRDefault="00F34273">
            <w:pPr>
              <w:jc w:val="right"/>
              <w:rPr>
                <w:sz w:val="16"/>
                <w:szCs w:val="16"/>
              </w:rPr>
            </w:pPr>
            <w:r>
              <w:rPr>
                <w:sz w:val="16"/>
                <w:szCs w:val="16"/>
              </w:rPr>
              <w:t>0</w:t>
            </w:r>
          </w:p>
        </w:tc>
      </w:tr>
      <w:tr w:rsidR="00077875" w14:paraId="002A8A8B" w14:textId="77777777" w:rsidTr="00122663">
        <w:trPr>
          <w:trHeight w:val="276"/>
        </w:trPr>
        <w:tc>
          <w:tcPr>
            <w:tcW w:w="230" w:type="pct"/>
            <w:shd w:val="clear" w:color="000000" w:fill="E6E6E6"/>
            <w:noWrap/>
            <w:vAlign w:val="center"/>
            <w:hideMark/>
          </w:tcPr>
          <w:p w14:paraId="66B2DA34" w14:textId="77777777" w:rsidR="00F34273" w:rsidRDefault="00F34273">
            <w:pPr>
              <w:jc w:val="both"/>
              <w:rPr>
                <w:b/>
                <w:bCs/>
                <w:sz w:val="16"/>
                <w:szCs w:val="16"/>
              </w:rPr>
            </w:pPr>
            <w:r>
              <w:rPr>
                <w:b/>
                <w:bCs/>
                <w:sz w:val="16"/>
                <w:szCs w:val="16"/>
              </w:rPr>
              <w:t>1</w:t>
            </w:r>
          </w:p>
        </w:tc>
        <w:tc>
          <w:tcPr>
            <w:tcW w:w="3249" w:type="pct"/>
            <w:shd w:val="clear" w:color="000000" w:fill="E6E6E6"/>
            <w:noWrap/>
            <w:vAlign w:val="center"/>
            <w:hideMark/>
          </w:tcPr>
          <w:p w14:paraId="7669EDBB" w14:textId="77777777" w:rsidR="00F34273" w:rsidRDefault="00F34273">
            <w:pPr>
              <w:ind w:firstLineChars="300" w:firstLine="482"/>
              <w:rPr>
                <w:b/>
                <w:bCs/>
                <w:sz w:val="16"/>
                <w:szCs w:val="16"/>
              </w:rPr>
            </w:pPr>
            <w:r>
              <w:rPr>
                <w:b/>
                <w:bCs/>
                <w:sz w:val="16"/>
                <w:szCs w:val="16"/>
              </w:rPr>
              <w:t>Ведомствени разходи по бюджета на ПРБ:</w:t>
            </w:r>
          </w:p>
        </w:tc>
        <w:tc>
          <w:tcPr>
            <w:tcW w:w="481" w:type="pct"/>
            <w:shd w:val="clear" w:color="000000" w:fill="E6E6E6"/>
            <w:noWrap/>
            <w:vAlign w:val="center"/>
            <w:hideMark/>
          </w:tcPr>
          <w:p w14:paraId="58D20DE7" w14:textId="77777777" w:rsidR="00F34273" w:rsidRDefault="00F34273">
            <w:pPr>
              <w:jc w:val="right"/>
              <w:rPr>
                <w:b/>
                <w:bCs/>
                <w:sz w:val="16"/>
                <w:szCs w:val="16"/>
              </w:rPr>
            </w:pPr>
            <w:r>
              <w:rPr>
                <w:b/>
                <w:bCs/>
                <w:sz w:val="16"/>
                <w:szCs w:val="16"/>
              </w:rPr>
              <w:t>364 500</w:t>
            </w:r>
          </w:p>
        </w:tc>
        <w:tc>
          <w:tcPr>
            <w:tcW w:w="481" w:type="pct"/>
            <w:shd w:val="clear" w:color="000000" w:fill="E6E6E6"/>
            <w:noWrap/>
            <w:vAlign w:val="center"/>
            <w:hideMark/>
          </w:tcPr>
          <w:p w14:paraId="0D6C3136" w14:textId="77777777" w:rsidR="00F34273" w:rsidRDefault="00F34273">
            <w:pPr>
              <w:jc w:val="right"/>
              <w:rPr>
                <w:b/>
                <w:bCs/>
                <w:sz w:val="16"/>
                <w:szCs w:val="16"/>
              </w:rPr>
            </w:pPr>
            <w:r>
              <w:rPr>
                <w:b/>
                <w:bCs/>
                <w:sz w:val="16"/>
                <w:szCs w:val="16"/>
              </w:rPr>
              <w:t>364 500</w:t>
            </w:r>
          </w:p>
        </w:tc>
        <w:tc>
          <w:tcPr>
            <w:tcW w:w="559" w:type="pct"/>
            <w:shd w:val="clear" w:color="000000" w:fill="E6E6E6"/>
            <w:noWrap/>
            <w:vAlign w:val="center"/>
            <w:hideMark/>
          </w:tcPr>
          <w:p w14:paraId="0AA89360" w14:textId="77777777" w:rsidR="00F34273" w:rsidRDefault="00F34273">
            <w:pPr>
              <w:jc w:val="right"/>
              <w:rPr>
                <w:b/>
                <w:bCs/>
                <w:sz w:val="16"/>
                <w:szCs w:val="16"/>
              </w:rPr>
            </w:pPr>
            <w:r>
              <w:rPr>
                <w:b/>
                <w:bCs/>
                <w:sz w:val="16"/>
                <w:szCs w:val="16"/>
              </w:rPr>
              <w:t>247 457</w:t>
            </w:r>
          </w:p>
        </w:tc>
      </w:tr>
      <w:tr w:rsidR="00077875" w14:paraId="16A7623F" w14:textId="77777777" w:rsidTr="00122663">
        <w:trPr>
          <w:trHeight w:val="266"/>
        </w:trPr>
        <w:tc>
          <w:tcPr>
            <w:tcW w:w="230" w:type="pct"/>
            <w:shd w:val="clear" w:color="auto" w:fill="auto"/>
            <w:noWrap/>
            <w:vAlign w:val="center"/>
            <w:hideMark/>
          </w:tcPr>
          <w:p w14:paraId="7B11A09A" w14:textId="77777777" w:rsidR="00F34273" w:rsidRDefault="00F34273">
            <w:pPr>
              <w:jc w:val="both"/>
              <w:rPr>
                <w:sz w:val="16"/>
                <w:szCs w:val="16"/>
              </w:rPr>
            </w:pPr>
            <w:r>
              <w:rPr>
                <w:sz w:val="16"/>
                <w:szCs w:val="16"/>
              </w:rPr>
              <w:t> </w:t>
            </w:r>
          </w:p>
        </w:tc>
        <w:tc>
          <w:tcPr>
            <w:tcW w:w="3249" w:type="pct"/>
            <w:shd w:val="clear" w:color="auto" w:fill="auto"/>
            <w:noWrap/>
            <w:vAlign w:val="center"/>
            <w:hideMark/>
          </w:tcPr>
          <w:p w14:paraId="6E4B374B" w14:textId="6AEA5095" w:rsidR="00F34273" w:rsidRDefault="00F34273" w:rsidP="00732F10">
            <w:pPr>
              <w:ind w:firstLineChars="365" w:firstLine="584"/>
              <w:rPr>
                <w:sz w:val="16"/>
                <w:szCs w:val="16"/>
              </w:rPr>
            </w:pPr>
            <w:r>
              <w:rPr>
                <w:sz w:val="16"/>
                <w:szCs w:val="16"/>
              </w:rPr>
              <w:t>Персонал</w:t>
            </w:r>
          </w:p>
        </w:tc>
        <w:tc>
          <w:tcPr>
            <w:tcW w:w="481" w:type="pct"/>
            <w:shd w:val="clear" w:color="auto" w:fill="auto"/>
            <w:noWrap/>
            <w:vAlign w:val="center"/>
            <w:hideMark/>
          </w:tcPr>
          <w:p w14:paraId="56953081" w14:textId="77777777" w:rsidR="00F34273" w:rsidRDefault="00F34273">
            <w:pPr>
              <w:jc w:val="right"/>
              <w:rPr>
                <w:sz w:val="16"/>
                <w:szCs w:val="16"/>
              </w:rPr>
            </w:pPr>
            <w:r>
              <w:rPr>
                <w:sz w:val="16"/>
                <w:szCs w:val="16"/>
              </w:rPr>
              <w:t>340 200</w:t>
            </w:r>
          </w:p>
        </w:tc>
        <w:tc>
          <w:tcPr>
            <w:tcW w:w="481" w:type="pct"/>
            <w:shd w:val="clear" w:color="auto" w:fill="auto"/>
            <w:noWrap/>
            <w:vAlign w:val="center"/>
            <w:hideMark/>
          </w:tcPr>
          <w:p w14:paraId="3472B33C" w14:textId="77777777" w:rsidR="00F34273" w:rsidRDefault="00F34273">
            <w:pPr>
              <w:jc w:val="right"/>
              <w:rPr>
                <w:sz w:val="16"/>
                <w:szCs w:val="16"/>
              </w:rPr>
            </w:pPr>
            <w:r>
              <w:rPr>
                <w:sz w:val="16"/>
                <w:szCs w:val="16"/>
              </w:rPr>
              <w:t>340 200</w:t>
            </w:r>
          </w:p>
        </w:tc>
        <w:tc>
          <w:tcPr>
            <w:tcW w:w="559" w:type="pct"/>
            <w:shd w:val="clear" w:color="auto" w:fill="auto"/>
            <w:noWrap/>
            <w:vAlign w:val="center"/>
            <w:hideMark/>
          </w:tcPr>
          <w:p w14:paraId="2F52CDA1" w14:textId="77777777" w:rsidR="00F34273" w:rsidRDefault="00F34273">
            <w:pPr>
              <w:jc w:val="right"/>
              <w:rPr>
                <w:sz w:val="16"/>
                <w:szCs w:val="16"/>
              </w:rPr>
            </w:pPr>
            <w:r>
              <w:rPr>
                <w:sz w:val="16"/>
                <w:szCs w:val="16"/>
              </w:rPr>
              <w:t>246 623</w:t>
            </w:r>
          </w:p>
        </w:tc>
      </w:tr>
      <w:tr w:rsidR="00077875" w14:paraId="2C0A683C" w14:textId="77777777" w:rsidTr="00122663">
        <w:trPr>
          <w:trHeight w:val="284"/>
        </w:trPr>
        <w:tc>
          <w:tcPr>
            <w:tcW w:w="230" w:type="pct"/>
            <w:shd w:val="clear" w:color="auto" w:fill="auto"/>
            <w:noWrap/>
            <w:vAlign w:val="center"/>
            <w:hideMark/>
          </w:tcPr>
          <w:p w14:paraId="2E70CCAD" w14:textId="77777777" w:rsidR="00F34273" w:rsidRDefault="00F34273">
            <w:pPr>
              <w:jc w:val="both"/>
              <w:rPr>
                <w:sz w:val="16"/>
                <w:szCs w:val="16"/>
              </w:rPr>
            </w:pPr>
            <w:r>
              <w:rPr>
                <w:sz w:val="16"/>
                <w:szCs w:val="16"/>
              </w:rPr>
              <w:t> </w:t>
            </w:r>
          </w:p>
        </w:tc>
        <w:tc>
          <w:tcPr>
            <w:tcW w:w="3249" w:type="pct"/>
            <w:shd w:val="clear" w:color="auto" w:fill="auto"/>
            <w:noWrap/>
            <w:vAlign w:val="center"/>
            <w:hideMark/>
          </w:tcPr>
          <w:p w14:paraId="3868CEC2" w14:textId="3D2879B3" w:rsidR="00F34273" w:rsidRDefault="00F34273" w:rsidP="00732F10">
            <w:pPr>
              <w:ind w:firstLineChars="365" w:firstLine="584"/>
              <w:rPr>
                <w:sz w:val="16"/>
                <w:szCs w:val="16"/>
              </w:rPr>
            </w:pPr>
            <w:r>
              <w:rPr>
                <w:sz w:val="16"/>
                <w:szCs w:val="16"/>
              </w:rPr>
              <w:t>Издръжка</w:t>
            </w:r>
          </w:p>
        </w:tc>
        <w:tc>
          <w:tcPr>
            <w:tcW w:w="481" w:type="pct"/>
            <w:shd w:val="clear" w:color="auto" w:fill="auto"/>
            <w:noWrap/>
            <w:vAlign w:val="center"/>
            <w:hideMark/>
          </w:tcPr>
          <w:p w14:paraId="27D0AE03" w14:textId="77777777" w:rsidR="00F34273" w:rsidRDefault="00F34273">
            <w:pPr>
              <w:jc w:val="right"/>
              <w:rPr>
                <w:sz w:val="16"/>
                <w:szCs w:val="16"/>
              </w:rPr>
            </w:pPr>
            <w:r>
              <w:rPr>
                <w:sz w:val="16"/>
                <w:szCs w:val="16"/>
              </w:rPr>
              <w:t>24 300</w:t>
            </w:r>
          </w:p>
        </w:tc>
        <w:tc>
          <w:tcPr>
            <w:tcW w:w="481" w:type="pct"/>
            <w:shd w:val="clear" w:color="auto" w:fill="auto"/>
            <w:noWrap/>
            <w:vAlign w:val="center"/>
            <w:hideMark/>
          </w:tcPr>
          <w:p w14:paraId="0BB07226" w14:textId="77777777" w:rsidR="00F34273" w:rsidRDefault="00F34273">
            <w:pPr>
              <w:jc w:val="right"/>
              <w:rPr>
                <w:sz w:val="16"/>
                <w:szCs w:val="16"/>
              </w:rPr>
            </w:pPr>
            <w:r>
              <w:rPr>
                <w:sz w:val="16"/>
                <w:szCs w:val="16"/>
              </w:rPr>
              <w:t>24 300</w:t>
            </w:r>
          </w:p>
        </w:tc>
        <w:tc>
          <w:tcPr>
            <w:tcW w:w="559" w:type="pct"/>
            <w:shd w:val="clear" w:color="auto" w:fill="auto"/>
            <w:noWrap/>
            <w:vAlign w:val="center"/>
            <w:hideMark/>
          </w:tcPr>
          <w:p w14:paraId="0B17D31B" w14:textId="77777777" w:rsidR="00F34273" w:rsidRDefault="00F34273">
            <w:pPr>
              <w:jc w:val="right"/>
              <w:rPr>
                <w:sz w:val="16"/>
                <w:szCs w:val="16"/>
              </w:rPr>
            </w:pPr>
            <w:r>
              <w:rPr>
                <w:sz w:val="16"/>
                <w:szCs w:val="16"/>
              </w:rPr>
              <w:t>834</w:t>
            </w:r>
          </w:p>
        </w:tc>
      </w:tr>
      <w:tr w:rsidR="00077875" w14:paraId="3BFAD964" w14:textId="77777777" w:rsidTr="00122663">
        <w:trPr>
          <w:trHeight w:val="273"/>
        </w:trPr>
        <w:tc>
          <w:tcPr>
            <w:tcW w:w="230" w:type="pct"/>
            <w:shd w:val="clear" w:color="auto" w:fill="auto"/>
            <w:noWrap/>
            <w:vAlign w:val="center"/>
            <w:hideMark/>
          </w:tcPr>
          <w:p w14:paraId="264D8CD5" w14:textId="77777777" w:rsidR="00F34273" w:rsidRDefault="00F34273">
            <w:pPr>
              <w:jc w:val="both"/>
              <w:rPr>
                <w:sz w:val="16"/>
                <w:szCs w:val="16"/>
              </w:rPr>
            </w:pPr>
            <w:r>
              <w:rPr>
                <w:sz w:val="16"/>
                <w:szCs w:val="16"/>
              </w:rPr>
              <w:t> </w:t>
            </w:r>
          </w:p>
        </w:tc>
        <w:tc>
          <w:tcPr>
            <w:tcW w:w="3249" w:type="pct"/>
            <w:shd w:val="clear" w:color="auto" w:fill="auto"/>
            <w:noWrap/>
            <w:vAlign w:val="center"/>
            <w:hideMark/>
          </w:tcPr>
          <w:p w14:paraId="0820825A" w14:textId="51D9C6BC" w:rsidR="00F34273" w:rsidRDefault="00F34273" w:rsidP="00732F10">
            <w:pPr>
              <w:ind w:firstLineChars="365" w:firstLine="584"/>
              <w:rPr>
                <w:sz w:val="16"/>
                <w:szCs w:val="16"/>
              </w:rPr>
            </w:pPr>
            <w:r>
              <w:rPr>
                <w:sz w:val="16"/>
                <w:szCs w:val="16"/>
              </w:rPr>
              <w:t>Капиталови разходи</w:t>
            </w:r>
          </w:p>
        </w:tc>
        <w:tc>
          <w:tcPr>
            <w:tcW w:w="481" w:type="pct"/>
            <w:shd w:val="clear" w:color="auto" w:fill="auto"/>
            <w:noWrap/>
            <w:vAlign w:val="center"/>
            <w:hideMark/>
          </w:tcPr>
          <w:p w14:paraId="6235684C" w14:textId="77777777" w:rsidR="00F34273" w:rsidRDefault="00F34273">
            <w:pPr>
              <w:jc w:val="right"/>
              <w:rPr>
                <w:sz w:val="16"/>
                <w:szCs w:val="16"/>
              </w:rPr>
            </w:pPr>
            <w:r>
              <w:rPr>
                <w:sz w:val="16"/>
                <w:szCs w:val="16"/>
              </w:rPr>
              <w:t> </w:t>
            </w:r>
          </w:p>
        </w:tc>
        <w:tc>
          <w:tcPr>
            <w:tcW w:w="481" w:type="pct"/>
            <w:shd w:val="clear" w:color="auto" w:fill="auto"/>
            <w:noWrap/>
            <w:vAlign w:val="center"/>
            <w:hideMark/>
          </w:tcPr>
          <w:p w14:paraId="35EF0EE4" w14:textId="77777777" w:rsidR="00F34273" w:rsidRDefault="00F34273">
            <w:pPr>
              <w:jc w:val="right"/>
              <w:rPr>
                <w:sz w:val="16"/>
                <w:szCs w:val="16"/>
              </w:rPr>
            </w:pPr>
            <w:r>
              <w:rPr>
                <w:sz w:val="16"/>
                <w:szCs w:val="16"/>
              </w:rPr>
              <w:t> </w:t>
            </w:r>
          </w:p>
        </w:tc>
        <w:tc>
          <w:tcPr>
            <w:tcW w:w="559" w:type="pct"/>
            <w:shd w:val="clear" w:color="auto" w:fill="auto"/>
            <w:noWrap/>
            <w:vAlign w:val="center"/>
            <w:hideMark/>
          </w:tcPr>
          <w:p w14:paraId="2F1B0E28" w14:textId="77777777" w:rsidR="00F34273" w:rsidRDefault="00F34273">
            <w:pPr>
              <w:jc w:val="right"/>
              <w:rPr>
                <w:sz w:val="16"/>
                <w:szCs w:val="16"/>
              </w:rPr>
            </w:pPr>
            <w:r>
              <w:rPr>
                <w:sz w:val="16"/>
                <w:szCs w:val="16"/>
              </w:rPr>
              <w:t> </w:t>
            </w:r>
          </w:p>
        </w:tc>
      </w:tr>
      <w:tr w:rsidR="00077875" w14:paraId="55AA5446" w14:textId="77777777" w:rsidTr="00122663">
        <w:trPr>
          <w:trHeight w:val="264"/>
        </w:trPr>
        <w:tc>
          <w:tcPr>
            <w:tcW w:w="230" w:type="pct"/>
            <w:shd w:val="clear" w:color="000000" w:fill="E6E6E6"/>
            <w:noWrap/>
            <w:vAlign w:val="center"/>
            <w:hideMark/>
          </w:tcPr>
          <w:p w14:paraId="2172A866" w14:textId="77777777" w:rsidR="00F34273" w:rsidRDefault="00F34273">
            <w:pPr>
              <w:jc w:val="both"/>
              <w:rPr>
                <w:b/>
                <w:bCs/>
                <w:sz w:val="16"/>
                <w:szCs w:val="16"/>
              </w:rPr>
            </w:pPr>
            <w:r>
              <w:rPr>
                <w:b/>
                <w:bCs/>
                <w:sz w:val="16"/>
                <w:szCs w:val="16"/>
              </w:rPr>
              <w:t>2</w:t>
            </w:r>
          </w:p>
        </w:tc>
        <w:tc>
          <w:tcPr>
            <w:tcW w:w="3249" w:type="pct"/>
            <w:shd w:val="clear" w:color="000000" w:fill="E6E6E6"/>
            <w:noWrap/>
            <w:vAlign w:val="center"/>
            <w:hideMark/>
          </w:tcPr>
          <w:p w14:paraId="46B30714" w14:textId="77777777" w:rsidR="00F34273" w:rsidRDefault="00F34273">
            <w:pPr>
              <w:ind w:firstLineChars="300" w:firstLine="482"/>
              <w:rPr>
                <w:b/>
                <w:bCs/>
                <w:sz w:val="16"/>
                <w:szCs w:val="16"/>
              </w:rPr>
            </w:pPr>
            <w:r>
              <w:rPr>
                <w:b/>
                <w:bCs/>
                <w:sz w:val="16"/>
                <w:szCs w:val="16"/>
              </w:rPr>
              <w:t xml:space="preserve">Ведомствени разходи по други бюджети и сметки за средства от ЕС </w:t>
            </w:r>
          </w:p>
        </w:tc>
        <w:tc>
          <w:tcPr>
            <w:tcW w:w="481" w:type="pct"/>
            <w:shd w:val="clear" w:color="000000" w:fill="E6E6E6"/>
            <w:noWrap/>
            <w:vAlign w:val="center"/>
            <w:hideMark/>
          </w:tcPr>
          <w:p w14:paraId="5D2362AE" w14:textId="77777777" w:rsidR="00F34273" w:rsidRDefault="00F34273">
            <w:pPr>
              <w:jc w:val="right"/>
              <w:rPr>
                <w:b/>
                <w:bCs/>
                <w:sz w:val="16"/>
                <w:szCs w:val="16"/>
              </w:rPr>
            </w:pPr>
            <w:r>
              <w:rPr>
                <w:b/>
                <w:bCs/>
                <w:sz w:val="16"/>
                <w:szCs w:val="16"/>
              </w:rPr>
              <w:t>0</w:t>
            </w:r>
          </w:p>
        </w:tc>
        <w:tc>
          <w:tcPr>
            <w:tcW w:w="481" w:type="pct"/>
            <w:shd w:val="clear" w:color="000000" w:fill="E6E6E6"/>
            <w:noWrap/>
            <w:vAlign w:val="center"/>
            <w:hideMark/>
          </w:tcPr>
          <w:p w14:paraId="318D93F0" w14:textId="77777777" w:rsidR="00F34273" w:rsidRDefault="00F34273">
            <w:pPr>
              <w:jc w:val="right"/>
              <w:rPr>
                <w:b/>
                <w:bCs/>
                <w:sz w:val="16"/>
                <w:szCs w:val="16"/>
              </w:rPr>
            </w:pPr>
            <w:r>
              <w:rPr>
                <w:b/>
                <w:bCs/>
                <w:sz w:val="16"/>
                <w:szCs w:val="16"/>
              </w:rPr>
              <w:t>0</w:t>
            </w:r>
          </w:p>
        </w:tc>
        <w:tc>
          <w:tcPr>
            <w:tcW w:w="559" w:type="pct"/>
            <w:shd w:val="clear" w:color="000000" w:fill="E6E6E6"/>
            <w:noWrap/>
            <w:vAlign w:val="center"/>
            <w:hideMark/>
          </w:tcPr>
          <w:p w14:paraId="1F713927" w14:textId="77777777" w:rsidR="00F34273" w:rsidRDefault="00F34273">
            <w:pPr>
              <w:jc w:val="right"/>
              <w:rPr>
                <w:b/>
                <w:bCs/>
                <w:sz w:val="16"/>
                <w:szCs w:val="16"/>
              </w:rPr>
            </w:pPr>
            <w:r>
              <w:rPr>
                <w:b/>
                <w:bCs/>
                <w:sz w:val="16"/>
                <w:szCs w:val="16"/>
              </w:rPr>
              <w:t>0</w:t>
            </w:r>
          </w:p>
        </w:tc>
      </w:tr>
      <w:tr w:rsidR="00077875" w14:paraId="25600D43" w14:textId="77777777" w:rsidTr="00122663">
        <w:trPr>
          <w:trHeight w:val="281"/>
        </w:trPr>
        <w:tc>
          <w:tcPr>
            <w:tcW w:w="230" w:type="pct"/>
            <w:shd w:val="clear" w:color="auto" w:fill="auto"/>
            <w:noWrap/>
            <w:vAlign w:val="center"/>
            <w:hideMark/>
          </w:tcPr>
          <w:p w14:paraId="026FE9BC" w14:textId="77777777" w:rsidR="00F34273" w:rsidRDefault="00F34273">
            <w:pPr>
              <w:jc w:val="both"/>
              <w:rPr>
                <w:sz w:val="16"/>
                <w:szCs w:val="16"/>
              </w:rPr>
            </w:pPr>
            <w:r>
              <w:rPr>
                <w:sz w:val="16"/>
                <w:szCs w:val="16"/>
              </w:rPr>
              <w:t> </w:t>
            </w:r>
          </w:p>
        </w:tc>
        <w:tc>
          <w:tcPr>
            <w:tcW w:w="3249" w:type="pct"/>
            <w:shd w:val="clear" w:color="auto" w:fill="auto"/>
            <w:noWrap/>
            <w:vAlign w:val="center"/>
            <w:hideMark/>
          </w:tcPr>
          <w:p w14:paraId="1A667EC8" w14:textId="0544E6C9" w:rsidR="00F34273" w:rsidRDefault="00F34273" w:rsidP="002C0823">
            <w:pPr>
              <w:ind w:firstLineChars="364" w:firstLine="582"/>
              <w:rPr>
                <w:sz w:val="16"/>
                <w:szCs w:val="16"/>
              </w:rPr>
            </w:pPr>
            <w:r>
              <w:rPr>
                <w:sz w:val="16"/>
                <w:szCs w:val="16"/>
              </w:rPr>
              <w:t>Персонал</w:t>
            </w:r>
          </w:p>
        </w:tc>
        <w:tc>
          <w:tcPr>
            <w:tcW w:w="481" w:type="pct"/>
            <w:shd w:val="clear" w:color="auto" w:fill="auto"/>
            <w:noWrap/>
            <w:vAlign w:val="center"/>
            <w:hideMark/>
          </w:tcPr>
          <w:p w14:paraId="691A7BF3" w14:textId="77777777" w:rsidR="00F34273" w:rsidRDefault="00F34273">
            <w:pPr>
              <w:jc w:val="right"/>
              <w:rPr>
                <w:sz w:val="16"/>
                <w:szCs w:val="16"/>
              </w:rPr>
            </w:pPr>
            <w:r>
              <w:rPr>
                <w:sz w:val="16"/>
                <w:szCs w:val="16"/>
              </w:rPr>
              <w:t> </w:t>
            </w:r>
          </w:p>
        </w:tc>
        <w:tc>
          <w:tcPr>
            <w:tcW w:w="481" w:type="pct"/>
            <w:shd w:val="clear" w:color="auto" w:fill="auto"/>
            <w:noWrap/>
            <w:vAlign w:val="center"/>
            <w:hideMark/>
          </w:tcPr>
          <w:p w14:paraId="3811FA16" w14:textId="77777777" w:rsidR="00F34273" w:rsidRDefault="00F34273">
            <w:pPr>
              <w:jc w:val="right"/>
              <w:rPr>
                <w:sz w:val="16"/>
                <w:szCs w:val="16"/>
              </w:rPr>
            </w:pPr>
            <w:r>
              <w:rPr>
                <w:sz w:val="16"/>
                <w:szCs w:val="16"/>
              </w:rPr>
              <w:t> </w:t>
            </w:r>
          </w:p>
        </w:tc>
        <w:tc>
          <w:tcPr>
            <w:tcW w:w="559" w:type="pct"/>
            <w:shd w:val="clear" w:color="auto" w:fill="auto"/>
            <w:noWrap/>
            <w:vAlign w:val="center"/>
            <w:hideMark/>
          </w:tcPr>
          <w:p w14:paraId="24B3EB8C" w14:textId="77777777" w:rsidR="00F34273" w:rsidRDefault="00F34273">
            <w:pPr>
              <w:jc w:val="right"/>
              <w:rPr>
                <w:sz w:val="16"/>
                <w:szCs w:val="16"/>
              </w:rPr>
            </w:pPr>
            <w:r>
              <w:rPr>
                <w:sz w:val="16"/>
                <w:szCs w:val="16"/>
              </w:rPr>
              <w:t> </w:t>
            </w:r>
          </w:p>
        </w:tc>
      </w:tr>
      <w:tr w:rsidR="00077875" w14:paraId="57A3757D" w14:textId="77777777" w:rsidTr="00122663">
        <w:trPr>
          <w:trHeight w:val="272"/>
        </w:trPr>
        <w:tc>
          <w:tcPr>
            <w:tcW w:w="230" w:type="pct"/>
            <w:shd w:val="clear" w:color="auto" w:fill="auto"/>
            <w:noWrap/>
            <w:vAlign w:val="center"/>
            <w:hideMark/>
          </w:tcPr>
          <w:p w14:paraId="70E98E0A" w14:textId="77777777" w:rsidR="00F34273" w:rsidRDefault="00F34273">
            <w:pPr>
              <w:jc w:val="both"/>
              <w:rPr>
                <w:sz w:val="16"/>
                <w:szCs w:val="16"/>
              </w:rPr>
            </w:pPr>
            <w:r>
              <w:rPr>
                <w:sz w:val="16"/>
                <w:szCs w:val="16"/>
              </w:rPr>
              <w:t> </w:t>
            </w:r>
          </w:p>
        </w:tc>
        <w:tc>
          <w:tcPr>
            <w:tcW w:w="3249" w:type="pct"/>
            <w:shd w:val="clear" w:color="auto" w:fill="auto"/>
            <w:noWrap/>
            <w:vAlign w:val="center"/>
            <w:hideMark/>
          </w:tcPr>
          <w:p w14:paraId="4AFB1982" w14:textId="70CC8E28" w:rsidR="00F34273" w:rsidRDefault="00F34273" w:rsidP="00077875">
            <w:pPr>
              <w:ind w:firstLineChars="364" w:firstLine="582"/>
              <w:rPr>
                <w:sz w:val="16"/>
                <w:szCs w:val="16"/>
              </w:rPr>
            </w:pPr>
            <w:r>
              <w:rPr>
                <w:sz w:val="16"/>
                <w:szCs w:val="16"/>
              </w:rPr>
              <w:t>Издръжка</w:t>
            </w:r>
          </w:p>
        </w:tc>
        <w:tc>
          <w:tcPr>
            <w:tcW w:w="481" w:type="pct"/>
            <w:shd w:val="clear" w:color="auto" w:fill="auto"/>
            <w:noWrap/>
            <w:vAlign w:val="center"/>
            <w:hideMark/>
          </w:tcPr>
          <w:p w14:paraId="1E0E5E14" w14:textId="77777777" w:rsidR="00F34273" w:rsidRDefault="00F34273">
            <w:pPr>
              <w:jc w:val="right"/>
              <w:rPr>
                <w:sz w:val="16"/>
                <w:szCs w:val="16"/>
              </w:rPr>
            </w:pPr>
            <w:r>
              <w:rPr>
                <w:sz w:val="16"/>
                <w:szCs w:val="16"/>
              </w:rPr>
              <w:t> </w:t>
            </w:r>
          </w:p>
        </w:tc>
        <w:tc>
          <w:tcPr>
            <w:tcW w:w="481" w:type="pct"/>
            <w:shd w:val="clear" w:color="auto" w:fill="auto"/>
            <w:noWrap/>
            <w:vAlign w:val="center"/>
            <w:hideMark/>
          </w:tcPr>
          <w:p w14:paraId="283BF48B" w14:textId="77777777" w:rsidR="00F34273" w:rsidRDefault="00F34273">
            <w:pPr>
              <w:jc w:val="right"/>
              <w:rPr>
                <w:sz w:val="16"/>
                <w:szCs w:val="16"/>
              </w:rPr>
            </w:pPr>
            <w:r>
              <w:rPr>
                <w:sz w:val="16"/>
                <w:szCs w:val="16"/>
              </w:rPr>
              <w:t> </w:t>
            </w:r>
          </w:p>
        </w:tc>
        <w:tc>
          <w:tcPr>
            <w:tcW w:w="559" w:type="pct"/>
            <w:shd w:val="clear" w:color="auto" w:fill="auto"/>
            <w:noWrap/>
            <w:vAlign w:val="center"/>
            <w:hideMark/>
          </w:tcPr>
          <w:p w14:paraId="1F2132B8" w14:textId="77777777" w:rsidR="00F34273" w:rsidRDefault="00F34273">
            <w:pPr>
              <w:jc w:val="right"/>
              <w:rPr>
                <w:sz w:val="16"/>
                <w:szCs w:val="16"/>
              </w:rPr>
            </w:pPr>
            <w:r>
              <w:rPr>
                <w:sz w:val="16"/>
                <w:szCs w:val="16"/>
              </w:rPr>
              <w:t> </w:t>
            </w:r>
          </w:p>
        </w:tc>
      </w:tr>
      <w:tr w:rsidR="00077875" w14:paraId="5383D4CD" w14:textId="77777777" w:rsidTr="00122663">
        <w:trPr>
          <w:trHeight w:val="276"/>
        </w:trPr>
        <w:tc>
          <w:tcPr>
            <w:tcW w:w="230" w:type="pct"/>
            <w:shd w:val="clear" w:color="auto" w:fill="auto"/>
            <w:noWrap/>
            <w:vAlign w:val="center"/>
            <w:hideMark/>
          </w:tcPr>
          <w:p w14:paraId="34DF228A" w14:textId="77777777" w:rsidR="00F34273" w:rsidRDefault="00F34273">
            <w:pPr>
              <w:jc w:val="both"/>
              <w:rPr>
                <w:sz w:val="16"/>
                <w:szCs w:val="16"/>
              </w:rPr>
            </w:pPr>
            <w:r>
              <w:rPr>
                <w:sz w:val="16"/>
                <w:szCs w:val="16"/>
              </w:rPr>
              <w:t> </w:t>
            </w:r>
          </w:p>
        </w:tc>
        <w:tc>
          <w:tcPr>
            <w:tcW w:w="3249" w:type="pct"/>
            <w:shd w:val="clear" w:color="auto" w:fill="auto"/>
            <w:noWrap/>
            <w:vAlign w:val="center"/>
            <w:hideMark/>
          </w:tcPr>
          <w:p w14:paraId="6F3CD1B6" w14:textId="7776654E" w:rsidR="00F34273" w:rsidRDefault="00F34273" w:rsidP="00077875">
            <w:pPr>
              <w:ind w:firstLineChars="364" w:firstLine="582"/>
              <w:rPr>
                <w:sz w:val="16"/>
                <w:szCs w:val="16"/>
              </w:rPr>
            </w:pPr>
            <w:r>
              <w:rPr>
                <w:sz w:val="16"/>
                <w:szCs w:val="16"/>
              </w:rPr>
              <w:t>Капиталови разходи</w:t>
            </w:r>
          </w:p>
        </w:tc>
        <w:tc>
          <w:tcPr>
            <w:tcW w:w="481" w:type="pct"/>
            <w:shd w:val="clear" w:color="auto" w:fill="auto"/>
            <w:noWrap/>
            <w:vAlign w:val="center"/>
            <w:hideMark/>
          </w:tcPr>
          <w:p w14:paraId="0B461B32" w14:textId="77777777" w:rsidR="00F34273" w:rsidRDefault="00F34273">
            <w:pPr>
              <w:jc w:val="right"/>
              <w:rPr>
                <w:sz w:val="16"/>
                <w:szCs w:val="16"/>
              </w:rPr>
            </w:pPr>
            <w:r>
              <w:rPr>
                <w:sz w:val="16"/>
                <w:szCs w:val="16"/>
              </w:rPr>
              <w:t> </w:t>
            </w:r>
          </w:p>
        </w:tc>
        <w:tc>
          <w:tcPr>
            <w:tcW w:w="481" w:type="pct"/>
            <w:shd w:val="clear" w:color="auto" w:fill="auto"/>
            <w:noWrap/>
            <w:vAlign w:val="center"/>
            <w:hideMark/>
          </w:tcPr>
          <w:p w14:paraId="1B8E0C2E" w14:textId="77777777" w:rsidR="00F34273" w:rsidRDefault="00F34273">
            <w:pPr>
              <w:jc w:val="right"/>
              <w:rPr>
                <w:sz w:val="16"/>
                <w:szCs w:val="16"/>
              </w:rPr>
            </w:pPr>
            <w:r>
              <w:rPr>
                <w:sz w:val="16"/>
                <w:szCs w:val="16"/>
              </w:rPr>
              <w:t> </w:t>
            </w:r>
          </w:p>
        </w:tc>
        <w:tc>
          <w:tcPr>
            <w:tcW w:w="559" w:type="pct"/>
            <w:shd w:val="clear" w:color="auto" w:fill="auto"/>
            <w:noWrap/>
            <w:vAlign w:val="center"/>
            <w:hideMark/>
          </w:tcPr>
          <w:p w14:paraId="33761156" w14:textId="77777777" w:rsidR="00F34273" w:rsidRDefault="00F34273">
            <w:pPr>
              <w:jc w:val="right"/>
              <w:rPr>
                <w:sz w:val="16"/>
                <w:szCs w:val="16"/>
              </w:rPr>
            </w:pPr>
            <w:r>
              <w:rPr>
                <w:sz w:val="16"/>
                <w:szCs w:val="16"/>
              </w:rPr>
              <w:t> </w:t>
            </w:r>
          </w:p>
        </w:tc>
      </w:tr>
      <w:tr w:rsidR="00077875" w14:paraId="4FC9C86E" w14:textId="77777777" w:rsidTr="00122663">
        <w:trPr>
          <w:trHeight w:val="280"/>
        </w:trPr>
        <w:tc>
          <w:tcPr>
            <w:tcW w:w="230" w:type="pct"/>
            <w:shd w:val="clear" w:color="auto" w:fill="auto"/>
            <w:noWrap/>
            <w:vAlign w:val="center"/>
            <w:hideMark/>
          </w:tcPr>
          <w:p w14:paraId="03879E09" w14:textId="77777777" w:rsidR="00F34273" w:rsidRDefault="00F34273">
            <w:pPr>
              <w:jc w:val="both"/>
              <w:rPr>
                <w:sz w:val="16"/>
                <w:szCs w:val="16"/>
              </w:rPr>
            </w:pPr>
            <w:r>
              <w:rPr>
                <w:sz w:val="16"/>
                <w:szCs w:val="16"/>
              </w:rPr>
              <w:t> </w:t>
            </w:r>
          </w:p>
        </w:tc>
        <w:tc>
          <w:tcPr>
            <w:tcW w:w="3249" w:type="pct"/>
            <w:shd w:val="clear" w:color="auto" w:fill="auto"/>
            <w:noWrap/>
            <w:vAlign w:val="center"/>
            <w:hideMark/>
          </w:tcPr>
          <w:p w14:paraId="04C65F6B" w14:textId="77777777" w:rsidR="00F34273" w:rsidRDefault="00F34273">
            <w:pPr>
              <w:ind w:firstLineChars="200" w:firstLine="320"/>
              <w:rPr>
                <w:sz w:val="16"/>
                <w:szCs w:val="16"/>
              </w:rPr>
            </w:pPr>
            <w:r>
              <w:rPr>
                <w:sz w:val="16"/>
                <w:szCs w:val="16"/>
              </w:rPr>
              <w:t xml:space="preserve">От тях за: * </w:t>
            </w:r>
          </w:p>
        </w:tc>
        <w:tc>
          <w:tcPr>
            <w:tcW w:w="481" w:type="pct"/>
            <w:shd w:val="clear" w:color="auto" w:fill="auto"/>
            <w:noWrap/>
            <w:vAlign w:val="center"/>
            <w:hideMark/>
          </w:tcPr>
          <w:p w14:paraId="49473C6D" w14:textId="77777777" w:rsidR="00F34273" w:rsidRDefault="00F34273">
            <w:pPr>
              <w:jc w:val="right"/>
              <w:rPr>
                <w:sz w:val="16"/>
                <w:szCs w:val="16"/>
              </w:rPr>
            </w:pPr>
            <w:r>
              <w:rPr>
                <w:sz w:val="16"/>
                <w:szCs w:val="16"/>
              </w:rPr>
              <w:t> </w:t>
            </w:r>
          </w:p>
        </w:tc>
        <w:tc>
          <w:tcPr>
            <w:tcW w:w="481" w:type="pct"/>
            <w:shd w:val="clear" w:color="auto" w:fill="auto"/>
            <w:noWrap/>
            <w:vAlign w:val="center"/>
            <w:hideMark/>
          </w:tcPr>
          <w:p w14:paraId="4CE5F00C" w14:textId="77777777" w:rsidR="00F34273" w:rsidRDefault="00F34273">
            <w:pPr>
              <w:jc w:val="right"/>
              <w:rPr>
                <w:sz w:val="16"/>
                <w:szCs w:val="16"/>
              </w:rPr>
            </w:pPr>
            <w:r>
              <w:rPr>
                <w:sz w:val="16"/>
                <w:szCs w:val="16"/>
              </w:rPr>
              <w:t> </w:t>
            </w:r>
          </w:p>
        </w:tc>
        <w:tc>
          <w:tcPr>
            <w:tcW w:w="559" w:type="pct"/>
            <w:shd w:val="clear" w:color="auto" w:fill="auto"/>
            <w:noWrap/>
            <w:vAlign w:val="center"/>
            <w:hideMark/>
          </w:tcPr>
          <w:p w14:paraId="2C36DD05" w14:textId="77777777" w:rsidR="00F34273" w:rsidRDefault="00F34273">
            <w:pPr>
              <w:jc w:val="right"/>
              <w:rPr>
                <w:sz w:val="16"/>
                <w:szCs w:val="16"/>
              </w:rPr>
            </w:pPr>
            <w:r>
              <w:rPr>
                <w:sz w:val="16"/>
                <w:szCs w:val="16"/>
              </w:rPr>
              <w:t> </w:t>
            </w:r>
          </w:p>
        </w:tc>
      </w:tr>
      <w:tr w:rsidR="00077875" w14:paraId="599BF497" w14:textId="77777777" w:rsidTr="00122663">
        <w:trPr>
          <w:trHeight w:val="256"/>
        </w:trPr>
        <w:tc>
          <w:tcPr>
            <w:tcW w:w="230" w:type="pct"/>
            <w:shd w:val="clear" w:color="auto" w:fill="auto"/>
            <w:noWrap/>
            <w:vAlign w:val="center"/>
            <w:hideMark/>
          </w:tcPr>
          <w:p w14:paraId="0B1B05F8" w14:textId="77777777" w:rsidR="00F34273" w:rsidRDefault="00F34273">
            <w:pPr>
              <w:jc w:val="both"/>
              <w:rPr>
                <w:sz w:val="16"/>
                <w:szCs w:val="16"/>
              </w:rPr>
            </w:pPr>
            <w:r>
              <w:rPr>
                <w:sz w:val="16"/>
                <w:szCs w:val="16"/>
              </w:rPr>
              <w:t> </w:t>
            </w:r>
          </w:p>
        </w:tc>
        <w:tc>
          <w:tcPr>
            <w:tcW w:w="3249" w:type="pct"/>
            <w:shd w:val="clear" w:color="auto" w:fill="auto"/>
            <w:noWrap/>
            <w:vAlign w:val="center"/>
            <w:hideMark/>
          </w:tcPr>
          <w:p w14:paraId="26C0C50D" w14:textId="77777777" w:rsidR="00F34273" w:rsidRDefault="00F34273">
            <w:pPr>
              <w:ind w:firstLineChars="500" w:firstLine="800"/>
              <w:rPr>
                <w:sz w:val="16"/>
                <w:szCs w:val="16"/>
              </w:rPr>
            </w:pPr>
            <w:r>
              <w:rPr>
                <w:sz w:val="16"/>
                <w:szCs w:val="16"/>
              </w:rPr>
              <w:t> </w:t>
            </w:r>
          </w:p>
        </w:tc>
        <w:tc>
          <w:tcPr>
            <w:tcW w:w="481" w:type="pct"/>
            <w:shd w:val="clear" w:color="auto" w:fill="auto"/>
            <w:noWrap/>
            <w:vAlign w:val="center"/>
            <w:hideMark/>
          </w:tcPr>
          <w:p w14:paraId="4C5441EA" w14:textId="77777777" w:rsidR="00F34273" w:rsidRDefault="00F34273">
            <w:pPr>
              <w:jc w:val="right"/>
              <w:rPr>
                <w:sz w:val="16"/>
                <w:szCs w:val="16"/>
              </w:rPr>
            </w:pPr>
            <w:r>
              <w:rPr>
                <w:sz w:val="16"/>
                <w:szCs w:val="16"/>
              </w:rPr>
              <w:t> </w:t>
            </w:r>
          </w:p>
        </w:tc>
        <w:tc>
          <w:tcPr>
            <w:tcW w:w="481" w:type="pct"/>
            <w:shd w:val="clear" w:color="auto" w:fill="auto"/>
            <w:noWrap/>
            <w:vAlign w:val="center"/>
            <w:hideMark/>
          </w:tcPr>
          <w:p w14:paraId="57717EB4" w14:textId="77777777" w:rsidR="00F34273" w:rsidRDefault="00F34273">
            <w:pPr>
              <w:jc w:val="right"/>
              <w:rPr>
                <w:sz w:val="16"/>
                <w:szCs w:val="16"/>
              </w:rPr>
            </w:pPr>
            <w:r>
              <w:rPr>
                <w:sz w:val="16"/>
                <w:szCs w:val="16"/>
              </w:rPr>
              <w:t> </w:t>
            </w:r>
          </w:p>
        </w:tc>
        <w:tc>
          <w:tcPr>
            <w:tcW w:w="559" w:type="pct"/>
            <w:shd w:val="clear" w:color="auto" w:fill="auto"/>
            <w:noWrap/>
            <w:vAlign w:val="center"/>
            <w:hideMark/>
          </w:tcPr>
          <w:p w14:paraId="3816B148" w14:textId="77777777" w:rsidR="00F34273" w:rsidRDefault="00F34273">
            <w:pPr>
              <w:jc w:val="right"/>
              <w:rPr>
                <w:sz w:val="16"/>
                <w:szCs w:val="16"/>
              </w:rPr>
            </w:pPr>
            <w:r>
              <w:rPr>
                <w:sz w:val="16"/>
                <w:szCs w:val="16"/>
              </w:rPr>
              <w:t> </w:t>
            </w:r>
          </w:p>
        </w:tc>
      </w:tr>
      <w:tr w:rsidR="00077875" w14:paraId="1C3BC890" w14:textId="77777777" w:rsidTr="00122663">
        <w:trPr>
          <w:trHeight w:val="288"/>
        </w:trPr>
        <w:tc>
          <w:tcPr>
            <w:tcW w:w="230" w:type="pct"/>
            <w:shd w:val="clear" w:color="auto" w:fill="auto"/>
            <w:noWrap/>
            <w:vAlign w:val="center"/>
            <w:hideMark/>
          </w:tcPr>
          <w:p w14:paraId="4F03321A" w14:textId="77777777" w:rsidR="00F34273" w:rsidRDefault="00F34273">
            <w:pPr>
              <w:jc w:val="both"/>
              <w:rPr>
                <w:sz w:val="16"/>
                <w:szCs w:val="16"/>
              </w:rPr>
            </w:pPr>
            <w:r>
              <w:rPr>
                <w:sz w:val="16"/>
                <w:szCs w:val="16"/>
              </w:rPr>
              <w:t> </w:t>
            </w:r>
          </w:p>
        </w:tc>
        <w:tc>
          <w:tcPr>
            <w:tcW w:w="3249" w:type="pct"/>
            <w:shd w:val="clear" w:color="auto" w:fill="auto"/>
            <w:noWrap/>
            <w:vAlign w:val="center"/>
            <w:hideMark/>
          </w:tcPr>
          <w:p w14:paraId="48A5E2D7" w14:textId="77777777" w:rsidR="00F34273" w:rsidRDefault="00F34273">
            <w:pPr>
              <w:rPr>
                <w:i/>
                <w:iCs/>
                <w:sz w:val="16"/>
                <w:szCs w:val="16"/>
              </w:rPr>
            </w:pPr>
            <w:r>
              <w:rPr>
                <w:i/>
                <w:iCs/>
                <w:sz w:val="16"/>
                <w:szCs w:val="16"/>
              </w:rPr>
              <w:t xml:space="preserve">Администрирани разходни показатели </w:t>
            </w:r>
            <w:r>
              <w:rPr>
                <w:sz w:val="16"/>
                <w:szCs w:val="16"/>
              </w:rPr>
              <w:t>**</w:t>
            </w:r>
          </w:p>
        </w:tc>
        <w:tc>
          <w:tcPr>
            <w:tcW w:w="481" w:type="pct"/>
            <w:shd w:val="clear" w:color="auto" w:fill="auto"/>
            <w:noWrap/>
            <w:vAlign w:val="center"/>
            <w:hideMark/>
          </w:tcPr>
          <w:p w14:paraId="1EFC3251" w14:textId="77777777" w:rsidR="00F34273" w:rsidRDefault="00F34273">
            <w:pPr>
              <w:jc w:val="right"/>
              <w:rPr>
                <w:sz w:val="16"/>
                <w:szCs w:val="16"/>
              </w:rPr>
            </w:pPr>
            <w:r>
              <w:rPr>
                <w:sz w:val="16"/>
                <w:szCs w:val="16"/>
              </w:rPr>
              <w:t> </w:t>
            </w:r>
          </w:p>
        </w:tc>
        <w:tc>
          <w:tcPr>
            <w:tcW w:w="481" w:type="pct"/>
            <w:shd w:val="clear" w:color="auto" w:fill="auto"/>
            <w:noWrap/>
            <w:vAlign w:val="center"/>
            <w:hideMark/>
          </w:tcPr>
          <w:p w14:paraId="4C230998" w14:textId="77777777" w:rsidR="00F34273" w:rsidRDefault="00F34273">
            <w:pPr>
              <w:jc w:val="right"/>
              <w:rPr>
                <w:sz w:val="16"/>
                <w:szCs w:val="16"/>
              </w:rPr>
            </w:pPr>
            <w:r>
              <w:rPr>
                <w:sz w:val="16"/>
                <w:szCs w:val="16"/>
              </w:rPr>
              <w:t> </w:t>
            </w:r>
          </w:p>
        </w:tc>
        <w:tc>
          <w:tcPr>
            <w:tcW w:w="559" w:type="pct"/>
            <w:shd w:val="clear" w:color="auto" w:fill="auto"/>
            <w:noWrap/>
            <w:vAlign w:val="center"/>
            <w:hideMark/>
          </w:tcPr>
          <w:p w14:paraId="7733E096" w14:textId="77777777" w:rsidR="00F34273" w:rsidRDefault="00F34273">
            <w:pPr>
              <w:jc w:val="right"/>
              <w:rPr>
                <w:sz w:val="16"/>
                <w:szCs w:val="16"/>
              </w:rPr>
            </w:pPr>
            <w:r>
              <w:rPr>
                <w:sz w:val="16"/>
                <w:szCs w:val="16"/>
              </w:rPr>
              <w:t> </w:t>
            </w:r>
          </w:p>
        </w:tc>
      </w:tr>
      <w:tr w:rsidR="00077875" w14:paraId="749EA127" w14:textId="77777777" w:rsidTr="00122663">
        <w:trPr>
          <w:trHeight w:val="264"/>
        </w:trPr>
        <w:tc>
          <w:tcPr>
            <w:tcW w:w="230" w:type="pct"/>
            <w:shd w:val="clear" w:color="000000" w:fill="E6E6E6"/>
            <w:noWrap/>
            <w:vAlign w:val="center"/>
            <w:hideMark/>
          </w:tcPr>
          <w:p w14:paraId="3C8A0FB5" w14:textId="77777777" w:rsidR="00F34273" w:rsidRDefault="00F34273">
            <w:pPr>
              <w:jc w:val="both"/>
              <w:rPr>
                <w:b/>
                <w:bCs/>
                <w:sz w:val="16"/>
                <w:szCs w:val="16"/>
              </w:rPr>
            </w:pPr>
            <w:r>
              <w:rPr>
                <w:b/>
                <w:bCs/>
                <w:sz w:val="16"/>
                <w:szCs w:val="16"/>
              </w:rPr>
              <w:t>ІІ.</w:t>
            </w:r>
          </w:p>
        </w:tc>
        <w:tc>
          <w:tcPr>
            <w:tcW w:w="3249" w:type="pct"/>
            <w:shd w:val="clear" w:color="000000" w:fill="E6E6E6"/>
            <w:noWrap/>
            <w:vAlign w:val="center"/>
            <w:hideMark/>
          </w:tcPr>
          <w:p w14:paraId="178972F7" w14:textId="77777777" w:rsidR="00F34273" w:rsidRDefault="00F34273">
            <w:pPr>
              <w:rPr>
                <w:b/>
                <w:bCs/>
                <w:sz w:val="16"/>
                <w:szCs w:val="16"/>
              </w:rPr>
            </w:pPr>
            <w:r>
              <w:rPr>
                <w:b/>
                <w:bCs/>
                <w:sz w:val="16"/>
                <w:szCs w:val="16"/>
              </w:rPr>
              <w:t xml:space="preserve">Администрирани разходни параграфи по бюджета </w:t>
            </w:r>
          </w:p>
        </w:tc>
        <w:tc>
          <w:tcPr>
            <w:tcW w:w="481" w:type="pct"/>
            <w:shd w:val="clear" w:color="000000" w:fill="E6E6E6"/>
            <w:noWrap/>
            <w:vAlign w:val="center"/>
            <w:hideMark/>
          </w:tcPr>
          <w:p w14:paraId="0F0C29E7" w14:textId="77777777" w:rsidR="00F34273" w:rsidRDefault="00F34273">
            <w:pPr>
              <w:jc w:val="right"/>
              <w:rPr>
                <w:b/>
                <w:bCs/>
                <w:sz w:val="16"/>
                <w:szCs w:val="16"/>
              </w:rPr>
            </w:pPr>
            <w:r>
              <w:rPr>
                <w:b/>
                <w:bCs/>
                <w:sz w:val="16"/>
                <w:szCs w:val="16"/>
              </w:rPr>
              <w:t>78 004 100</w:t>
            </w:r>
          </w:p>
        </w:tc>
        <w:tc>
          <w:tcPr>
            <w:tcW w:w="481" w:type="pct"/>
            <w:shd w:val="clear" w:color="000000" w:fill="E6E6E6"/>
            <w:noWrap/>
            <w:vAlign w:val="center"/>
            <w:hideMark/>
          </w:tcPr>
          <w:p w14:paraId="60B030EC" w14:textId="77777777" w:rsidR="00F34273" w:rsidRDefault="00F34273">
            <w:pPr>
              <w:jc w:val="right"/>
              <w:rPr>
                <w:b/>
                <w:bCs/>
                <w:sz w:val="16"/>
                <w:szCs w:val="16"/>
              </w:rPr>
            </w:pPr>
            <w:r>
              <w:rPr>
                <w:b/>
                <w:bCs/>
                <w:sz w:val="16"/>
                <w:szCs w:val="16"/>
              </w:rPr>
              <w:t>81 949 187</w:t>
            </w:r>
          </w:p>
        </w:tc>
        <w:tc>
          <w:tcPr>
            <w:tcW w:w="559" w:type="pct"/>
            <w:shd w:val="clear" w:color="000000" w:fill="E6E6E6"/>
            <w:noWrap/>
            <w:vAlign w:val="center"/>
            <w:hideMark/>
          </w:tcPr>
          <w:p w14:paraId="6251BBCD" w14:textId="77777777" w:rsidR="00F34273" w:rsidRDefault="00F34273">
            <w:pPr>
              <w:jc w:val="right"/>
              <w:rPr>
                <w:b/>
                <w:bCs/>
                <w:sz w:val="16"/>
                <w:szCs w:val="16"/>
              </w:rPr>
            </w:pPr>
            <w:r>
              <w:rPr>
                <w:b/>
                <w:bCs/>
                <w:sz w:val="16"/>
                <w:szCs w:val="16"/>
              </w:rPr>
              <w:t>38 835 660</w:t>
            </w:r>
          </w:p>
        </w:tc>
      </w:tr>
      <w:tr w:rsidR="00077875" w14:paraId="23028213" w14:textId="77777777" w:rsidTr="00122663">
        <w:trPr>
          <w:trHeight w:val="268"/>
        </w:trPr>
        <w:tc>
          <w:tcPr>
            <w:tcW w:w="230" w:type="pct"/>
            <w:shd w:val="clear" w:color="auto" w:fill="auto"/>
            <w:noWrap/>
            <w:vAlign w:val="center"/>
            <w:hideMark/>
          </w:tcPr>
          <w:p w14:paraId="049954C6" w14:textId="77777777" w:rsidR="00F34273" w:rsidRDefault="00F34273">
            <w:pPr>
              <w:jc w:val="both"/>
              <w:rPr>
                <w:sz w:val="16"/>
                <w:szCs w:val="16"/>
              </w:rPr>
            </w:pPr>
            <w:r>
              <w:rPr>
                <w:sz w:val="16"/>
                <w:szCs w:val="16"/>
              </w:rPr>
              <w:t>1</w:t>
            </w:r>
          </w:p>
        </w:tc>
        <w:tc>
          <w:tcPr>
            <w:tcW w:w="3249" w:type="pct"/>
            <w:shd w:val="clear" w:color="auto" w:fill="auto"/>
            <w:vAlign w:val="center"/>
            <w:hideMark/>
          </w:tcPr>
          <w:p w14:paraId="0955F04C" w14:textId="77777777" w:rsidR="00F34273" w:rsidRDefault="00F34273">
            <w:pPr>
              <w:rPr>
                <w:sz w:val="16"/>
                <w:szCs w:val="16"/>
              </w:rPr>
            </w:pPr>
            <w:r>
              <w:rPr>
                <w:sz w:val="16"/>
                <w:szCs w:val="16"/>
              </w:rPr>
              <w:t>Субсидии за вероизповеданията, регистрирани по Закона за вероизповеданията</w:t>
            </w:r>
          </w:p>
        </w:tc>
        <w:tc>
          <w:tcPr>
            <w:tcW w:w="481" w:type="pct"/>
            <w:shd w:val="clear" w:color="auto" w:fill="auto"/>
            <w:noWrap/>
            <w:vAlign w:val="center"/>
            <w:hideMark/>
          </w:tcPr>
          <w:p w14:paraId="40F04836" w14:textId="77777777" w:rsidR="00F34273" w:rsidRDefault="00F34273">
            <w:pPr>
              <w:jc w:val="right"/>
              <w:rPr>
                <w:sz w:val="16"/>
                <w:szCs w:val="16"/>
              </w:rPr>
            </w:pPr>
            <w:r>
              <w:rPr>
                <w:sz w:val="16"/>
                <w:szCs w:val="16"/>
              </w:rPr>
              <w:t>78 004 100</w:t>
            </w:r>
          </w:p>
        </w:tc>
        <w:tc>
          <w:tcPr>
            <w:tcW w:w="481" w:type="pct"/>
            <w:shd w:val="clear" w:color="auto" w:fill="auto"/>
            <w:noWrap/>
            <w:vAlign w:val="center"/>
            <w:hideMark/>
          </w:tcPr>
          <w:p w14:paraId="5D0F06B9" w14:textId="77777777" w:rsidR="00F34273" w:rsidRDefault="00F34273">
            <w:pPr>
              <w:jc w:val="right"/>
              <w:rPr>
                <w:sz w:val="16"/>
                <w:szCs w:val="16"/>
              </w:rPr>
            </w:pPr>
            <w:r>
              <w:rPr>
                <w:sz w:val="16"/>
                <w:szCs w:val="16"/>
              </w:rPr>
              <w:t>81 949 187</w:t>
            </w:r>
          </w:p>
        </w:tc>
        <w:tc>
          <w:tcPr>
            <w:tcW w:w="559" w:type="pct"/>
            <w:shd w:val="clear" w:color="auto" w:fill="auto"/>
            <w:noWrap/>
            <w:vAlign w:val="center"/>
            <w:hideMark/>
          </w:tcPr>
          <w:p w14:paraId="2481CF82" w14:textId="77777777" w:rsidR="00F34273" w:rsidRDefault="00F34273">
            <w:pPr>
              <w:jc w:val="right"/>
              <w:rPr>
                <w:sz w:val="16"/>
                <w:szCs w:val="16"/>
              </w:rPr>
            </w:pPr>
            <w:r>
              <w:rPr>
                <w:sz w:val="16"/>
                <w:szCs w:val="16"/>
              </w:rPr>
              <w:t>38 835 660</w:t>
            </w:r>
          </w:p>
        </w:tc>
      </w:tr>
      <w:tr w:rsidR="00077875" w14:paraId="6BF9158C" w14:textId="77777777" w:rsidTr="00122663">
        <w:trPr>
          <w:trHeight w:val="285"/>
        </w:trPr>
        <w:tc>
          <w:tcPr>
            <w:tcW w:w="230" w:type="pct"/>
            <w:shd w:val="clear" w:color="auto" w:fill="auto"/>
            <w:noWrap/>
            <w:vAlign w:val="center"/>
            <w:hideMark/>
          </w:tcPr>
          <w:p w14:paraId="3244D032" w14:textId="77777777" w:rsidR="00F34273" w:rsidRDefault="00F34273">
            <w:pPr>
              <w:jc w:val="both"/>
              <w:rPr>
                <w:sz w:val="16"/>
                <w:szCs w:val="16"/>
              </w:rPr>
            </w:pPr>
            <w:r>
              <w:rPr>
                <w:sz w:val="16"/>
                <w:szCs w:val="16"/>
              </w:rPr>
              <w:t> </w:t>
            </w:r>
          </w:p>
        </w:tc>
        <w:tc>
          <w:tcPr>
            <w:tcW w:w="3249" w:type="pct"/>
            <w:shd w:val="clear" w:color="auto" w:fill="auto"/>
            <w:noWrap/>
            <w:vAlign w:val="center"/>
            <w:hideMark/>
          </w:tcPr>
          <w:p w14:paraId="14F3D7F9" w14:textId="77777777" w:rsidR="00F34273" w:rsidRDefault="00F34273">
            <w:pPr>
              <w:ind w:firstLineChars="200" w:firstLine="320"/>
              <w:rPr>
                <w:sz w:val="16"/>
                <w:szCs w:val="16"/>
              </w:rPr>
            </w:pPr>
            <w:r>
              <w:rPr>
                <w:sz w:val="16"/>
                <w:szCs w:val="16"/>
              </w:rPr>
              <w:t> </w:t>
            </w:r>
          </w:p>
        </w:tc>
        <w:tc>
          <w:tcPr>
            <w:tcW w:w="481" w:type="pct"/>
            <w:shd w:val="clear" w:color="auto" w:fill="auto"/>
            <w:noWrap/>
            <w:vAlign w:val="center"/>
            <w:hideMark/>
          </w:tcPr>
          <w:p w14:paraId="69B11BB5" w14:textId="77777777" w:rsidR="00F34273" w:rsidRDefault="00F34273">
            <w:pPr>
              <w:jc w:val="right"/>
              <w:rPr>
                <w:sz w:val="16"/>
                <w:szCs w:val="16"/>
              </w:rPr>
            </w:pPr>
            <w:r>
              <w:rPr>
                <w:sz w:val="16"/>
                <w:szCs w:val="16"/>
              </w:rPr>
              <w:t> </w:t>
            </w:r>
          </w:p>
        </w:tc>
        <w:tc>
          <w:tcPr>
            <w:tcW w:w="481" w:type="pct"/>
            <w:shd w:val="clear" w:color="auto" w:fill="auto"/>
            <w:noWrap/>
            <w:vAlign w:val="center"/>
            <w:hideMark/>
          </w:tcPr>
          <w:p w14:paraId="4A80EE0F" w14:textId="77777777" w:rsidR="00F34273" w:rsidRDefault="00F34273">
            <w:pPr>
              <w:jc w:val="right"/>
              <w:rPr>
                <w:sz w:val="16"/>
                <w:szCs w:val="16"/>
              </w:rPr>
            </w:pPr>
            <w:r>
              <w:rPr>
                <w:sz w:val="16"/>
                <w:szCs w:val="16"/>
              </w:rPr>
              <w:t> </w:t>
            </w:r>
          </w:p>
        </w:tc>
        <w:tc>
          <w:tcPr>
            <w:tcW w:w="559" w:type="pct"/>
            <w:shd w:val="clear" w:color="auto" w:fill="auto"/>
            <w:noWrap/>
            <w:vAlign w:val="center"/>
            <w:hideMark/>
          </w:tcPr>
          <w:p w14:paraId="4F39803A" w14:textId="77777777" w:rsidR="00F34273" w:rsidRDefault="00F34273">
            <w:pPr>
              <w:jc w:val="right"/>
              <w:rPr>
                <w:sz w:val="16"/>
                <w:szCs w:val="16"/>
              </w:rPr>
            </w:pPr>
            <w:r>
              <w:rPr>
                <w:sz w:val="16"/>
                <w:szCs w:val="16"/>
              </w:rPr>
              <w:t> </w:t>
            </w:r>
          </w:p>
        </w:tc>
      </w:tr>
      <w:tr w:rsidR="00077875" w14:paraId="2C91FEEF" w14:textId="77777777" w:rsidTr="00122663">
        <w:trPr>
          <w:trHeight w:val="276"/>
        </w:trPr>
        <w:tc>
          <w:tcPr>
            <w:tcW w:w="230" w:type="pct"/>
            <w:shd w:val="clear" w:color="000000" w:fill="E6E6E6"/>
            <w:noWrap/>
            <w:vAlign w:val="center"/>
            <w:hideMark/>
          </w:tcPr>
          <w:p w14:paraId="4DBC8BF4" w14:textId="77777777" w:rsidR="00F34273" w:rsidRDefault="00F34273">
            <w:pPr>
              <w:jc w:val="both"/>
              <w:rPr>
                <w:b/>
                <w:bCs/>
                <w:sz w:val="16"/>
                <w:szCs w:val="16"/>
              </w:rPr>
            </w:pPr>
            <w:r>
              <w:rPr>
                <w:b/>
                <w:bCs/>
                <w:sz w:val="16"/>
                <w:szCs w:val="16"/>
              </w:rPr>
              <w:t>ІІІ.</w:t>
            </w:r>
          </w:p>
        </w:tc>
        <w:tc>
          <w:tcPr>
            <w:tcW w:w="3249" w:type="pct"/>
            <w:shd w:val="clear" w:color="000000" w:fill="E6E6E6"/>
            <w:noWrap/>
            <w:vAlign w:val="center"/>
            <w:hideMark/>
          </w:tcPr>
          <w:p w14:paraId="5551DF4A" w14:textId="77777777" w:rsidR="00F34273" w:rsidRDefault="00F34273">
            <w:pPr>
              <w:rPr>
                <w:b/>
                <w:bCs/>
                <w:sz w:val="16"/>
                <w:szCs w:val="16"/>
              </w:rPr>
            </w:pPr>
            <w:r>
              <w:rPr>
                <w:b/>
                <w:bCs/>
                <w:sz w:val="16"/>
                <w:szCs w:val="16"/>
              </w:rPr>
              <w:t>Администрирани разходни параграфи по други бюджети и сметки за средства от ЕС</w:t>
            </w:r>
          </w:p>
        </w:tc>
        <w:tc>
          <w:tcPr>
            <w:tcW w:w="481" w:type="pct"/>
            <w:shd w:val="clear" w:color="000000" w:fill="E6E6E6"/>
            <w:noWrap/>
            <w:vAlign w:val="center"/>
            <w:hideMark/>
          </w:tcPr>
          <w:p w14:paraId="40EFF6F2" w14:textId="77777777" w:rsidR="00F34273" w:rsidRDefault="00F34273">
            <w:pPr>
              <w:jc w:val="right"/>
              <w:rPr>
                <w:b/>
                <w:bCs/>
                <w:sz w:val="16"/>
                <w:szCs w:val="16"/>
              </w:rPr>
            </w:pPr>
            <w:r>
              <w:rPr>
                <w:b/>
                <w:bCs/>
                <w:sz w:val="16"/>
                <w:szCs w:val="16"/>
              </w:rPr>
              <w:t>0</w:t>
            </w:r>
          </w:p>
        </w:tc>
        <w:tc>
          <w:tcPr>
            <w:tcW w:w="481" w:type="pct"/>
            <w:shd w:val="clear" w:color="000000" w:fill="E6E6E6"/>
            <w:noWrap/>
            <w:vAlign w:val="center"/>
            <w:hideMark/>
          </w:tcPr>
          <w:p w14:paraId="50E16C51" w14:textId="77777777" w:rsidR="00F34273" w:rsidRDefault="00F34273">
            <w:pPr>
              <w:jc w:val="right"/>
              <w:rPr>
                <w:b/>
                <w:bCs/>
                <w:sz w:val="16"/>
                <w:szCs w:val="16"/>
              </w:rPr>
            </w:pPr>
            <w:r>
              <w:rPr>
                <w:b/>
                <w:bCs/>
                <w:sz w:val="16"/>
                <w:szCs w:val="16"/>
              </w:rPr>
              <w:t>0</w:t>
            </w:r>
          </w:p>
        </w:tc>
        <w:tc>
          <w:tcPr>
            <w:tcW w:w="559" w:type="pct"/>
            <w:shd w:val="clear" w:color="000000" w:fill="E6E6E6"/>
            <w:noWrap/>
            <w:vAlign w:val="center"/>
            <w:hideMark/>
          </w:tcPr>
          <w:p w14:paraId="7305476C" w14:textId="77777777" w:rsidR="00F34273" w:rsidRDefault="00F34273">
            <w:pPr>
              <w:jc w:val="right"/>
              <w:rPr>
                <w:b/>
                <w:bCs/>
                <w:sz w:val="16"/>
                <w:szCs w:val="16"/>
              </w:rPr>
            </w:pPr>
            <w:r>
              <w:rPr>
                <w:b/>
                <w:bCs/>
                <w:sz w:val="16"/>
                <w:szCs w:val="16"/>
              </w:rPr>
              <w:t>0</w:t>
            </w:r>
          </w:p>
        </w:tc>
      </w:tr>
      <w:tr w:rsidR="00077875" w14:paraId="13E1D3A8" w14:textId="77777777" w:rsidTr="00122663">
        <w:trPr>
          <w:trHeight w:val="266"/>
        </w:trPr>
        <w:tc>
          <w:tcPr>
            <w:tcW w:w="230" w:type="pct"/>
            <w:shd w:val="clear" w:color="auto" w:fill="auto"/>
            <w:noWrap/>
            <w:vAlign w:val="center"/>
            <w:hideMark/>
          </w:tcPr>
          <w:p w14:paraId="77EDE4AC" w14:textId="77777777" w:rsidR="00F34273" w:rsidRDefault="00F34273">
            <w:pPr>
              <w:jc w:val="both"/>
              <w:rPr>
                <w:sz w:val="16"/>
                <w:szCs w:val="16"/>
              </w:rPr>
            </w:pPr>
            <w:r>
              <w:rPr>
                <w:sz w:val="16"/>
                <w:szCs w:val="16"/>
              </w:rPr>
              <w:t> </w:t>
            </w:r>
          </w:p>
        </w:tc>
        <w:tc>
          <w:tcPr>
            <w:tcW w:w="3249" w:type="pct"/>
            <w:shd w:val="clear" w:color="auto" w:fill="auto"/>
            <w:noWrap/>
            <w:vAlign w:val="center"/>
            <w:hideMark/>
          </w:tcPr>
          <w:p w14:paraId="7C6A901E" w14:textId="77777777" w:rsidR="00F34273" w:rsidRDefault="00F34273">
            <w:pPr>
              <w:ind w:firstLineChars="200" w:firstLine="320"/>
              <w:rPr>
                <w:sz w:val="16"/>
                <w:szCs w:val="16"/>
              </w:rPr>
            </w:pPr>
            <w:r>
              <w:rPr>
                <w:sz w:val="16"/>
                <w:szCs w:val="16"/>
              </w:rPr>
              <w:t> </w:t>
            </w:r>
          </w:p>
        </w:tc>
        <w:tc>
          <w:tcPr>
            <w:tcW w:w="481" w:type="pct"/>
            <w:shd w:val="clear" w:color="auto" w:fill="auto"/>
            <w:noWrap/>
            <w:vAlign w:val="center"/>
            <w:hideMark/>
          </w:tcPr>
          <w:p w14:paraId="1F27D5FF" w14:textId="77777777" w:rsidR="00F34273" w:rsidRDefault="00F34273">
            <w:pPr>
              <w:jc w:val="right"/>
              <w:rPr>
                <w:sz w:val="16"/>
                <w:szCs w:val="16"/>
              </w:rPr>
            </w:pPr>
            <w:r>
              <w:rPr>
                <w:sz w:val="16"/>
                <w:szCs w:val="16"/>
              </w:rPr>
              <w:t> </w:t>
            </w:r>
          </w:p>
        </w:tc>
        <w:tc>
          <w:tcPr>
            <w:tcW w:w="481" w:type="pct"/>
            <w:shd w:val="clear" w:color="auto" w:fill="auto"/>
            <w:noWrap/>
            <w:vAlign w:val="center"/>
            <w:hideMark/>
          </w:tcPr>
          <w:p w14:paraId="56495E4B" w14:textId="77777777" w:rsidR="00F34273" w:rsidRDefault="00F34273">
            <w:pPr>
              <w:jc w:val="right"/>
              <w:rPr>
                <w:sz w:val="16"/>
                <w:szCs w:val="16"/>
              </w:rPr>
            </w:pPr>
            <w:r>
              <w:rPr>
                <w:sz w:val="16"/>
                <w:szCs w:val="16"/>
              </w:rPr>
              <w:t> </w:t>
            </w:r>
          </w:p>
        </w:tc>
        <w:tc>
          <w:tcPr>
            <w:tcW w:w="559" w:type="pct"/>
            <w:shd w:val="clear" w:color="auto" w:fill="auto"/>
            <w:noWrap/>
            <w:vAlign w:val="center"/>
            <w:hideMark/>
          </w:tcPr>
          <w:p w14:paraId="57B34819" w14:textId="77777777" w:rsidR="00F34273" w:rsidRDefault="00F34273">
            <w:pPr>
              <w:jc w:val="right"/>
              <w:rPr>
                <w:sz w:val="16"/>
                <w:szCs w:val="16"/>
              </w:rPr>
            </w:pPr>
            <w:r>
              <w:rPr>
                <w:sz w:val="16"/>
                <w:szCs w:val="16"/>
              </w:rPr>
              <w:t> </w:t>
            </w:r>
          </w:p>
        </w:tc>
      </w:tr>
      <w:tr w:rsidR="00077875" w14:paraId="067E45E9" w14:textId="77777777" w:rsidTr="00122663">
        <w:trPr>
          <w:trHeight w:val="284"/>
        </w:trPr>
        <w:tc>
          <w:tcPr>
            <w:tcW w:w="230" w:type="pct"/>
            <w:shd w:val="clear" w:color="000000" w:fill="E6E6E6"/>
            <w:noWrap/>
            <w:vAlign w:val="center"/>
            <w:hideMark/>
          </w:tcPr>
          <w:p w14:paraId="59818F13" w14:textId="77777777" w:rsidR="00F34273" w:rsidRDefault="00F34273">
            <w:pPr>
              <w:jc w:val="both"/>
              <w:rPr>
                <w:b/>
                <w:bCs/>
                <w:sz w:val="16"/>
                <w:szCs w:val="16"/>
              </w:rPr>
            </w:pPr>
            <w:r>
              <w:rPr>
                <w:b/>
                <w:bCs/>
                <w:sz w:val="16"/>
                <w:szCs w:val="16"/>
              </w:rPr>
              <w:t> </w:t>
            </w:r>
          </w:p>
        </w:tc>
        <w:tc>
          <w:tcPr>
            <w:tcW w:w="3249" w:type="pct"/>
            <w:shd w:val="clear" w:color="000000" w:fill="E6E6E6"/>
            <w:noWrap/>
            <w:vAlign w:val="center"/>
            <w:hideMark/>
          </w:tcPr>
          <w:p w14:paraId="5A5AAAD6" w14:textId="77777777" w:rsidR="00F34273" w:rsidRDefault="00F34273">
            <w:pPr>
              <w:rPr>
                <w:b/>
                <w:bCs/>
                <w:sz w:val="16"/>
                <w:szCs w:val="16"/>
              </w:rPr>
            </w:pPr>
            <w:r>
              <w:rPr>
                <w:b/>
                <w:bCs/>
                <w:sz w:val="16"/>
                <w:szCs w:val="16"/>
              </w:rPr>
              <w:t>Общо администрирани разходи (ІІ.+ІІІ.):</w:t>
            </w:r>
          </w:p>
        </w:tc>
        <w:tc>
          <w:tcPr>
            <w:tcW w:w="481" w:type="pct"/>
            <w:shd w:val="clear" w:color="000000" w:fill="E6E6E6"/>
            <w:noWrap/>
            <w:vAlign w:val="center"/>
            <w:hideMark/>
          </w:tcPr>
          <w:p w14:paraId="6358B2E6" w14:textId="77777777" w:rsidR="00F34273" w:rsidRDefault="00F34273">
            <w:pPr>
              <w:jc w:val="right"/>
              <w:rPr>
                <w:b/>
                <w:bCs/>
                <w:sz w:val="16"/>
                <w:szCs w:val="16"/>
              </w:rPr>
            </w:pPr>
            <w:r>
              <w:rPr>
                <w:b/>
                <w:bCs/>
                <w:sz w:val="16"/>
                <w:szCs w:val="16"/>
              </w:rPr>
              <w:t>78 004 100</w:t>
            </w:r>
          </w:p>
        </w:tc>
        <w:tc>
          <w:tcPr>
            <w:tcW w:w="481" w:type="pct"/>
            <w:shd w:val="clear" w:color="000000" w:fill="E6E6E6"/>
            <w:noWrap/>
            <w:vAlign w:val="center"/>
            <w:hideMark/>
          </w:tcPr>
          <w:p w14:paraId="5CD4159E" w14:textId="77777777" w:rsidR="00F34273" w:rsidRDefault="00F34273">
            <w:pPr>
              <w:jc w:val="right"/>
              <w:rPr>
                <w:b/>
                <w:bCs/>
                <w:sz w:val="16"/>
                <w:szCs w:val="16"/>
              </w:rPr>
            </w:pPr>
            <w:r>
              <w:rPr>
                <w:b/>
                <w:bCs/>
                <w:sz w:val="16"/>
                <w:szCs w:val="16"/>
              </w:rPr>
              <w:t>81 949 187</w:t>
            </w:r>
          </w:p>
        </w:tc>
        <w:tc>
          <w:tcPr>
            <w:tcW w:w="559" w:type="pct"/>
            <w:shd w:val="clear" w:color="000000" w:fill="E6E6E6"/>
            <w:noWrap/>
            <w:vAlign w:val="center"/>
            <w:hideMark/>
          </w:tcPr>
          <w:p w14:paraId="4F4E3619" w14:textId="77777777" w:rsidR="00F34273" w:rsidRDefault="00F34273">
            <w:pPr>
              <w:jc w:val="right"/>
              <w:rPr>
                <w:b/>
                <w:bCs/>
                <w:sz w:val="16"/>
                <w:szCs w:val="16"/>
              </w:rPr>
            </w:pPr>
            <w:r>
              <w:rPr>
                <w:b/>
                <w:bCs/>
                <w:sz w:val="16"/>
                <w:szCs w:val="16"/>
              </w:rPr>
              <w:t>38 835 660</w:t>
            </w:r>
          </w:p>
        </w:tc>
      </w:tr>
      <w:tr w:rsidR="00077875" w14:paraId="1B9B240F" w14:textId="77777777" w:rsidTr="00122663">
        <w:trPr>
          <w:trHeight w:val="260"/>
        </w:trPr>
        <w:tc>
          <w:tcPr>
            <w:tcW w:w="230" w:type="pct"/>
            <w:shd w:val="clear" w:color="auto" w:fill="auto"/>
            <w:noWrap/>
            <w:vAlign w:val="center"/>
            <w:hideMark/>
          </w:tcPr>
          <w:p w14:paraId="354CB38B" w14:textId="77777777" w:rsidR="00F34273" w:rsidRDefault="00F34273">
            <w:pPr>
              <w:jc w:val="both"/>
              <w:rPr>
                <w:sz w:val="16"/>
                <w:szCs w:val="16"/>
              </w:rPr>
            </w:pPr>
            <w:r>
              <w:rPr>
                <w:sz w:val="16"/>
                <w:szCs w:val="16"/>
              </w:rPr>
              <w:t> </w:t>
            </w:r>
          </w:p>
        </w:tc>
        <w:tc>
          <w:tcPr>
            <w:tcW w:w="3249" w:type="pct"/>
            <w:shd w:val="clear" w:color="auto" w:fill="auto"/>
            <w:noWrap/>
            <w:vAlign w:val="center"/>
            <w:hideMark/>
          </w:tcPr>
          <w:p w14:paraId="5A90A24D" w14:textId="77777777" w:rsidR="00F34273" w:rsidRDefault="00F34273">
            <w:pPr>
              <w:rPr>
                <w:sz w:val="16"/>
                <w:szCs w:val="16"/>
              </w:rPr>
            </w:pPr>
            <w:r>
              <w:rPr>
                <w:sz w:val="16"/>
                <w:szCs w:val="16"/>
              </w:rPr>
              <w:t> </w:t>
            </w:r>
          </w:p>
        </w:tc>
        <w:tc>
          <w:tcPr>
            <w:tcW w:w="481" w:type="pct"/>
            <w:shd w:val="clear" w:color="auto" w:fill="auto"/>
            <w:noWrap/>
            <w:vAlign w:val="center"/>
            <w:hideMark/>
          </w:tcPr>
          <w:p w14:paraId="79AF56C2" w14:textId="77777777" w:rsidR="00F34273" w:rsidRDefault="00F34273">
            <w:pPr>
              <w:jc w:val="right"/>
              <w:rPr>
                <w:sz w:val="16"/>
                <w:szCs w:val="16"/>
              </w:rPr>
            </w:pPr>
            <w:r>
              <w:rPr>
                <w:sz w:val="16"/>
                <w:szCs w:val="16"/>
              </w:rPr>
              <w:t> </w:t>
            </w:r>
          </w:p>
        </w:tc>
        <w:tc>
          <w:tcPr>
            <w:tcW w:w="481" w:type="pct"/>
            <w:shd w:val="clear" w:color="auto" w:fill="auto"/>
            <w:noWrap/>
            <w:vAlign w:val="center"/>
            <w:hideMark/>
          </w:tcPr>
          <w:p w14:paraId="56A05B2B" w14:textId="77777777" w:rsidR="00F34273" w:rsidRDefault="00F34273">
            <w:pPr>
              <w:jc w:val="right"/>
              <w:rPr>
                <w:sz w:val="16"/>
                <w:szCs w:val="16"/>
              </w:rPr>
            </w:pPr>
            <w:r>
              <w:rPr>
                <w:sz w:val="16"/>
                <w:szCs w:val="16"/>
              </w:rPr>
              <w:t> </w:t>
            </w:r>
          </w:p>
        </w:tc>
        <w:tc>
          <w:tcPr>
            <w:tcW w:w="559" w:type="pct"/>
            <w:shd w:val="clear" w:color="auto" w:fill="auto"/>
            <w:noWrap/>
            <w:vAlign w:val="center"/>
            <w:hideMark/>
          </w:tcPr>
          <w:p w14:paraId="60D662DA" w14:textId="77777777" w:rsidR="00F34273" w:rsidRDefault="00F34273">
            <w:pPr>
              <w:jc w:val="right"/>
              <w:rPr>
                <w:sz w:val="16"/>
                <w:szCs w:val="16"/>
              </w:rPr>
            </w:pPr>
            <w:r>
              <w:rPr>
                <w:sz w:val="16"/>
                <w:szCs w:val="16"/>
              </w:rPr>
              <w:t> </w:t>
            </w:r>
          </w:p>
        </w:tc>
      </w:tr>
      <w:tr w:rsidR="00077875" w14:paraId="69516A36" w14:textId="77777777" w:rsidTr="00122663">
        <w:trPr>
          <w:trHeight w:val="278"/>
        </w:trPr>
        <w:tc>
          <w:tcPr>
            <w:tcW w:w="230" w:type="pct"/>
            <w:shd w:val="clear" w:color="000000" w:fill="E6E6E6"/>
            <w:noWrap/>
            <w:vAlign w:val="center"/>
            <w:hideMark/>
          </w:tcPr>
          <w:p w14:paraId="29C30547" w14:textId="77777777" w:rsidR="00F34273" w:rsidRDefault="00F34273">
            <w:pPr>
              <w:jc w:val="both"/>
              <w:rPr>
                <w:b/>
                <w:bCs/>
                <w:sz w:val="16"/>
                <w:szCs w:val="16"/>
              </w:rPr>
            </w:pPr>
            <w:r>
              <w:rPr>
                <w:b/>
                <w:bCs/>
                <w:sz w:val="16"/>
                <w:szCs w:val="16"/>
              </w:rPr>
              <w:t> </w:t>
            </w:r>
          </w:p>
        </w:tc>
        <w:tc>
          <w:tcPr>
            <w:tcW w:w="3249" w:type="pct"/>
            <w:shd w:val="clear" w:color="000000" w:fill="E6E6E6"/>
            <w:noWrap/>
            <w:vAlign w:val="center"/>
            <w:hideMark/>
          </w:tcPr>
          <w:p w14:paraId="39AE469E" w14:textId="77777777" w:rsidR="00F34273" w:rsidRDefault="00F34273">
            <w:pPr>
              <w:rPr>
                <w:b/>
                <w:bCs/>
                <w:sz w:val="16"/>
                <w:szCs w:val="16"/>
              </w:rPr>
            </w:pPr>
            <w:r>
              <w:rPr>
                <w:b/>
                <w:bCs/>
                <w:sz w:val="16"/>
                <w:szCs w:val="16"/>
              </w:rPr>
              <w:t>Общо разходи по бюджета (І.1+ІІ.):</w:t>
            </w:r>
          </w:p>
        </w:tc>
        <w:tc>
          <w:tcPr>
            <w:tcW w:w="481" w:type="pct"/>
            <w:shd w:val="clear" w:color="000000" w:fill="E6E6E6"/>
            <w:noWrap/>
            <w:vAlign w:val="center"/>
            <w:hideMark/>
          </w:tcPr>
          <w:p w14:paraId="6DD7DC5C" w14:textId="77777777" w:rsidR="00F34273" w:rsidRDefault="00F34273">
            <w:pPr>
              <w:jc w:val="right"/>
              <w:rPr>
                <w:b/>
                <w:bCs/>
                <w:sz w:val="16"/>
                <w:szCs w:val="16"/>
              </w:rPr>
            </w:pPr>
            <w:r>
              <w:rPr>
                <w:b/>
                <w:bCs/>
                <w:sz w:val="16"/>
                <w:szCs w:val="16"/>
              </w:rPr>
              <w:t>78 368 600</w:t>
            </w:r>
          </w:p>
        </w:tc>
        <w:tc>
          <w:tcPr>
            <w:tcW w:w="481" w:type="pct"/>
            <w:shd w:val="clear" w:color="000000" w:fill="E6E6E6"/>
            <w:noWrap/>
            <w:vAlign w:val="center"/>
            <w:hideMark/>
          </w:tcPr>
          <w:p w14:paraId="0D2DA1C6" w14:textId="77777777" w:rsidR="00F34273" w:rsidRDefault="00F34273">
            <w:pPr>
              <w:jc w:val="right"/>
              <w:rPr>
                <w:b/>
                <w:bCs/>
                <w:sz w:val="16"/>
                <w:szCs w:val="16"/>
              </w:rPr>
            </w:pPr>
            <w:r>
              <w:rPr>
                <w:b/>
                <w:bCs/>
                <w:sz w:val="16"/>
                <w:szCs w:val="16"/>
              </w:rPr>
              <w:t>82 313 687</w:t>
            </w:r>
          </w:p>
        </w:tc>
        <w:tc>
          <w:tcPr>
            <w:tcW w:w="559" w:type="pct"/>
            <w:shd w:val="clear" w:color="000000" w:fill="E6E6E6"/>
            <w:noWrap/>
            <w:vAlign w:val="center"/>
            <w:hideMark/>
          </w:tcPr>
          <w:p w14:paraId="2AA3CF38" w14:textId="77777777" w:rsidR="00F34273" w:rsidRDefault="00F34273">
            <w:pPr>
              <w:jc w:val="right"/>
              <w:rPr>
                <w:b/>
                <w:bCs/>
                <w:sz w:val="16"/>
                <w:szCs w:val="16"/>
              </w:rPr>
            </w:pPr>
            <w:r>
              <w:rPr>
                <w:b/>
                <w:bCs/>
                <w:sz w:val="16"/>
                <w:szCs w:val="16"/>
              </w:rPr>
              <w:t>39 083 117</w:t>
            </w:r>
          </w:p>
        </w:tc>
      </w:tr>
      <w:tr w:rsidR="00077875" w14:paraId="19E4E15D" w14:textId="77777777" w:rsidTr="00122663">
        <w:trPr>
          <w:trHeight w:val="281"/>
        </w:trPr>
        <w:tc>
          <w:tcPr>
            <w:tcW w:w="230" w:type="pct"/>
            <w:shd w:val="clear" w:color="auto" w:fill="auto"/>
            <w:noWrap/>
            <w:vAlign w:val="center"/>
            <w:hideMark/>
          </w:tcPr>
          <w:p w14:paraId="736495C5" w14:textId="77777777" w:rsidR="00F34273" w:rsidRDefault="00F34273">
            <w:pPr>
              <w:jc w:val="both"/>
              <w:rPr>
                <w:sz w:val="16"/>
                <w:szCs w:val="16"/>
              </w:rPr>
            </w:pPr>
            <w:r>
              <w:rPr>
                <w:sz w:val="16"/>
                <w:szCs w:val="16"/>
              </w:rPr>
              <w:t> </w:t>
            </w:r>
          </w:p>
        </w:tc>
        <w:tc>
          <w:tcPr>
            <w:tcW w:w="3249" w:type="pct"/>
            <w:shd w:val="clear" w:color="auto" w:fill="auto"/>
            <w:noWrap/>
            <w:vAlign w:val="center"/>
            <w:hideMark/>
          </w:tcPr>
          <w:p w14:paraId="74D2A5F1" w14:textId="77777777" w:rsidR="00F34273" w:rsidRDefault="00F34273">
            <w:pPr>
              <w:rPr>
                <w:sz w:val="16"/>
                <w:szCs w:val="16"/>
              </w:rPr>
            </w:pPr>
            <w:r>
              <w:rPr>
                <w:sz w:val="16"/>
                <w:szCs w:val="16"/>
              </w:rPr>
              <w:t> </w:t>
            </w:r>
          </w:p>
        </w:tc>
        <w:tc>
          <w:tcPr>
            <w:tcW w:w="481" w:type="pct"/>
            <w:shd w:val="clear" w:color="auto" w:fill="auto"/>
            <w:noWrap/>
            <w:vAlign w:val="center"/>
            <w:hideMark/>
          </w:tcPr>
          <w:p w14:paraId="503506A9" w14:textId="77777777" w:rsidR="00F34273" w:rsidRDefault="00F34273">
            <w:pPr>
              <w:jc w:val="right"/>
              <w:rPr>
                <w:sz w:val="16"/>
                <w:szCs w:val="16"/>
              </w:rPr>
            </w:pPr>
            <w:r>
              <w:rPr>
                <w:sz w:val="16"/>
                <w:szCs w:val="16"/>
              </w:rPr>
              <w:t> </w:t>
            </w:r>
          </w:p>
        </w:tc>
        <w:tc>
          <w:tcPr>
            <w:tcW w:w="481" w:type="pct"/>
            <w:shd w:val="clear" w:color="auto" w:fill="auto"/>
            <w:noWrap/>
            <w:vAlign w:val="center"/>
            <w:hideMark/>
          </w:tcPr>
          <w:p w14:paraId="1D4D61D4" w14:textId="77777777" w:rsidR="00F34273" w:rsidRDefault="00F34273">
            <w:pPr>
              <w:jc w:val="right"/>
              <w:rPr>
                <w:sz w:val="16"/>
                <w:szCs w:val="16"/>
              </w:rPr>
            </w:pPr>
            <w:r>
              <w:rPr>
                <w:sz w:val="16"/>
                <w:szCs w:val="16"/>
              </w:rPr>
              <w:t> </w:t>
            </w:r>
          </w:p>
        </w:tc>
        <w:tc>
          <w:tcPr>
            <w:tcW w:w="559" w:type="pct"/>
            <w:shd w:val="clear" w:color="auto" w:fill="auto"/>
            <w:noWrap/>
            <w:vAlign w:val="center"/>
            <w:hideMark/>
          </w:tcPr>
          <w:p w14:paraId="3CAED317" w14:textId="77777777" w:rsidR="00F34273" w:rsidRDefault="00F34273">
            <w:pPr>
              <w:jc w:val="right"/>
              <w:rPr>
                <w:sz w:val="16"/>
                <w:szCs w:val="16"/>
              </w:rPr>
            </w:pPr>
            <w:r>
              <w:rPr>
                <w:sz w:val="16"/>
                <w:szCs w:val="16"/>
              </w:rPr>
              <w:t> </w:t>
            </w:r>
          </w:p>
        </w:tc>
      </w:tr>
      <w:tr w:rsidR="00077875" w14:paraId="7FC8D34F" w14:textId="77777777" w:rsidTr="00122663">
        <w:trPr>
          <w:trHeight w:val="272"/>
        </w:trPr>
        <w:tc>
          <w:tcPr>
            <w:tcW w:w="230" w:type="pct"/>
            <w:shd w:val="clear" w:color="000000" w:fill="E6E6E6"/>
            <w:noWrap/>
            <w:vAlign w:val="center"/>
            <w:hideMark/>
          </w:tcPr>
          <w:p w14:paraId="7CA6759D" w14:textId="77777777" w:rsidR="00F34273" w:rsidRDefault="00F34273">
            <w:pPr>
              <w:jc w:val="both"/>
              <w:rPr>
                <w:b/>
                <w:bCs/>
                <w:sz w:val="16"/>
                <w:szCs w:val="16"/>
              </w:rPr>
            </w:pPr>
            <w:r>
              <w:rPr>
                <w:b/>
                <w:bCs/>
                <w:sz w:val="16"/>
                <w:szCs w:val="16"/>
              </w:rPr>
              <w:t> </w:t>
            </w:r>
          </w:p>
        </w:tc>
        <w:tc>
          <w:tcPr>
            <w:tcW w:w="3249" w:type="pct"/>
            <w:shd w:val="clear" w:color="000000" w:fill="E6E6E6"/>
            <w:noWrap/>
            <w:vAlign w:val="center"/>
            <w:hideMark/>
          </w:tcPr>
          <w:p w14:paraId="18FAF728" w14:textId="77777777" w:rsidR="00F34273" w:rsidRDefault="00F34273">
            <w:pPr>
              <w:rPr>
                <w:b/>
                <w:bCs/>
                <w:sz w:val="16"/>
                <w:szCs w:val="16"/>
              </w:rPr>
            </w:pPr>
            <w:r>
              <w:rPr>
                <w:b/>
                <w:bCs/>
                <w:sz w:val="16"/>
                <w:szCs w:val="16"/>
              </w:rPr>
              <w:t>Общо разходи (І.+ІІ.+ІІІ.):</w:t>
            </w:r>
          </w:p>
        </w:tc>
        <w:tc>
          <w:tcPr>
            <w:tcW w:w="481" w:type="pct"/>
            <w:shd w:val="clear" w:color="000000" w:fill="E6E6E6"/>
            <w:noWrap/>
            <w:vAlign w:val="center"/>
            <w:hideMark/>
          </w:tcPr>
          <w:p w14:paraId="6EE87B64" w14:textId="77777777" w:rsidR="00F34273" w:rsidRDefault="00F34273">
            <w:pPr>
              <w:jc w:val="right"/>
              <w:rPr>
                <w:b/>
                <w:bCs/>
                <w:sz w:val="16"/>
                <w:szCs w:val="16"/>
              </w:rPr>
            </w:pPr>
            <w:r>
              <w:rPr>
                <w:b/>
                <w:bCs/>
                <w:sz w:val="16"/>
                <w:szCs w:val="16"/>
              </w:rPr>
              <w:t>78 368 600</w:t>
            </w:r>
          </w:p>
        </w:tc>
        <w:tc>
          <w:tcPr>
            <w:tcW w:w="481" w:type="pct"/>
            <w:shd w:val="clear" w:color="000000" w:fill="E6E6E6"/>
            <w:noWrap/>
            <w:vAlign w:val="center"/>
            <w:hideMark/>
          </w:tcPr>
          <w:p w14:paraId="67D29E91" w14:textId="77777777" w:rsidR="00F34273" w:rsidRDefault="00F34273">
            <w:pPr>
              <w:jc w:val="right"/>
              <w:rPr>
                <w:b/>
                <w:bCs/>
                <w:sz w:val="16"/>
                <w:szCs w:val="16"/>
              </w:rPr>
            </w:pPr>
            <w:r>
              <w:rPr>
                <w:b/>
                <w:bCs/>
                <w:sz w:val="16"/>
                <w:szCs w:val="16"/>
              </w:rPr>
              <w:t>82 313 687</w:t>
            </w:r>
          </w:p>
        </w:tc>
        <w:tc>
          <w:tcPr>
            <w:tcW w:w="559" w:type="pct"/>
            <w:shd w:val="clear" w:color="000000" w:fill="E6E6E6"/>
            <w:noWrap/>
            <w:vAlign w:val="center"/>
            <w:hideMark/>
          </w:tcPr>
          <w:p w14:paraId="161A089B" w14:textId="77777777" w:rsidR="00F34273" w:rsidRDefault="00F34273">
            <w:pPr>
              <w:jc w:val="right"/>
              <w:rPr>
                <w:b/>
                <w:bCs/>
                <w:sz w:val="16"/>
                <w:szCs w:val="16"/>
              </w:rPr>
            </w:pPr>
            <w:r>
              <w:rPr>
                <w:b/>
                <w:bCs/>
                <w:sz w:val="16"/>
                <w:szCs w:val="16"/>
              </w:rPr>
              <w:t>39 083 117</w:t>
            </w:r>
          </w:p>
        </w:tc>
      </w:tr>
      <w:tr w:rsidR="00077875" w14:paraId="3A872B05" w14:textId="77777777" w:rsidTr="00122663">
        <w:trPr>
          <w:trHeight w:val="262"/>
        </w:trPr>
        <w:tc>
          <w:tcPr>
            <w:tcW w:w="230" w:type="pct"/>
            <w:shd w:val="clear" w:color="auto" w:fill="auto"/>
            <w:noWrap/>
            <w:vAlign w:val="center"/>
            <w:hideMark/>
          </w:tcPr>
          <w:p w14:paraId="565F75F5" w14:textId="77777777" w:rsidR="00F34273" w:rsidRDefault="00F34273">
            <w:pPr>
              <w:jc w:val="both"/>
              <w:rPr>
                <w:sz w:val="16"/>
                <w:szCs w:val="16"/>
              </w:rPr>
            </w:pPr>
            <w:r>
              <w:rPr>
                <w:sz w:val="16"/>
                <w:szCs w:val="16"/>
              </w:rPr>
              <w:t> </w:t>
            </w:r>
          </w:p>
        </w:tc>
        <w:tc>
          <w:tcPr>
            <w:tcW w:w="3249" w:type="pct"/>
            <w:shd w:val="clear" w:color="auto" w:fill="auto"/>
            <w:noWrap/>
            <w:vAlign w:val="center"/>
            <w:hideMark/>
          </w:tcPr>
          <w:p w14:paraId="273D2660" w14:textId="77777777" w:rsidR="00F34273" w:rsidRDefault="00F34273">
            <w:pPr>
              <w:rPr>
                <w:sz w:val="16"/>
                <w:szCs w:val="16"/>
              </w:rPr>
            </w:pPr>
            <w:r>
              <w:rPr>
                <w:sz w:val="16"/>
                <w:szCs w:val="16"/>
              </w:rPr>
              <w:t>Численост на щатния персонал</w:t>
            </w:r>
          </w:p>
        </w:tc>
        <w:tc>
          <w:tcPr>
            <w:tcW w:w="481" w:type="pct"/>
            <w:shd w:val="clear" w:color="auto" w:fill="auto"/>
            <w:noWrap/>
            <w:vAlign w:val="center"/>
            <w:hideMark/>
          </w:tcPr>
          <w:p w14:paraId="6FF5F9B4" w14:textId="77777777" w:rsidR="00F34273" w:rsidRDefault="00F34273">
            <w:pPr>
              <w:jc w:val="right"/>
              <w:rPr>
                <w:sz w:val="16"/>
                <w:szCs w:val="16"/>
              </w:rPr>
            </w:pPr>
            <w:r>
              <w:rPr>
                <w:sz w:val="16"/>
                <w:szCs w:val="16"/>
              </w:rPr>
              <w:t>5</w:t>
            </w:r>
          </w:p>
        </w:tc>
        <w:tc>
          <w:tcPr>
            <w:tcW w:w="481" w:type="pct"/>
            <w:shd w:val="clear" w:color="auto" w:fill="auto"/>
            <w:noWrap/>
            <w:vAlign w:val="center"/>
            <w:hideMark/>
          </w:tcPr>
          <w:p w14:paraId="4A795D82" w14:textId="77777777" w:rsidR="00F34273" w:rsidRDefault="00F34273">
            <w:pPr>
              <w:jc w:val="right"/>
              <w:rPr>
                <w:sz w:val="16"/>
                <w:szCs w:val="16"/>
              </w:rPr>
            </w:pPr>
            <w:r>
              <w:rPr>
                <w:sz w:val="16"/>
                <w:szCs w:val="16"/>
              </w:rPr>
              <w:t>5</w:t>
            </w:r>
          </w:p>
        </w:tc>
        <w:tc>
          <w:tcPr>
            <w:tcW w:w="559" w:type="pct"/>
            <w:shd w:val="clear" w:color="auto" w:fill="auto"/>
            <w:noWrap/>
            <w:vAlign w:val="center"/>
            <w:hideMark/>
          </w:tcPr>
          <w:p w14:paraId="2D052C74" w14:textId="77777777" w:rsidR="00F34273" w:rsidRDefault="00F34273">
            <w:pPr>
              <w:jc w:val="right"/>
              <w:rPr>
                <w:sz w:val="16"/>
                <w:szCs w:val="16"/>
              </w:rPr>
            </w:pPr>
            <w:r>
              <w:rPr>
                <w:sz w:val="16"/>
                <w:szCs w:val="16"/>
              </w:rPr>
              <w:t>4</w:t>
            </w:r>
          </w:p>
        </w:tc>
      </w:tr>
    </w:tbl>
    <w:p w14:paraId="2EB8CF0C" w14:textId="77777777" w:rsidR="00A87FDE" w:rsidRPr="00013B08" w:rsidRDefault="00A87FDE" w:rsidP="00132BFF">
      <w:pPr>
        <w:pStyle w:val="BodyText2"/>
        <w:shd w:val="clear" w:color="auto" w:fill="FFFFFF" w:themeFill="background1"/>
        <w:spacing w:before="240" w:after="0" w:line="240" w:lineRule="auto"/>
        <w:ind w:firstLine="426"/>
        <w:rPr>
          <w:b/>
          <w:bCs/>
          <w:iCs/>
          <w:color w:val="215E99" w:themeColor="text2" w:themeTint="BF"/>
          <w:sz w:val="22"/>
          <w:szCs w:val="22"/>
          <w:lang w:eastAsia="en-US"/>
        </w:rPr>
      </w:pPr>
      <w:r w:rsidRPr="00013B08">
        <w:rPr>
          <w:b/>
          <w:bCs/>
          <w:iCs/>
          <w:color w:val="215E99" w:themeColor="text2" w:themeTint="BF"/>
          <w:sz w:val="22"/>
          <w:szCs w:val="22"/>
          <w:lang w:eastAsia="en-US"/>
        </w:rPr>
        <w:t>Отговорност за изпълнението на програмата</w:t>
      </w:r>
    </w:p>
    <w:p w14:paraId="02EBDE73" w14:textId="77777777" w:rsidR="008E4142" w:rsidRPr="00667B09" w:rsidRDefault="009D4802" w:rsidP="00132BFF">
      <w:pPr>
        <w:shd w:val="clear" w:color="auto" w:fill="FFFFFF" w:themeFill="background1"/>
        <w:spacing w:after="240"/>
        <w:ind w:firstLine="426"/>
        <w:rPr>
          <w:sz w:val="22"/>
          <w:szCs w:val="22"/>
          <w:lang w:eastAsia="en-US"/>
        </w:rPr>
      </w:pPr>
      <w:r w:rsidRPr="00667B09">
        <w:rPr>
          <w:sz w:val="22"/>
          <w:szCs w:val="22"/>
          <w:lang w:eastAsia="en-US"/>
        </w:rPr>
        <w:t>Отговорността е на директора на д</w:t>
      </w:r>
      <w:r w:rsidR="00A87FDE" w:rsidRPr="00667B09">
        <w:rPr>
          <w:sz w:val="22"/>
          <w:szCs w:val="22"/>
          <w:lang w:eastAsia="en-US"/>
        </w:rPr>
        <w:t xml:space="preserve">ирекция </w:t>
      </w:r>
      <w:r w:rsidR="00E754C0" w:rsidRPr="00667B09">
        <w:rPr>
          <w:sz w:val="22"/>
          <w:szCs w:val="22"/>
          <w:lang w:eastAsia="en-US"/>
        </w:rPr>
        <w:t>“</w:t>
      </w:r>
      <w:r w:rsidR="00A87FDE" w:rsidRPr="00667B09">
        <w:rPr>
          <w:sz w:val="22"/>
          <w:szCs w:val="22"/>
          <w:lang w:eastAsia="en-US"/>
        </w:rPr>
        <w:t>Вероизповедания</w:t>
      </w:r>
      <w:r w:rsidR="00E754C0" w:rsidRPr="00667B09">
        <w:rPr>
          <w:sz w:val="22"/>
          <w:szCs w:val="22"/>
          <w:lang w:eastAsia="en-US"/>
        </w:rPr>
        <w:t>“</w:t>
      </w:r>
    </w:p>
    <w:p w14:paraId="42918289" w14:textId="77777777" w:rsidR="009D6603" w:rsidRPr="00667B09" w:rsidRDefault="00A55F73" w:rsidP="00FE5CDF">
      <w:pPr>
        <w:pStyle w:val="Heading1"/>
      </w:pPr>
      <w:r w:rsidRPr="00667B09">
        <w:lastRenderedPageBreak/>
        <w:t>9</w:t>
      </w:r>
      <w:r w:rsidR="009D6603" w:rsidRPr="00667B09">
        <w:t xml:space="preserve">.6 </w:t>
      </w:r>
      <w:r w:rsidR="000B62EA" w:rsidRPr="00667B09">
        <w:t>Бюджетна п</w:t>
      </w:r>
      <w:r w:rsidR="009D6603" w:rsidRPr="00667B09">
        <w:t xml:space="preserve">рограма </w:t>
      </w:r>
      <w:r w:rsidR="005A2EF0" w:rsidRPr="00667B09">
        <w:t xml:space="preserve">0300.05.01 </w:t>
      </w:r>
      <w:r w:rsidR="009D6603" w:rsidRPr="00667B09">
        <w:t>“Национален архивен фонд”</w:t>
      </w:r>
    </w:p>
    <w:p w14:paraId="6349A50C" w14:textId="740BC213" w:rsidR="00034E52" w:rsidRPr="00132BFF" w:rsidRDefault="00034E52" w:rsidP="00132BFF">
      <w:pPr>
        <w:widowControl w:val="0"/>
        <w:shd w:val="clear" w:color="auto" w:fill="FFFFFF" w:themeFill="background1"/>
        <w:ind w:firstLine="426"/>
        <w:jc w:val="both"/>
        <w:outlineLvl w:val="3"/>
        <w:rPr>
          <w:b/>
          <w:color w:val="215E99" w:themeColor="text2" w:themeTint="BF"/>
          <w:sz w:val="22"/>
          <w:szCs w:val="22"/>
        </w:rPr>
      </w:pPr>
      <w:r w:rsidRPr="00132BFF">
        <w:rPr>
          <w:b/>
          <w:color w:val="215E99" w:themeColor="text2" w:themeTint="BF"/>
          <w:sz w:val="22"/>
          <w:szCs w:val="22"/>
        </w:rPr>
        <w:t>Описание на степента на изпълнение на заложените в програмата цели</w:t>
      </w:r>
    </w:p>
    <w:p w14:paraId="2C0D605B" w14:textId="77777777" w:rsidR="00862D08" w:rsidRPr="00862D08" w:rsidRDefault="00862D08" w:rsidP="00132BFF">
      <w:pPr>
        <w:shd w:val="clear" w:color="auto" w:fill="FFFFFF" w:themeFill="background1"/>
        <w:autoSpaceDE w:val="0"/>
        <w:autoSpaceDN w:val="0"/>
        <w:adjustRightInd w:val="0"/>
        <w:ind w:firstLine="425"/>
        <w:jc w:val="both"/>
        <w:rPr>
          <w:sz w:val="22"/>
          <w:szCs w:val="22"/>
        </w:rPr>
      </w:pPr>
      <w:r w:rsidRPr="00862D08">
        <w:rPr>
          <w:sz w:val="22"/>
          <w:szCs w:val="22"/>
        </w:rPr>
        <w:t>Програмата цели съхранение, опазване, обогатяване, осигуряване на достъп и използване и популяризиране на НАФ. Той е съвкупност от ценни документи, които са създадени от дейността на учрежденията, научните, стопанските, обществени и други организации, независимо от времето, мястото и начина на създаването им. НАФ включва и материалите, предоставени от граждани или техните наследници, които имат историческа, научна и културна стойност. От неговото ефективно управление зависи доброто функциониране на властите в България, както и дейността на научните, стопанските, обществените и други организации. Друга важна функция на държавните архиви е съхранението на основни документи, свързани със собствеността на български граждани, живели и живеещи в пределите и извън пределите на страната през годините.</w:t>
      </w:r>
    </w:p>
    <w:p w14:paraId="18363FE7" w14:textId="77777777" w:rsidR="00862D08" w:rsidRPr="00862D08" w:rsidRDefault="00862D08" w:rsidP="007D22BD">
      <w:pPr>
        <w:shd w:val="clear" w:color="auto" w:fill="FFFFFF" w:themeFill="background1"/>
        <w:autoSpaceDE w:val="0"/>
        <w:autoSpaceDN w:val="0"/>
        <w:adjustRightInd w:val="0"/>
        <w:ind w:firstLine="425"/>
        <w:jc w:val="both"/>
        <w:rPr>
          <w:sz w:val="22"/>
          <w:szCs w:val="22"/>
        </w:rPr>
      </w:pPr>
      <w:r w:rsidRPr="00862D08">
        <w:rPr>
          <w:sz w:val="22"/>
          <w:szCs w:val="22"/>
        </w:rPr>
        <w:t xml:space="preserve">Дейността на ДАА за провеждане на държавната политика в областта на архивното дело е насочена към подобряване управлението на НАФ чрез осигуряването на необходимата нормативна база. </w:t>
      </w:r>
    </w:p>
    <w:p w14:paraId="743E4746" w14:textId="77777777" w:rsidR="00862D08" w:rsidRPr="00862D08" w:rsidRDefault="00862D08" w:rsidP="007D22BD">
      <w:pPr>
        <w:shd w:val="clear" w:color="auto" w:fill="FFFFFF" w:themeFill="background1"/>
        <w:autoSpaceDE w:val="0"/>
        <w:autoSpaceDN w:val="0"/>
        <w:adjustRightInd w:val="0"/>
        <w:ind w:firstLine="425"/>
        <w:jc w:val="both"/>
        <w:rPr>
          <w:sz w:val="22"/>
          <w:szCs w:val="22"/>
        </w:rPr>
      </w:pPr>
      <w:r w:rsidRPr="00862D08">
        <w:rPr>
          <w:sz w:val="22"/>
          <w:szCs w:val="22"/>
        </w:rPr>
        <w:t xml:space="preserve">Правилното съхранение на документите чрез осигуряване на специализирани архивохранилища е едно от най-важните условия за тяхното опазване. </w:t>
      </w:r>
    </w:p>
    <w:p w14:paraId="144137C7" w14:textId="77777777" w:rsidR="00862D08" w:rsidRPr="00862D08" w:rsidRDefault="00862D08" w:rsidP="007D22BD">
      <w:pPr>
        <w:shd w:val="clear" w:color="auto" w:fill="FFFFFF" w:themeFill="background1"/>
        <w:autoSpaceDE w:val="0"/>
        <w:autoSpaceDN w:val="0"/>
        <w:adjustRightInd w:val="0"/>
        <w:ind w:firstLine="425"/>
        <w:jc w:val="both"/>
        <w:rPr>
          <w:sz w:val="22"/>
          <w:szCs w:val="22"/>
        </w:rPr>
      </w:pPr>
      <w:r w:rsidRPr="00862D08">
        <w:rPr>
          <w:sz w:val="22"/>
          <w:szCs w:val="22"/>
        </w:rPr>
        <w:t>Необходими са допълнителни финансови средства за осигуряване закупуването на архивни кутии за цялата система, имащи пряко отношение към правилното съхранение и опазване на документите.</w:t>
      </w:r>
    </w:p>
    <w:p w14:paraId="25057DC6" w14:textId="77777777" w:rsidR="00862D08" w:rsidRPr="00862D08" w:rsidRDefault="00862D08" w:rsidP="007D22BD">
      <w:pPr>
        <w:shd w:val="clear" w:color="auto" w:fill="FFFFFF" w:themeFill="background1"/>
        <w:autoSpaceDE w:val="0"/>
        <w:autoSpaceDN w:val="0"/>
        <w:adjustRightInd w:val="0"/>
        <w:ind w:firstLine="425"/>
        <w:jc w:val="both"/>
        <w:rPr>
          <w:sz w:val="22"/>
          <w:szCs w:val="22"/>
        </w:rPr>
      </w:pPr>
      <w:r w:rsidRPr="00862D08">
        <w:rPr>
          <w:sz w:val="22"/>
          <w:szCs w:val="22"/>
        </w:rPr>
        <w:t xml:space="preserve">Актуализират и се поддържат регистрите на уникалните и особено ценни документи от НАФ, съхранявани в държавните архиви. </w:t>
      </w:r>
    </w:p>
    <w:p w14:paraId="5EB6DC69" w14:textId="77777777" w:rsidR="00862D08" w:rsidRPr="00862D08" w:rsidRDefault="00862D08" w:rsidP="007D22BD">
      <w:pPr>
        <w:shd w:val="clear" w:color="auto" w:fill="FFFFFF" w:themeFill="background1"/>
        <w:autoSpaceDE w:val="0"/>
        <w:autoSpaceDN w:val="0"/>
        <w:adjustRightInd w:val="0"/>
        <w:ind w:firstLine="425"/>
        <w:jc w:val="both"/>
        <w:rPr>
          <w:sz w:val="22"/>
          <w:szCs w:val="22"/>
        </w:rPr>
      </w:pPr>
      <w:r w:rsidRPr="00862D08">
        <w:rPr>
          <w:sz w:val="22"/>
          <w:szCs w:val="22"/>
        </w:rPr>
        <w:t xml:space="preserve">Чрез приоритетната за държавните архиви дейност от 2012 г. по въвеждане в ИСДА на описания на архивни документи и попълване на Дигиталния архив на ДАА с техни висококачествени дигитални копия – </w:t>
      </w:r>
      <w:proofErr w:type="spellStart"/>
      <w:r w:rsidRPr="00862D08">
        <w:rPr>
          <w:sz w:val="22"/>
          <w:szCs w:val="22"/>
        </w:rPr>
        <w:t>мастер</w:t>
      </w:r>
      <w:proofErr w:type="spellEnd"/>
      <w:r w:rsidRPr="00862D08">
        <w:rPr>
          <w:sz w:val="22"/>
          <w:szCs w:val="22"/>
        </w:rPr>
        <w:t xml:space="preserve"> обекти директно чрез функционалностите на системата, както и чрез тематичните сайтове, се разширяват възможностите за Интернет достъп на потребителите до пълната и актуална база на научно-справочния апарат и изготвените в Агенцията дигитални копия на архивни документи и техните метаданни. Данните в ИСДА се обогатяват, прецизират и актуализират постоянно от служителите на държавните архиви и резултатите от тази тяхна дейност стават автоматично достъпни за всички потребители чрез публичната част на системата. С това търсенето и извличането на информация за всички потребители на архивна информация става все по-пълноценно и ефективно, трудът на служителите – по-ефективен, управлението на архивните процеси – по-качествено, а достъпът до архивни документи и техните копия – по-удобен и облекчен. Постоянното обогатяване и актуализиране на данните в ИСДА води и до подобряване опазването на оригиналните архивни документи чрез стимулиране използването на техни описания и дигитални копия. Наличието на достатъчно пълна и постоянно актуализирана база с архивни описания, дигитални копия на архивни документи и техните метаданни в ИСДА, осигурява възможности за участие на агенцията в различни международни проекти. Базирането на данните по стандарт, съвместим с международните стандарти EAD и ISAD(G), както и на специализирана функционалност на системата за експорт на данни в ХМL формат по най-разпространения професионален стандарт за архивно описание </w:t>
      </w:r>
      <w:proofErr w:type="spellStart"/>
      <w:r w:rsidRPr="00862D08">
        <w:rPr>
          <w:sz w:val="22"/>
          <w:szCs w:val="22"/>
        </w:rPr>
        <w:t>Encoded</w:t>
      </w:r>
      <w:proofErr w:type="spellEnd"/>
      <w:r w:rsidRPr="00862D08">
        <w:rPr>
          <w:sz w:val="22"/>
          <w:szCs w:val="22"/>
        </w:rPr>
        <w:t xml:space="preserve"> </w:t>
      </w:r>
      <w:proofErr w:type="spellStart"/>
      <w:r w:rsidRPr="00862D08">
        <w:rPr>
          <w:sz w:val="22"/>
          <w:szCs w:val="22"/>
        </w:rPr>
        <w:t>Archival</w:t>
      </w:r>
      <w:proofErr w:type="spellEnd"/>
      <w:r w:rsidRPr="00862D08">
        <w:rPr>
          <w:sz w:val="22"/>
          <w:szCs w:val="22"/>
        </w:rPr>
        <w:t xml:space="preserve"> </w:t>
      </w:r>
      <w:proofErr w:type="spellStart"/>
      <w:r w:rsidRPr="00862D08">
        <w:rPr>
          <w:sz w:val="22"/>
          <w:szCs w:val="22"/>
        </w:rPr>
        <w:t>Description</w:t>
      </w:r>
      <w:proofErr w:type="spellEnd"/>
      <w:r w:rsidRPr="00862D08">
        <w:rPr>
          <w:sz w:val="22"/>
          <w:szCs w:val="22"/>
        </w:rPr>
        <w:t xml:space="preserve"> (EAD), дава възможност за обмен на данни с други архивни системи.</w:t>
      </w:r>
    </w:p>
    <w:p w14:paraId="28328CED" w14:textId="77777777" w:rsidR="00862D08" w:rsidRPr="00862D08" w:rsidRDefault="00862D08" w:rsidP="007D22BD">
      <w:pPr>
        <w:shd w:val="clear" w:color="auto" w:fill="FFFFFF" w:themeFill="background1"/>
        <w:autoSpaceDE w:val="0"/>
        <w:autoSpaceDN w:val="0"/>
        <w:adjustRightInd w:val="0"/>
        <w:ind w:firstLine="425"/>
        <w:jc w:val="both"/>
        <w:rPr>
          <w:sz w:val="22"/>
          <w:szCs w:val="22"/>
        </w:rPr>
      </w:pPr>
      <w:r w:rsidRPr="00862D08">
        <w:rPr>
          <w:sz w:val="22"/>
          <w:szCs w:val="22"/>
        </w:rPr>
        <w:t>През 2023 г. по проект „Разработка и внедряване на система за е-архивиране“, осъществен с финансовата подкрепа на Оперативна програма „Добро управление“, съфинансирана от Европейския съюз чрез Европейския социален фонд“, беше внедрена Система за е-архивиране на ценни е-документи. Оборудвано е и студио за цифровизация на аудио-визуални документи. Изготвените цифрови копия на подвижни аудио-визуални архивни документи са извън Дигиталния архив на ДАА, но тази цифровизация дава възможност на ДАА да осигури достъп на потребителите на архивна информация и до тези архивни документи – достъп, който досега беше практически невъзможен поради липсата на възможности за осигуряване на подходящи технически средства за възпроизвеждането на тези документи.</w:t>
      </w:r>
    </w:p>
    <w:p w14:paraId="36551F57" w14:textId="77777777" w:rsidR="00862D08" w:rsidRPr="00862D08" w:rsidRDefault="00862D08" w:rsidP="007D22BD">
      <w:pPr>
        <w:shd w:val="clear" w:color="auto" w:fill="FFFFFF" w:themeFill="background1"/>
        <w:autoSpaceDE w:val="0"/>
        <w:autoSpaceDN w:val="0"/>
        <w:adjustRightInd w:val="0"/>
        <w:ind w:firstLine="425"/>
        <w:jc w:val="both"/>
        <w:rPr>
          <w:sz w:val="22"/>
          <w:szCs w:val="22"/>
        </w:rPr>
      </w:pPr>
      <w:r w:rsidRPr="00862D08">
        <w:rPr>
          <w:sz w:val="22"/>
          <w:szCs w:val="22"/>
        </w:rPr>
        <w:t xml:space="preserve">ДАА управлява критично важни за НАФ и обществото информационни системи и услуги: Информационната система на държавните архиви, Системата за е-архивиране на ценни електронни </w:t>
      </w:r>
      <w:r w:rsidRPr="00862D08">
        <w:rPr>
          <w:sz w:val="22"/>
          <w:szCs w:val="22"/>
        </w:rPr>
        <w:lastRenderedPageBreak/>
        <w:t>документи, Регистъра на НАФ, Портала за е-услуги. Тези системи са от ключово значение за функционирането на държавните архиви, осигурявайки както административни процеси, така и публичен достъп до описанията на архивните документи и техни копия. Тяхната надеждност, сигурност и непрекъсваемост са не само нормативно задължение, но и обществена необходимост. Чрез тези системи ДАА улеснява достъпа на всички потребители на архивна информация до съдържанието на архивните документи, намалява използването на оригиналите и повишава ефективността на архивните дейности и тяхното управление. В изпълнение на своите нормативно опредени функции, ДАА реализира широк комплекс от дейности, свързани със структуроопределящи за страната процеси. Съхраняваните в държавните архиви и предоставяни за използване архивни документи имат влияние върху различни аспекти на социума, включително такива, свързани с исторически процеси и отношения. Информацията от архивните документи позволява да се формират, насочват и предопределят отношенията на големи групи от обществото към процеси и събития. Поддръжката и развитието на този информационен актив в последните десет години са реализирани при недостатъчно финансиране и с фокус към надеждността. Това наложи инициирането от ДАА на промени за въвеждане на комплекс от мерки, релевантни към киберзаплахите и поддържани в съответствие с добрите практики в областта. С Решение № 450 на Министерския съвет от 10.07.2025 г., е допълнено РМС № 727/2019 г., като ДАА е включена към административните органи, които възлагат дейностите по системна интеграция на Системния интегратор „Информационно обслужване“ АД.</w:t>
      </w:r>
    </w:p>
    <w:p w14:paraId="7AA00BC4" w14:textId="36558653" w:rsidR="00862D08" w:rsidRPr="00862D08" w:rsidRDefault="00862D08" w:rsidP="007D22BD">
      <w:pPr>
        <w:shd w:val="clear" w:color="auto" w:fill="FFFFFF" w:themeFill="background1"/>
        <w:autoSpaceDE w:val="0"/>
        <w:autoSpaceDN w:val="0"/>
        <w:adjustRightInd w:val="0"/>
        <w:ind w:firstLine="425"/>
        <w:jc w:val="both"/>
        <w:rPr>
          <w:sz w:val="22"/>
          <w:szCs w:val="22"/>
        </w:rPr>
      </w:pPr>
      <w:r w:rsidRPr="00862D08">
        <w:rPr>
          <w:sz w:val="22"/>
          <w:szCs w:val="22"/>
        </w:rPr>
        <w:t>В Програмата за управление на Република България за периода 2025</w:t>
      </w:r>
      <w:r>
        <w:rPr>
          <w:sz w:val="22"/>
          <w:szCs w:val="22"/>
        </w:rPr>
        <w:t xml:space="preserve"> </w:t>
      </w:r>
      <w:r w:rsidRPr="00862D08">
        <w:rPr>
          <w:sz w:val="22"/>
          <w:szCs w:val="22"/>
        </w:rPr>
        <w:t>–</w:t>
      </w:r>
      <w:r>
        <w:rPr>
          <w:sz w:val="22"/>
          <w:szCs w:val="22"/>
        </w:rPr>
        <w:t xml:space="preserve"> </w:t>
      </w:r>
      <w:r w:rsidRPr="00862D08">
        <w:rPr>
          <w:sz w:val="22"/>
          <w:szCs w:val="22"/>
        </w:rPr>
        <w:t>2029 г. единствената пряко упомената мярка, свързана с ДАА, е в Раздел „Електронно управление“, Приоритет: „Ускоряване на изпълнението на НПВУ“, Цел: „Реализиране на инициативи за цифрова трансформация“, Мярка 3 „Въвеждане на единна платформа за дигитализация и на център за съхранение на дигитализираното съдържание на колекции на музеи, библиотеки и архиви“ – изпълнение на инвестицията: С11.I7 „Цифровизация на музейни колекции, библиотеки и архиви“ (ДАА е КП-партньор). Дейността е в пряка връзка в попълването на Дигиталния архив в ИСДА и е в изпълнение на политиките на държавата по дигитализиране, опазване и съхранение на културното наследство за осигуряване на свободен достъп на всички заинтересовани страни до културното богатство на страната. С натрупване от 01.01.2023 г. до 30.06.2025 г., ДАА отчита изпълнение на 69.01% от подлежащите за дигитализация архивни документи в цялост с метаданни по инвестицията. На 13.05.2025 г. е публикувано в ЦАИС ЕОП Обявление за поръчка – Общата директива, стандартен режим за поръчка 01463-2025-0001 „Закупуване на специализирана техника за дигитализация, реставрация и консервация на архивни документи”, изпълнявана по инвестиция С11.I7 „Цифровизация на музейни колекции, библиотеки и архиви”, с две обособени позиции: Обособена позиция № 1 – „Доставка на техника за дигитализация на архивни документи” и Обособена позиция № 2 – „Доставка на техника за реставрация и консервация на архивни документи, съхранявани в държавните архиви”, на стойност 1 086 111.04 лв. (без ДДС). Поръчката е в процес на разглеждане и оценка на офертите.</w:t>
      </w:r>
    </w:p>
    <w:p w14:paraId="68F06320" w14:textId="77777777" w:rsidR="00862D08" w:rsidRPr="00862D08" w:rsidRDefault="00862D08" w:rsidP="007D22BD">
      <w:pPr>
        <w:shd w:val="clear" w:color="auto" w:fill="FFFFFF" w:themeFill="background1"/>
        <w:autoSpaceDE w:val="0"/>
        <w:autoSpaceDN w:val="0"/>
        <w:adjustRightInd w:val="0"/>
        <w:ind w:firstLine="425"/>
        <w:jc w:val="both"/>
        <w:rPr>
          <w:sz w:val="22"/>
          <w:szCs w:val="22"/>
        </w:rPr>
      </w:pPr>
      <w:r w:rsidRPr="00862D08">
        <w:rPr>
          <w:sz w:val="22"/>
          <w:szCs w:val="22"/>
        </w:rPr>
        <w:t xml:space="preserve">През първото полугодие на 2025 г. продължи изпълнението на сключения между ДАА, в качеството й на краен получател, и Министерството на регионалното развитие и благоустройството, в качеството на Структура за наблюдение и докладване, договор за финансиране за предоставяне на средства на крайни получатели от Механизма за възстановяване и устойчивост, Процедура за предоставяне на средства чрез подбор на предложения за изпълнение на инвестиции (ПИИ) BG-RRP-4.020 „Подкрепа за устойчиво енергийно обновяване на публичен сграден фонд за административно обслужване, култура и спорт“, за изпълнение на Инвестиция (ПИИ) № BG-RRP-4.020-0057 „Устойчиво енергийно обновяване на сграда на ДАА, ул. „Московска“ № 5, гр. София“. </w:t>
      </w:r>
    </w:p>
    <w:p w14:paraId="6917A574" w14:textId="77777777" w:rsidR="00862D08" w:rsidRPr="00862D08" w:rsidRDefault="00862D08" w:rsidP="007D22BD">
      <w:pPr>
        <w:shd w:val="clear" w:color="auto" w:fill="FFFFFF" w:themeFill="background1"/>
        <w:autoSpaceDE w:val="0"/>
        <w:autoSpaceDN w:val="0"/>
        <w:adjustRightInd w:val="0"/>
        <w:ind w:firstLine="425"/>
        <w:jc w:val="both"/>
        <w:rPr>
          <w:sz w:val="22"/>
          <w:szCs w:val="22"/>
        </w:rPr>
      </w:pPr>
      <w:r w:rsidRPr="00862D08">
        <w:rPr>
          <w:sz w:val="22"/>
          <w:szCs w:val="22"/>
        </w:rPr>
        <w:t>Популяризирането на националното архивно богатство е една от основните цели в дейността на ДАА. Многобройни са формите, чрез които агенцията утвърждава своя авторитет като институция на паметта–издания, документални изложби, уеб платформа с тематични дигитални колекции, участията в медии, беседите и посещенията на ученици и студенти в архивите, пресконференции по актуални обществено значими теми, социалните мрежи, уикипедия и др., както и участията в специализирани международни прояви.</w:t>
      </w:r>
    </w:p>
    <w:p w14:paraId="022148D8" w14:textId="4B334362" w:rsidR="00E17312" w:rsidRDefault="00862D08" w:rsidP="007D22BD">
      <w:pPr>
        <w:shd w:val="clear" w:color="auto" w:fill="FFFFFF" w:themeFill="background1"/>
        <w:autoSpaceDE w:val="0"/>
        <w:autoSpaceDN w:val="0"/>
        <w:adjustRightInd w:val="0"/>
        <w:ind w:firstLine="425"/>
        <w:jc w:val="both"/>
        <w:rPr>
          <w:sz w:val="22"/>
          <w:szCs w:val="22"/>
        </w:rPr>
      </w:pPr>
      <w:r w:rsidRPr="00862D08">
        <w:rPr>
          <w:sz w:val="22"/>
          <w:szCs w:val="22"/>
        </w:rPr>
        <w:lastRenderedPageBreak/>
        <w:t>ДАА си взаимодейства в национален план с всички министерства и ведомства, както и със сродни институции, а в международен – с МСА, ГЕА, ЕБНА, АПЕФ и ИКАРУС, в които членува, както и с националните архиви на други страни, с научни и културни институции и организации. Продължава участието на експерти на ДАА в Техническите комитети към Института по стандартизация и конкретно в заседания на Технически комитет (ТК) 16„Архивна, библиотечна и информационна дейност“ и на ТК 80 „Електронен обмен на данни в администрацията, търговията и услугите“.</w:t>
      </w:r>
    </w:p>
    <w:p w14:paraId="3AAA8A42" w14:textId="77777777" w:rsidR="00EF01D9" w:rsidRPr="00336EB2" w:rsidRDefault="00EF01D9" w:rsidP="007D22BD">
      <w:pPr>
        <w:widowControl w:val="0"/>
        <w:shd w:val="clear" w:color="auto" w:fill="FFFFFF" w:themeFill="background1"/>
        <w:spacing w:before="120" w:after="120"/>
        <w:ind w:firstLine="425"/>
        <w:jc w:val="both"/>
        <w:outlineLvl w:val="3"/>
        <w:rPr>
          <w:b/>
          <w:i/>
          <w:color w:val="800000"/>
          <w:sz w:val="22"/>
          <w:szCs w:val="22"/>
        </w:rPr>
      </w:pPr>
      <w:bookmarkStart w:id="52" w:name="_Toc363640277"/>
      <w:bookmarkStart w:id="53" w:name="_Toc363641166"/>
      <w:bookmarkStart w:id="54" w:name="_Toc363641785"/>
      <w:bookmarkStart w:id="55" w:name="_Toc363641844"/>
      <w:bookmarkStart w:id="56" w:name="_Toc363733401"/>
      <w:bookmarkStart w:id="57" w:name="_Toc363733485"/>
      <w:bookmarkStart w:id="58" w:name="_Toc363733598"/>
      <w:r w:rsidRPr="00336EB2">
        <w:rPr>
          <w:b/>
          <w:i/>
          <w:color w:val="800000"/>
          <w:sz w:val="22"/>
          <w:szCs w:val="22"/>
        </w:rPr>
        <w:t xml:space="preserve">Продукти/услуги, предоставяне по програмата – описание на постигнатите резултати и изпълнение на дейностите за тяхното предоставяне </w:t>
      </w:r>
    </w:p>
    <w:bookmarkEnd w:id="52"/>
    <w:bookmarkEnd w:id="53"/>
    <w:bookmarkEnd w:id="54"/>
    <w:bookmarkEnd w:id="55"/>
    <w:bookmarkEnd w:id="56"/>
    <w:bookmarkEnd w:id="57"/>
    <w:bookmarkEnd w:id="58"/>
    <w:p w14:paraId="3EF4D5BB" w14:textId="77777777" w:rsidR="005A2EF0" w:rsidRPr="007D22BD" w:rsidRDefault="005A2EF0" w:rsidP="007D22BD">
      <w:pPr>
        <w:pStyle w:val="ListParagraph"/>
        <w:widowControl w:val="0"/>
        <w:numPr>
          <w:ilvl w:val="0"/>
          <w:numId w:val="69"/>
        </w:numPr>
        <w:shd w:val="clear" w:color="auto" w:fill="FFFFFF" w:themeFill="background1"/>
        <w:ind w:left="0" w:firstLine="425"/>
        <w:jc w:val="both"/>
        <w:outlineLvl w:val="3"/>
        <w:rPr>
          <w:b/>
          <w:bCs/>
          <w:i/>
          <w:iCs/>
          <w:color w:val="215E99" w:themeColor="text2" w:themeTint="BF"/>
          <w:sz w:val="22"/>
          <w:szCs w:val="22"/>
        </w:rPr>
      </w:pPr>
      <w:r w:rsidRPr="007D22BD">
        <w:rPr>
          <w:b/>
          <w:bCs/>
          <w:i/>
          <w:iCs/>
          <w:color w:val="215E99" w:themeColor="text2" w:themeTint="BF"/>
          <w:sz w:val="22"/>
          <w:szCs w:val="22"/>
        </w:rPr>
        <w:t xml:space="preserve">Разработване </w:t>
      </w:r>
      <w:r w:rsidR="00354E55" w:rsidRPr="007D22BD">
        <w:rPr>
          <w:b/>
          <w:bCs/>
          <w:i/>
          <w:iCs/>
          <w:color w:val="215E99" w:themeColor="text2" w:themeTint="BF"/>
          <w:sz w:val="22"/>
          <w:szCs w:val="22"/>
        </w:rPr>
        <w:t>и провеждане на</w:t>
      </w:r>
      <w:r w:rsidRPr="007D22BD">
        <w:rPr>
          <w:b/>
          <w:bCs/>
          <w:i/>
          <w:iCs/>
          <w:color w:val="215E99" w:themeColor="text2" w:themeTint="BF"/>
          <w:sz w:val="22"/>
          <w:szCs w:val="22"/>
        </w:rPr>
        <w:t xml:space="preserve"> политиката в областта на архивното дело</w:t>
      </w:r>
    </w:p>
    <w:p w14:paraId="51B82FC3" w14:textId="192C797F" w:rsidR="00516DD0" w:rsidRPr="00E7743E" w:rsidRDefault="00E7743E" w:rsidP="00A4193D">
      <w:pPr>
        <w:shd w:val="clear" w:color="auto" w:fill="FFFFFF" w:themeFill="background1"/>
        <w:autoSpaceDE w:val="0"/>
        <w:autoSpaceDN w:val="0"/>
        <w:adjustRightInd w:val="0"/>
        <w:ind w:firstLine="425"/>
        <w:jc w:val="both"/>
        <w:rPr>
          <w:b/>
          <w:i/>
          <w:color w:val="800000"/>
          <w:sz w:val="22"/>
          <w:szCs w:val="22"/>
        </w:rPr>
      </w:pPr>
      <w:r w:rsidRPr="00E7743E">
        <w:rPr>
          <w:b/>
          <w:i/>
          <w:color w:val="800000"/>
          <w:sz w:val="22"/>
          <w:szCs w:val="22"/>
        </w:rPr>
        <w:t>Резултати от предоставянето на продукта/услугата:</w:t>
      </w:r>
    </w:p>
    <w:p w14:paraId="60E637CE" w14:textId="77777777" w:rsidR="004E46A2" w:rsidRPr="004E46A2" w:rsidRDefault="004E46A2" w:rsidP="007D22BD">
      <w:pPr>
        <w:shd w:val="clear" w:color="auto" w:fill="FFFFFF" w:themeFill="background1"/>
        <w:autoSpaceDE w:val="0"/>
        <w:autoSpaceDN w:val="0"/>
        <w:adjustRightInd w:val="0"/>
        <w:ind w:firstLine="425"/>
        <w:jc w:val="both"/>
        <w:rPr>
          <w:sz w:val="22"/>
          <w:szCs w:val="22"/>
        </w:rPr>
      </w:pPr>
      <w:bookmarkStart w:id="59" w:name="_Toc363640278"/>
      <w:bookmarkStart w:id="60" w:name="_Toc363641167"/>
      <w:bookmarkStart w:id="61" w:name="_Toc363641786"/>
      <w:bookmarkStart w:id="62" w:name="_Toc363641845"/>
      <w:bookmarkStart w:id="63" w:name="_Toc363733402"/>
      <w:bookmarkStart w:id="64" w:name="_Toc363733486"/>
      <w:bookmarkStart w:id="65" w:name="_Toc363733599"/>
      <w:r w:rsidRPr="004E46A2">
        <w:rPr>
          <w:sz w:val="22"/>
          <w:szCs w:val="22"/>
        </w:rPr>
        <w:t>Дейността на ДАА за провеждане на държавната политика в областта на архивното дело се ръководи от Закона за НАФ и съпътстващата го нормативна уредба. Тя е насочена към подобряване управлението на НАФ чрез осигуряване на необходими нормативни актове.</w:t>
      </w:r>
    </w:p>
    <w:p w14:paraId="7AF7B9BE" w14:textId="12F2E8F1" w:rsidR="004E46A2" w:rsidRPr="004E46A2" w:rsidRDefault="004E46A2" w:rsidP="007D22BD">
      <w:pPr>
        <w:shd w:val="clear" w:color="auto" w:fill="FFFFFF" w:themeFill="background1"/>
        <w:autoSpaceDE w:val="0"/>
        <w:autoSpaceDN w:val="0"/>
        <w:adjustRightInd w:val="0"/>
        <w:ind w:firstLine="425"/>
        <w:jc w:val="both"/>
        <w:rPr>
          <w:sz w:val="22"/>
          <w:szCs w:val="22"/>
        </w:rPr>
      </w:pPr>
      <w:r w:rsidRPr="004E46A2">
        <w:rPr>
          <w:sz w:val="22"/>
          <w:szCs w:val="22"/>
        </w:rPr>
        <w:t>Ефективното и ефикасно функциониране на специализираната администрация на ДАА е свързано с дейността на Централната експертно-проверочна комисия (ЦЕПК), Централна експертна оценителна комисия (ЦЕОК), Постоянно действаща експертна комисия (ПДЕК) и Специализирана комисия за определяне на особено ценните и уникалните документи, предвидени в Закона за НАФ, както и експертните проверочни и експертните оценителни комисии към дирекциите „Централен държавен архив”, „Държавен военноисторически архив” и „Регионален държавен архив”.</w:t>
      </w:r>
    </w:p>
    <w:p w14:paraId="0C9D9B0C" w14:textId="77777777" w:rsidR="004E46A2" w:rsidRPr="004E46A2" w:rsidRDefault="004E46A2" w:rsidP="007D22BD">
      <w:pPr>
        <w:shd w:val="clear" w:color="auto" w:fill="FFFFFF" w:themeFill="background1"/>
        <w:autoSpaceDE w:val="0"/>
        <w:autoSpaceDN w:val="0"/>
        <w:adjustRightInd w:val="0"/>
        <w:ind w:firstLine="425"/>
        <w:jc w:val="both"/>
        <w:rPr>
          <w:sz w:val="22"/>
          <w:szCs w:val="22"/>
        </w:rPr>
      </w:pPr>
      <w:r w:rsidRPr="004E46A2">
        <w:rPr>
          <w:sz w:val="22"/>
          <w:szCs w:val="22"/>
        </w:rPr>
        <w:t>През първото полугодие на 2025 г. не са проведени заседания на Националния архивен съвет.</w:t>
      </w:r>
    </w:p>
    <w:p w14:paraId="12A6CAF2" w14:textId="1551D9ED" w:rsidR="00336EB2" w:rsidRPr="004E46A2" w:rsidRDefault="004E46A2" w:rsidP="007D22BD">
      <w:pPr>
        <w:shd w:val="clear" w:color="auto" w:fill="FFFFFF" w:themeFill="background1"/>
        <w:autoSpaceDE w:val="0"/>
        <w:autoSpaceDN w:val="0"/>
        <w:adjustRightInd w:val="0"/>
        <w:spacing w:after="120"/>
        <w:ind w:firstLine="425"/>
        <w:jc w:val="both"/>
        <w:rPr>
          <w:sz w:val="22"/>
          <w:szCs w:val="22"/>
        </w:rPr>
      </w:pPr>
      <w:r w:rsidRPr="004E46A2">
        <w:rPr>
          <w:sz w:val="22"/>
          <w:szCs w:val="22"/>
        </w:rPr>
        <w:t>През отчетния период ДАА е работила по изпълнение на два проекта и е представена една проектна идея (неодобрена за финансиране).</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4"/>
        <w:gridCol w:w="1840"/>
        <w:gridCol w:w="1559"/>
        <w:gridCol w:w="2268"/>
      </w:tblGrid>
      <w:tr w:rsidR="004E46A2" w:rsidRPr="00793E83" w14:paraId="39AA10AB" w14:textId="77777777" w:rsidTr="004E46A2">
        <w:trPr>
          <w:trHeight w:val="748"/>
          <w:jc w:val="center"/>
        </w:trPr>
        <w:tc>
          <w:tcPr>
            <w:tcW w:w="3684" w:type="dxa"/>
            <w:shd w:val="clear" w:color="auto" w:fill="F6C5AC" w:themeFill="accent2" w:themeFillTint="66"/>
          </w:tcPr>
          <w:p w14:paraId="17F2E875" w14:textId="77777777" w:rsidR="004E46A2" w:rsidRPr="00793E83" w:rsidRDefault="004E46A2" w:rsidP="00167913">
            <w:pPr>
              <w:jc w:val="center"/>
              <w:rPr>
                <w:b/>
                <w:bCs/>
                <w:i/>
                <w:sz w:val="18"/>
                <w:szCs w:val="18"/>
              </w:rPr>
            </w:pPr>
            <w:r w:rsidRPr="00793E83">
              <w:rPr>
                <w:b/>
                <w:bCs/>
                <w:i/>
                <w:sz w:val="18"/>
                <w:szCs w:val="18"/>
              </w:rPr>
              <w:t xml:space="preserve">Показатели за изпълнение </w:t>
            </w:r>
          </w:p>
        </w:tc>
        <w:tc>
          <w:tcPr>
            <w:tcW w:w="1840" w:type="dxa"/>
            <w:shd w:val="clear" w:color="auto" w:fill="F6C5AC" w:themeFill="accent2" w:themeFillTint="66"/>
          </w:tcPr>
          <w:p w14:paraId="5CCC9570" w14:textId="77777777" w:rsidR="004E46A2" w:rsidRPr="00793E83" w:rsidRDefault="004E46A2" w:rsidP="00167913">
            <w:pPr>
              <w:jc w:val="center"/>
              <w:rPr>
                <w:b/>
                <w:bCs/>
                <w:sz w:val="18"/>
                <w:szCs w:val="18"/>
              </w:rPr>
            </w:pPr>
            <w:r w:rsidRPr="00793E83">
              <w:rPr>
                <w:b/>
                <w:bCs/>
                <w:sz w:val="18"/>
                <w:szCs w:val="18"/>
              </w:rPr>
              <w:t>Мерна единица</w:t>
            </w:r>
          </w:p>
        </w:tc>
        <w:tc>
          <w:tcPr>
            <w:tcW w:w="1559" w:type="dxa"/>
            <w:shd w:val="clear" w:color="auto" w:fill="F6C5AC" w:themeFill="accent2" w:themeFillTint="66"/>
          </w:tcPr>
          <w:p w14:paraId="2F8DC7B9" w14:textId="77777777" w:rsidR="004E46A2" w:rsidRPr="00793E83" w:rsidRDefault="004E46A2" w:rsidP="00167913">
            <w:pPr>
              <w:jc w:val="center"/>
              <w:rPr>
                <w:b/>
                <w:bCs/>
                <w:sz w:val="18"/>
                <w:szCs w:val="18"/>
              </w:rPr>
            </w:pPr>
            <w:r w:rsidRPr="00793E83">
              <w:rPr>
                <w:b/>
                <w:bCs/>
                <w:sz w:val="18"/>
                <w:szCs w:val="18"/>
              </w:rPr>
              <w:t>Целева стойност</w:t>
            </w:r>
          </w:p>
          <w:p w14:paraId="6D33DC78" w14:textId="77777777" w:rsidR="004E46A2" w:rsidRPr="00793E83" w:rsidRDefault="004E46A2" w:rsidP="00167913">
            <w:pPr>
              <w:jc w:val="center"/>
              <w:rPr>
                <w:b/>
                <w:bCs/>
                <w:sz w:val="18"/>
                <w:szCs w:val="18"/>
              </w:rPr>
            </w:pPr>
            <w:r w:rsidRPr="00793E83">
              <w:rPr>
                <w:b/>
                <w:bCs/>
                <w:sz w:val="18"/>
                <w:szCs w:val="18"/>
              </w:rPr>
              <w:t>(план)</w:t>
            </w:r>
          </w:p>
        </w:tc>
        <w:tc>
          <w:tcPr>
            <w:tcW w:w="2268" w:type="dxa"/>
            <w:shd w:val="clear" w:color="auto" w:fill="F6C5AC" w:themeFill="accent2" w:themeFillTint="66"/>
          </w:tcPr>
          <w:p w14:paraId="799DE6BE" w14:textId="77777777" w:rsidR="004E46A2" w:rsidRPr="00793E83" w:rsidRDefault="004E46A2" w:rsidP="00167913">
            <w:pPr>
              <w:jc w:val="center"/>
              <w:rPr>
                <w:b/>
                <w:bCs/>
                <w:sz w:val="18"/>
                <w:szCs w:val="18"/>
              </w:rPr>
            </w:pPr>
            <w:r w:rsidRPr="00793E83">
              <w:rPr>
                <w:b/>
                <w:bCs/>
                <w:sz w:val="18"/>
                <w:szCs w:val="18"/>
              </w:rPr>
              <w:t>Отчет</w:t>
            </w:r>
          </w:p>
        </w:tc>
      </w:tr>
      <w:tr w:rsidR="004E46A2" w:rsidRPr="00793E83" w14:paraId="6977E326" w14:textId="77777777" w:rsidTr="004E46A2">
        <w:trPr>
          <w:trHeight w:val="289"/>
          <w:jc w:val="center"/>
        </w:trPr>
        <w:tc>
          <w:tcPr>
            <w:tcW w:w="3684" w:type="dxa"/>
            <w:shd w:val="clear" w:color="auto" w:fill="auto"/>
          </w:tcPr>
          <w:p w14:paraId="4C4E3D86" w14:textId="77777777" w:rsidR="004E46A2" w:rsidRPr="00793E83" w:rsidRDefault="004E46A2" w:rsidP="00167913">
            <w:pPr>
              <w:rPr>
                <w:sz w:val="18"/>
                <w:szCs w:val="18"/>
              </w:rPr>
            </w:pPr>
            <w:r w:rsidRPr="00793E83">
              <w:rPr>
                <w:sz w:val="18"/>
                <w:szCs w:val="18"/>
              </w:rPr>
              <w:t>1. Актуализиране на нормативната и поднормативната база и административни актове</w:t>
            </w:r>
          </w:p>
        </w:tc>
        <w:tc>
          <w:tcPr>
            <w:tcW w:w="1840" w:type="dxa"/>
            <w:shd w:val="clear" w:color="auto" w:fill="auto"/>
          </w:tcPr>
          <w:p w14:paraId="709B0981" w14:textId="77777777" w:rsidR="004E46A2" w:rsidRPr="00793E83" w:rsidRDefault="004E46A2" w:rsidP="00167913">
            <w:pPr>
              <w:rPr>
                <w:sz w:val="18"/>
                <w:szCs w:val="18"/>
              </w:rPr>
            </w:pPr>
            <w:r w:rsidRPr="00793E83">
              <w:rPr>
                <w:sz w:val="18"/>
                <w:szCs w:val="18"/>
              </w:rPr>
              <w:t>Бр. нормативни и административни актове</w:t>
            </w:r>
          </w:p>
        </w:tc>
        <w:tc>
          <w:tcPr>
            <w:tcW w:w="1559" w:type="dxa"/>
            <w:shd w:val="clear" w:color="auto" w:fill="auto"/>
          </w:tcPr>
          <w:p w14:paraId="06C8932D" w14:textId="77777777" w:rsidR="004E46A2" w:rsidRPr="00793E83" w:rsidRDefault="004E46A2" w:rsidP="00167913">
            <w:pPr>
              <w:jc w:val="center"/>
              <w:rPr>
                <w:sz w:val="18"/>
                <w:szCs w:val="18"/>
              </w:rPr>
            </w:pPr>
            <w:r w:rsidRPr="00793E83">
              <w:rPr>
                <w:sz w:val="18"/>
                <w:szCs w:val="18"/>
              </w:rPr>
              <w:t>1</w:t>
            </w:r>
          </w:p>
        </w:tc>
        <w:tc>
          <w:tcPr>
            <w:tcW w:w="2268" w:type="dxa"/>
            <w:shd w:val="clear" w:color="auto" w:fill="auto"/>
          </w:tcPr>
          <w:p w14:paraId="57C2DBD2" w14:textId="77777777" w:rsidR="004E46A2" w:rsidRPr="00793E83" w:rsidRDefault="004E46A2" w:rsidP="00167913">
            <w:pPr>
              <w:jc w:val="center"/>
              <w:rPr>
                <w:sz w:val="18"/>
                <w:szCs w:val="18"/>
              </w:rPr>
            </w:pPr>
            <w:r w:rsidRPr="00793E83">
              <w:rPr>
                <w:sz w:val="18"/>
                <w:szCs w:val="18"/>
              </w:rPr>
              <w:t>6</w:t>
            </w:r>
          </w:p>
        </w:tc>
      </w:tr>
      <w:tr w:rsidR="004E46A2" w:rsidRPr="00793E83" w14:paraId="12E2AB09" w14:textId="77777777" w:rsidTr="004E46A2">
        <w:trPr>
          <w:trHeight w:val="352"/>
          <w:jc w:val="center"/>
        </w:trPr>
        <w:tc>
          <w:tcPr>
            <w:tcW w:w="3684" w:type="dxa"/>
            <w:shd w:val="clear" w:color="auto" w:fill="auto"/>
          </w:tcPr>
          <w:p w14:paraId="37521D2B" w14:textId="77777777" w:rsidR="004E46A2" w:rsidRPr="00793E83" w:rsidRDefault="004E46A2" w:rsidP="00167913">
            <w:pPr>
              <w:rPr>
                <w:strike/>
                <w:sz w:val="18"/>
                <w:szCs w:val="18"/>
              </w:rPr>
            </w:pPr>
            <w:r w:rsidRPr="00793E83">
              <w:rPr>
                <w:sz w:val="18"/>
                <w:szCs w:val="18"/>
              </w:rPr>
              <w:t>2. Участие в проекти по европейски, оперативни и др. програми</w:t>
            </w:r>
          </w:p>
        </w:tc>
        <w:tc>
          <w:tcPr>
            <w:tcW w:w="1840" w:type="dxa"/>
            <w:shd w:val="clear" w:color="auto" w:fill="auto"/>
          </w:tcPr>
          <w:p w14:paraId="6435D7D4" w14:textId="77777777" w:rsidR="004E46A2" w:rsidRPr="00793E83" w:rsidRDefault="004E46A2" w:rsidP="00167913">
            <w:pPr>
              <w:rPr>
                <w:sz w:val="18"/>
                <w:szCs w:val="18"/>
              </w:rPr>
            </w:pPr>
            <w:r w:rsidRPr="00793E83">
              <w:rPr>
                <w:sz w:val="18"/>
                <w:szCs w:val="18"/>
              </w:rPr>
              <w:t>Бр. проекти</w:t>
            </w:r>
          </w:p>
        </w:tc>
        <w:tc>
          <w:tcPr>
            <w:tcW w:w="1559" w:type="dxa"/>
            <w:shd w:val="clear" w:color="auto" w:fill="auto"/>
          </w:tcPr>
          <w:p w14:paraId="00A5DEB9" w14:textId="77777777" w:rsidR="004E46A2" w:rsidRPr="00793E83" w:rsidRDefault="004E46A2" w:rsidP="00167913">
            <w:pPr>
              <w:jc w:val="center"/>
              <w:rPr>
                <w:sz w:val="18"/>
                <w:szCs w:val="18"/>
              </w:rPr>
            </w:pPr>
            <w:r w:rsidRPr="00793E83">
              <w:rPr>
                <w:sz w:val="18"/>
                <w:szCs w:val="18"/>
              </w:rPr>
              <w:t>1</w:t>
            </w:r>
          </w:p>
        </w:tc>
        <w:tc>
          <w:tcPr>
            <w:tcW w:w="2268" w:type="dxa"/>
            <w:shd w:val="clear" w:color="auto" w:fill="auto"/>
          </w:tcPr>
          <w:p w14:paraId="765E1899" w14:textId="77777777" w:rsidR="004E46A2" w:rsidRPr="00793E83" w:rsidRDefault="004E46A2" w:rsidP="00167913">
            <w:pPr>
              <w:jc w:val="center"/>
              <w:rPr>
                <w:sz w:val="18"/>
                <w:szCs w:val="18"/>
              </w:rPr>
            </w:pPr>
            <w:r w:rsidRPr="00793E83">
              <w:rPr>
                <w:sz w:val="18"/>
                <w:szCs w:val="18"/>
              </w:rPr>
              <w:t>2</w:t>
            </w:r>
          </w:p>
        </w:tc>
      </w:tr>
      <w:tr w:rsidR="004E46A2" w:rsidRPr="00793E83" w14:paraId="75ACAD2E" w14:textId="77777777" w:rsidTr="004E46A2">
        <w:trPr>
          <w:trHeight w:val="289"/>
          <w:jc w:val="center"/>
        </w:trPr>
        <w:tc>
          <w:tcPr>
            <w:tcW w:w="3684" w:type="dxa"/>
            <w:shd w:val="clear" w:color="auto" w:fill="auto"/>
          </w:tcPr>
          <w:p w14:paraId="1CC82441" w14:textId="77777777" w:rsidR="004E46A2" w:rsidRPr="00793E83" w:rsidRDefault="004E46A2" w:rsidP="00167913">
            <w:pPr>
              <w:rPr>
                <w:sz w:val="18"/>
                <w:szCs w:val="18"/>
              </w:rPr>
            </w:pPr>
            <w:r w:rsidRPr="00793E83">
              <w:rPr>
                <w:sz w:val="18"/>
                <w:szCs w:val="18"/>
              </w:rPr>
              <w:t xml:space="preserve">3. Действащи </w:t>
            </w:r>
            <w:proofErr w:type="spellStart"/>
            <w:r w:rsidRPr="00793E83">
              <w:rPr>
                <w:sz w:val="18"/>
                <w:szCs w:val="18"/>
              </w:rPr>
              <w:t>фондообразуватели</w:t>
            </w:r>
            <w:proofErr w:type="spellEnd"/>
          </w:p>
        </w:tc>
        <w:tc>
          <w:tcPr>
            <w:tcW w:w="1840" w:type="dxa"/>
            <w:shd w:val="clear" w:color="auto" w:fill="auto"/>
          </w:tcPr>
          <w:p w14:paraId="45239CFE" w14:textId="77777777" w:rsidR="004E46A2" w:rsidRPr="00793E83" w:rsidRDefault="004E46A2" w:rsidP="00167913">
            <w:pPr>
              <w:rPr>
                <w:sz w:val="18"/>
                <w:szCs w:val="18"/>
              </w:rPr>
            </w:pPr>
            <w:r w:rsidRPr="00793E83">
              <w:rPr>
                <w:sz w:val="18"/>
                <w:szCs w:val="18"/>
              </w:rPr>
              <w:t xml:space="preserve">Бр. </w:t>
            </w:r>
            <w:r w:rsidRPr="00793E83">
              <w:rPr>
                <w:sz w:val="18"/>
                <w:szCs w:val="18"/>
              </w:rPr>
              <w:tab/>
            </w:r>
          </w:p>
        </w:tc>
        <w:tc>
          <w:tcPr>
            <w:tcW w:w="1559" w:type="dxa"/>
            <w:shd w:val="clear" w:color="auto" w:fill="auto"/>
          </w:tcPr>
          <w:p w14:paraId="024A8BC7" w14:textId="77777777" w:rsidR="004E46A2" w:rsidRPr="00793E83" w:rsidRDefault="004E46A2" w:rsidP="00167913">
            <w:pPr>
              <w:jc w:val="center"/>
              <w:rPr>
                <w:sz w:val="18"/>
                <w:szCs w:val="18"/>
              </w:rPr>
            </w:pPr>
            <w:r w:rsidRPr="00793E83">
              <w:rPr>
                <w:sz w:val="18"/>
                <w:szCs w:val="18"/>
              </w:rPr>
              <w:t>8777</w:t>
            </w:r>
            <w:r w:rsidRPr="00793E83">
              <w:rPr>
                <w:rStyle w:val="FootnoteReference"/>
                <w:sz w:val="18"/>
                <w:szCs w:val="18"/>
              </w:rPr>
              <w:footnoteReference w:id="38"/>
            </w:r>
            <w:r w:rsidRPr="00793E83">
              <w:rPr>
                <w:color w:val="FF0000"/>
                <w:sz w:val="18"/>
                <w:szCs w:val="18"/>
              </w:rPr>
              <w:t xml:space="preserve"> </w:t>
            </w:r>
          </w:p>
        </w:tc>
        <w:tc>
          <w:tcPr>
            <w:tcW w:w="2268" w:type="dxa"/>
            <w:shd w:val="clear" w:color="auto" w:fill="auto"/>
          </w:tcPr>
          <w:p w14:paraId="51E5BDBC" w14:textId="016EC075" w:rsidR="004E46A2" w:rsidRPr="00793E83" w:rsidRDefault="004E46A2" w:rsidP="00793E83">
            <w:pPr>
              <w:tabs>
                <w:tab w:val="center" w:pos="760"/>
                <w:tab w:val="right" w:pos="1521"/>
              </w:tabs>
              <w:rPr>
                <w:sz w:val="18"/>
                <w:szCs w:val="18"/>
              </w:rPr>
            </w:pPr>
            <w:r w:rsidRPr="00793E83">
              <w:rPr>
                <w:sz w:val="18"/>
                <w:szCs w:val="18"/>
              </w:rPr>
              <w:t xml:space="preserve">Окончателната стойност на показателя ще се отчете към 31.12.2025 г. </w:t>
            </w:r>
          </w:p>
        </w:tc>
      </w:tr>
    </w:tbl>
    <w:p w14:paraId="0F888E3E" w14:textId="77777777" w:rsidR="00202212" w:rsidRPr="007D22BD" w:rsidRDefault="00202212" w:rsidP="007D22BD">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7D22BD">
        <w:rPr>
          <w:b/>
          <w:bCs/>
          <w:i/>
          <w:iCs/>
          <w:color w:val="215E99" w:themeColor="text2" w:themeTint="BF"/>
          <w:sz w:val="22"/>
          <w:szCs w:val="22"/>
        </w:rPr>
        <w:t>Съхранение и опазване на Националния архивен фонд</w:t>
      </w:r>
    </w:p>
    <w:p w14:paraId="04C5A8D5" w14:textId="6DF2FD17" w:rsidR="00202212" w:rsidRPr="00E7743E" w:rsidRDefault="00E7743E" w:rsidP="00A4193D">
      <w:pPr>
        <w:shd w:val="clear" w:color="auto" w:fill="FFFFFF" w:themeFill="background1"/>
        <w:autoSpaceDE w:val="0"/>
        <w:autoSpaceDN w:val="0"/>
        <w:adjustRightInd w:val="0"/>
        <w:ind w:firstLine="425"/>
        <w:jc w:val="both"/>
        <w:rPr>
          <w:b/>
          <w:i/>
          <w:color w:val="800000"/>
          <w:sz w:val="22"/>
          <w:szCs w:val="22"/>
        </w:rPr>
      </w:pPr>
      <w:r w:rsidRPr="00E7743E">
        <w:rPr>
          <w:b/>
          <w:i/>
          <w:color w:val="800000"/>
          <w:sz w:val="22"/>
          <w:szCs w:val="22"/>
        </w:rPr>
        <w:t>Резултати от предоставянето на продукта/услугата:</w:t>
      </w:r>
    </w:p>
    <w:p w14:paraId="63F44554" w14:textId="77777777" w:rsidR="00202212" w:rsidRPr="004A5FCD" w:rsidRDefault="00202212" w:rsidP="00182600">
      <w:pPr>
        <w:shd w:val="clear" w:color="auto" w:fill="FFFFFF" w:themeFill="background1"/>
        <w:autoSpaceDE w:val="0"/>
        <w:autoSpaceDN w:val="0"/>
        <w:adjustRightInd w:val="0"/>
        <w:ind w:firstLine="425"/>
        <w:jc w:val="both"/>
        <w:rPr>
          <w:sz w:val="22"/>
          <w:szCs w:val="22"/>
        </w:rPr>
      </w:pPr>
      <w:r w:rsidRPr="004A5FCD">
        <w:rPr>
          <w:sz w:val="22"/>
          <w:szCs w:val="22"/>
        </w:rPr>
        <w:t>Основните резултати от предоставянето на тази услуга са насочени към опазване на физическото състояние на документите и предотвратяване на тяхната загуба.</w:t>
      </w:r>
    </w:p>
    <w:p w14:paraId="2D14A58C" w14:textId="561DA327" w:rsidR="00202212" w:rsidRPr="004A5FCD" w:rsidRDefault="00202212" w:rsidP="00182600">
      <w:pPr>
        <w:shd w:val="clear" w:color="auto" w:fill="FFFFFF" w:themeFill="background1"/>
        <w:autoSpaceDE w:val="0"/>
        <w:autoSpaceDN w:val="0"/>
        <w:adjustRightInd w:val="0"/>
        <w:ind w:firstLine="425"/>
        <w:jc w:val="both"/>
        <w:rPr>
          <w:sz w:val="22"/>
          <w:szCs w:val="22"/>
        </w:rPr>
      </w:pPr>
      <w:r w:rsidRPr="004A5FCD">
        <w:rPr>
          <w:sz w:val="22"/>
          <w:szCs w:val="22"/>
        </w:rPr>
        <w:t xml:space="preserve">Основно задължение на ДАА, регламентирано в Закона за НАФ, е осъществяването на научно-методическо ръководство и контрол в държавните и общински институции, </w:t>
      </w:r>
      <w:proofErr w:type="spellStart"/>
      <w:r w:rsidRPr="004A5FCD">
        <w:rPr>
          <w:sz w:val="22"/>
          <w:szCs w:val="22"/>
        </w:rPr>
        <w:t>фондообразуватели</w:t>
      </w:r>
      <w:proofErr w:type="spellEnd"/>
      <w:r w:rsidRPr="004A5FCD">
        <w:rPr>
          <w:sz w:val="22"/>
          <w:szCs w:val="22"/>
        </w:rPr>
        <w:t xml:space="preserve"> на държавните архиви. Държавните и общински институции са отговорни относно създаването на правилна организация за работата с документите в учрежденските си архиви за опазването, съхранението и предаването на определените за постоянно съхранение документи в държавните архиви с цел попълване и обогатяване на НАФ. През първото полугодие на календарната година държавните архиви и</w:t>
      </w:r>
      <w:r w:rsidR="004A5FCD">
        <w:rPr>
          <w:sz w:val="22"/>
          <w:szCs w:val="22"/>
        </w:rPr>
        <w:t xml:space="preserve">звършваха, съобразно бюджета и </w:t>
      </w:r>
      <w:r w:rsidRPr="004A5FCD">
        <w:rPr>
          <w:sz w:val="22"/>
          <w:szCs w:val="22"/>
        </w:rPr>
        <w:t xml:space="preserve">наличния кадрови ресурс, научно-методическо ръководство и контрол по организацията на работата с документите, тяхното опазване и използване в учрежденските архиви на държавните и общинските институции. Осигуряването на финансови и човешки ресурси, обвързано със задачите и функциите на Агенцията, оказва съществено влияние за осъществяването на ефективна контролна дейност на държавните архиви на </w:t>
      </w:r>
      <w:proofErr w:type="spellStart"/>
      <w:r w:rsidRPr="004A5FCD">
        <w:rPr>
          <w:sz w:val="22"/>
          <w:szCs w:val="22"/>
        </w:rPr>
        <w:t>фондообразувателите</w:t>
      </w:r>
      <w:proofErr w:type="spellEnd"/>
      <w:r w:rsidRPr="004A5FCD">
        <w:rPr>
          <w:sz w:val="22"/>
          <w:szCs w:val="22"/>
        </w:rPr>
        <w:t xml:space="preserve"> – държавните и общинските институции, така и за оказването на крайно необходимото на </w:t>
      </w:r>
      <w:proofErr w:type="spellStart"/>
      <w:r w:rsidRPr="004A5FCD">
        <w:rPr>
          <w:sz w:val="22"/>
          <w:szCs w:val="22"/>
        </w:rPr>
        <w:t>фондообразувателите</w:t>
      </w:r>
      <w:proofErr w:type="spellEnd"/>
      <w:r w:rsidRPr="004A5FCD">
        <w:rPr>
          <w:sz w:val="22"/>
          <w:szCs w:val="22"/>
        </w:rPr>
        <w:t xml:space="preserve"> научно-методическо ръководство. Общият брой на </w:t>
      </w:r>
      <w:proofErr w:type="spellStart"/>
      <w:r w:rsidRPr="004A5FCD">
        <w:rPr>
          <w:sz w:val="22"/>
          <w:szCs w:val="22"/>
        </w:rPr>
        <w:lastRenderedPageBreak/>
        <w:t>фондообразувателите</w:t>
      </w:r>
      <w:proofErr w:type="spellEnd"/>
      <w:r w:rsidRPr="004A5FCD">
        <w:rPr>
          <w:sz w:val="22"/>
          <w:szCs w:val="22"/>
        </w:rPr>
        <w:t xml:space="preserve"> на държавните архиви към 31.12.2024 г. е 8</w:t>
      </w:r>
      <w:r w:rsidR="004A5FCD">
        <w:rPr>
          <w:sz w:val="22"/>
          <w:szCs w:val="22"/>
        </w:rPr>
        <w:t xml:space="preserve"> </w:t>
      </w:r>
      <w:r w:rsidRPr="004A5FCD">
        <w:rPr>
          <w:sz w:val="22"/>
          <w:szCs w:val="22"/>
        </w:rPr>
        <w:t xml:space="preserve">777. Особено важна е дейността на държавните архиви, свързана с превантивния, текущия и последващ контрол във </w:t>
      </w:r>
      <w:proofErr w:type="spellStart"/>
      <w:r w:rsidRPr="004A5FCD">
        <w:rPr>
          <w:sz w:val="22"/>
          <w:szCs w:val="22"/>
        </w:rPr>
        <w:t>фондообразувателите</w:t>
      </w:r>
      <w:proofErr w:type="spellEnd"/>
      <w:r w:rsidRPr="004A5FCD">
        <w:rPr>
          <w:sz w:val="22"/>
          <w:szCs w:val="22"/>
        </w:rPr>
        <w:t xml:space="preserve"> за опазване и предаване на документите им, обект на НАФ. Тя се осъществява чрез основни и контролни проверки, а при необходимост – чрез извънредни и инцидентни. През отчетния период са осъществени общо 374 проверки, от които: 263 основни проверки, 106 контролни, извънредните проверки са 4, а инцидентните – 1 бр. През първото полуго</w:t>
      </w:r>
      <w:r w:rsidR="004A5FCD">
        <w:rPr>
          <w:sz w:val="22"/>
          <w:szCs w:val="22"/>
        </w:rPr>
        <w:t xml:space="preserve">дие на 2025 г. провеждането на </w:t>
      </w:r>
      <w:r w:rsidRPr="004A5FCD">
        <w:rPr>
          <w:sz w:val="22"/>
          <w:szCs w:val="22"/>
        </w:rPr>
        <w:t>контролно-методическата дейност на държавните архиви е силно ограничена като основна причина за това са значително намалените финансови ресурси на ДАА. Общият брой на дадените предписания и направените констатации от извършената контролна дейност в държавните и общински институции възлиза на 1</w:t>
      </w:r>
      <w:r w:rsidR="004A5FCD">
        <w:rPr>
          <w:sz w:val="22"/>
          <w:szCs w:val="22"/>
        </w:rPr>
        <w:t xml:space="preserve"> </w:t>
      </w:r>
      <w:r w:rsidRPr="004A5FCD">
        <w:rPr>
          <w:sz w:val="22"/>
          <w:szCs w:val="22"/>
        </w:rPr>
        <w:t>758. От тях до 30</w:t>
      </w:r>
      <w:r w:rsidR="004A5FCD">
        <w:rPr>
          <w:sz w:val="22"/>
          <w:szCs w:val="22"/>
        </w:rPr>
        <w:t>.06.</w:t>
      </w:r>
      <w:r w:rsidRPr="004A5FCD">
        <w:rPr>
          <w:sz w:val="22"/>
          <w:szCs w:val="22"/>
        </w:rPr>
        <w:t xml:space="preserve">2025 г. е отчетено изпълнение на 571 предписания. </w:t>
      </w:r>
    </w:p>
    <w:p w14:paraId="58072141" w14:textId="09A78487" w:rsidR="00336EB2" w:rsidRPr="004A5FCD" w:rsidRDefault="00202212" w:rsidP="00182600">
      <w:pPr>
        <w:shd w:val="clear" w:color="auto" w:fill="FFFFFF" w:themeFill="background1"/>
        <w:autoSpaceDE w:val="0"/>
        <w:autoSpaceDN w:val="0"/>
        <w:adjustRightInd w:val="0"/>
        <w:ind w:firstLine="425"/>
        <w:jc w:val="both"/>
        <w:rPr>
          <w:sz w:val="22"/>
          <w:szCs w:val="22"/>
        </w:rPr>
      </w:pPr>
      <w:r w:rsidRPr="004A5FCD">
        <w:rPr>
          <w:sz w:val="22"/>
          <w:szCs w:val="22"/>
        </w:rPr>
        <w:t xml:space="preserve">Проведени са 11 срещи с </w:t>
      </w:r>
      <w:proofErr w:type="spellStart"/>
      <w:r w:rsidRPr="004A5FCD">
        <w:rPr>
          <w:sz w:val="22"/>
          <w:szCs w:val="22"/>
        </w:rPr>
        <w:t>фондообразуватели</w:t>
      </w:r>
      <w:proofErr w:type="spellEnd"/>
      <w:r w:rsidRPr="004A5FCD">
        <w:rPr>
          <w:sz w:val="22"/>
          <w:szCs w:val="22"/>
        </w:rPr>
        <w:t xml:space="preserve"> от Списък № 2 (политически партии, юридически лица с нестопанска цел и търговски дружества с частен капитал), които са потенциални източници </w:t>
      </w:r>
      <w:r w:rsidR="004A5FCD">
        <w:rPr>
          <w:sz w:val="22"/>
          <w:szCs w:val="22"/>
        </w:rPr>
        <w:t xml:space="preserve">на комплектуване на документи. </w:t>
      </w:r>
      <w:r w:rsidRPr="004A5FCD">
        <w:rPr>
          <w:sz w:val="22"/>
          <w:szCs w:val="22"/>
        </w:rPr>
        <w:t xml:space="preserve">За осигуряване на правилна работа на деловодствата и учрежденските архиви на действащите </w:t>
      </w:r>
      <w:proofErr w:type="spellStart"/>
      <w:r w:rsidRPr="004A5FCD">
        <w:rPr>
          <w:sz w:val="22"/>
          <w:szCs w:val="22"/>
        </w:rPr>
        <w:t>фондообразуватели</w:t>
      </w:r>
      <w:proofErr w:type="spellEnd"/>
      <w:r w:rsidRPr="004A5FCD">
        <w:rPr>
          <w:sz w:val="22"/>
          <w:szCs w:val="22"/>
        </w:rPr>
        <w:t xml:space="preserve">, държавните архиви са оказвали необходимата експертна помощ при разработване, актуализиране и внедряване на номенклатури на делата. Общият им брой за полугодието е 338, от които 75 нови, 86 актуализирани и 177 внедрени номенклатури. Научно-методическото ръководство на ДАА се осъществява и чрез провеждане на обучения на работещите в учрежденските архиви и членовете на ПДЕК. През първите шест месеца на 2025 г. експертите от ДАА са организирали и провели 7 курса с 61 </w:t>
      </w:r>
      <w:proofErr w:type="spellStart"/>
      <w:r w:rsidRPr="004A5FCD">
        <w:rPr>
          <w:sz w:val="22"/>
          <w:szCs w:val="22"/>
        </w:rPr>
        <w:t>фондообразувателя</w:t>
      </w:r>
      <w:proofErr w:type="spellEnd"/>
      <w:r w:rsidRPr="004A5FCD">
        <w:rPr>
          <w:sz w:val="22"/>
          <w:szCs w:val="22"/>
        </w:rPr>
        <w:t xml:space="preserve"> с издадени 1</w:t>
      </w:r>
      <w:r w:rsidR="004A5FCD">
        <w:rPr>
          <w:sz w:val="22"/>
          <w:szCs w:val="22"/>
        </w:rPr>
        <w:t xml:space="preserve">36 сертификата. Проведени са и </w:t>
      </w:r>
      <w:r w:rsidRPr="004A5FCD">
        <w:rPr>
          <w:sz w:val="22"/>
          <w:szCs w:val="22"/>
        </w:rPr>
        <w:t xml:space="preserve">207 методически обучения в 247 </w:t>
      </w:r>
      <w:proofErr w:type="spellStart"/>
      <w:r w:rsidRPr="004A5FCD">
        <w:rPr>
          <w:sz w:val="22"/>
          <w:szCs w:val="22"/>
        </w:rPr>
        <w:t>фондообразуватели</w:t>
      </w:r>
      <w:proofErr w:type="spellEnd"/>
      <w:r w:rsidRPr="004A5FCD">
        <w:rPr>
          <w:sz w:val="22"/>
          <w:szCs w:val="22"/>
        </w:rPr>
        <w:t xml:space="preserve"> (служители, отговарящи за учрежденските архиви и членове на ПДЕК във </w:t>
      </w:r>
      <w:proofErr w:type="spellStart"/>
      <w:r w:rsidRPr="004A5FCD">
        <w:rPr>
          <w:sz w:val="22"/>
          <w:szCs w:val="22"/>
        </w:rPr>
        <w:t>фондообразуватели</w:t>
      </w:r>
      <w:proofErr w:type="spellEnd"/>
      <w:r w:rsidRPr="004A5FCD">
        <w:rPr>
          <w:sz w:val="22"/>
          <w:szCs w:val="22"/>
        </w:rPr>
        <w:t xml:space="preserve">). Съгласуваните вътрешни правила за дейността на учрежденските архиви в държавните и общинските институции, </w:t>
      </w:r>
      <w:proofErr w:type="spellStart"/>
      <w:r w:rsidRPr="004A5FCD">
        <w:rPr>
          <w:sz w:val="22"/>
          <w:szCs w:val="22"/>
        </w:rPr>
        <w:t>фондообразуватели</w:t>
      </w:r>
      <w:proofErr w:type="spellEnd"/>
      <w:r w:rsidRPr="004A5FCD">
        <w:rPr>
          <w:sz w:val="22"/>
          <w:szCs w:val="22"/>
        </w:rPr>
        <w:t xml:space="preserve"> на държавните архиви, са 325. Държавните архиви са прегледали и изготвили становища по постъпили за сведение 1</w:t>
      </w:r>
      <w:r w:rsidR="004A5FCD">
        <w:rPr>
          <w:sz w:val="22"/>
          <w:szCs w:val="22"/>
        </w:rPr>
        <w:t xml:space="preserve"> </w:t>
      </w:r>
      <w:r w:rsidRPr="004A5FCD">
        <w:rPr>
          <w:sz w:val="22"/>
          <w:szCs w:val="22"/>
        </w:rPr>
        <w:t>700 акта за унищожаване на неценни документи с изтекъл срок на съхранение на държавни и общински институции, нотариуси и др. Основната цел при разглеждането им е да се гарантира, че не са включени ценни документи по смисъла на ЗНАФ.</w:t>
      </w:r>
    </w:p>
    <w:bookmarkEnd w:id="59"/>
    <w:bookmarkEnd w:id="60"/>
    <w:bookmarkEnd w:id="61"/>
    <w:bookmarkEnd w:id="62"/>
    <w:bookmarkEnd w:id="63"/>
    <w:bookmarkEnd w:id="64"/>
    <w:bookmarkEnd w:id="65"/>
    <w:p w14:paraId="409AA8EF" w14:textId="77777777" w:rsidR="005A2EF0" w:rsidRPr="00182600" w:rsidRDefault="005A2EF0" w:rsidP="00182600">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182600">
        <w:rPr>
          <w:b/>
          <w:bCs/>
          <w:i/>
          <w:iCs/>
          <w:color w:val="215E99" w:themeColor="text2" w:themeTint="BF"/>
          <w:sz w:val="22"/>
          <w:szCs w:val="22"/>
        </w:rPr>
        <w:t>Реставрация, консервация и микрофилмиране на архивни документи</w:t>
      </w:r>
    </w:p>
    <w:p w14:paraId="243621B6" w14:textId="77777777" w:rsidR="00F068C5" w:rsidRPr="00F068C5" w:rsidRDefault="00F068C5" w:rsidP="00A4193D">
      <w:pPr>
        <w:shd w:val="clear" w:color="auto" w:fill="FFFFFF" w:themeFill="background1"/>
        <w:autoSpaceDE w:val="0"/>
        <w:autoSpaceDN w:val="0"/>
        <w:adjustRightInd w:val="0"/>
        <w:ind w:firstLine="425"/>
        <w:jc w:val="both"/>
        <w:rPr>
          <w:b/>
          <w:i/>
          <w:color w:val="800000"/>
          <w:sz w:val="22"/>
          <w:szCs w:val="22"/>
        </w:rPr>
      </w:pPr>
      <w:bookmarkStart w:id="66" w:name="_Toc363640280"/>
      <w:bookmarkStart w:id="67" w:name="_Toc363641169"/>
      <w:bookmarkStart w:id="68" w:name="_Toc363641788"/>
      <w:bookmarkStart w:id="69" w:name="_Toc363641847"/>
      <w:bookmarkStart w:id="70" w:name="_Toc363733404"/>
      <w:bookmarkStart w:id="71" w:name="_Toc363733488"/>
      <w:bookmarkStart w:id="72" w:name="_Toc363733601"/>
      <w:r w:rsidRPr="00F068C5">
        <w:rPr>
          <w:b/>
          <w:i/>
          <w:color w:val="800000"/>
          <w:sz w:val="22"/>
          <w:szCs w:val="22"/>
        </w:rPr>
        <w:t>Резултати от предоставянето на продукта/услугата:</w:t>
      </w:r>
    </w:p>
    <w:p w14:paraId="1304FD9A" w14:textId="0AAD7E0B" w:rsidR="000A7DD3" w:rsidRPr="000A7DD3" w:rsidRDefault="000A7DD3" w:rsidP="00182600">
      <w:pPr>
        <w:shd w:val="clear" w:color="auto" w:fill="FFFFFF" w:themeFill="background1"/>
        <w:autoSpaceDE w:val="0"/>
        <w:autoSpaceDN w:val="0"/>
        <w:adjustRightInd w:val="0"/>
        <w:ind w:firstLine="425"/>
        <w:jc w:val="both"/>
        <w:rPr>
          <w:sz w:val="22"/>
          <w:szCs w:val="22"/>
        </w:rPr>
      </w:pPr>
      <w:r w:rsidRPr="000A7DD3">
        <w:rPr>
          <w:sz w:val="22"/>
          <w:szCs w:val="22"/>
        </w:rPr>
        <w:t>Като основни дейности за опазване на физическото състояние на архивните документи в процесите на тяхното съхранение и използване за различни цели продължи тяхната реставрация и консервация. През първото шестмесечие на 2025 г. бяха реставрирани 16 963 листа архивни документи. Реставрираните листове са от първа, втора и трета степен на увреденост. В това число не влиза т.н. „малка реставрация”, която не включва реална професионална реставрационна дейност. Реставрацията беше извършена в лабораторията при дирекция ДРКМ и в лабораториите по реставрация в Дирекция ДВИА и отделите „Държавен архив“ – Варна, Пловдив, Велико Търново, Монтана и Бургас. Архивите подготвят и предават архивните документи, които съхраняват в лабораториите по реставрация на съответната РДА, където се извършва самата реставрация. Изключение са тежко увредени документи и документи с големи формати, изискващи високоспециализирани професионални умения и скъпа професионална техника. Такива архивни документи се предават за реставрация в дирекция ДРКМ. Дирекцията реставрира също и всички архивни документи, съхранявани в дирекция ЦДА и в архивите от състава на РДА</w:t>
      </w:r>
      <w:r>
        <w:rPr>
          <w:sz w:val="22"/>
          <w:szCs w:val="22"/>
        </w:rPr>
        <w:t xml:space="preserve"> – </w:t>
      </w:r>
      <w:r w:rsidRPr="000A7DD3">
        <w:rPr>
          <w:sz w:val="22"/>
          <w:szCs w:val="22"/>
        </w:rPr>
        <w:t>София.</w:t>
      </w:r>
    </w:p>
    <w:p w14:paraId="72692871" w14:textId="668E2B3B" w:rsidR="00C020AD" w:rsidRDefault="000A7DD3" w:rsidP="00182600">
      <w:pPr>
        <w:shd w:val="clear" w:color="auto" w:fill="FFFFFF" w:themeFill="background1"/>
        <w:autoSpaceDE w:val="0"/>
        <w:autoSpaceDN w:val="0"/>
        <w:adjustRightInd w:val="0"/>
        <w:ind w:firstLine="425"/>
        <w:jc w:val="both"/>
        <w:rPr>
          <w:sz w:val="22"/>
          <w:szCs w:val="22"/>
        </w:rPr>
      </w:pPr>
      <w:r w:rsidRPr="000A7DD3">
        <w:rPr>
          <w:sz w:val="22"/>
          <w:szCs w:val="22"/>
        </w:rPr>
        <w:t xml:space="preserve">През 2025 г. по разпореждане на председателя на ДАА, направено на заседание на </w:t>
      </w:r>
      <w:r w:rsidR="00224659" w:rsidRPr="000A7DD3">
        <w:rPr>
          <w:sz w:val="22"/>
          <w:szCs w:val="22"/>
        </w:rPr>
        <w:t>Председател</w:t>
      </w:r>
      <w:r w:rsidR="003A2224">
        <w:rPr>
          <w:sz w:val="22"/>
          <w:szCs w:val="22"/>
        </w:rPr>
        <w:t>с</w:t>
      </w:r>
      <w:r w:rsidR="00224659" w:rsidRPr="000A7DD3">
        <w:rPr>
          <w:sz w:val="22"/>
          <w:szCs w:val="22"/>
        </w:rPr>
        <w:t>ки</w:t>
      </w:r>
      <w:r w:rsidR="00224659">
        <w:rPr>
          <w:sz w:val="22"/>
          <w:szCs w:val="22"/>
        </w:rPr>
        <w:t>я</w:t>
      </w:r>
      <w:r w:rsidRPr="000A7DD3">
        <w:rPr>
          <w:sz w:val="22"/>
          <w:szCs w:val="22"/>
        </w:rPr>
        <w:t xml:space="preserve"> съвет на ДАА на 16.09.2024 г. (регистриран в деловодната система на ДАА с ВК-00-115/24.9.2024 г.) и с резолюция по докладна записка № ДЗ-00-358/14.8.2024 г. не е извършвано застрахователно микрофилмиране на архивни документи, съхранявани в ДАА. През шестмесечието са </w:t>
      </w:r>
      <w:proofErr w:type="spellStart"/>
      <w:r w:rsidRPr="000A7DD3">
        <w:rPr>
          <w:sz w:val="22"/>
          <w:szCs w:val="22"/>
        </w:rPr>
        <w:t>микрофилмирани</w:t>
      </w:r>
      <w:proofErr w:type="spellEnd"/>
      <w:r w:rsidRPr="000A7DD3">
        <w:rPr>
          <w:sz w:val="22"/>
          <w:szCs w:val="22"/>
        </w:rPr>
        <w:t xml:space="preserve"> 15 312 бюлетини за съдимост по заявка на дирекция „Електронно правосъдие и регистри” при Министерство на правосъдието и 5 бюлетини за съдимост на Районен съд – Червен бряг – общо 15</w:t>
      </w:r>
      <w:r w:rsidR="000A5B98">
        <w:rPr>
          <w:sz w:val="22"/>
          <w:szCs w:val="22"/>
        </w:rPr>
        <w:t xml:space="preserve"> </w:t>
      </w:r>
      <w:r w:rsidRPr="000A7DD3">
        <w:rPr>
          <w:sz w:val="22"/>
          <w:szCs w:val="22"/>
        </w:rPr>
        <w:t xml:space="preserve">317 броя подлежащи на унищожение бюлетини, </w:t>
      </w:r>
      <w:proofErr w:type="spellStart"/>
      <w:r w:rsidRPr="000A7DD3">
        <w:rPr>
          <w:sz w:val="22"/>
          <w:szCs w:val="22"/>
        </w:rPr>
        <w:t>микрофилмирани</w:t>
      </w:r>
      <w:proofErr w:type="spellEnd"/>
      <w:r w:rsidRPr="000A7DD3">
        <w:rPr>
          <w:sz w:val="22"/>
          <w:szCs w:val="22"/>
        </w:rPr>
        <w:t xml:space="preserve"> по заплатени като външна поръчка по ценоразписа на услугите, предоставяни от ДАА, съгласно чл. 28, ал. 2, т. 2 от ЗН</w:t>
      </w:r>
      <w:r w:rsidR="000A5B98">
        <w:rPr>
          <w:sz w:val="22"/>
          <w:szCs w:val="22"/>
        </w:rPr>
        <w:t>АФ (обн. ДВ, бр. 8 от 27.01.</w:t>
      </w:r>
      <w:r w:rsidRPr="000A7DD3">
        <w:rPr>
          <w:sz w:val="22"/>
          <w:szCs w:val="22"/>
        </w:rPr>
        <w:t>2012 г., изм. ДВ, бр. 52 от 2015 г. в сила от 11</w:t>
      </w:r>
      <w:r w:rsidR="000A5B98">
        <w:rPr>
          <w:sz w:val="22"/>
          <w:szCs w:val="22"/>
        </w:rPr>
        <w:t>.08.</w:t>
      </w:r>
      <w:r w:rsidRPr="000A7DD3">
        <w:rPr>
          <w:sz w:val="22"/>
          <w:szCs w:val="22"/>
        </w:rPr>
        <w:t>2015 г.).</w:t>
      </w:r>
    </w:p>
    <w:p w14:paraId="7497CAD0" w14:textId="77777777" w:rsidR="00FE5CDF" w:rsidRDefault="00FE5CDF">
      <w:pPr>
        <w:rPr>
          <w:rFonts w:eastAsia="Batang"/>
          <w:b/>
          <w:bCs/>
          <w:i/>
          <w:iCs/>
          <w:color w:val="215E99" w:themeColor="text2" w:themeTint="BF"/>
          <w:sz w:val="22"/>
          <w:szCs w:val="22"/>
          <w:lang w:val="x-none" w:eastAsia="ko-KR"/>
        </w:rPr>
      </w:pPr>
      <w:r>
        <w:rPr>
          <w:b/>
          <w:bCs/>
          <w:i/>
          <w:iCs/>
          <w:color w:val="215E99" w:themeColor="text2" w:themeTint="BF"/>
          <w:sz w:val="22"/>
          <w:szCs w:val="22"/>
        </w:rPr>
        <w:br w:type="page"/>
      </w:r>
    </w:p>
    <w:p w14:paraId="2222C18F" w14:textId="50B616DC" w:rsidR="00436CDF" w:rsidRPr="00BE10DE" w:rsidRDefault="00436CDF" w:rsidP="00BE10DE">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BE10DE">
        <w:rPr>
          <w:b/>
          <w:bCs/>
          <w:i/>
          <w:iCs/>
          <w:color w:val="215E99" w:themeColor="text2" w:themeTint="BF"/>
          <w:sz w:val="22"/>
          <w:szCs w:val="22"/>
        </w:rPr>
        <w:lastRenderedPageBreak/>
        <w:t>Дигитален архив на ДАА</w:t>
      </w:r>
    </w:p>
    <w:p w14:paraId="750301B0" w14:textId="77777777" w:rsidR="007C13ED" w:rsidRPr="007C13ED" w:rsidRDefault="007C13ED" w:rsidP="00A4193D">
      <w:pPr>
        <w:shd w:val="clear" w:color="auto" w:fill="FFFFFF" w:themeFill="background1"/>
        <w:autoSpaceDE w:val="0"/>
        <w:autoSpaceDN w:val="0"/>
        <w:adjustRightInd w:val="0"/>
        <w:ind w:firstLine="425"/>
        <w:jc w:val="both"/>
        <w:rPr>
          <w:b/>
          <w:i/>
          <w:color w:val="800000"/>
          <w:sz w:val="22"/>
          <w:szCs w:val="22"/>
        </w:rPr>
      </w:pPr>
      <w:r w:rsidRPr="007C13ED">
        <w:rPr>
          <w:b/>
          <w:i/>
          <w:color w:val="800000"/>
          <w:sz w:val="22"/>
          <w:szCs w:val="22"/>
        </w:rPr>
        <w:t>Резултати от предоставянето на продукта/услугата:</w:t>
      </w:r>
    </w:p>
    <w:p w14:paraId="4A12DA99" w14:textId="77777777" w:rsidR="005C1BFC" w:rsidRPr="005C1BFC" w:rsidRDefault="005C1BFC" w:rsidP="00182600">
      <w:pPr>
        <w:shd w:val="clear" w:color="auto" w:fill="FFFFFF" w:themeFill="background1"/>
        <w:autoSpaceDE w:val="0"/>
        <w:autoSpaceDN w:val="0"/>
        <w:adjustRightInd w:val="0"/>
        <w:ind w:firstLine="425"/>
        <w:jc w:val="both"/>
        <w:rPr>
          <w:sz w:val="22"/>
          <w:szCs w:val="22"/>
        </w:rPr>
      </w:pPr>
      <w:r w:rsidRPr="00602739">
        <w:rPr>
          <w:sz w:val="22"/>
          <w:szCs w:val="22"/>
        </w:rPr>
        <w:t xml:space="preserve">Като част от софтуерното управление на архивните процеси и данни и в изпълнение на стратегически цели и нормативно регламентирани функции на ДАА, през първото шестмесечие на 2025 г. продължи попълването на базата на Дигиталния архив на Агенцията в ИСДА с дигитални копия на статични архивни документи на „традиционен” носител: дигитални </w:t>
      </w:r>
      <w:proofErr w:type="spellStart"/>
      <w:r w:rsidRPr="00602739">
        <w:rPr>
          <w:sz w:val="22"/>
          <w:szCs w:val="22"/>
        </w:rPr>
        <w:t>мастер</w:t>
      </w:r>
      <w:proofErr w:type="spellEnd"/>
      <w:r w:rsidRPr="00602739">
        <w:rPr>
          <w:sz w:val="22"/>
          <w:szCs w:val="22"/>
        </w:rPr>
        <w:t xml:space="preserve"> обекти и съответните метаданни и осигуряването на неограничен достъп до нея чрез публичната част на системата.</w:t>
      </w:r>
    </w:p>
    <w:p w14:paraId="5058EB7C" w14:textId="3F950FB8" w:rsidR="005C1BFC" w:rsidRPr="00602739" w:rsidRDefault="005C1BFC" w:rsidP="00182600">
      <w:pPr>
        <w:shd w:val="clear" w:color="auto" w:fill="FFFFFF" w:themeFill="background1"/>
        <w:autoSpaceDE w:val="0"/>
        <w:autoSpaceDN w:val="0"/>
        <w:adjustRightInd w:val="0"/>
        <w:ind w:firstLine="425"/>
        <w:jc w:val="both"/>
        <w:rPr>
          <w:sz w:val="22"/>
          <w:szCs w:val="22"/>
        </w:rPr>
      </w:pPr>
      <w:r w:rsidRPr="00602739">
        <w:rPr>
          <w:sz w:val="22"/>
          <w:szCs w:val="22"/>
        </w:rPr>
        <w:t xml:space="preserve">През първото полугодие на 2025 г. в ИСДА бяха импортирани 18 285 </w:t>
      </w:r>
      <w:proofErr w:type="spellStart"/>
      <w:r w:rsidRPr="00602739">
        <w:rPr>
          <w:sz w:val="22"/>
          <w:szCs w:val="22"/>
        </w:rPr>
        <w:t>мастер</w:t>
      </w:r>
      <w:proofErr w:type="spellEnd"/>
      <w:r w:rsidRPr="00602739">
        <w:rPr>
          <w:sz w:val="22"/>
          <w:szCs w:val="22"/>
        </w:rPr>
        <w:t xml:space="preserve"> обекта (дигитални копия на статични архивни документи в тяхната цялост), включващи съответните метаданни (включително архивни описания), съдържащи 127 587</w:t>
      </w:r>
      <w:r>
        <w:rPr>
          <w:sz w:val="22"/>
          <w:szCs w:val="22"/>
        </w:rPr>
        <w:t xml:space="preserve"> </w:t>
      </w:r>
      <w:proofErr w:type="spellStart"/>
      <w:r w:rsidRPr="00602739">
        <w:rPr>
          <w:sz w:val="22"/>
          <w:szCs w:val="22"/>
        </w:rPr>
        <w:t>мастер</w:t>
      </w:r>
      <w:proofErr w:type="spellEnd"/>
      <w:r w:rsidRPr="00602739">
        <w:rPr>
          <w:sz w:val="22"/>
          <w:szCs w:val="22"/>
        </w:rPr>
        <w:t xml:space="preserve"> образа с обем 4.3 ТБ (4 367 ГБ), без да се отчита необходимият за резервиране капацитет. Това за поредна година е най-голямото увеличение на количеството новоизготвени дигитални </w:t>
      </w:r>
      <w:proofErr w:type="spellStart"/>
      <w:r w:rsidRPr="00602739">
        <w:rPr>
          <w:sz w:val="22"/>
          <w:szCs w:val="22"/>
        </w:rPr>
        <w:t>мастер</w:t>
      </w:r>
      <w:proofErr w:type="spellEnd"/>
      <w:r w:rsidRPr="00602739">
        <w:rPr>
          <w:sz w:val="22"/>
          <w:szCs w:val="22"/>
        </w:rPr>
        <w:t xml:space="preserve"> обекти за първите шестмесечия на последните три години както като брой дигитални обекти, така и като брой дигитални образи и като обем.</w:t>
      </w:r>
    </w:p>
    <w:p w14:paraId="7E4ECDF5" w14:textId="77777777" w:rsidR="005C1BFC" w:rsidRPr="00602739" w:rsidRDefault="005C1BFC" w:rsidP="00182600">
      <w:pPr>
        <w:shd w:val="clear" w:color="auto" w:fill="FFFFFF" w:themeFill="background1"/>
        <w:autoSpaceDE w:val="0"/>
        <w:autoSpaceDN w:val="0"/>
        <w:adjustRightInd w:val="0"/>
        <w:ind w:firstLine="425"/>
        <w:jc w:val="both"/>
        <w:rPr>
          <w:sz w:val="22"/>
          <w:szCs w:val="22"/>
        </w:rPr>
      </w:pPr>
      <w:r w:rsidRPr="00602739">
        <w:rPr>
          <w:sz w:val="22"/>
          <w:szCs w:val="22"/>
        </w:rPr>
        <w:t xml:space="preserve">Цялата базата на Дигиталния архив на ДАА в ИСДА към 30.06.2025 г. съдържа: 202 784 дигитални </w:t>
      </w:r>
      <w:proofErr w:type="spellStart"/>
      <w:r w:rsidRPr="00602739">
        <w:rPr>
          <w:sz w:val="22"/>
          <w:szCs w:val="22"/>
        </w:rPr>
        <w:t>мастер</w:t>
      </w:r>
      <w:proofErr w:type="spellEnd"/>
      <w:r w:rsidRPr="00602739">
        <w:rPr>
          <w:sz w:val="22"/>
          <w:szCs w:val="22"/>
        </w:rPr>
        <w:t xml:space="preserve"> обекта (архивни документи в тяхната цялост), съдържащи 1 106 477 дигитални </w:t>
      </w:r>
      <w:proofErr w:type="spellStart"/>
      <w:r w:rsidRPr="00602739">
        <w:rPr>
          <w:sz w:val="22"/>
          <w:szCs w:val="22"/>
        </w:rPr>
        <w:t>мастер</w:t>
      </w:r>
      <w:proofErr w:type="spellEnd"/>
      <w:r w:rsidRPr="00602739">
        <w:rPr>
          <w:sz w:val="22"/>
          <w:szCs w:val="22"/>
        </w:rPr>
        <w:t xml:space="preserve"> образа (съставни части на архивните документи – страници) с приблизителен обем 46.3 ТБ (само </w:t>
      </w:r>
      <w:proofErr w:type="spellStart"/>
      <w:r w:rsidRPr="00602739">
        <w:rPr>
          <w:sz w:val="22"/>
          <w:szCs w:val="22"/>
        </w:rPr>
        <w:t>мастер</w:t>
      </w:r>
      <w:proofErr w:type="spellEnd"/>
      <w:r w:rsidRPr="00602739">
        <w:rPr>
          <w:sz w:val="22"/>
          <w:szCs w:val="22"/>
        </w:rPr>
        <w:t xml:space="preserve"> образи, без в това число да влиза капацитетът за резервиране на данните и производните образи). Това са дигитални копия на статични архивни документи на „традиционен” носител (хартия, пергамент, филмова лента (кадри позитив и негатив), стъкло и др.) и съответните архивни описания, които осигуряват търсенето и извличането на информация и осмислят цялата дигитализация. Цялата база 100% (всички архивни описания и производни образи с резолюция, подходяща за Интернет разпространение) отговаря на всички методически утвърдени изисквания, достъпна е за всички потребители на архивна информация през официалната Интернет страница на ДАА за преглед и търсене в удобен за Интернет разпространение формат без никакъв субективен подбор в ДАА и напълно свободно: без регистрации, без ограничения (технически, финансови и административни), без увреждане на образите с водни знаци и други защити и без такси. Този достъп се осигурява автоматично от ИСДА от момента на одобряване на </w:t>
      </w:r>
      <w:proofErr w:type="spellStart"/>
      <w:r w:rsidRPr="00602739">
        <w:rPr>
          <w:sz w:val="22"/>
          <w:szCs w:val="22"/>
        </w:rPr>
        <w:t>мастер</w:t>
      </w:r>
      <w:proofErr w:type="spellEnd"/>
      <w:r w:rsidRPr="00602739">
        <w:rPr>
          <w:sz w:val="22"/>
          <w:szCs w:val="22"/>
        </w:rPr>
        <w:t xml:space="preserve"> обектите на стъпка „Контрол на качеството”.</w:t>
      </w:r>
    </w:p>
    <w:p w14:paraId="30402F02" w14:textId="2DEC8E1C" w:rsidR="005C1BFC" w:rsidRPr="00602739" w:rsidRDefault="005C1BFC" w:rsidP="00182600">
      <w:pPr>
        <w:shd w:val="clear" w:color="auto" w:fill="FFFFFF" w:themeFill="background1"/>
        <w:autoSpaceDE w:val="0"/>
        <w:autoSpaceDN w:val="0"/>
        <w:adjustRightInd w:val="0"/>
        <w:ind w:firstLine="425"/>
        <w:jc w:val="both"/>
        <w:rPr>
          <w:sz w:val="22"/>
          <w:szCs w:val="22"/>
        </w:rPr>
      </w:pPr>
      <w:r w:rsidRPr="00602739">
        <w:rPr>
          <w:sz w:val="22"/>
          <w:szCs w:val="22"/>
        </w:rPr>
        <w:t>Количествено измерим показател за ефекта от изразходваните за попълване на Дигиталния архив в ИСДА ресурси е потребителското търсене на резултатите от тази дейност, изразено като брой показвания на дигитални обекти през публичната част на системата. За периода 01.01.2025 г. – 30.06.2025 г. този брой е бил 37</w:t>
      </w:r>
      <w:r>
        <w:rPr>
          <w:sz w:val="22"/>
          <w:szCs w:val="22"/>
        </w:rPr>
        <w:t xml:space="preserve"> </w:t>
      </w:r>
      <w:r w:rsidRPr="00602739">
        <w:rPr>
          <w:sz w:val="22"/>
          <w:szCs w:val="22"/>
        </w:rPr>
        <w:t>093, което е над средното количество показвания за първите полугодия на последните три години. Това показва устойчивостта на достигнатия потребителски интерес към Дигиталния архив на ДАА в ИСДА. Устойчивост, която е обусловена от устойчивостта на качеството на дигиталните образи и метаданните, на начините, методиката и организацията на работа за попълване на Дигиталния архив на ДАА в ИСДА с дигитални копия на статични архивни документи на „традиционен носител”.</w:t>
      </w:r>
    </w:p>
    <w:p w14:paraId="29583512" w14:textId="2DE797BC" w:rsidR="005C1BFC" w:rsidRPr="00602739" w:rsidRDefault="005C1BFC" w:rsidP="00182600">
      <w:pPr>
        <w:shd w:val="clear" w:color="auto" w:fill="FFFFFF" w:themeFill="background1"/>
        <w:autoSpaceDE w:val="0"/>
        <w:autoSpaceDN w:val="0"/>
        <w:adjustRightInd w:val="0"/>
        <w:ind w:firstLine="425"/>
        <w:jc w:val="both"/>
        <w:rPr>
          <w:sz w:val="22"/>
          <w:szCs w:val="22"/>
        </w:rPr>
      </w:pPr>
      <w:r w:rsidRPr="00602739">
        <w:rPr>
          <w:sz w:val="22"/>
          <w:szCs w:val="22"/>
        </w:rPr>
        <w:t xml:space="preserve">Данните по количествено измеримите показатели за работата на ДАА по обогатяване на своя Дигиталния архив: използване на Дигиталния архив от потребители през публичната част на ИСДА, количество и качество на добавените дигитални </w:t>
      </w:r>
      <w:proofErr w:type="spellStart"/>
      <w:r w:rsidRPr="00602739">
        <w:rPr>
          <w:sz w:val="22"/>
          <w:szCs w:val="22"/>
        </w:rPr>
        <w:t>мастер</w:t>
      </w:r>
      <w:proofErr w:type="spellEnd"/>
      <w:r w:rsidRPr="00602739">
        <w:rPr>
          <w:sz w:val="22"/>
          <w:szCs w:val="22"/>
        </w:rPr>
        <w:t xml:space="preserve"> обекти/образи показват затвърждаване на тенденцията за устойчивост, наблюдавана през последните години. Това означава, че съществуващата методика и организация на работа трябва да се запази и да се гарантират необходимите ресурси за нея. Тези резултати допринасят за изпълнението на нормативно определени функции и задължения ДАА и ангажименти на Агенцията като НПВУ и са показател за целесъобразността и ефективността на използването на отделяните за Дигитален архив в ИСДА средства по утвърдения и вече прецизиран начин.</w:t>
      </w:r>
    </w:p>
    <w:p w14:paraId="6557C116" w14:textId="1654E256" w:rsidR="00322BD3" w:rsidRPr="00A4193D" w:rsidRDefault="00322BD3" w:rsidP="00A4193D">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A4193D">
        <w:rPr>
          <w:b/>
          <w:bCs/>
          <w:i/>
          <w:iCs/>
          <w:color w:val="215E99" w:themeColor="text2" w:themeTint="BF"/>
          <w:sz w:val="22"/>
          <w:szCs w:val="22"/>
        </w:rPr>
        <w:t xml:space="preserve">Издирване и комплектуване на архивни документи, обект на Националния </w:t>
      </w:r>
      <w:r w:rsidR="00A4193D">
        <w:rPr>
          <w:b/>
          <w:bCs/>
          <w:i/>
          <w:iCs/>
          <w:color w:val="215E99" w:themeColor="text2" w:themeTint="BF"/>
          <w:sz w:val="22"/>
          <w:szCs w:val="22"/>
        </w:rPr>
        <w:br/>
      </w:r>
      <w:r w:rsidRPr="00A4193D">
        <w:rPr>
          <w:b/>
          <w:bCs/>
          <w:i/>
          <w:iCs/>
          <w:color w:val="215E99" w:themeColor="text2" w:themeTint="BF"/>
          <w:sz w:val="22"/>
          <w:szCs w:val="22"/>
        </w:rPr>
        <w:t>архивен фонд</w:t>
      </w:r>
    </w:p>
    <w:p w14:paraId="06762C4D" w14:textId="77777777" w:rsidR="007C13ED" w:rsidRPr="007C13ED" w:rsidRDefault="007C13ED" w:rsidP="00A4193D">
      <w:pPr>
        <w:shd w:val="clear" w:color="auto" w:fill="FFFFFF" w:themeFill="background1"/>
        <w:autoSpaceDE w:val="0"/>
        <w:autoSpaceDN w:val="0"/>
        <w:adjustRightInd w:val="0"/>
        <w:ind w:firstLine="425"/>
        <w:jc w:val="both"/>
        <w:rPr>
          <w:b/>
          <w:i/>
          <w:color w:val="800000"/>
          <w:sz w:val="22"/>
          <w:szCs w:val="22"/>
        </w:rPr>
      </w:pPr>
      <w:r w:rsidRPr="007C13ED">
        <w:rPr>
          <w:b/>
          <w:i/>
          <w:color w:val="800000"/>
          <w:sz w:val="22"/>
          <w:szCs w:val="22"/>
        </w:rPr>
        <w:t>Резултати от предоставянето на продукта/услугата:</w:t>
      </w:r>
    </w:p>
    <w:p w14:paraId="0642CD0D" w14:textId="77777777" w:rsidR="00E62B7E" w:rsidRPr="00E62B7E" w:rsidRDefault="00E62B7E" w:rsidP="00A4193D">
      <w:pPr>
        <w:shd w:val="clear" w:color="auto" w:fill="FFFFFF" w:themeFill="background1"/>
        <w:autoSpaceDE w:val="0"/>
        <w:autoSpaceDN w:val="0"/>
        <w:adjustRightInd w:val="0"/>
        <w:ind w:firstLine="425"/>
        <w:jc w:val="both"/>
        <w:rPr>
          <w:sz w:val="22"/>
          <w:szCs w:val="22"/>
        </w:rPr>
      </w:pPr>
      <w:r w:rsidRPr="00E62B7E">
        <w:rPr>
          <w:sz w:val="22"/>
          <w:szCs w:val="22"/>
        </w:rPr>
        <w:t xml:space="preserve">Източници за попълване на НАФ са документите на държавните и общинските институции, документи от личен произход, както и документи и копия на документи </w:t>
      </w:r>
      <w:r w:rsidRPr="00472A5A">
        <w:rPr>
          <w:sz w:val="22"/>
          <w:szCs w:val="22"/>
        </w:rPr>
        <w:t>за българската история</w:t>
      </w:r>
      <w:r w:rsidRPr="00E62B7E">
        <w:rPr>
          <w:sz w:val="22"/>
          <w:szCs w:val="22"/>
        </w:rPr>
        <w:t xml:space="preserve"> от </w:t>
      </w:r>
      <w:r w:rsidRPr="00E62B7E">
        <w:rPr>
          <w:sz w:val="22"/>
          <w:szCs w:val="22"/>
        </w:rPr>
        <w:lastRenderedPageBreak/>
        <w:t>чуждестранни архиви. Недостатъчният финансов ресурс на ДАА ограничава възможностите за обогатяване на НАФ с ценни постъпления чрез откупуване на документи.</w:t>
      </w:r>
    </w:p>
    <w:p w14:paraId="4BC12903" w14:textId="13DD7FC0" w:rsidR="00E62B7E" w:rsidRPr="00472A5A" w:rsidRDefault="00E62B7E" w:rsidP="00A4193D">
      <w:pPr>
        <w:shd w:val="clear" w:color="auto" w:fill="FFFFFF" w:themeFill="background1"/>
        <w:autoSpaceDE w:val="0"/>
        <w:autoSpaceDN w:val="0"/>
        <w:adjustRightInd w:val="0"/>
        <w:ind w:firstLine="425"/>
        <w:jc w:val="both"/>
        <w:rPr>
          <w:sz w:val="22"/>
          <w:szCs w:val="22"/>
        </w:rPr>
      </w:pPr>
      <w:r w:rsidRPr="00472A5A">
        <w:rPr>
          <w:sz w:val="22"/>
          <w:szCs w:val="22"/>
        </w:rPr>
        <w:t>В изпълнение на политиката на ДАА в областта на подбора и комплектуването на документи от НАФ и на оперативна цел 2.2 за постигане на стратегическа цел 2. Опазване, съхранение и обогатяване на документалното наследство на нацията от Стратегията на Държавна аг</w:t>
      </w:r>
      <w:r>
        <w:rPr>
          <w:sz w:val="22"/>
          <w:szCs w:val="22"/>
        </w:rPr>
        <w:t>енция „Архиви“ за периода 01.07.</w:t>
      </w:r>
      <w:r w:rsidRPr="00472A5A">
        <w:rPr>
          <w:sz w:val="22"/>
          <w:szCs w:val="22"/>
        </w:rPr>
        <w:t>2021 г. – 31</w:t>
      </w:r>
      <w:r>
        <w:rPr>
          <w:sz w:val="22"/>
          <w:szCs w:val="22"/>
        </w:rPr>
        <w:t>.12.</w:t>
      </w:r>
      <w:r w:rsidRPr="00472A5A">
        <w:rPr>
          <w:sz w:val="22"/>
          <w:szCs w:val="22"/>
        </w:rPr>
        <w:t>2026 г., през първото шестмесечие на 2025 г. са приети за постоянно запазване общо 201 учрежденски и лични фонда, 68 частични постъпления и 4 спомена.</w:t>
      </w:r>
      <w:r w:rsidRPr="00E62B7E">
        <w:rPr>
          <w:sz w:val="22"/>
          <w:szCs w:val="22"/>
        </w:rPr>
        <w:t xml:space="preserve"> </w:t>
      </w:r>
      <w:r w:rsidRPr="00472A5A">
        <w:rPr>
          <w:sz w:val="22"/>
          <w:szCs w:val="22"/>
        </w:rPr>
        <w:t>За първото шестмесечие на 2025 г. експертите в държавните архиви са извършили експертиза и научно-техническа обработка (НТО) на 64 фонда (учрежденски и от личен произход), приети за съхранение в предходни години, с общо 10 537 архивни единици (</w:t>
      </w:r>
      <w:proofErr w:type="spellStart"/>
      <w:r w:rsidRPr="00472A5A">
        <w:rPr>
          <w:sz w:val="22"/>
          <w:szCs w:val="22"/>
        </w:rPr>
        <w:t>а.е</w:t>
      </w:r>
      <w:proofErr w:type="spellEnd"/>
      <w:r w:rsidRPr="00472A5A">
        <w:rPr>
          <w:sz w:val="22"/>
          <w:szCs w:val="22"/>
        </w:rPr>
        <w:t xml:space="preserve">.). </w:t>
      </w:r>
      <w:proofErr w:type="spellStart"/>
      <w:r w:rsidRPr="00472A5A">
        <w:rPr>
          <w:sz w:val="22"/>
          <w:szCs w:val="22"/>
        </w:rPr>
        <w:t>Пресъставени</w:t>
      </w:r>
      <w:proofErr w:type="spellEnd"/>
      <w:r w:rsidRPr="00472A5A">
        <w:rPr>
          <w:sz w:val="22"/>
          <w:szCs w:val="22"/>
        </w:rPr>
        <w:t xml:space="preserve"> са 8 инвентарни описа с 391 </w:t>
      </w:r>
      <w:proofErr w:type="spellStart"/>
      <w:r w:rsidRPr="00472A5A">
        <w:rPr>
          <w:sz w:val="22"/>
          <w:szCs w:val="22"/>
        </w:rPr>
        <w:t>а.е</w:t>
      </w:r>
      <w:proofErr w:type="spellEnd"/>
      <w:r w:rsidRPr="00472A5A">
        <w:rPr>
          <w:sz w:val="22"/>
          <w:szCs w:val="22"/>
        </w:rPr>
        <w:t xml:space="preserve">. и обем </w:t>
      </w:r>
      <w:r>
        <w:rPr>
          <w:sz w:val="22"/>
          <w:szCs w:val="22"/>
        </w:rPr>
        <w:t>5.</w:t>
      </w:r>
      <w:r w:rsidRPr="00472A5A">
        <w:rPr>
          <w:sz w:val="22"/>
          <w:szCs w:val="22"/>
        </w:rPr>
        <w:t xml:space="preserve">20 </w:t>
      </w:r>
      <w:proofErr w:type="spellStart"/>
      <w:r w:rsidRPr="00472A5A">
        <w:rPr>
          <w:sz w:val="22"/>
          <w:szCs w:val="22"/>
        </w:rPr>
        <w:t>л.м</w:t>
      </w:r>
      <w:proofErr w:type="spellEnd"/>
      <w:r w:rsidRPr="00472A5A">
        <w:rPr>
          <w:sz w:val="22"/>
          <w:szCs w:val="22"/>
        </w:rPr>
        <w:t>. Продължава и работата по усъвършенстване на инвентарни описи. За шестмесечието са усъвършенствани 18 инвентарни описа с 1</w:t>
      </w:r>
      <w:r>
        <w:rPr>
          <w:sz w:val="22"/>
          <w:szCs w:val="22"/>
        </w:rPr>
        <w:t xml:space="preserve"> </w:t>
      </w:r>
      <w:r w:rsidRPr="00472A5A">
        <w:rPr>
          <w:sz w:val="22"/>
          <w:szCs w:val="22"/>
        </w:rPr>
        <w:t xml:space="preserve">172 </w:t>
      </w:r>
      <w:proofErr w:type="spellStart"/>
      <w:r w:rsidRPr="00472A5A">
        <w:rPr>
          <w:sz w:val="22"/>
          <w:szCs w:val="22"/>
        </w:rPr>
        <w:t>а.е</w:t>
      </w:r>
      <w:proofErr w:type="spellEnd"/>
      <w:r w:rsidRPr="00472A5A">
        <w:rPr>
          <w:sz w:val="22"/>
          <w:szCs w:val="22"/>
        </w:rPr>
        <w:t xml:space="preserve">. </w:t>
      </w:r>
    </w:p>
    <w:p w14:paraId="18BB22E5" w14:textId="25806D23" w:rsidR="006B5F4C" w:rsidRPr="00A4193D" w:rsidRDefault="006B5F4C" w:rsidP="00A4193D">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A4193D">
        <w:rPr>
          <w:b/>
          <w:bCs/>
          <w:i/>
          <w:iCs/>
          <w:color w:val="215E99" w:themeColor="text2" w:themeTint="BF"/>
          <w:sz w:val="22"/>
          <w:szCs w:val="22"/>
        </w:rPr>
        <w:t>Обслужване на потребители</w:t>
      </w:r>
    </w:p>
    <w:p w14:paraId="1DC29FD7" w14:textId="77777777" w:rsidR="007C13ED" w:rsidRPr="007C13ED" w:rsidRDefault="007C13ED" w:rsidP="00A4193D">
      <w:pPr>
        <w:shd w:val="clear" w:color="auto" w:fill="FFFFFF" w:themeFill="background1"/>
        <w:autoSpaceDE w:val="0"/>
        <w:autoSpaceDN w:val="0"/>
        <w:adjustRightInd w:val="0"/>
        <w:ind w:firstLine="425"/>
        <w:jc w:val="both"/>
        <w:rPr>
          <w:b/>
          <w:i/>
          <w:color w:val="800000"/>
          <w:sz w:val="22"/>
          <w:szCs w:val="22"/>
        </w:rPr>
      </w:pPr>
      <w:r w:rsidRPr="007C13ED">
        <w:rPr>
          <w:b/>
          <w:i/>
          <w:color w:val="800000"/>
          <w:sz w:val="22"/>
          <w:szCs w:val="22"/>
        </w:rPr>
        <w:t>Резултати от предоставянето на продукта/услугата:</w:t>
      </w:r>
    </w:p>
    <w:p w14:paraId="7F55279C" w14:textId="77777777" w:rsidR="00AC5F23" w:rsidRPr="00AC5F23" w:rsidRDefault="00AC5F23" w:rsidP="00A4193D">
      <w:pPr>
        <w:shd w:val="clear" w:color="auto" w:fill="FFFFFF" w:themeFill="background1"/>
        <w:autoSpaceDE w:val="0"/>
        <w:autoSpaceDN w:val="0"/>
        <w:adjustRightInd w:val="0"/>
        <w:ind w:firstLine="425"/>
        <w:jc w:val="both"/>
        <w:rPr>
          <w:sz w:val="22"/>
          <w:szCs w:val="22"/>
        </w:rPr>
      </w:pPr>
      <w:r w:rsidRPr="00D164AA">
        <w:rPr>
          <w:sz w:val="22"/>
          <w:szCs w:val="22"/>
        </w:rPr>
        <w:t xml:space="preserve">Посредством услугата се гарантират конституционните права на гражданите за достъп до документна и архивна информация. Чрез Информационната система на държавните архиви (ИСДА) е улеснен и значително разширен достъпът до пълна и актуална база на научно-справочния апарат по съдържанието на архивните документи и до техни дигитални копия. С това се подобрява и опазването на архивните документи като се предоставя възможност за облекчен онлайн достъп до техни архивни описания и дигитални копия вместо оригиналите. </w:t>
      </w:r>
    </w:p>
    <w:p w14:paraId="00DD9206" w14:textId="77777777" w:rsidR="00AC5F23" w:rsidRPr="00D164AA" w:rsidRDefault="00AC5F23" w:rsidP="00A4193D">
      <w:pPr>
        <w:shd w:val="clear" w:color="auto" w:fill="FFFFFF" w:themeFill="background1"/>
        <w:autoSpaceDE w:val="0"/>
        <w:autoSpaceDN w:val="0"/>
        <w:adjustRightInd w:val="0"/>
        <w:ind w:firstLine="425"/>
        <w:jc w:val="both"/>
        <w:rPr>
          <w:sz w:val="22"/>
          <w:szCs w:val="22"/>
        </w:rPr>
      </w:pPr>
      <w:r w:rsidRPr="00D164AA">
        <w:rPr>
          <w:sz w:val="22"/>
          <w:szCs w:val="22"/>
        </w:rPr>
        <w:t xml:space="preserve">Управлението на документалното наследство на нацията се извършва посредством Регистъра на НАФ. Специализираният софтуер централизира информацията за документите от състава на НАФ, с което дава възможност за пълноценното му управление, за подобряване на мерките за опазване на документите, както и за пълноценен и улеснен публичен достъп до информацията за тях. През първото полугодие на 2025 г. </w:t>
      </w:r>
      <w:r w:rsidRPr="00AC5F23">
        <w:rPr>
          <w:sz w:val="22"/>
          <w:szCs w:val="22"/>
        </w:rPr>
        <w:t>не</w:t>
      </w:r>
      <w:r w:rsidRPr="00D164AA">
        <w:rPr>
          <w:sz w:val="22"/>
          <w:szCs w:val="22"/>
        </w:rPr>
        <w:t xml:space="preserve"> са</w:t>
      </w:r>
      <w:r w:rsidRPr="00AC5F23">
        <w:rPr>
          <w:sz w:val="22"/>
          <w:szCs w:val="22"/>
        </w:rPr>
        <w:t xml:space="preserve"> създадени нови партиди по чл. 7 и чл. 8 от Наредбата за условията и реда за водене на Регистър на Националния архивен фонд. Актуализирани са 6 партиди</w:t>
      </w:r>
      <w:r w:rsidRPr="00D164AA">
        <w:rPr>
          <w:sz w:val="22"/>
          <w:szCs w:val="22"/>
        </w:rPr>
        <w:t>. Общият брой на посещенията в публичния сайт на Регистъра на НАФ са 293 бр.</w:t>
      </w:r>
    </w:p>
    <w:p w14:paraId="4F379784" w14:textId="77777777" w:rsidR="00AC5F23" w:rsidRPr="00AC5F23" w:rsidRDefault="00AC5F23" w:rsidP="00A4193D">
      <w:pPr>
        <w:shd w:val="clear" w:color="auto" w:fill="FFFFFF" w:themeFill="background1"/>
        <w:autoSpaceDE w:val="0"/>
        <w:autoSpaceDN w:val="0"/>
        <w:adjustRightInd w:val="0"/>
        <w:ind w:firstLine="425"/>
        <w:jc w:val="both"/>
        <w:rPr>
          <w:sz w:val="22"/>
          <w:szCs w:val="22"/>
        </w:rPr>
      </w:pPr>
      <w:r w:rsidRPr="00D164AA">
        <w:rPr>
          <w:sz w:val="22"/>
          <w:szCs w:val="22"/>
        </w:rPr>
        <w:t xml:space="preserve">Осигуряването на публичен достъп до съхраняваните архивни документи е едно от основните задължения на държавните архиви съгласно действащата нормативна уредба. Дейността се извършваше при спазване на </w:t>
      </w:r>
      <w:proofErr w:type="spellStart"/>
      <w:r w:rsidRPr="00D164AA">
        <w:rPr>
          <w:sz w:val="22"/>
          <w:szCs w:val="22"/>
        </w:rPr>
        <w:t>разпоредените</w:t>
      </w:r>
      <w:proofErr w:type="spellEnd"/>
      <w:r w:rsidRPr="00D164AA">
        <w:rPr>
          <w:sz w:val="22"/>
          <w:szCs w:val="22"/>
        </w:rPr>
        <w:t xml:space="preserve"> мерки за превенция на заболяване от коронавирус и за осигуряване на здравословни и безопасни условия на труд, съгласно издадените заповеди на председателя на ДАА. </w:t>
      </w:r>
    </w:p>
    <w:p w14:paraId="22BC8AA8" w14:textId="77777777" w:rsidR="00AC5F23" w:rsidRPr="00D164AA" w:rsidRDefault="00AC5F23" w:rsidP="00A4193D">
      <w:pPr>
        <w:shd w:val="clear" w:color="auto" w:fill="FFFFFF" w:themeFill="background1"/>
        <w:autoSpaceDE w:val="0"/>
        <w:autoSpaceDN w:val="0"/>
        <w:adjustRightInd w:val="0"/>
        <w:ind w:firstLine="425"/>
        <w:jc w:val="both"/>
        <w:rPr>
          <w:sz w:val="22"/>
          <w:szCs w:val="22"/>
        </w:rPr>
      </w:pPr>
      <w:r w:rsidRPr="00D164AA">
        <w:rPr>
          <w:sz w:val="22"/>
          <w:szCs w:val="22"/>
        </w:rPr>
        <w:t>Писмените отговори по извършване на справките на физически и юридически лица, както и заявките за изготвяне на копия, се изпълняваха в установените административни срокове. В периода на преустановено обслужване на потребители в читалните, държавните архиви продължиха да извършват справки и консултации по запитвания само в случаите на подадени заявления/получени писма по електронен път.</w:t>
      </w:r>
    </w:p>
    <w:p w14:paraId="36201CF5" w14:textId="1F1EE3C4" w:rsidR="00AC5F23" w:rsidRDefault="00AC5F23" w:rsidP="00A4193D">
      <w:pPr>
        <w:shd w:val="clear" w:color="auto" w:fill="FFFFFF" w:themeFill="background1"/>
        <w:autoSpaceDE w:val="0"/>
        <w:autoSpaceDN w:val="0"/>
        <w:adjustRightInd w:val="0"/>
        <w:spacing w:after="240"/>
        <w:ind w:firstLine="425"/>
        <w:jc w:val="both"/>
        <w:rPr>
          <w:sz w:val="22"/>
          <w:szCs w:val="22"/>
        </w:rPr>
      </w:pPr>
      <w:r w:rsidRPr="00D164AA">
        <w:rPr>
          <w:sz w:val="22"/>
          <w:szCs w:val="22"/>
        </w:rPr>
        <w:t>През първото полугодие на 2025 г. в държавните архиви са регистрирани</w:t>
      </w:r>
      <w:r w:rsidRPr="00AC5F23">
        <w:rPr>
          <w:sz w:val="22"/>
          <w:szCs w:val="22"/>
        </w:rPr>
        <w:t xml:space="preserve"> 2</w:t>
      </w:r>
      <w:r>
        <w:rPr>
          <w:sz w:val="22"/>
          <w:szCs w:val="22"/>
        </w:rPr>
        <w:t xml:space="preserve"> </w:t>
      </w:r>
      <w:r w:rsidRPr="00AC5F23">
        <w:rPr>
          <w:sz w:val="22"/>
          <w:szCs w:val="22"/>
        </w:rPr>
        <w:t xml:space="preserve">795 </w:t>
      </w:r>
      <w:r w:rsidRPr="00D164AA">
        <w:rPr>
          <w:sz w:val="22"/>
          <w:szCs w:val="22"/>
        </w:rPr>
        <w:t>читатели в читалните на държавните архиви</w:t>
      </w:r>
      <w:r w:rsidRPr="00AC5F23">
        <w:rPr>
          <w:sz w:val="22"/>
          <w:szCs w:val="22"/>
        </w:rPr>
        <w:t>.</w:t>
      </w:r>
      <w:r w:rsidRPr="00D164AA">
        <w:rPr>
          <w:sz w:val="22"/>
          <w:szCs w:val="22"/>
        </w:rPr>
        <w:t xml:space="preserve"> Посещенията на потребителите на архивна информация са</w:t>
      </w:r>
      <w:r>
        <w:rPr>
          <w:sz w:val="22"/>
          <w:szCs w:val="22"/>
        </w:rPr>
        <w:t xml:space="preserve"> </w:t>
      </w:r>
      <w:r>
        <w:rPr>
          <w:sz w:val="22"/>
          <w:szCs w:val="22"/>
        </w:rPr>
        <w:br/>
        <w:t xml:space="preserve">132 </w:t>
      </w:r>
      <w:r w:rsidRPr="00D164AA">
        <w:rPr>
          <w:sz w:val="22"/>
          <w:szCs w:val="22"/>
        </w:rPr>
        <w:t>943</w:t>
      </w:r>
      <w:r w:rsidRPr="00AC5F23">
        <w:rPr>
          <w:sz w:val="22"/>
          <w:szCs w:val="22"/>
        </w:rPr>
        <w:t>, от които</w:t>
      </w:r>
      <w:r w:rsidRPr="00D164AA">
        <w:rPr>
          <w:sz w:val="22"/>
          <w:szCs w:val="22"/>
        </w:rPr>
        <w:t xml:space="preserve"> 6</w:t>
      </w:r>
      <w:r>
        <w:rPr>
          <w:sz w:val="22"/>
          <w:szCs w:val="22"/>
        </w:rPr>
        <w:t xml:space="preserve"> </w:t>
      </w:r>
      <w:r w:rsidRPr="00D164AA">
        <w:rPr>
          <w:sz w:val="22"/>
          <w:szCs w:val="22"/>
        </w:rPr>
        <w:t>239 посещения в читал</w:t>
      </w:r>
      <w:r>
        <w:rPr>
          <w:sz w:val="22"/>
          <w:szCs w:val="22"/>
        </w:rPr>
        <w:t xml:space="preserve">ните на държавните архиви и 126 </w:t>
      </w:r>
      <w:r w:rsidRPr="00D164AA">
        <w:rPr>
          <w:sz w:val="22"/>
          <w:szCs w:val="22"/>
        </w:rPr>
        <w:t>704 посещения в сайтовете и електронните бази на ДАА</w:t>
      </w:r>
      <w:r w:rsidRPr="00AC5F23">
        <w:rPr>
          <w:sz w:val="22"/>
          <w:szCs w:val="22"/>
        </w:rPr>
        <w:t xml:space="preserve"> (административен и тематични сайтове от платформата „Архивите говорят“, база с дигитални обекти от Дигиталния архив в ИСДА, база с цифрови копия на аудиовизуални документи в Системата за е-архивиране и посещения в Регистъра на НАФ).</w:t>
      </w:r>
      <w:r>
        <w:rPr>
          <w:sz w:val="22"/>
          <w:szCs w:val="22"/>
        </w:rPr>
        <w:t xml:space="preserve"> </w:t>
      </w:r>
      <w:r w:rsidRPr="00D164AA">
        <w:rPr>
          <w:sz w:val="22"/>
          <w:szCs w:val="22"/>
        </w:rPr>
        <w:t xml:space="preserve">Броят на издадените читателски карти е </w:t>
      </w:r>
      <w:r w:rsidRPr="00AC5F23">
        <w:rPr>
          <w:sz w:val="22"/>
          <w:szCs w:val="22"/>
        </w:rPr>
        <w:t>960</w:t>
      </w:r>
      <w:r w:rsidRPr="00D164AA">
        <w:rPr>
          <w:sz w:val="22"/>
          <w:szCs w:val="22"/>
        </w:rPr>
        <w:t xml:space="preserve">, от тях с намаление – </w:t>
      </w:r>
      <w:r w:rsidRPr="00AC5F23">
        <w:rPr>
          <w:sz w:val="22"/>
          <w:szCs w:val="22"/>
        </w:rPr>
        <w:t>611</w:t>
      </w:r>
      <w:r w:rsidRPr="00D164AA">
        <w:rPr>
          <w:sz w:val="22"/>
          <w:szCs w:val="22"/>
        </w:rPr>
        <w:t xml:space="preserve"> бр.</w:t>
      </w:r>
    </w:p>
    <w:p w14:paraId="50B7B584" w14:textId="77777777" w:rsidR="00FE5CDF" w:rsidRDefault="00FE5CDF">
      <w:pPr>
        <w:rPr>
          <w:i/>
          <w:iCs/>
          <w:sz w:val="20"/>
          <w:szCs w:val="20"/>
          <w:shd w:val="clear" w:color="auto" w:fill="FFFFFF" w:themeFill="background1"/>
        </w:rPr>
      </w:pPr>
      <w:r>
        <w:rPr>
          <w:i/>
          <w:iCs/>
          <w:sz w:val="20"/>
          <w:szCs w:val="20"/>
          <w:shd w:val="clear" w:color="auto" w:fill="FFFFFF" w:themeFill="background1"/>
        </w:rPr>
        <w:br w:type="page"/>
      </w:r>
    </w:p>
    <w:p w14:paraId="428BFF1C" w14:textId="3E6F590A" w:rsidR="001A4402" w:rsidRPr="004F0C6D" w:rsidRDefault="001A4402" w:rsidP="00A4193D">
      <w:pPr>
        <w:shd w:val="clear" w:color="auto" w:fill="FFFFFF" w:themeFill="background1"/>
        <w:jc w:val="center"/>
        <w:rPr>
          <w:i/>
          <w:iCs/>
          <w:sz w:val="20"/>
          <w:szCs w:val="20"/>
        </w:rPr>
      </w:pPr>
      <w:r w:rsidRPr="00A4193D">
        <w:rPr>
          <w:i/>
          <w:iCs/>
          <w:sz w:val="20"/>
          <w:szCs w:val="20"/>
          <w:shd w:val="clear" w:color="auto" w:fill="FFFFFF" w:themeFill="background1"/>
        </w:rPr>
        <w:lastRenderedPageBreak/>
        <w:t>Справка за посещаемостта на административната</w:t>
      </w:r>
      <w:r w:rsidRPr="004F0C6D">
        <w:rPr>
          <w:i/>
          <w:iCs/>
          <w:sz w:val="20"/>
          <w:szCs w:val="20"/>
        </w:rPr>
        <w:t xml:space="preserve"> интернет страница на ДАА</w:t>
      </w:r>
    </w:p>
    <w:p w14:paraId="0FC6BC94" w14:textId="77777777" w:rsidR="001A4402" w:rsidRPr="004F0C6D" w:rsidRDefault="001A4402" w:rsidP="00A4193D">
      <w:pPr>
        <w:shd w:val="clear" w:color="auto" w:fill="FFFFFF" w:themeFill="background1"/>
        <w:jc w:val="center"/>
        <w:rPr>
          <w:i/>
          <w:iCs/>
          <w:sz w:val="20"/>
          <w:szCs w:val="20"/>
        </w:rPr>
      </w:pPr>
      <w:r w:rsidRPr="004F0C6D">
        <w:rPr>
          <w:i/>
          <w:iCs/>
          <w:sz w:val="20"/>
          <w:szCs w:val="20"/>
        </w:rPr>
        <w:t>от 1 януари до 30 юни 2025 г.</w:t>
      </w:r>
      <w:r w:rsidRPr="004F0C6D">
        <w:rPr>
          <w:rStyle w:val="FootnoteReference"/>
          <w:i/>
          <w:iCs/>
          <w:sz w:val="20"/>
          <w:szCs w:val="20"/>
        </w:rPr>
        <w:footnoteReference w:id="39"/>
      </w:r>
      <w:r w:rsidRPr="004F0C6D">
        <w:rPr>
          <w:i/>
          <w:iCs/>
          <w:sz w:val="20"/>
          <w:szCs w:val="20"/>
        </w:rPr>
        <w:t xml:space="preserve"> </w:t>
      </w:r>
    </w:p>
    <w:tbl>
      <w:tblPr>
        <w:tblW w:w="7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985"/>
        <w:gridCol w:w="1984"/>
        <w:gridCol w:w="1564"/>
      </w:tblGrid>
      <w:tr w:rsidR="00FC1697" w:rsidRPr="00DF5895" w14:paraId="7FD7F27F" w14:textId="77777777" w:rsidTr="00FE0306">
        <w:trPr>
          <w:trHeight w:val="467"/>
          <w:jc w:val="center"/>
        </w:trPr>
        <w:tc>
          <w:tcPr>
            <w:tcW w:w="2126" w:type="dxa"/>
            <w:shd w:val="clear" w:color="auto" w:fill="FBD4B4"/>
          </w:tcPr>
          <w:p w14:paraId="38C54B10" w14:textId="31A35A41" w:rsidR="00FC1697" w:rsidRPr="00DF5895" w:rsidRDefault="00FC1697" w:rsidP="00FC1697">
            <w:pPr>
              <w:tabs>
                <w:tab w:val="left" w:pos="709"/>
              </w:tabs>
              <w:jc w:val="center"/>
              <w:rPr>
                <w:b/>
                <w:bCs/>
                <w:color w:val="000000"/>
                <w:sz w:val="18"/>
                <w:szCs w:val="18"/>
              </w:rPr>
            </w:pPr>
            <w:r w:rsidRPr="00DF5895">
              <w:rPr>
                <w:b/>
                <w:bCs/>
                <w:color w:val="000000"/>
                <w:sz w:val="18"/>
                <w:szCs w:val="18"/>
              </w:rPr>
              <w:t>Отчетен период</w:t>
            </w:r>
          </w:p>
        </w:tc>
        <w:tc>
          <w:tcPr>
            <w:tcW w:w="1985" w:type="dxa"/>
            <w:shd w:val="clear" w:color="auto" w:fill="FBD4B4"/>
          </w:tcPr>
          <w:p w14:paraId="03DD83D3" w14:textId="77777777" w:rsidR="00FC1697" w:rsidRPr="00DF5895" w:rsidRDefault="00FC1697" w:rsidP="00FC1697">
            <w:pPr>
              <w:tabs>
                <w:tab w:val="left" w:pos="709"/>
              </w:tabs>
              <w:jc w:val="center"/>
              <w:rPr>
                <w:b/>
                <w:bCs/>
                <w:color w:val="000000"/>
                <w:sz w:val="18"/>
                <w:szCs w:val="18"/>
              </w:rPr>
            </w:pPr>
            <w:r w:rsidRPr="00DF5895">
              <w:rPr>
                <w:b/>
                <w:bCs/>
                <w:color w:val="000000"/>
                <w:sz w:val="18"/>
                <w:szCs w:val="18"/>
              </w:rPr>
              <w:t>Потребители/</w:t>
            </w:r>
          </w:p>
          <w:p w14:paraId="6416F56A" w14:textId="77777777" w:rsidR="00FC1697" w:rsidRPr="00DF5895" w:rsidRDefault="00FC1697" w:rsidP="00FC1697">
            <w:pPr>
              <w:tabs>
                <w:tab w:val="left" w:pos="709"/>
              </w:tabs>
              <w:jc w:val="center"/>
              <w:rPr>
                <w:b/>
                <w:bCs/>
                <w:color w:val="000000"/>
                <w:sz w:val="18"/>
                <w:szCs w:val="18"/>
              </w:rPr>
            </w:pPr>
            <w:r w:rsidRPr="00DF5895">
              <w:rPr>
                <w:b/>
                <w:bCs/>
                <w:color w:val="000000"/>
                <w:sz w:val="18"/>
                <w:szCs w:val="18"/>
              </w:rPr>
              <w:t>посещения (бр.)</w:t>
            </w:r>
          </w:p>
        </w:tc>
        <w:tc>
          <w:tcPr>
            <w:tcW w:w="1984" w:type="dxa"/>
            <w:shd w:val="clear" w:color="auto" w:fill="FBD4B4"/>
          </w:tcPr>
          <w:p w14:paraId="5FD1D373" w14:textId="77777777" w:rsidR="00FC1697" w:rsidRPr="00DF5895" w:rsidRDefault="00FC1697" w:rsidP="00FC1697">
            <w:pPr>
              <w:tabs>
                <w:tab w:val="left" w:pos="709"/>
                <w:tab w:val="left" w:pos="1080"/>
              </w:tabs>
              <w:jc w:val="center"/>
              <w:rPr>
                <w:color w:val="000000"/>
                <w:sz w:val="18"/>
                <w:szCs w:val="18"/>
              </w:rPr>
            </w:pPr>
            <w:r w:rsidRPr="00DF5895">
              <w:rPr>
                <w:b/>
                <w:bCs/>
                <w:color w:val="000000"/>
                <w:sz w:val="18"/>
                <w:szCs w:val="18"/>
              </w:rPr>
              <w:t>Продължителност на посещенията</w:t>
            </w:r>
          </w:p>
        </w:tc>
        <w:tc>
          <w:tcPr>
            <w:tcW w:w="1564" w:type="dxa"/>
            <w:shd w:val="clear" w:color="auto" w:fill="FBD4B4"/>
          </w:tcPr>
          <w:p w14:paraId="0FA9CADB" w14:textId="77777777" w:rsidR="00FC1697" w:rsidRPr="00DF5895" w:rsidRDefault="00FC1697" w:rsidP="00FC1697">
            <w:pPr>
              <w:tabs>
                <w:tab w:val="left" w:pos="709"/>
              </w:tabs>
              <w:jc w:val="center"/>
              <w:rPr>
                <w:b/>
                <w:bCs/>
                <w:color w:val="000000"/>
                <w:sz w:val="18"/>
                <w:szCs w:val="18"/>
              </w:rPr>
            </w:pPr>
            <w:r w:rsidRPr="00DF5895">
              <w:rPr>
                <w:b/>
                <w:bCs/>
                <w:color w:val="000000"/>
                <w:sz w:val="18"/>
                <w:szCs w:val="18"/>
              </w:rPr>
              <w:t>Показвания на страници (бр.)</w:t>
            </w:r>
          </w:p>
        </w:tc>
      </w:tr>
      <w:tr w:rsidR="00FC1697" w:rsidRPr="00DF5895" w14:paraId="5F6FC139" w14:textId="77777777" w:rsidTr="00FE0306">
        <w:trPr>
          <w:trHeight w:val="953"/>
          <w:jc w:val="center"/>
        </w:trPr>
        <w:tc>
          <w:tcPr>
            <w:tcW w:w="2126" w:type="dxa"/>
            <w:shd w:val="clear" w:color="auto" w:fill="auto"/>
            <w:vAlign w:val="center"/>
          </w:tcPr>
          <w:p w14:paraId="1A7EE228" w14:textId="17846EBB" w:rsidR="00FC1697" w:rsidRPr="005923C2" w:rsidRDefault="00FC1697" w:rsidP="005923C2">
            <w:pPr>
              <w:tabs>
                <w:tab w:val="left" w:pos="709"/>
              </w:tabs>
              <w:jc w:val="center"/>
              <w:rPr>
                <w:bCs/>
                <w:color w:val="000000"/>
                <w:sz w:val="18"/>
                <w:szCs w:val="18"/>
              </w:rPr>
            </w:pPr>
            <w:r w:rsidRPr="005923C2">
              <w:rPr>
                <w:bCs/>
                <w:color w:val="000000"/>
                <w:sz w:val="18"/>
                <w:szCs w:val="18"/>
              </w:rPr>
              <w:t>01.01 – 30.06.</w:t>
            </w:r>
            <w:r w:rsidRPr="005923C2">
              <w:rPr>
                <w:bCs/>
                <w:color w:val="000000"/>
                <w:sz w:val="18"/>
                <w:szCs w:val="18"/>
                <w:lang w:val="en-GB"/>
              </w:rPr>
              <w:t xml:space="preserve">2025 </w:t>
            </w:r>
            <w:r w:rsidRPr="005923C2">
              <w:rPr>
                <w:bCs/>
                <w:color w:val="000000"/>
                <w:sz w:val="18"/>
                <w:szCs w:val="18"/>
              </w:rPr>
              <w:t>г.</w:t>
            </w:r>
          </w:p>
        </w:tc>
        <w:tc>
          <w:tcPr>
            <w:tcW w:w="1985" w:type="dxa"/>
            <w:shd w:val="clear" w:color="auto" w:fill="auto"/>
            <w:vAlign w:val="center"/>
          </w:tcPr>
          <w:p w14:paraId="10B6E14A" w14:textId="77777777" w:rsidR="00FC1697" w:rsidRPr="00FC1697" w:rsidRDefault="00FC1697" w:rsidP="005923C2">
            <w:pPr>
              <w:tabs>
                <w:tab w:val="left" w:pos="709"/>
              </w:tabs>
              <w:jc w:val="center"/>
              <w:rPr>
                <w:bCs/>
                <w:color w:val="000000"/>
                <w:sz w:val="18"/>
                <w:szCs w:val="18"/>
              </w:rPr>
            </w:pPr>
            <w:r w:rsidRPr="00FC1697">
              <w:rPr>
                <w:bCs/>
                <w:color w:val="000000"/>
                <w:sz w:val="18"/>
                <w:szCs w:val="18"/>
              </w:rPr>
              <w:t>60 263</w:t>
            </w:r>
          </w:p>
        </w:tc>
        <w:tc>
          <w:tcPr>
            <w:tcW w:w="1984" w:type="dxa"/>
            <w:shd w:val="clear" w:color="auto" w:fill="auto"/>
            <w:vAlign w:val="center"/>
          </w:tcPr>
          <w:p w14:paraId="52ED95AB" w14:textId="77777777" w:rsidR="00FC1697" w:rsidRPr="00FC1697" w:rsidRDefault="00FC1697" w:rsidP="00FC1697">
            <w:pPr>
              <w:tabs>
                <w:tab w:val="left" w:pos="709"/>
                <w:tab w:val="left" w:pos="1080"/>
              </w:tabs>
              <w:jc w:val="center"/>
              <w:rPr>
                <w:bCs/>
                <w:color w:val="000000"/>
                <w:sz w:val="18"/>
                <w:szCs w:val="18"/>
              </w:rPr>
            </w:pPr>
            <w:r w:rsidRPr="00FC1697">
              <w:rPr>
                <w:bCs/>
                <w:color w:val="000000"/>
                <w:sz w:val="18"/>
                <w:szCs w:val="18"/>
              </w:rPr>
              <w:t>28 653 (0-10 сек.)</w:t>
            </w:r>
            <w:r w:rsidRPr="00FC1697">
              <w:rPr>
                <w:bCs/>
                <w:color w:val="000000"/>
                <w:sz w:val="18"/>
                <w:szCs w:val="18"/>
              </w:rPr>
              <w:br/>
              <w:t>6002 (11-30 сек.)</w:t>
            </w:r>
            <w:r w:rsidRPr="00FC1697">
              <w:rPr>
                <w:bCs/>
                <w:color w:val="000000"/>
                <w:sz w:val="18"/>
                <w:szCs w:val="18"/>
              </w:rPr>
              <w:br/>
              <w:t>25 816 (над 30 сек.)</w:t>
            </w:r>
          </w:p>
        </w:tc>
        <w:tc>
          <w:tcPr>
            <w:tcW w:w="1564" w:type="dxa"/>
            <w:shd w:val="clear" w:color="auto" w:fill="auto"/>
            <w:vAlign w:val="center"/>
          </w:tcPr>
          <w:p w14:paraId="7F93AD64" w14:textId="77777777" w:rsidR="00FC1697" w:rsidRPr="00FC1697" w:rsidRDefault="00FC1697" w:rsidP="005923C2">
            <w:pPr>
              <w:tabs>
                <w:tab w:val="left" w:pos="709"/>
              </w:tabs>
              <w:jc w:val="center"/>
              <w:rPr>
                <w:bCs/>
                <w:color w:val="000000"/>
                <w:sz w:val="18"/>
                <w:szCs w:val="18"/>
              </w:rPr>
            </w:pPr>
            <w:r w:rsidRPr="00FC1697">
              <w:rPr>
                <w:bCs/>
                <w:color w:val="000000"/>
                <w:sz w:val="18"/>
                <w:szCs w:val="18"/>
              </w:rPr>
              <w:t>242 352</w:t>
            </w:r>
          </w:p>
        </w:tc>
      </w:tr>
    </w:tbl>
    <w:p w14:paraId="1D972CD2" w14:textId="1711EB19" w:rsidR="004E3B64" w:rsidRPr="00D36573" w:rsidRDefault="004E3B64" w:rsidP="00A4193D">
      <w:pPr>
        <w:shd w:val="clear" w:color="auto" w:fill="FFFFFF" w:themeFill="background1"/>
        <w:spacing w:before="120"/>
        <w:jc w:val="center"/>
        <w:rPr>
          <w:bCs/>
          <w:i/>
          <w:iCs/>
          <w:sz w:val="20"/>
          <w:szCs w:val="20"/>
        </w:rPr>
      </w:pPr>
      <w:r w:rsidRPr="00D36573">
        <w:rPr>
          <w:bCs/>
          <w:i/>
          <w:iCs/>
          <w:sz w:val="20"/>
          <w:szCs w:val="20"/>
        </w:rPr>
        <w:t>Справка за посещаемостта на тематичните страници от документалната</w:t>
      </w:r>
    </w:p>
    <w:p w14:paraId="4B9F3327" w14:textId="1BA9694C" w:rsidR="004E3B64" w:rsidRPr="00D36573" w:rsidRDefault="004E3B64" w:rsidP="00A4193D">
      <w:pPr>
        <w:shd w:val="clear" w:color="auto" w:fill="FFFFFF" w:themeFill="background1"/>
        <w:jc w:val="center"/>
        <w:rPr>
          <w:bCs/>
          <w:i/>
          <w:iCs/>
          <w:sz w:val="20"/>
          <w:szCs w:val="20"/>
        </w:rPr>
      </w:pPr>
      <w:r w:rsidRPr="00D36573">
        <w:rPr>
          <w:bCs/>
          <w:i/>
          <w:iCs/>
          <w:sz w:val="20"/>
          <w:szCs w:val="20"/>
        </w:rPr>
        <w:t>платформа „Архивите говорят“ за първото полугодие на 2025 г.</w:t>
      </w:r>
      <w:r w:rsidRPr="00D36573">
        <w:rPr>
          <w:rStyle w:val="FootnoteReference"/>
          <w:bCs/>
          <w:i/>
          <w:iCs/>
          <w:sz w:val="20"/>
          <w:szCs w:val="20"/>
        </w:rPr>
        <w:footnoteReference w:id="40"/>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554"/>
        <w:gridCol w:w="1843"/>
        <w:gridCol w:w="1418"/>
      </w:tblGrid>
      <w:tr w:rsidR="00370A19" w:rsidRPr="00384A6C" w14:paraId="2BD4C8F5" w14:textId="77777777" w:rsidTr="004F0C6D">
        <w:trPr>
          <w:trHeight w:val="557"/>
          <w:jc w:val="center"/>
        </w:trPr>
        <w:tc>
          <w:tcPr>
            <w:tcW w:w="2977" w:type="dxa"/>
            <w:shd w:val="clear" w:color="auto" w:fill="F6C5AC" w:themeFill="accent2" w:themeFillTint="66"/>
          </w:tcPr>
          <w:p w14:paraId="394509E1" w14:textId="77777777" w:rsidR="00370A19" w:rsidRPr="00384A6C" w:rsidRDefault="00370A19" w:rsidP="00B57386">
            <w:pPr>
              <w:jc w:val="center"/>
              <w:rPr>
                <w:b/>
                <w:color w:val="000000"/>
                <w:sz w:val="18"/>
                <w:szCs w:val="18"/>
              </w:rPr>
            </w:pPr>
            <w:r w:rsidRPr="00384A6C">
              <w:rPr>
                <w:b/>
                <w:color w:val="000000"/>
                <w:sz w:val="18"/>
                <w:szCs w:val="18"/>
              </w:rPr>
              <w:t>САЙТ</w:t>
            </w:r>
          </w:p>
        </w:tc>
        <w:tc>
          <w:tcPr>
            <w:tcW w:w="1554" w:type="dxa"/>
            <w:shd w:val="clear" w:color="auto" w:fill="F6C5AC" w:themeFill="accent2" w:themeFillTint="66"/>
          </w:tcPr>
          <w:p w14:paraId="2898BD7A" w14:textId="77777777" w:rsidR="00370A19" w:rsidRPr="00384A6C" w:rsidRDefault="00370A19" w:rsidP="00B57386">
            <w:pPr>
              <w:tabs>
                <w:tab w:val="left" w:pos="709"/>
              </w:tabs>
              <w:jc w:val="center"/>
              <w:rPr>
                <w:b/>
                <w:bCs/>
                <w:color w:val="000000"/>
                <w:sz w:val="18"/>
                <w:szCs w:val="18"/>
              </w:rPr>
            </w:pPr>
            <w:r w:rsidRPr="00384A6C">
              <w:rPr>
                <w:b/>
                <w:bCs/>
                <w:color w:val="000000"/>
                <w:sz w:val="18"/>
                <w:szCs w:val="18"/>
              </w:rPr>
              <w:t>Потребители/</w:t>
            </w:r>
          </w:p>
          <w:p w14:paraId="06A9C8C4" w14:textId="77777777" w:rsidR="00370A19" w:rsidRPr="00384A6C" w:rsidRDefault="00370A19" w:rsidP="00B57386">
            <w:pPr>
              <w:jc w:val="center"/>
              <w:rPr>
                <w:b/>
                <w:bCs/>
                <w:color w:val="000000"/>
                <w:sz w:val="18"/>
                <w:szCs w:val="18"/>
              </w:rPr>
            </w:pPr>
            <w:r w:rsidRPr="00384A6C">
              <w:rPr>
                <w:b/>
                <w:bCs/>
                <w:color w:val="000000"/>
                <w:sz w:val="18"/>
                <w:szCs w:val="18"/>
              </w:rPr>
              <w:t>посещения (бр.)</w:t>
            </w:r>
          </w:p>
        </w:tc>
        <w:tc>
          <w:tcPr>
            <w:tcW w:w="1843" w:type="dxa"/>
            <w:shd w:val="clear" w:color="auto" w:fill="F6C5AC" w:themeFill="accent2" w:themeFillTint="66"/>
          </w:tcPr>
          <w:p w14:paraId="3A87B9B5" w14:textId="7EE11CA6" w:rsidR="00370A19" w:rsidRPr="00384A6C" w:rsidRDefault="00370A19" w:rsidP="00B57386">
            <w:pPr>
              <w:tabs>
                <w:tab w:val="left" w:pos="1080"/>
              </w:tabs>
              <w:jc w:val="center"/>
              <w:rPr>
                <w:b/>
                <w:color w:val="000000"/>
                <w:sz w:val="18"/>
                <w:szCs w:val="18"/>
              </w:rPr>
            </w:pPr>
            <w:r w:rsidRPr="00384A6C">
              <w:rPr>
                <w:b/>
                <w:color w:val="000000"/>
                <w:sz w:val="18"/>
                <w:szCs w:val="18"/>
              </w:rPr>
              <w:t>Продължителност</w:t>
            </w:r>
          </w:p>
          <w:p w14:paraId="03EC1891" w14:textId="77777777" w:rsidR="00370A19" w:rsidRPr="00384A6C" w:rsidRDefault="00370A19" w:rsidP="00B57386">
            <w:pPr>
              <w:tabs>
                <w:tab w:val="left" w:pos="1080"/>
              </w:tabs>
              <w:jc w:val="center"/>
              <w:rPr>
                <w:color w:val="000000"/>
                <w:sz w:val="18"/>
                <w:szCs w:val="18"/>
              </w:rPr>
            </w:pPr>
            <w:r w:rsidRPr="00384A6C">
              <w:rPr>
                <w:b/>
                <w:color w:val="000000"/>
                <w:sz w:val="18"/>
                <w:szCs w:val="18"/>
              </w:rPr>
              <w:t>на посещенията</w:t>
            </w:r>
          </w:p>
        </w:tc>
        <w:tc>
          <w:tcPr>
            <w:tcW w:w="1418" w:type="dxa"/>
            <w:shd w:val="clear" w:color="auto" w:fill="F6C5AC" w:themeFill="accent2" w:themeFillTint="66"/>
          </w:tcPr>
          <w:p w14:paraId="137734EA" w14:textId="1D15102E" w:rsidR="00370A19" w:rsidRPr="00384A6C" w:rsidRDefault="00370A19" w:rsidP="00B57386">
            <w:pPr>
              <w:jc w:val="center"/>
              <w:rPr>
                <w:b/>
                <w:bCs/>
                <w:color w:val="000000"/>
                <w:sz w:val="18"/>
                <w:szCs w:val="18"/>
              </w:rPr>
            </w:pPr>
            <w:r w:rsidRPr="00384A6C">
              <w:rPr>
                <w:b/>
                <w:bCs/>
                <w:color w:val="000000"/>
                <w:sz w:val="18"/>
                <w:szCs w:val="18"/>
              </w:rPr>
              <w:t>Показвания</w:t>
            </w:r>
          </w:p>
          <w:p w14:paraId="5F35BE5C" w14:textId="77777777" w:rsidR="00370A19" w:rsidRPr="00384A6C" w:rsidRDefault="00370A19" w:rsidP="00B57386">
            <w:pPr>
              <w:jc w:val="center"/>
              <w:rPr>
                <w:b/>
                <w:bCs/>
                <w:color w:val="000000"/>
                <w:sz w:val="18"/>
                <w:szCs w:val="18"/>
              </w:rPr>
            </w:pPr>
            <w:r w:rsidRPr="00384A6C">
              <w:rPr>
                <w:b/>
                <w:bCs/>
                <w:color w:val="000000"/>
                <w:sz w:val="18"/>
                <w:szCs w:val="18"/>
              </w:rPr>
              <w:t>на страници</w:t>
            </w:r>
          </w:p>
        </w:tc>
      </w:tr>
      <w:tr w:rsidR="00370A19" w:rsidRPr="00384A6C" w14:paraId="52942B07" w14:textId="77777777" w:rsidTr="004B1B2E">
        <w:trPr>
          <w:jc w:val="center"/>
        </w:trPr>
        <w:tc>
          <w:tcPr>
            <w:tcW w:w="2977" w:type="dxa"/>
            <w:shd w:val="clear" w:color="auto" w:fill="FFFFFF" w:themeFill="background1"/>
          </w:tcPr>
          <w:p w14:paraId="1D2E2A4F" w14:textId="77777777" w:rsidR="00370A19" w:rsidRPr="00384A6C" w:rsidRDefault="00370A19" w:rsidP="00167913">
            <w:pPr>
              <w:rPr>
                <w:b/>
                <w:color w:val="000000"/>
                <w:sz w:val="18"/>
                <w:szCs w:val="18"/>
              </w:rPr>
            </w:pPr>
            <w:r w:rsidRPr="00384A6C">
              <w:rPr>
                <w:b/>
                <w:color w:val="000000"/>
                <w:sz w:val="18"/>
                <w:szCs w:val="18"/>
              </w:rPr>
              <w:t>1. Протоколи и решения на Политбюро на БКП (1944–1989)</w:t>
            </w:r>
          </w:p>
        </w:tc>
        <w:tc>
          <w:tcPr>
            <w:tcW w:w="1554" w:type="dxa"/>
            <w:vAlign w:val="center"/>
          </w:tcPr>
          <w:p w14:paraId="0F19E13C" w14:textId="385E4420" w:rsidR="00370A19" w:rsidRPr="00384A6C" w:rsidRDefault="00370A19" w:rsidP="00FB66B9">
            <w:pPr>
              <w:jc w:val="right"/>
              <w:rPr>
                <w:color w:val="000000"/>
                <w:sz w:val="18"/>
                <w:szCs w:val="18"/>
              </w:rPr>
            </w:pPr>
            <w:r w:rsidRPr="00384A6C">
              <w:rPr>
                <w:color w:val="000000"/>
                <w:sz w:val="18"/>
                <w:szCs w:val="18"/>
              </w:rPr>
              <w:t>6</w:t>
            </w:r>
            <w:r w:rsidR="00AB231C">
              <w:rPr>
                <w:color w:val="000000"/>
                <w:sz w:val="18"/>
                <w:szCs w:val="18"/>
              </w:rPr>
              <w:t xml:space="preserve"> </w:t>
            </w:r>
            <w:r w:rsidRPr="00384A6C">
              <w:rPr>
                <w:color w:val="000000"/>
                <w:sz w:val="18"/>
                <w:szCs w:val="18"/>
              </w:rPr>
              <w:t>048</w:t>
            </w:r>
          </w:p>
        </w:tc>
        <w:tc>
          <w:tcPr>
            <w:tcW w:w="1843" w:type="dxa"/>
            <w:vAlign w:val="center"/>
          </w:tcPr>
          <w:p w14:paraId="6EE267AD" w14:textId="274F523B" w:rsidR="00370A19" w:rsidRPr="00B57386" w:rsidRDefault="00370A19" w:rsidP="00FB66B9">
            <w:pPr>
              <w:tabs>
                <w:tab w:val="left" w:pos="1080"/>
                <w:tab w:val="left" w:pos="1994"/>
              </w:tabs>
              <w:jc w:val="right"/>
              <w:rPr>
                <w:i/>
                <w:color w:val="000000"/>
                <w:sz w:val="18"/>
                <w:szCs w:val="18"/>
              </w:rPr>
            </w:pPr>
            <w:r w:rsidRPr="00B57386">
              <w:rPr>
                <w:i/>
                <w:color w:val="000000"/>
                <w:sz w:val="18"/>
                <w:szCs w:val="18"/>
              </w:rPr>
              <w:t>4</w:t>
            </w:r>
            <w:r w:rsidR="00AB231C">
              <w:rPr>
                <w:i/>
                <w:color w:val="000000"/>
                <w:sz w:val="18"/>
                <w:szCs w:val="18"/>
              </w:rPr>
              <w:t xml:space="preserve"> </w:t>
            </w:r>
            <w:r w:rsidRPr="00B57386">
              <w:rPr>
                <w:i/>
                <w:color w:val="000000"/>
                <w:sz w:val="18"/>
                <w:szCs w:val="18"/>
              </w:rPr>
              <w:t>276</w:t>
            </w:r>
            <w:r w:rsidRPr="00B57386">
              <w:rPr>
                <w:i/>
                <w:iCs/>
                <w:color w:val="000000"/>
                <w:sz w:val="18"/>
                <w:szCs w:val="18"/>
              </w:rPr>
              <w:t xml:space="preserve"> (0-10 сек.)</w:t>
            </w:r>
          </w:p>
          <w:p w14:paraId="7EB0507B" w14:textId="77777777" w:rsidR="00370A19" w:rsidRPr="00B57386" w:rsidRDefault="00370A19" w:rsidP="00FB66B9">
            <w:pPr>
              <w:tabs>
                <w:tab w:val="left" w:pos="1080"/>
                <w:tab w:val="left" w:pos="1994"/>
              </w:tabs>
              <w:jc w:val="right"/>
              <w:rPr>
                <w:i/>
                <w:iCs/>
                <w:color w:val="000000"/>
                <w:sz w:val="18"/>
                <w:szCs w:val="18"/>
              </w:rPr>
            </w:pPr>
            <w:r w:rsidRPr="00B57386">
              <w:rPr>
                <w:i/>
                <w:color w:val="000000"/>
                <w:sz w:val="18"/>
                <w:szCs w:val="18"/>
              </w:rPr>
              <w:t>221</w:t>
            </w:r>
            <w:r w:rsidRPr="00B57386">
              <w:rPr>
                <w:i/>
                <w:iCs/>
                <w:color w:val="000000"/>
                <w:sz w:val="18"/>
                <w:szCs w:val="18"/>
              </w:rPr>
              <w:t xml:space="preserve"> (11-30 сек.)</w:t>
            </w:r>
          </w:p>
          <w:p w14:paraId="4D0C699B" w14:textId="4A008AF7" w:rsidR="00370A19" w:rsidRPr="00384A6C" w:rsidRDefault="00370A19" w:rsidP="00FB66B9">
            <w:pPr>
              <w:tabs>
                <w:tab w:val="left" w:pos="1080"/>
                <w:tab w:val="left" w:pos="1994"/>
              </w:tabs>
              <w:jc w:val="right"/>
              <w:rPr>
                <w:color w:val="000000"/>
                <w:sz w:val="18"/>
                <w:szCs w:val="18"/>
              </w:rPr>
            </w:pPr>
            <w:r w:rsidRPr="00B57386">
              <w:rPr>
                <w:i/>
                <w:color w:val="000000"/>
                <w:sz w:val="18"/>
                <w:szCs w:val="18"/>
              </w:rPr>
              <w:t>1</w:t>
            </w:r>
            <w:r w:rsidR="00AB231C">
              <w:rPr>
                <w:i/>
                <w:color w:val="000000"/>
                <w:sz w:val="18"/>
                <w:szCs w:val="18"/>
              </w:rPr>
              <w:t xml:space="preserve"> </w:t>
            </w:r>
            <w:r w:rsidRPr="00B57386">
              <w:rPr>
                <w:i/>
                <w:color w:val="000000"/>
                <w:sz w:val="18"/>
                <w:szCs w:val="18"/>
              </w:rPr>
              <w:t xml:space="preserve">564 </w:t>
            </w:r>
            <w:r w:rsidRPr="00B57386">
              <w:rPr>
                <w:i/>
                <w:iCs/>
                <w:color w:val="000000"/>
                <w:sz w:val="18"/>
                <w:szCs w:val="18"/>
              </w:rPr>
              <w:t>(над</w:t>
            </w:r>
            <w:r w:rsidRPr="00384A6C">
              <w:rPr>
                <w:i/>
                <w:iCs/>
                <w:color w:val="000000"/>
                <w:sz w:val="18"/>
                <w:szCs w:val="18"/>
              </w:rPr>
              <w:t xml:space="preserve"> 30 сек.)</w:t>
            </w:r>
          </w:p>
        </w:tc>
        <w:tc>
          <w:tcPr>
            <w:tcW w:w="1418" w:type="dxa"/>
            <w:vAlign w:val="center"/>
          </w:tcPr>
          <w:p w14:paraId="703C40F0" w14:textId="77777777" w:rsidR="00370A19" w:rsidRPr="00384A6C" w:rsidRDefault="00370A19" w:rsidP="00FB66B9">
            <w:pPr>
              <w:jc w:val="right"/>
              <w:rPr>
                <w:color w:val="000000"/>
                <w:sz w:val="18"/>
                <w:szCs w:val="18"/>
                <w:shd w:val="clear" w:color="auto" w:fill="FFFFFF"/>
              </w:rPr>
            </w:pPr>
            <w:r w:rsidRPr="00384A6C">
              <w:rPr>
                <w:color w:val="000000"/>
                <w:sz w:val="18"/>
                <w:szCs w:val="18"/>
                <w:shd w:val="clear" w:color="auto" w:fill="FFFFFF"/>
              </w:rPr>
              <w:t>25 964</w:t>
            </w:r>
          </w:p>
        </w:tc>
      </w:tr>
      <w:tr w:rsidR="00370A19" w:rsidRPr="00384A6C" w14:paraId="2842807A" w14:textId="77777777" w:rsidTr="004B1B2E">
        <w:trPr>
          <w:trHeight w:val="631"/>
          <w:jc w:val="center"/>
        </w:trPr>
        <w:tc>
          <w:tcPr>
            <w:tcW w:w="2977" w:type="dxa"/>
            <w:shd w:val="clear" w:color="auto" w:fill="FFFFFF" w:themeFill="background1"/>
          </w:tcPr>
          <w:p w14:paraId="19437E7E" w14:textId="77777777" w:rsidR="00370A19" w:rsidRPr="00384A6C" w:rsidRDefault="00370A19" w:rsidP="00167913">
            <w:pPr>
              <w:rPr>
                <w:b/>
                <w:bCs/>
                <w:color w:val="000000"/>
                <w:sz w:val="18"/>
                <w:szCs w:val="18"/>
              </w:rPr>
            </w:pPr>
            <w:r w:rsidRPr="00384A6C">
              <w:rPr>
                <w:b/>
                <w:bCs/>
                <w:color w:val="000000"/>
                <w:sz w:val="18"/>
                <w:szCs w:val="18"/>
              </w:rPr>
              <w:t>2. Еврейската общност в България</w:t>
            </w:r>
          </w:p>
        </w:tc>
        <w:tc>
          <w:tcPr>
            <w:tcW w:w="1554" w:type="dxa"/>
            <w:vAlign w:val="center"/>
          </w:tcPr>
          <w:p w14:paraId="4D585E2C" w14:textId="77777777" w:rsidR="00370A19" w:rsidRPr="00384A6C" w:rsidRDefault="00370A19" w:rsidP="00FB66B9">
            <w:pPr>
              <w:jc w:val="right"/>
              <w:rPr>
                <w:color w:val="000000"/>
                <w:sz w:val="18"/>
                <w:szCs w:val="18"/>
              </w:rPr>
            </w:pPr>
            <w:r w:rsidRPr="00384A6C">
              <w:rPr>
                <w:color w:val="000000"/>
                <w:sz w:val="18"/>
                <w:szCs w:val="18"/>
              </w:rPr>
              <w:t>927</w:t>
            </w:r>
          </w:p>
        </w:tc>
        <w:tc>
          <w:tcPr>
            <w:tcW w:w="1843" w:type="dxa"/>
            <w:vAlign w:val="center"/>
          </w:tcPr>
          <w:p w14:paraId="522192E1" w14:textId="77777777" w:rsidR="00370A19" w:rsidRPr="00384A6C" w:rsidRDefault="00370A19" w:rsidP="00FB66B9">
            <w:pPr>
              <w:tabs>
                <w:tab w:val="left" w:pos="1080"/>
                <w:tab w:val="left" w:pos="1994"/>
              </w:tabs>
              <w:jc w:val="right"/>
              <w:rPr>
                <w:i/>
                <w:color w:val="000000"/>
                <w:sz w:val="18"/>
                <w:szCs w:val="18"/>
              </w:rPr>
            </w:pPr>
            <w:r w:rsidRPr="00384A6C">
              <w:rPr>
                <w:i/>
                <w:iCs/>
                <w:color w:val="000000"/>
                <w:sz w:val="18"/>
                <w:szCs w:val="18"/>
              </w:rPr>
              <w:t>430 (0-10 сек.)</w:t>
            </w:r>
          </w:p>
          <w:p w14:paraId="6D0C93DB" w14:textId="09099E86" w:rsidR="00370A19" w:rsidRPr="00384A6C" w:rsidRDefault="00370A19" w:rsidP="00FB66B9">
            <w:pPr>
              <w:tabs>
                <w:tab w:val="left" w:pos="1080"/>
                <w:tab w:val="left" w:pos="1994"/>
              </w:tabs>
              <w:jc w:val="right"/>
              <w:rPr>
                <w:i/>
                <w:iCs/>
                <w:color w:val="000000"/>
                <w:sz w:val="18"/>
                <w:szCs w:val="18"/>
              </w:rPr>
            </w:pPr>
            <w:r w:rsidRPr="00384A6C">
              <w:rPr>
                <w:i/>
                <w:color w:val="000000"/>
                <w:sz w:val="18"/>
                <w:szCs w:val="18"/>
              </w:rPr>
              <w:t xml:space="preserve">69 </w:t>
            </w:r>
            <w:r w:rsidRPr="00384A6C">
              <w:rPr>
                <w:i/>
                <w:iCs/>
                <w:color w:val="000000"/>
                <w:sz w:val="18"/>
                <w:szCs w:val="18"/>
              </w:rPr>
              <w:t>(11-30 сек.)</w:t>
            </w:r>
          </w:p>
          <w:p w14:paraId="16913BC3" w14:textId="55D86A4C" w:rsidR="00370A19" w:rsidRPr="00384A6C" w:rsidRDefault="00370A19" w:rsidP="00FB66B9">
            <w:pPr>
              <w:tabs>
                <w:tab w:val="left" w:pos="1080"/>
                <w:tab w:val="left" w:pos="1994"/>
              </w:tabs>
              <w:jc w:val="right"/>
              <w:rPr>
                <w:i/>
                <w:iCs/>
                <w:color w:val="000000"/>
                <w:sz w:val="18"/>
                <w:szCs w:val="18"/>
              </w:rPr>
            </w:pPr>
            <w:r w:rsidRPr="00384A6C">
              <w:rPr>
                <w:i/>
                <w:iCs/>
                <w:color w:val="000000"/>
                <w:sz w:val="18"/>
                <w:szCs w:val="18"/>
              </w:rPr>
              <w:t>434 (над 30 сек.)</w:t>
            </w:r>
          </w:p>
        </w:tc>
        <w:tc>
          <w:tcPr>
            <w:tcW w:w="1418" w:type="dxa"/>
            <w:vAlign w:val="center"/>
          </w:tcPr>
          <w:p w14:paraId="5CAE5D6A" w14:textId="0EACABC2" w:rsidR="00370A19" w:rsidRPr="00384A6C" w:rsidRDefault="00370A19" w:rsidP="00FB66B9">
            <w:pPr>
              <w:jc w:val="right"/>
              <w:rPr>
                <w:color w:val="000000"/>
                <w:sz w:val="18"/>
                <w:szCs w:val="18"/>
                <w:shd w:val="clear" w:color="auto" w:fill="FFFFFF"/>
              </w:rPr>
            </w:pPr>
            <w:r w:rsidRPr="00384A6C">
              <w:rPr>
                <w:color w:val="000000"/>
                <w:sz w:val="18"/>
                <w:szCs w:val="18"/>
                <w:shd w:val="clear" w:color="auto" w:fill="FFFFFF"/>
              </w:rPr>
              <w:t>5</w:t>
            </w:r>
            <w:r w:rsidR="00AB231C">
              <w:rPr>
                <w:color w:val="000000"/>
                <w:sz w:val="18"/>
                <w:szCs w:val="18"/>
                <w:shd w:val="clear" w:color="auto" w:fill="FFFFFF"/>
              </w:rPr>
              <w:t xml:space="preserve"> </w:t>
            </w:r>
            <w:r w:rsidRPr="00384A6C">
              <w:rPr>
                <w:color w:val="000000"/>
                <w:sz w:val="18"/>
                <w:szCs w:val="18"/>
                <w:shd w:val="clear" w:color="auto" w:fill="FFFFFF"/>
              </w:rPr>
              <w:t>514</w:t>
            </w:r>
          </w:p>
        </w:tc>
      </w:tr>
      <w:tr w:rsidR="00370A19" w:rsidRPr="00384A6C" w14:paraId="0D10ACB5" w14:textId="77777777" w:rsidTr="004B1B2E">
        <w:trPr>
          <w:trHeight w:val="569"/>
          <w:jc w:val="center"/>
        </w:trPr>
        <w:tc>
          <w:tcPr>
            <w:tcW w:w="2977" w:type="dxa"/>
            <w:shd w:val="clear" w:color="auto" w:fill="FFFFFF" w:themeFill="background1"/>
          </w:tcPr>
          <w:p w14:paraId="1A47A16A" w14:textId="50B76EB8" w:rsidR="00370A19" w:rsidRPr="00384A6C" w:rsidRDefault="00C461AC" w:rsidP="00167913">
            <w:pPr>
              <w:rPr>
                <w:b/>
                <w:color w:val="000000"/>
                <w:sz w:val="18"/>
                <w:szCs w:val="18"/>
              </w:rPr>
            </w:pPr>
            <w:r>
              <w:rPr>
                <w:b/>
                <w:color w:val="000000"/>
                <w:sz w:val="18"/>
                <w:szCs w:val="18"/>
              </w:rPr>
              <w:br/>
            </w:r>
            <w:r w:rsidR="00370A19" w:rsidRPr="00384A6C">
              <w:rPr>
                <w:b/>
                <w:color w:val="000000"/>
                <w:sz w:val="18"/>
                <w:szCs w:val="18"/>
              </w:rPr>
              <w:t>3. Старопечатни еврейски книги</w:t>
            </w:r>
          </w:p>
        </w:tc>
        <w:tc>
          <w:tcPr>
            <w:tcW w:w="1554" w:type="dxa"/>
            <w:vAlign w:val="center"/>
          </w:tcPr>
          <w:p w14:paraId="490811DC" w14:textId="77777777" w:rsidR="00370A19" w:rsidRPr="00384A6C" w:rsidRDefault="00370A19" w:rsidP="00FB66B9">
            <w:pPr>
              <w:jc w:val="right"/>
              <w:rPr>
                <w:color w:val="000000"/>
                <w:sz w:val="18"/>
                <w:szCs w:val="18"/>
              </w:rPr>
            </w:pPr>
            <w:r w:rsidRPr="00384A6C">
              <w:rPr>
                <w:color w:val="000000"/>
                <w:sz w:val="18"/>
                <w:szCs w:val="18"/>
              </w:rPr>
              <w:t>200</w:t>
            </w:r>
          </w:p>
        </w:tc>
        <w:tc>
          <w:tcPr>
            <w:tcW w:w="1843" w:type="dxa"/>
            <w:vAlign w:val="center"/>
          </w:tcPr>
          <w:p w14:paraId="55A20128" w14:textId="77777777" w:rsidR="00370A19" w:rsidRPr="00384A6C" w:rsidRDefault="00370A19" w:rsidP="00FB66B9">
            <w:pPr>
              <w:tabs>
                <w:tab w:val="left" w:pos="1080"/>
                <w:tab w:val="left" w:pos="1994"/>
              </w:tabs>
              <w:jc w:val="right"/>
              <w:rPr>
                <w:i/>
                <w:color w:val="000000"/>
                <w:sz w:val="18"/>
                <w:szCs w:val="18"/>
              </w:rPr>
            </w:pPr>
            <w:r w:rsidRPr="00384A6C">
              <w:rPr>
                <w:i/>
                <w:iCs/>
                <w:color w:val="000000"/>
                <w:sz w:val="18"/>
                <w:szCs w:val="18"/>
              </w:rPr>
              <w:t>120 (0-10 сек.)</w:t>
            </w:r>
          </w:p>
          <w:p w14:paraId="43134C60" w14:textId="1A6B82AB" w:rsidR="00370A19" w:rsidRPr="00384A6C" w:rsidRDefault="00370A19" w:rsidP="00FB66B9">
            <w:pPr>
              <w:tabs>
                <w:tab w:val="left" w:pos="1080"/>
                <w:tab w:val="left" w:pos="1994"/>
              </w:tabs>
              <w:jc w:val="right"/>
              <w:rPr>
                <w:i/>
                <w:iCs/>
                <w:color w:val="000000"/>
                <w:sz w:val="18"/>
                <w:szCs w:val="18"/>
              </w:rPr>
            </w:pPr>
            <w:r w:rsidRPr="00384A6C">
              <w:rPr>
                <w:i/>
                <w:color w:val="000000"/>
                <w:sz w:val="18"/>
                <w:szCs w:val="18"/>
              </w:rPr>
              <w:t xml:space="preserve">24 </w:t>
            </w:r>
            <w:r w:rsidRPr="00384A6C">
              <w:rPr>
                <w:i/>
                <w:iCs/>
                <w:color w:val="000000"/>
                <w:sz w:val="18"/>
                <w:szCs w:val="18"/>
              </w:rPr>
              <w:t>(11-30 сек.)</w:t>
            </w:r>
          </w:p>
          <w:p w14:paraId="5665C77B" w14:textId="7D42F6C1" w:rsidR="00370A19" w:rsidRPr="00384A6C" w:rsidRDefault="00370A19" w:rsidP="00FB66B9">
            <w:pPr>
              <w:tabs>
                <w:tab w:val="left" w:pos="1080"/>
                <w:tab w:val="left" w:pos="1994"/>
              </w:tabs>
              <w:jc w:val="right"/>
              <w:rPr>
                <w:color w:val="000000"/>
                <w:sz w:val="18"/>
                <w:szCs w:val="18"/>
              </w:rPr>
            </w:pPr>
            <w:r w:rsidRPr="00384A6C">
              <w:rPr>
                <w:i/>
                <w:iCs/>
                <w:color w:val="000000"/>
                <w:sz w:val="18"/>
                <w:szCs w:val="18"/>
              </w:rPr>
              <w:t>57 (над 30 сек.)</w:t>
            </w:r>
          </w:p>
        </w:tc>
        <w:tc>
          <w:tcPr>
            <w:tcW w:w="1418" w:type="dxa"/>
            <w:vAlign w:val="center"/>
          </w:tcPr>
          <w:p w14:paraId="19A293E6" w14:textId="77777777" w:rsidR="00370A19" w:rsidRPr="00384A6C" w:rsidRDefault="00370A19" w:rsidP="00FB66B9">
            <w:pPr>
              <w:jc w:val="right"/>
              <w:rPr>
                <w:color w:val="000000"/>
                <w:sz w:val="18"/>
                <w:szCs w:val="18"/>
                <w:shd w:val="clear" w:color="auto" w:fill="FFFFFF"/>
              </w:rPr>
            </w:pPr>
            <w:r w:rsidRPr="00384A6C">
              <w:rPr>
                <w:color w:val="000000"/>
                <w:sz w:val="18"/>
                <w:szCs w:val="18"/>
                <w:shd w:val="clear" w:color="auto" w:fill="FFFFFF"/>
              </w:rPr>
              <w:t>535</w:t>
            </w:r>
          </w:p>
        </w:tc>
      </w:tr>
      <w:tr w:rsidR="00370A19" w:rsidRPr="00384A6C" w14:paraId="372918B0" w14:textId="77777777" w:rsidTr="004B1B2E">
        <w:trPr>
          <w:jc w:val="center"/>
        </w:trPr>
        <w:tc>
          <w:tcPr>
            <w:tcW w:w="2977" w:type="dxa"/>
            <w:shd w:val="clear" w:color="auto" w:fill="FFFFFF" w:themeFill="background1"/>
          </w:tcPr>
          <w:p w14:paraId="53BE608A" w14:textId="77777777" w:rsidR="00370A19" w:rsidRPr="00384A6C" w:rsidRDefault="00370A19" w:rsidP="00167913">
            <w:pPr>
              <w:rPr>
                <w:b/>
                <w:bCs/>
                <w:color w:val="000000"/>
                <w:sz w:val="18"/>
                <w:szCs w:val="18"/>
              </w:rPr>
            </w:pPr>
            <w:r w:rsidRPr="00384A6C">
              <w:rPr>
                <w:b/>
                <w:bCs/>
                <w:color w:val="000000"/>
                <w:sz w:val="18"/>
                <w:szCs w:val="18"/>
              </w:rPr>
              <w:t xml:space="preserve">4. Полицейски досиета на известни личности от периода преди 1944 г. </w:t>
            </w:r>
          </w:p>
        </w:tc>
        <w:tc>
          <w:tcPr>
            <w:tcW w:w="1554" w:type="dxa"/>
            <w:vAlign w:val="center"/>
          </w:tcPr>
          <w:p w14:paraId="498A5E3B" w14:textId="2DF4ECD3" w:rsidR="00370A19" w:rsidRPr="00384A6C" w:rsidRDefault="00370A19" w:rsidP="00FB66B9">
            <w:pPr>
              <w:jc w:val="right"/>
              <w:rPr>
                <w:color w:val="000000"/>
                <w:sz w:val="18"/>
                <w:szCs w:val="18"/>
              </w:rPr>
            </w:pPr>
            <w:r w:rsidRPr="00384A6C">
              <w:rPr>
                <w:color w:val="000000"/>
                <w:sz w:val="18"/>
                <w:szCs w:val="18"/>
              </w:rPr>
              <w:t>1</w:t>
            </w:r>
            <w:r w:rsidR="00AB231C">
              <w:rPr>
                <w:color w:val="000000"/>
                <w:sz w:val="18"/>
                <w:szCs w:val="18"/>
              </w:rPr>
              <w:t xml:space="preserve"> </w:t>
            </w:r>
            <w:r w:rsidRPr="00384A6C">
              <w:rPr>
                <w:color w:val="000000"/>
                <w:sz w:val="18"/>
                <w:szCs w:val="18"/>
              </w:rPr>
              <w:t>746</w:t>
            </w:r>
          </w:p>
        </w:tc>
        <w:tc>
          <w:tcPr>
            <w:tcW w:w="1843" w:type="dxa"/>
            <w:vAlign w:val="center"/>
          </w:tcPr>
          <w:p w14:paraId="5C4DDDF1" w14:textId="7AC419CE" w:rsidR="00370A19" w:rsidRPr="00384A6C" w:rsidRDefault="00370A19" w:rsidP="00FB66B9">
            <w:pPr>
              <w:tabs>
                <w:tab w:val="left" w:pos="1080"/>
                <w:tab w:val="left" w:pos="1994"/>
              </w:tabs>
              <w:jc w:val="right"/>
              <w:rPr>
                <w:i/>
                <w:color w:val="000000"/>
                <w:sz w:val="18"/>
                <w:szCs w:val="18"/>
              </w:rPr>
            </w:pPr>
            <w:r w:rsidRPr="00384A6C">
              <w:rPr>
                <w:i/>
                <w:iCs/>
                <w:color w:val="000000"/>
                <w:sz w:val="18"/>
                <w:szCs w:val="18"/>
              </w:rPr>
              <w:t>1</w:t>
            </w:r>
            <w:r w:rsidR="00AB231C">
              <w:rPr>
                <w:i/>
                <w:iCs/>
                <w:color w:val="000000"/>
                <w:sz w:val="18"/>
                <w:szCs w:val="18"/>
              </w:rPr>
              <w:t xml:space="preserve"> </w:t>
            </w:r>
            <w:r w:rsidRPr="00384A6C">
              <w:rPr>
                <w:i/>
                <w:iCs/>
                <w:color w:val="000000"/>
                <w:sz w:val="18"/>
                <w:szCs w:val="18"/>
              </w:rPr>
              <w:t>192 (0-10 сек.)</w:t>
            </w:r>
          </w:p>
          <w:p w14:paraId="32483E98" w14:textId="327844D5" w:rsidR="00370A19" w:rsidRPr="00384A6C" w:rsidRDefault="00370A19" w:rsidP="00FB66B9">
            <w:pPr>
              <w:tabs>
                <w:tab w:val="left" w:pos="1080"/>
                <w:tab w:val="left" w:pos="1994"/>
              </w:tabs>
              <w:jc w:val="right"/>
              <w:rPr>
                <w:i/>
                <w:iCs/>
                <w:color w:val="000000"/>
                <w:sz w:val="18"/>
                <w:szCs w:val="18"/>
              </w:rPr>
            </w:pPr>
            <w:r w:rsidRPr="00384A6C">
              <w:rPr>
                <w:i/>
                <w:color w:val="000000"/>
                <w:sz w:val="18"/>
                <w:szCs w:val="18"/>
              </w:rPr>
              <w:t xml:space="preserve">57 </w:t>
            </w:r>
            <w:r w:rsidRPr="00384A6C">
              <w:rPr>
                <w:i/>
                <w:iCs/>
                <w:color w:val="000000"/>
                <w:sz w:val="18"/>
                <w:szCs w:val="18"/>
              </w:rPr>
              <w:t>(11-30 сек.)</w:t>
            </w:r>
          </w:p>
          <w:p w14:paraId="1896111B" w14:textId="100F0C3B" w:rsidR="00370A19" w:rsidRPr="00384A6C" w:rsidRDefault="00370A19" w:rsidP="00FB66B9">
            <w:pPr>
              <w:tabs>
                <w:tab w:val="left" w:pos="1080"/>
                <w:tab w:val="left" w:pos="1994"/>
              </w:tabs>
              <w:jc w:val="right"/>
              <w:rPr>
                <w:color w:val="000000"/>
                <w:sz w:val="18"/>
                <w:szCs w:val="18"/>
              </w:rPr>
            </w:pPr>
            <w:r w:rsidRPr="00384A6C">
              <w:rPr>
                <w:i/>
                <w:color w:val="000000"/>
                <w:sz w:val="18"/>
                <w:szCs w:val="18"/>
              </w:rPr>
              <w:t xml:space="preserve">502 </w:t>
            </w:r>
            <w:r w:rsidRPr="00384A6C">
              <w:rPr>
                <w:i/>
                <w:iCs/>
                <w:color w:val="000000"/>
                <w:sz w:val="18"/>
                <w:szCs w:val="18"/>
              </w:rPr>
              <w:t>(над 30 сек.)</w:t>
            </w:r>
          </w:p>
        </w:tc>
        <w:tc>
          <w:tcPr>
            <w:tcW w:w="1418" w:type="dxa"/>
            <w:vAlign w:val="center"/>
          </w:tcPr>
          <w:p w14:paraId="501B0203" w14:textId="51614F7B" w:rsidR="00370A19" w:rsidRPr="00384A6C" w:rsidRDefault="00370A19" w:rsidP="00FB66B9">
            <w:pPr>
              <w:jc w:val="right"/>
              <w:rPr>
                <w:color w:val="000000"/>
                <w:sz w:val="18"/>
                <w:szCs w:val="18"/>
                <w:shd w:val="clear" w:color="auto" w:fill="FFFFFF"/>
              </w:rPr>
            </w:pPr>
            <w:r w:rsidRPr="00384A6C">
              <w:rPr>
                <w:color w:val="000000"/>
                <w:sz w:val="18"/>
                <w:szCs w:val="18"/>
                <w:shd w:val="clear" w:color="auto" w:fill="FFFFFF"/>
              </w:rPr>
              <w:t>5</w:t>
            </w:r>
            <w:r w:rsidR="00AB231C">
              <w:rPr>
                <w:color w:val="000000"/>
                <w:sz w:val="18"/>
                <w:szCs w:val="18"/>
                <w:shd w:val="clear" w:color="auto" w:fill="FFFFFF"/>
              </w:rPr>
              <w:t xml:space="preserve"> </w:t>
            </w:r>
            <w:r w:rsidRPr="00384A6C">
              <w:rPr>
                <w:color w:val="000000"/>
                <w:sz w:val="18"/>
                <w:szCs w:val="18"/>
                <w:shd w:val="clear" w:color="auto" w:fill="FFFFFF"/>
              </w:rPr>
              <w:t>049</w:t>
            </w:r>
          </w:p>
        </w:tc>
      </w:tr>
      <w:tr w:rsidR="00370A19" w:rsidRPr="00384A6C" w14:paraId="1BF72794" w14:textId="77777777" w:rsidTr="004B1B2E">
        <w:trPr>
          <w:jc w:val="center"/>
        </w:trPr>
        <w:tc>
          <w:tcPr>
            <w:tcW w:w="2977" w:type="dxa"/>
            <w:shd w:val="clear" w:color="auto" w:fill="FFFFFF" w:themeFill="background1"/>
          </w:tcPr>
          <w:p w14:paraId="3EA4EB7C" w14:textId="77777777" w:rsidR="00370A19" w:rsidRPr="00384A6C" w:rsidRDefault="00370A19" w:rsidP="00167913">
            <w:pPr>
              <w:ind w:firstLine="709"/>
              <w:rPr>
                <w:b/>
                <w:bCs/>
                <w:color w:val="000000"/>
                <w:sz w:val="18"/>
                <w:szCs w:val="18"/>
              </w:rPr>
            </w:pPr>
            <w:r w:rsidRPr="00384A6C">
              <w:rPr>
                <w:b/>
                <w:bCs/>
                <w:color w:val="000000"/>
                <w:sz w:val="18"/>
                <w:szCs w:val="18"/>
              </w:rPr>
              <w:br/>
              <w:t xml:space="preserve">5. </w:t>
            </w:r>
            <w:proofErr w:type="spellStart"/>
            <w:r w:rsidRPr="00384A6C">
              <w:rPr>
                <w:b/>
                <w:bCs/>
                <w:color w:val="000000"/>
                <w:sz w:val="18"/>
                <w:szCs w:val="18"/>
              </w:rPr>
              <w:t>ФотоАрхив</w:t>
            </w:r>
            <w:proofErr w:type="spellEnd"/>
          </w:p>
        </w:tc>
        <w:tc>
          <w:tcPr>
            <w:tcW w:w="1554" w:type="dxa"/>
            <w:vAlign w:val="center"/>
          </w:tcPr>
          <w:p w14:paraId="57EABBD4" w14:textId="569CF569" w:rsidR="00370A19" w:rsidRPr="00384A6C" w:rsidRDefault="00370A19" w:rsidP="00FB66B9">
            <w:pPr>
              <w:jc w:val="right"/>
              <w:rPr>
                <w:color w:val="000000"/>
                <w:sz w:val="18"/>
                <w:szCs w:val="18"/>
              </w:rPr>
            </w:pPr>
            <w:r w:rsidRPr="00384A6C">
              <w:rPr>
                <w:color w:val="000000"/>
                <w:sz w:val="18"/>
                <w:szCs w:val="18"/>
              </w:rPr>
              <w:t>4</w:t>
            </w:r>
            <w:r w:rsidR="00AB231C">
              <w:rPr>
                <w:color w:val="000000"/>
                <w:sz w:val="18"/>
                <w:szCs w:val="18"/>
              </w:rPr>
              <w:t xml:space="preserve"> </w:t>
            </w:r>
            <w:r w:rsidRPr="00384A6C">
              <w:rPr>
                <w:color w:val="000000"/>
                <w:sz w:val="18"/>
                <w:szCs w:val="18"/>
              </w:rPr>
              <w:t>139</w:t>
            </w:r>
          </w:p>
        </w:tc>
        <w:tc>
          <w:tcPr>
            <w:tcW w:w="1843" w:type="dxa"/>
            <w:vAlign w:val="center"/>
          </w:tcPr>
          <w:p w14:paraId="63348E4D" w14:textId="0D95EF9E" w:rsidR="00370A19" w:rsidRPr="00384A6C" w:rsidRDefault="00370A19" w:rsidP="00FB66B9">
            <w:pPr>
              <w:tabs>
                <w:tab w:val="left" w:pos="1080"/>
                <w:tab w:val="left" w:pos="1994"/>
              </w:tabs>
              <w:jc w:val="right"/>
              <w:rPr>
                <w:i/>
                <w:color w:val="000000"/>
                <w:sz w:val="18"/>
                <w:szCs w:val="18"/>
              </w:rPr>
            </w:pPr>
            <w:r w:rsidRPr="00384A6C">
              <w:rPr>
                <w:i/>
                <w:iCs/>
                <w:color w:val="000000"/>
                <w:sz w:val="18"/>
                <w:szCs w:val="18"/>
              </w:rPr>
              <w:t>1</w:t>
            </w:r>
            <w:r w:rsidR="00AB231C">
              <w:rPr>
                <w:i/>
                <w:iCs/>
                <w:color w:val="000000"/>
                <w:sz w:val="18"/>
                <w:szCs w:val="18"/>
              </w:rPr>
              <w:t xml:space="preserve"> </w:t>
            </w:r>
            <w:r w:rsidRPr="00384A6C">
              <w:rPr>
                <w:i/>
                <w:iCs/>
                <w:color w:val="000000"/>
                <w:sz w:val="18"/>
                <w:szCs w:val="18"/>
              </w:rPr>
              <w:t>177 (0-10 сек.)</w:t>
            </w:r>
          </w:p>
          <w:p w14:paraId="72441B74" w14:textId="704349C2" w:rsidR="00370A19" w:rsidRPr="00384A6C" w:rsidRDefault="00370A19" w:rsidP="00FB66B9">
            <w:pPr>
              <w:tabs>
                <w:tab w:val="left" w:pos="1080"/>
                <w:tab w:val="left" w:pos="1994"/>
              </w:tabs>
              <w:jc w:val="right"/>
              <w:rPr>
                <w:i/>
                <w:iCs/>
                <w:color w:val="000000"/>
                <w:sz w:val="18"/>
                <w:szCs w:val="18"/>
              </w:rPr>
            </w:pPr>
            <w:r w:rsidRPr="00384A6C">
              <w:rPr>
                <w:i/>
                <w:iCs/>
                <w:color w:val="000000"/>
                <w:sz w:val="18"/>
                <w:szCs w:val="18"/>
              </w:rPr>
              <w:t>369 (11-30 сек.)</w:t>
            </w:r>
          </w:p>
          <w:p w14:paraId="39DE182B" w14:textId="5A788C2D" w:rsidR="00370A19" w:rsidRPr="00384A6C" w:rsidRDefault="00370A19" w:rsidP="00FB66B9">
            <w:pPr>
              <w:tabs>
                <w:tab w:val="left" w:pos="1080"/>
                <w:tab w:val="left" w:pos="1994"/>
              </w:tabs>
              <w:jc w:val="right"/>
              <w:rPr>
                <w:b/>
                <w:bCs/>
                <w:color w:val="000000"/>
                <w:sz w:val="18"/>
                <w:szCs w:val="18"/>
              </w:rPr>
            </w:pPr>
            <w:r w:rsidRPr="00384A6C">
              <w:rPr>
                <w:i/>
                <w:color w:val="000000"/>
                <w:sz w:val="18"/>
                <w:szCs w:val="18"/>
              </w:rPr>
              <w:t>2</w:t>
            </w:r>
            <w:r w:rsidR="00AB231C">
              <w:rPr>
                <w:i/>
                <w:color w:val="000000"/>
                <w:sz w:val="18"/>
                <w:szCs w:val="18"/>
              </w:rPr>
              <w:t xml:space="preserve"> </w:t>
            </w:r>
            <w:r w:rsidRPr="00384A6C">
              <w:rPr>
                <w:i/>
                <w:color w:val="000000"/>
                <w:sz w:val="18"/>
                <w:szCs w:val="18"/>
              </w:rPr>
              <w:t xml:space="preserve">601 </w:t>
            </w:r>
            <w:r w:rsidRPr="00384A6C">
              <w:rPr>
                <w:i/>
                <w:iCs/>
                <w:color w:val="000000"/>
                <w:sz w:val="18"/>
                <w:szCs w:val="18"/>
              </w:rPr>
              <w:t>(над 30 сек.)</w:t>
            </w:r>
          </w:p>
        </w:tc>
        <w:tc>
          <w:tcPr>
            <w:tcW w:w="1418" w:type="dxa"/>
            <w:vAlign w:val="center"/>
          </w:tcPr>
          <w:p w14:paraId="1851FA2C" w14:textId="77777777" w:rsidR="00370A19" w:rsidRPr="00384A6C" w:rsidRDefault="00370A19" w:rsidP="00FB66B9">
            <w:pPr>
              <w:jc w:val="right"/>
              <w:rPr>
                <w:color w:val="000000"/>
                <w:sz w:val="18"/>
                <w:szCs w:val="18"/>
                <w:shd w:val="clear" w:color="auto" w:fill="FFFFFF"/>
              </w:rPr>
            </w:pPr>
            <w:r w:rsidRPr="00384A6C">
              <w:rPr>
                <w:color w:val="000000"/>
                <w:sz w:val="18"/>
                <w:szCs w:val="18"/>
                <w:shd w:val="clear" w:color="auto" w:fill="FFFFFF"/>
              </w:rPr>
              <w:t>28 639</w:t>
            </w:r>
          </w:p>
        </w:tc>
      </w:tr>
      <w:tr w:rsidR="00370A19" w:rsidRPr="00384A6C" w14:paraId="7A1E067C" w14:textId="77777777" w:rsidTr="004B1B2E">
        <w:trPr>
          <w:jc w:val="center"/>
        </w:trPr>
        <w:tc>
          <w:tcPr>
            <w:tcW w:w="2977" w:type="dxa"/>
            <w:shd w:val="clear" w:color="auto" w:fill="FFFFFF" w:themeFill="background1"/>
          </w:tcPr>
          <w:p w14:paraId="73B61814" w14:textId="77777777" w:rsidR="00370A19" w:rsidRPr="00384A6C" w:rsidRDefault="00370A19" w:rsidP="00167913">
            <w:pPr>
              <w:ind w:firstLine="709"/>
              <w:rPr>
                <w:b/>
                <w:bCs/>
                <w:color w:val="000000"/>
                <w:sz w:val="18"/>
                <w:szCs w:val="18"/>
              </w:rPr>
            </w:pPr>
            <w:r w:rsidRPr="00384A6C">
              <w:rPr>
                <w:b/>
                <w:bCs/>
                <w:color w:val="000000"/>
                <w:sz w:val="18"/>
                <w:szCs w:val="18"/>
              </w:rPr>
              <w:br/>
              <w:t>6. Народният съд</w:t>
            </w:r>
          </w:p>
        </w:tc>
        <w:tc>
          <w:tcPr>
            <w:tcW w:w="1554" w:type="dxa"/>
            <w:vAlign w:val="center"/>
          </w:tcPr>
          <w:p w14:paraId="2BC6A3C3" w14:textId="04671B2D" w:rsidR="00370A19" w:rsidRPr="00384A6C" w:rsidRDefault="00370A19" w:rsidP="00FB66B9">
            <w:pPr>
              <w:jc w:val="right"/>
              <w:rPr>
                <w:color w:val="000000"/>
                <w:sz w:val="18"/>
                <w:szCs w:val="18"/>
              </w:rPr>
            </w:pPr>
            <w:r w:rsidRPr="00384A6C">
              <w:rPr>
                <w:color w:val="000000"/>
                <w:sz w:val="18"/>
                <w:szCs w:val="18"/>
              </w:rPr>
              <w:t>3</w:t>
            </w:r>
            <w:r w:rsidR="00AB231C">
              <w:rPr>
                <w:color w:val="000000"/>
                <w:sz w:val="18"/>
                <w:szCs w:val="18"/>
              </w:rPr>
              <w:t xml:space="preserve"> </w:t>
            </w:r>
            <w:r w:rsidRPr="00384A6C">
              <w:rPr>
                <w:color w:val="000000"/>
                <w:sz w:val="18"/>
                <w:szCs w:val="18"/>
              </w:rPr>
              <w:t>265</w:t>
            </w:r>
          </w:p>
        </w:tc>
        <w:tc>
          <w:tcPr>
            <w:tcW w:w="1843" w:type="dxa"/>
            <w:vAlign w:val="center"/>
          </w:tcPr>
          <w:p w14:paraId="7E854A46" w14:textId="09259319" w:rsidR="00370A19" w:rsidRPr="00384A6C" w:rsidRDefault="00AB231C" w:rsidP="00FB66B9">
            <w:pPr>
              <w:tabs>
                <w:tab w:val="left" w:pos="1080"/>
                <w:tab w:val="left" w:pos="1994"/>
              </w:tabs>
              <w:jc w:val="right"/>
              <w:rPr>
                <w:i/>
                <w:color w:val="000000"/>
                <w:sz w:val="18"/>
                <w:szCs w:val="18"/>
              </w:rPr>
            </w:pPr>
            <w:r>
              <w:rPr>
                <w:i/>
                <w:iCs/>
                <w:color w:val="000000"/>
                <w:sz w:val="18"/>
                <w:szCs w:val="18"/>
              </w:rPr>
              <w:t xml:space="preserve">1 368 </w:t>
            </w:r>
            <w:r w:rsidR="00370A19" w:rsidRPr="00384A6C">
              <w:rPr>
                <w:i/>
                <w:iCs/>
                <w:color w:val="000000"/>
                <w:sz w:val="18"/>
                <w:szCs w:val="18"/>
              </w:rPr>
              <w:t>(0-10 сек.)</w:t>
            </w:r>
          </w:p>
          <w:p w14:paraId="5A7F68D9" w14:textId="7E08AD7E" w:rsidR="00370A19" w:rsidRPr="00384A6C" w:rsidRDefault="00370A19" w:rsidP="00FB66B9">
            <w:pPr>
              <w:tabs>
                <w:tab w:val="left" w:pos="1080"/>
                <w:tab w:val="left" w:pos="1994"/>
              </w:tabs>
              <w:jc w:val="right"/>
              <w:rPr>
                <w:i/>
                <w:iCs/>
                <w:color w:val="000000"/>
                <w:sz w:val="18"/>
                <w:szCs w:val="18"/>
              </w:rPr>
            </w:pPr>
            <w:r w:rsidRPr="00384A6C">
              <w:rPr>
                <w:i/>
                <w:color w:val="000000"/>
                <w:sz w:val="18"/>
                <w:szCs w:val="18"/>
              </w:rPr>
              <w:t xml:space="preserve">211 </w:t>
            </w:r>
            <w:r w:rsidRPr="00384A6C">
              <w:rPr>
                <w:i/>
                <w:iCs/>
                <w:color w:val="000000"/>
                <w:sz w:val="18"/>
                <w:szCs w:val="18"/>
              </w:rPr>
              <w:t>(11-30 сек.)</w:t>
            </w:r>
          </w:p>
          <w:p w14:paraId="64E62BC4" w14:textId="73F11BE5" w:rsidR="00370A19" w:rsidRPr="00384A6C" w:rsidRDefault="00370A19" w:rsidP="00FB66B9">
            <w:pPr>
              <w:tabs>
                <w:tab w:val="left" w:pos="1080"/>
                <w:tab w:val="left" w:pos="1994"/>
              </w:tabs>
              <w:jc w:val="right"/>
              <w:rPr>
                <w:i/>
                <w:iCs/>
                <w:color w:val="000000"/>
                <w:sz w:val="18"/>
                <w:szCs w:val="18"/>
              </w:rPr>
            </w:pPr>
            <w:r w:rsidRPr="00384A6C">
              <w:rPr>
                <w:i/>
                <w:color w:val="000000"/>
                <w:sz w:val="18"/>
                <w:szCs w:val="18"/>
              </w:rPr>
              <w:t>1</w:t>
            </w:r>
            <w:r w:rsidR="00AB231C">
              <w:rPr>
                <w:i/>
                <w:color w:val="000000"/>
                <w:sz w:val="18"/>
                <w:szCs w:val="18"/>
              </w:rPr>
              <w:t xml:space="preserve"> </w:t>
            </w:r>
            <w:r w:rsidRPr="00384A6C">
              <w:rPr>
                <w:i/>
                <w:color w:val="000000"/>
                <w:sz w:val="18"/>
                <w:szCs w:val="18"/>
              </w:rPr>
              <w:t xml:space="preserve">700 </w:t>
            </w:r>
            <w:r w:rsidRPr="00384A6C">
              <w:rPr>
                <w:i/>
                <w:iCs/>
                <w:color w:val="000000"/>
                <w:sz w:val="18"/>
                <w:szCs w:val="18"/>
              </w:rPr>
              <w:t>(над 30 сек.)</w:t>
            </w:r>
          </w:p>
        </w:tc>
        <w:tc>
          <w:tcPr>
            <w:tcW w:w="1418" w:type="dxa"/>
            <w:vAlign w:val="center"/>
          </w:tcPr>
          <w:p w14:paraId="6D29DD5C" w14:textId="77777777" w:rsidR="00370A19" w:rsidRPr="00384A6C" w:rsidRDefault="00370A19" w:rsidP="00FB66B9">
            <w:pPr>
              <w:jc w:val="right"/>
              <w:rPr>
                <w:color w:val="000000"/>
                <w:sz w:val="18"/>
                <w:szCs w:val="18"/>
                <w:shd w:val="clear" w:color="auto" w:fill="FFFFFF"/>
              </w:rPr>
            </w:pPr>
            <w:r w:rsidRPr="00384A6C">
              <w:rPr>
                <w:color w:val="000000"/>
                <w:sz w:val="18"/>
                <w:szCs w:val="18"/>
                <w:shd w:val="clear" w:color="auto" w:fill="FFFFFF"/>
              </w:rPr>
              <w:t>24 063</w:t>
            </w:r>
          </w:p>
        </w:tc>
      </w:tr>
      <w:tr w:rsidR="00370A19" w:rsidRPr="00384A6C" w14:paraId="60578191" w14:textId="77777777" w:rsidTr="004B1B2E">
        <w:trPr>
          <w:trHeight w:val="591"/>
          <w:jc w:val="center"/>
        </w:trPr>
        <w:tc>
          <w:tcPr>
            <w:tcW w:w="2977" w:type="dxa"/>
            <w:shd w:val="clear" w:color="auto" w:fill="FFFFFF" w:themeFill="background1"/>
          </w:tcPr>
          <w:p w14:paraId="6CEBAAD2" w14:textId="77777777" w:rsidR="00370A19" w:rsidRPr="00384A6C" w:rsidRDefault="00370A19" w:rsidP="00167913">
            <w:pPr>
              <w:ind w:firstLine="709"/>
              <w:rPr>
                <w:b/>
                <w:bCs/>
                <w:color w:val="000000"/>
                <w:sz w:val="18"/>
                <w:szCs w:val="18"/>
              </w:rPr>
            </w:pPr>
            <w:r w:rsidRPr="00384A6C">
              <w:rPr>
                <w:b/>
                <w:bCs/>
                <w:color w:val="000000"/>
                <w:sz w:val="18"/>
                <w:szCs w:val="18"/>
              </w:rPr>
              <w:br/>
              <w:t>7. Войните на България</w:t>
            </w:r>
          </w:p>
        </w:tc>
        <w:tc>
          <w:tcPr>
            <w:tcW w:w="1554" w:type="dxa"/>
            <w:vAlign w:val="center"/>
          </w:tcPr>
          <w:p w14:paraId="28052A29" w14:textId="61436910" w:rsidR="00370A19" w:rsidRPr="00384A6C" w:rsidRDefault="00370A19" w:rsidP="00FB66B9">
            <w:pPr>
              <w:jc w:val="right"/>
              <w:rPr>
                <w:color w:val="000000"/>
                <w:sz w:val="18"/>
                <w:szCs w:val="18"/>
              </w:rPr>
            </w:pPr>
            <w:r w:rsidRPr="00384A6C">
              <w:rPr>
                <w:color w:val="000000"/>
                <w:sz w:val="18"/>
                <w:szCs w:val="18"/>
              </w:rPr>
              <w:t>8</w:t>
            </w:r>
            <w:r w:rsidR="00AB231C">
              <w:rPr>
                <w:color w:val="000000"/>
                <w:sz w:val="18"/>
                <w:szCs w:val="18"/>
              </w:rPr>
              <w:t xml:space="preserve"> </w:t>
            </w:r>
            <w:r w:rsidRPr="00384A6C">
              <w:rPr>
                <w:color w:val="000000"/>
                <w:sz w:val="18"/>
                <w:szCs w:val="18"/>
              </w:rPr>
              <w:t>341</w:t>
            </w:r>
          </w:p>
        </w:tc>
        <w:tc>
          <w:tcPr>
            <w:tcW w:w="1843" w:type="dxa"/>
            <w:vAlign w:val="center"/>
          </w:tcPr>
          <w:p w14:paraId="692F21B6" w14:textId="5B9BE091" w:rsidR="00370A19" w:rsidRPr="00384A6C" w:rsidRDefault="00A4193D" w:rsidP="00FB66B9">
            <w:pPr>
              <w:tabs>
                <w:tab w:val="left" w:pos="1080"/>
                <w:tab w:val="left" w:pos="1994"/>
              </w:tabs>
              <w:jc w:val="right"/>
              <w:rPr>
                <w:i/>
                <w:color w:val="000000"/>
                <w:sz w:val="18"/>
                <w:szCs w:val="18"/>
              </w:rPr>
            </w:pPr>
            <w:r>
              <w:rPr>
                <w:i/>
                <w:iCs/>
                <w:color w:val="000000"/>
                <w:sz w:val="18"/>
                <w:szCs w:val="18"/>
              </w:rPr>
              <w:t xml:space="preserve">2 517 </w:t>
            </w:r>
            <w:r w:rsidR="00370A19" w:rsidRPr="00384A6C">
              <w:rPr>
                <w:i/>
                <w:iCs/>
                <w:color w:val="000000"/>
                <w:sz w:val="18"/>
                <w:szCs w:val="18"/>
              </w:rPr>
              <w:t>(0-10 сек.)</w:t>
            </w:r>
          </w:p>
          <w:p w14:paraId="502D3382" w14:textId="2700046C" w:rsidR="00370A19" w:rsidRPr="00384A6C" w:rsidRDefault="00A4193D" w:rsidP="00FB66B9">
            <w:pPr>
              <w:tabs>
                <w:tab w:val="left" w:pos="1080"/>
                <w:tab w:val="left" w:pos="1994"/>
              </w:tabs>
              <w:jc w:val="right"/>
              <w:rPr>
                <w:i/>
                <w:iCs/>
                <w:color w:val="000000"/>
                <w:sz w:val="18"/>
                <w:szCs w:val="18"/>
              </w:rPr>
            </w:pPr>
            <w:r>
              <w:rPr>
                <w:i/>
                <w:iCs/>
                <w:color w:val="000000"/>
                <w:sz w:val="18"/>
                <w:szCs w:val="18"/>
              </w:rPr>
              <w:t xml:space="preserve">573 </w:t>
            </w:r>
            <w:r w:rsidR="00370A19" w:rsidRPr="00384A6C">
              <w:rPr>
                <w:i/>
                <w:iCs/>
                <w:color w:val="000000"/>
                <w:sz w:val="18"/>
                <w:szCs w:val="18"/>
              </w:rPr>
              <w:t>(11-30 сек.)</w:t>
            </w:r>
          </w:p>
          <w:p w14:paraId="711DEDBF" w14:textId="7A46467E" w:rsidR="00370A19" w:rsidRPr="00384A6C" w:rsidRDefault="00A4193D" w:rsidP="00FB66B9">
            <w:pPr>
              <w:tabs>
                <w:tab w:val="left" w:pos="176"/>
                <w:tab w:val="left" w:pos="1994"/>
              </w:tabs>
              <w:jc w:val="right"/>
              <w:rPr>
                <w:i/>
                <w:iCs/>
                <w:color w:val="000000"/>
                <w:sz w:val="18"/>
                <w:szCs w:val="18"/>
              </w:rPr>
            </w:pPr>
            <w:r>
              <w:rPr>
                <w:i/>
                <w:iCs/>
                <w:color w:val="000000"/>
                <w:sz w:val="18"/>
                <w:szCs w:val="18"/>
              </w:rPr>
              <w:t xml:space="preserve">5 284 </w:t>
            </w:r>
            <w:r w:rsidR="00370A19" w:rsidRPr="00384A6C">
              <w:rPr>
                <w:i/>
                <w:iCs/>
                <w:color w:val="000000"/>
                <w:sz w:val="18"/>
                <w:szCs w:val="18"/>
              </w:rPr>
              <w:t>(над 30 сек.)</w:t>
            </w:r>
          </w:p>
        </w:tc>
        <w:tc>
          <w:tcPr>
            <w:tcW w:w="1418" w:type="dxa"/>
            <w:vAlign w:val="center"/>
          </w:tcPr>
          <w:p w14:paraId="2436AB54" w14:textId="77777777" w:rsidR="00370A19" w:rsidRPr="00384A6C" w:rsidRDefault="00370A19" w:rsidP="00FB66B9">
            <w:pPr>
              <w:jc w:val="right"/>
              <w:rPr>
                <w:color w:val="000000"/>
                <w:sz w:val="18"/>
                <w:szCs w:val="18"/>
                <w:shd w:val="clear" w:color="auto" w:fill="FFFFFF"/>
              </w:rPr>
            </w:pPr>
            <w:r w:rsidRPr="00384A6C">
              <w:rPr>
                <w:color w:val="000000"/>
                <w:sz w:val="18"/>
                <w:szCs w:val="18"/>
                <w:shd w:val="clear" w:color="auto" w:fill="FFFFFF"/>
              </w:rPr>
              <w:t>109 510</w:t>
            </w:r>
          </w:p>
        </w:tc>
      </w:tr>
      <w:tr w:rsidR="00370A19" w:rsidRPr="00384A6C" w14:paraId="1397BB06" w14:textId="77777777" w:rsidTr="004B1B2E">
        <w:trPr>
          <w:jc w:val="center"/>
        </w:trPr>
        <w:tc>
          <w:tcPr>
            <w:tcW w:w="2977" w:type="dxa"/>
            <w:shd w:val="clear" w:color="auto" w:fill="FFFFFF" w:themeFill="background1"/>
          </w:tcPr>
          <w:p w14:paraId="18127F87" w14:textId="77777777" w:rsidR="00370A19" w:rsidRPr="00384A6C" w:rsidRDefault="00370A19" w:rsidP="00167913">
            <w:pPr>
              <w:ind w:firstLine="709"/>
              <w:rPr>
                <w:b/>
                <w:bCs/>
                <w:color w:val="000000"/>
                <w:sz w:val="18"/>
                <w:szCs w:val="18"/>
              </w:rPr>
            </w:pPr>
            <w:r w:rsidRPr="00384A6C">
              <w:rPr>
                <w:b/>
                <w:bCs/>
                <w:color w:val="000000"/>
                <w:sz w:val="18"/>
                <w:szCs w:val="18"/>
              </w:rPr>
              <w:br/>
              <w:t xml:space="preserve">8. </w:t>
            </w:r>
            <w:proofErr w:type="spellStart"/>
            <w:r w:rsidRPr="00384A6C">
              <w:rPr>
                <w:b/>
                <w:bCs/>
                <w:color w:val="000000"/>
                <w:sz w:val="18"/>
                <w:szCs w:val="18"/>
              </w:rPr>
              <w:t>АртАрхив</w:t>
            </w:r>
            <w:proofErr w:type="spellEnd"/>
          </w:p>
        </w:tc>
        <w:tc>
          <w:tcPr>
            <w:tcW w:w="1554" w:type="dxa"/>
            <w:vAlign w:val="center"/>
          </w:tcPr>
          <w:p w14:paraId="18B32E72" w14:textId="77777777" w:rsidR="00370A19" w:rsidRPr="00384A6C" w:rsidRDefault="00370A19" w:rsidP="00FB66B9">
            <w:pPr>
              <w:jc w:val="right"/>
              <w:rPr>
                <w:color w:val="000000"/>
                <w:sz w:val="18"/>
                <w:szCs w:val="18"/>
              </w:rPr>
            </w:pPr>
            <w:r w:rsidRPr="00384A6C">
              <w:rPr>
                <w:color w:val="000000"/>
                <w:sz w:val="18"/>
                <w:szCs w:val="18"/>
              </w:rPr>
              <w:t>376</w:t>
            </w:r>
          </w:p>
        </w:tc>
        <w:tc>
          <w:tcPr>
            <w:tcW w:w="1843" w:type="dxa"/>
            <w:vAlign w:val="center"/>
          </w:tcPr>
          <w:p w14:paraId="2D097B12" w14:textId="77777777" w:rsidR="00370A19" w:rsidRPr="00384A6C" w:rsidRDefault="00370A19" w:rsidP="00FB66B9">
            <w:pPr>
              <w:tabs>
                <w:tab w:val="left" w:pos="1080"/>
                <w:tab w:val="left" w:pos="1994"/>
              </w:tabs>
              <w:jc w:val="right"/>
              <w:rPr>
                <w:color w:val="000000"/>
                <w:sz w:val="18"/>
                <w:szCs w:val="18"/>
              </w:rPr>
            </w:pPr>
            <w:r w:rsidRPr="00384A6C">
              <w:rPr>
                <w:i/>
                <w:iCs/>
                <w:color w:val="000000"/>
                <w:sz w:val="18"/>
                <w:szCs w:val="18"/>
              </w:rPr>
              <w:t>208 (0-10 сек.)</w:t>
            </w:r>
          </w:p>
          <w:p w14:paraId="5FC32918" w14:textId="3FBAB267" w:rsidR="00370A19" w:rsidRPr="00384A6C" w:rsidRDefault="00370A19" w:rsidP="00FB66B9">
            <w:pPr>
              <w:tabs>
                <w:tab w:val="left" w:pos="555"/>
                <w:tab w:val="left" w:pos="1080"/>
                <w:tab w:val="left" w:pos="1994"/>
                <w:tab w:val="right" w:pos="2052"/>
              </w:tabs>
              <w:jc w:val="right"/>
              <w:rPr>
                <w:i/>
                <w:iCs/>
                <w:color w:val="000000"/>
                <w:sz w:val="18"/>
                <w:szCs w:val="18"/>
              </w:rPr>
            </w:pPr>
            <w:r w:rsidRPr="00384A6C">
              <w:rPr>
                <w:i/>
                <w:iCs/>
                <w:color w:val="000000"/>
                <w:sz w:val="18"/>
                <w:szCs w:val="18"/>
              </w:rPr>
              <w:t>45 (11-30 сек.)</w:t>
            </w:r>
          </w:p>
          <w:p w14:paraId="5D0C6977" w14:textId="3B468B92" w:rsidR="00370A19" w:rsidRPr="00384A6C" w:rsidRDefault="00370A19" w:rsidP="00FB66B9">
            <w:pPr>
              <w:tabs>
                <w:tab w:val="left" w:pos="1080"/>
                <w:tab w:val="left" w:pos="1994"/>
              </w:tabs>
              <w:jc w:val="right"/>
              <w:rPr>
                <w:color w:val="000000"/>
                <w:sz w:val="18"/>
                <w:szCs w:val="18"/>
              </w:rPr>
            </w:pPr>
            <w:r w:rsidRPr="00384A6C">
              <w:rPr>
                <w:i/>
                <w:iCs/>
                <w:color w:val="000000"/>
                <w:sz w:val="18"/>
                <w:szCs w:val="18"/>
              </w:rPr>
              <w:t>124 (над 30 сек.)</w:t>
            </w:r>
          </w:p>
        </w:tc>
        <w:tc>
          <w:tcPr>
            <w:tcW w:w="1418" w:type="dxa"/>
            <w:vAlign w:val="center"/>
          </w:tcPr>
          <w:p w14:paraId="4036DBB6" w14:textId="48235FD1" w:rsidR="00370A19" w:rsidRPr="00384A6C" w:rsidRDefault="00370A19" w:rsidP="00FB66B9">
            <w:pPr>
              <w:jc w:val="right"/>
              <w:rPr>
                <w:color w:val="000000"/>
                <w:sz w:val="18"/>
                <w:szCs w:val="18"/>
                <w:shd w:val="clear" w:color="auto" w:fill="FFFFFF"/>
              </w:rPr>
            </w:pPr>
            <w:r w:rsidRPr="00384A6C">
              <w:rPr>
                <w:color w:val="000000"/>
                <w:sz w:val="18"/>
                <w:szCs w:val="18"/>
                <w:shd w:val="clear" w:color="auto" w:fill="FFFFFF"/>
              </w:rPr>
              <w:t>1</w:t>
            </w:r>
            <w:r w:rsidR="00AB231C">
              <w:rPr>
                <w:color w:val="000000"/>
                <w:sz w:val="18"/>
                <w:szCs w:val="18"/>
                <w:shd w:val="clear" w:color="auto" w:fill="FFFFFF"/>
              </w:rPr>
              <w:t xml:space="preserve"> </w:t>
            </w:r>
            <w:r w:rsidRPr="00384A6C">
              <w:rPr>
                <w:color w:val="000000"/>
                <w:sz w:val="18"/>
                <w:szCs w:val="18"/>
                <w:shd w:val="clear" w:color="auto" w:fill="FFFFFF"/>
              </w:rPr>
              <w:t>464</w:t>
            </w:r>
          </w:p>
        </w:tc>
      </w:tr>
      <w:tr w:rsidR="00370A19" w:rsidRPr="00384A6C" w14:paraId="30BAE320" w14:textId="77777777" w:rsidTr="004B1B2E">
        <w:trPr>
          <w:jc w:val="center"/>
        </w:trPr>
        <w:tc>
          <w:tcPr>
            <w:tcW w:w="2977" w:type="dxa"/>
            <w:shd w:val="clear" w:color="auto" w:fill="FFFFFF" w:themeFill="background1"/>
          </w:tcPr>
          <w:p w14:paraId="3EEE89DB" w14:textId="0A1DDB34" w:rsidR="00370A19" w:rsidRPr="00384A6C" w:rsidRDefault="00C461AC" w:rsidP="00C461AC">
            <w:pPr>
              <w:rPr>
                <w:b/>
                <w:bCs/>
                <w:color w:val="000000"/>
                <w:sz w:val="18"/>
                <w:szCs w:val="18"/>
              </w:rPr>
            </w:pPr>
            <w:r>
              <w:rPr>
                <w:b/>
                <w:bCs/>
                <w:color w:val="000000"/>
                <w:sz w:val="18"/>
                <w:szCs w:val="18"/>
              </w:rPr>
              <w:br/>
            </w:r>
            <w:r w:rsidR="00370A19" w:rsidRPr="00384A6C">
              <w:rPr>
                <w:b/>
                <w:bCs/>
                <w:color w:val="000000"/>
                <w:sz w:val="18"/>
                <w:szCs w:val="18"/>
              </w:rPr>
              <w:t>9. Промяната 1989. Преди и след</w:t>
            </w:r>
          </w:p>
        </w:tc>
        <w:tc>
          <w:tcPr>
            <w:tcW w:w="1554" w:type="dxa"/>
            <w:vAlign w:val="center"/>
          </w:tcPr>
          <w:p w14:paraId="602B64A2" w14:textId="77777777" w:rsidR="00370A19" w:rsidRPr="00384A6C" w:rsidRDefault="00370A19" w:rsidP="00FB66B9">
            <w:pPr>
              <w:jc w:val="right"/>
              <w:rPr>
                <w:color w:val="000000"/>
                <w:sz w:val="18"/>
                <w:szCs w:val="18"/>
              </w:rPr>
            </w:pPr>
            <w:r w:rsidRPr="00384A6C">
              <w:rPr>
                <w:color w:val="000000"/>
                <w:sz w:val="18"/>
                <w:szCs w:val="18"/>
              </w:rPr>
              <w:t>432</w:t>
            </w:r>
          </w:p>
        </w:tc>
        <w:tc>
          <w:tcPr>
            <w:tcW w:w="1843" w:type="dxa"/>
            <w:vAlign w:val="center"/>
          </w:tcPr>
          <w:p w14:paraId="7BC07F07" w14:textId="77777777" w:rsidR="00370A19" w:rsidRPr="00384A6C" w:rsidRDefault="00370A19" w:rsidP="00FB66B9">
            <w:pPr>
              <w:tabs>
                <w:tab w:val="left" w:pos="1080"/>
                <w:tab w:val="left" w:pos="1994"/>
              </w:tabs>
              <w:jc w:val="right"/>
              <w:rPr>
                <w:iCs/>
                <w:color w:val="000000"/>
                <w:sz w:val="18"/>
                <w:szCs w:val="18"/>
              </w:rPr>
            </w:pPr>
            <w:r w:rsidRPr="00384A6C">
              <w:rPr>
                <w:i/>
                <w:iCs/>
                <w:color w:val="000000"/>
                <w:sz w:val="18"/>
                <w:szCs w:val="18"/>
              </w:rPr>
              <w:t>213 (0-10 сек.)</w:t>
            </w:r>
          </w:p>
          <w:p w14:paraId="22D62A21" w14:textId="5C6447E2" w:rsidR="00370A19" w:rsidRPr="00384A6C" w:rsidRDefault="00370A19" w:rsidP="00FB66B9">
            <w:pPr>
              <w:tabs>
                <w:tab w:val="left" w:pos="1080"/>
                <w:tab w:val="left" w:pos="1994"/>
              </w:tabs>
              <w:jc w:val="right"/>
              <w:rPr>
                <w:iCs/>
                <w:color w:val="000000"/>
                <w:sz w:val="18"/>
                <w:szCs w:val="18"/>
              </w:rPr>
            </w:pPr>
            <w:r w:rsidRPr="00384A6C">
              <w:rPr>
                <w:i/>
                <w:iCs/>
                <w:color w:val="000000"/>
                <w:sz w:val="18"/>
                <w:szCs w:val="18"/>
              </w:rPr>
              <w:t>48 (11-30 сек.)</w:t>
            </w:r>
          </w:p>
          <w:p w14:paraId="0D1AEDC3" w14:textId="2B41B24B" w:rsidR="00370A19" w:rsidRPr="00384A6C" w:rsidRDefault="00370A19" w:rsidP="00FB66B9">
            <w:pPr>
              <w:tabs>
                <w:tab w:val="left" w:pos="1080"/>
                <w:tab w:val="left" w:pos="1994"/>
              </w:tabs>
              <w:jc w:val="right"/>
              <w:rPr>
                <w:iCs/>
                <w:color w:val="000000"/>
                <w:sz w:val="18"/>
                <w:szCs w:val="18"/>
              </w:rPr>
            </w:pPr>
            <w:r w:rsidRPr="00384A6C">
              <w:rPr>
                <w:i/>
                <w:iCs/>
                <w:color w:val="000000"/>
                <w:sz w:val="18"/>
                <w:szCs w:val="18"/>
              </w:rPr>
              <w:t>169 (над 30 сек.)</w:t>
            </w:r>
          </w:p>
        </w:tc>
        <w:tc>
          <w:tcPr>
            <w:tcW w:w="1418" w:type="dxa"/>
            <w:vAlign w:val="center"/>
          </w:tcPr>
          <w:p w14:paraId="5D20070A" w14:textId="7D2F3697" w:rsidR="00370A19" w:rsidRPr="00384A6C" w:rsidRDefault="00370A19" w:rsidP="00FB66B9">
            <w:pPr>
              <w:jc w:val="right"/>
              <w:rPr>
                <w:color w:val="000000"/>
                <w:sz w:val="18"/>
                <w:szCs w:val="18"/>
                <w:shd w:val="clear" w:color="auto" w:fill="FFFFFF"/>
              </w:rPr>
            </w:pPr>
            <w:r w:rsidRPr="00384A6C">
              <w:rPr>
                <w:color w:val="000000"/>
                <w:sz w:val="18"/>
                <w:szCs w:val="18"/>
                <w:shd w:val="clear" w:color="auto" w:fill="FFFFFF"/>
              </w:rPr>
              <w:t>1</w:t>
            </w:r>
            <w:r w:rsidR="00AB231C">
              <w:rPr>
                <w:color w:val="000000"/>
                <w:sz w:val="18"/>
                <w:szCs w:val="18"/>
                <w:shd w:val="clear" w:color="auto" w:fill="FFFFFF"/>
              </w:rPr>
              <w:t xml:space="preserve"> </w:t>
            </w:r>
            <w:r w:rsidRPr="00384A6C">
              <w:rPr>
                <w:color w:val="000000"/>
                <w:sz w:val="18"/>
                <w:szCs w:val="18"/>
                <w:shd w:val="clear" w:color="auto" w:fill="FFFFFF"/>
              </w:rPr>
              <w:t>567</w:t>
            </w:r>
          </w:p>
        </w:tc>
      </w:tr>
      <w:tr w:rsidR="00370A19" w:rsidRPr="00384A6C" w14:paraId="3F1D2548" w14:textId="77777777" w:rsidTr="004B1B2E">
        <w:trPr>
          <w:jc w:val="center"/>
        </w:trPr>
        <w:tc>
          <w:tcPr>
            <w:tcW w:w="2977" w:type="dxa"/>
            <w:shd w:val="clear" w:color="auto" w:fill="FFFFFF" w:themeFill="background1"/>
          </w:tcPr>
          <w:p w14:paraId="0CA809F6" w14:textId="60345690" w:rsidR="00370A19" w:rsidRPr="00384A6C" w:rsidRDefault="00C461AC" w:rsidP="00167913">
            <w:pPr>
              <w:rPr>
                <w:b/>
                <w:bCs/>
                <w:color w:val="000000"/>
                <w:sz w:val="18"/>
                <w:szCs w:val="18"/>
              </w:rPr>
            </w:pPr>
            <w:r>
              <w:rPr>
                <w:b/>
                <w:bCs/>
                <w:color w:val="000000"/>
                <w:sz w:val="18"/>
                <w:szCs w:val="18"/>
              </w:rPr>
              <w:br/>
            </w:r>
            <w:r w:rsidR="00370A19" w:rsidRPr="00384A6C">
              <w:rPr>
                <w:b/>
                <w:bCs/>
                <w:color w:val="000000"/>
                <w:sz w:val="18"/>
                <w:szCs w:val="18"/>
              </w:rPr>
              <w:t>10. Константин Стоилов</w:t>
            </w:r>
          </w:p>
        </w:tc>
        <w:tc>
          <w:tcPr>
            <w:tcW w:w="1554" w:type="dxa"/>
            <w:vAlign w:val="center"/>
          </w:tcPr>
          <w:p w14:paraId="2592D2D9" w14:textId="77777777" w:rsidR="00370A19" w:rsidRPr="00384A6C" w:rsidRDefault="00370A19" w:rsidP="00FB66B9">
            <w:pPr>
              <w:jc w:val="right"/>
              <w:rPr>
                <w:color w:val="000000"/>
                <w:sz w:val="18"/>
                <w:szCs w:val="18"/>
              </w:rPr>
            </w:pPr>
            <w:r w:rsidRPr="00384A6C">
              <w:rPr>
                <w:color w:val="000000"/>
                <w:sz w:val="18"/>
                <w:szCs w:val="18"/>
              </w:rPr>
              <w:t>387</w:t>
            </w:r>
          </w:p>
        </w:tc>
        <w:tc>
          <w:tcPr>
            <w:tcW w:w="1843" w:type="dxa"/>
            <w:vAlign w:val="center"/>
          </w:tcPr>
          <w:p w14:paraId="0CAF9651" w14:textId="12DC502E" w:rsidR="00370A19" w:rsidRPr="00384A6C" w:rsidRDefault="00AB231C" w:rsidP="00FB66B9">
            <w:pPr>
              <w:tabs>
                <w:tab w:val="left" w:pos="1080"/>
                <w:tab w:val="left" w:pos="1994"/>
              </w:tabs>
              <w:jc w:val="right"/>
              <w:rPr>
                <w:bCs/>
                <w:i/>
                <w:color w:val="000000"/>
                <w:sz w:val="18"/>
                <w:szCs w:val="18"/>
              </w:rPr>
            </w:pPr>
            <w:r>
              <w:rPr>
                <w:bCs/>
                <w:i/>
                <w:color w:val="000000"/>
                <w:sz w:val="18"/>
                <w:szCs w:val="18"/>
              </w:rPr>
              <w:t xml:space="preserve">276 </w:t>
            </w:r>
            <w:r w:rsidR="00370A19" w:rsidRPr="00384A6C">
              <w:rPr>
                <w:bCs/>
                <w:i/>
                <w:color w:val="000000"/>
                <w:sz w:val="18"/>
                <w:szCs w:val="18"/>
              </w:rPr>
              <w:t>(0-10 сек.)</w:t>
            </w:r>
          </w:p>
          <w:p w14:paraId="47265FD7" w14:textId="1052A8EB" w:rsidR="00370A19" w:rsidRPr="00384A6C" w:rsidRDefault="00370A19" w:rsidP="00FB66B9">
            <w:pPr>
              <w:tabs>
                <w:tab w:val="left" w:pos="1080"/>
                <w:tab w:val="left" w:pos="1334"/>
                <w:tab w:val="center" w:pos="1387"/>
                <w:tab w:val="left" w:pos="1994"/>
              </w:tabs>
              <w:jc w:val="right"/>
              <w:rPr>
                <w:i/>
                <w:iCs/>
                <w:color w:val="000000"/>
                <w:sz w:val="18"/>
                <w:szCs w:val="18"/>
              </w:rPr>
            </w:pPr>
            <w:r w:rsidRPr="00384A6C">
              <w:rPr>
                <w:i/>
                <w:iCs/>
                <w:color w:val="000000"/>
                <w:sz w:val="18"/>
                <w:szCs w:val="18"/>
              </w:rPr>
              <w:t>22 (11-30 сек.)</w:t>
            </w:r>
            <w:r w:rsidRPr="00384A6C">
              <w:rPr>
                <w:b/>
                <w:bCs/>
                <w:color w:val="000000"/>
                <w:sz w:val="18"/>
                <w:szCs w:val="18"/>
              </w:rPr>
              <w:br/>
            </w:r>
            <w:r w:rsidRPr="00384A6C">
              <w:rPr>
                <w:i/>
                <w:iCs/>
                <w:color w:val="000000"/>
                <w:sz w:val="18"/>
                <w:szCs w:val="18"/>
              </w:rPr>
              <w:t>89 (над 30 сек.)</w:t>
            </w:r>
          </w:p>
        </w:tc>
        <w:tc>
          <w:tcPr>
            <w:tcW w:w="1418" w:type="dxa"/>
            <w:vAlign w:val="center"/>
          </w:tcPr>
          <w:p w14:paraId="2637A0B6" w14:textId="77777777" w:rsidR="00370A19" w:rsidRPr="00384A6C" w:rsidRDefault="00370A19" w:rsidP="00FB66B9">
            <w:pPr>
              <w:jc w:val="right"/>
              <w:rPr>
                <w:color w:val="000000"/>
                <w:sz w:val="18"/>
                <w:szCs w:val="18"/>
                <w:shd w:val="clear" w:color="auto" w:fill="FFFFFF"/>
              </w:rPr>
            </w:pPr>
            <w:r w:rsidRPr="00384A6C">
              <w:rPr>
                <w:color w:val="000000"/>
                <w:sz w:val="18"/>
                <w:szCs w:val="18"/>
                <w:shd w:val="clear" w:color="auto" w:fill="FFFFFF"/>
              </w:rPr>
              <w:t>736</w:t>
            </w:r>
          </w:p>
        </w:tc>
      </w:tr>
      <w:tr w:rsidR="00370A19" w:rsidRPr="00384A6C" w14:paraId="6713202F" w14:textId="77777777" w:rsidTr="004B1B2E">
        <w:trPr>
          <w:jc w:val="center"/>
        </w:trPr>
        <w:tc>
          <w:tcPr>
            <w:tcW w:w="2977" w:type="dxa"/>
            <w:shd w:val="clear" w:color="auto" w:fill="FFFFFF" w:themeFill="background1"/>
          </w:tcPr>
          <w:p w14:paraId="5C2C19B7" w14:textId="25B16777" w:rsidR="00370A19" w:rsidRPr="00384A6C" w:rsidRDefault="00C461AC" w:rsidP="00167913">
            <w:pPr>
              <w:rPr>
                <w:b/>
                <w:bCs/>
                <w:color w:val="000000"/>
                <w:sz w:val="18"/>
                <w:szCs w:val="18"/>
              </w:rPr>
            </w:pPr>
            <w:r>
              <w:rPr>
                <w:b/>
                <w:bCs/>
                <w:color w:val="000000"/>
                <w:sz w:val="18"/>
                <w:szCs w:val="18"/>
              </w:rPr>
              <w:br/>
            </w:r>
            <w:r w:rsidR="00370A19" w:rsidRPr="00384A6C">
              <w:rPr>
                <w:b/>
                <w:bCs/>
                <w:color w:val="000000"/>
                <w:sz w:val="18"/>
                <w:szCs w:val="18"/>
              </w:rPr>
              <w:t>11. Гоце Делчев</w:t>
            </w:r>
          </w:p>
        </w:tc>
        <w:tc>
          <w:tcPr>
            <w:tcW w:w="1554" w:type="dxa"/>
            <w:vAlign w:val="center"/>
          </w:tcPr>
          <w:p w14:paraId="22E3642A" w14:textId="77777777" w:rsidR="00370A19" w:rsidRPr="00384A6C" w:rsidRDefault="00370A19" w:rsidP="00FB66B9">
            <w:pPr>
              <w:jc w:val="right"/>
              <w:rPr>
                <w:color w:val="000000"/>
                <w:sz w:val="18"/>
                <w:szCs w:val="18"/>
              </w:rPr>
            </w:pPr>
            <w:r w:rsidRPr="00384A6C">
              <w:rPr>
                <w:color w:val="000000"/>
                <w:sz w:val="18"/>
                <w:szCs w:val="18"/>
              </w:rPr>
              <w:t>386</w:t>
            </w:r>
          </w:p>
        </w:tc>
        <w:tc>
          <w:tcPr>
            <w:tcW w:w="1843" w:type="dxa"/>
            <w:vAlign w:val="center"/>
          </w:tcPr>
          <w:p w14:paraId="08865B34" w14:textId="77777777" w:rsidR="00370A19" w:rsidRPr="00384A6C" w:rsidRDefault="00370A19" w:rsidP="00FB66B9">
            <w:pPr>
              <w:tabs>
                <w:tab w:val="left" w:pos="1080"/>
                <w:tab w:val="left" w:pos="1994"/>
              </w:tabs>
              <w:jc w:val="right"/>
              <w:rPr>
                <w:bCs/>
                <w:i/>
                <w:color w:val="000000"/>
                <w:sz w:val="18"/>
                <w:szCs w:val="18"/>
              </w:rPr>
            </w:pPr>
            <w:r w:rsidRPr="00384A6C">
              <w:rPr>
                <w:bCs/>
                <w:i/>
                <w:color w:val="000000"/>
                <w:sz w:val="18"/>
                <w:szCs w:val="18"/>
              </w:rPr>
              <w:t>198 (0-10 сек.)</w:t>
            </w:r>
          </w:p>
          <w:p w14:paraId="2565995B" w14:textId="77777777" w:rsidR="00370A19" w:rsidRPr="00384A6C" w:rsidRDefault="00370A19" w:rsidP="00FB66B9">
            <w:pPr>
              <w:tabs>
                <w:tab w:val="left" w:pos="1080"/>
                <w:tab w:val="left" w:pos="1994"/>
              </w:tabs>
              <w:jc w:val="right"/>
              <w:rPr>
                <w:i/>
                <w:iCs/>
                <w:color w:val="000000"/>
                <w:sz w:val="18"/>
                <w:szCs w:val="18"/>
              </w:rPr>
            </w:pPr>
            <w:r w:rsidRPr="00384A6C">
              <w:rPr>
                <w:i/>
                <w:iCs/>
                <w:color w:val="000000"/>
                <w:sz w:val="18"/>
                <w:szCs w:val="18"/>
              </w:rPr>
              <w:t>32 (11-30 сек.)</w:t>
            </w:r>
            <w:r w:rsidRPr="00384A6C">
              <w:rPr>
                <w:b/>
                <w:bCs/>
                <w:color w:val="000000"/>
                <w:sz w:val="18"/>
                <w:szCs w:val="18"/>
              </w:rPr>
              <w:br/>
            </w:r>
            <w:r w:rsidRPr="00384A6C">
              <w:rPr>
                <w:i/>
                <w:iCs/>
                <w:color w:val="000000"/>
                <w:sz w:val="18"/>
                <w:szCs w:val="18"/>
              </w:rPr>
              <w:t>157 (над 30 сек.)</w:t>
            </w:r>
          </w:p>
        </w:tc>
        <w:tc>
          <w:tcPr>
            <w:tcW w:w="1418" w:type="dxa"/>
            <w:vAlign w:val="center"/>
          </w:tcPr>
          <w:p w14:paraId="45B90C21" w14:textId="66A2E60C" w:rsidR="00370A19" w:rsidRPr="00384A6C" w:rsidRDefault="00370A19" w:rsidP="00FB66B9">
            <w:pPr>
              <w:jc w:val="right"/>
              <w:rPr>
                <w:color w:val="000000"/>
                <w:sz w:val="18"/>
                <w:szCs w:val="18"/>
                <w:shd w:val="clear" w:color="auto" w:fill="FFFFFF"/>
              </w:rPr>
            </w:pPr>
            <w:r w:rsidRPr="00384A6C">
              <w:rPr>
                <w:color w:val="000000"/>
                <w:sz w:val="18"/>
                <w:szCs w:val="18"/>
                <w:shd w:val="clear" w:color="auto" w:fill="FFFFFF"/>
              </w:rPr>
              <w:t>2</w:t>
            </w:r>
            <w:r w:rsidR="00AB231C">
              <w:rPr>
                <w:color w:val="000000"/>
                <w:sz w:val="18"/>
                <w:szCs w:val="18"/>
                <w:shd w:val="clear" w:color="auto" w:fill="FFFFFF"/>
              </w:rPr>
              <w:t xml:space="preserve"> </w:t>
            </w:r>
            <w:r w:rsidRPr="00384A6C">
              <w:rPr>
                <w:color w:val="000000"/>
                <w:sz w:val="18"/>
                <w:szCs w:val="18"/>
                <w:shd w:val="clear" w:color="auto" w:fill="FFFFFF"/>
              </w:rPr>
              <w:t>080</w:t>
            </w:r>
          </w:p>
        </w:tc>
      </w:tr>
      <w:tr w:rsidR="00370A19" w:rsidRPr="00384A6C" w14:paraId="63ED9C31" w14:textId="77777777" w:rsidTr="004B1B2E">
        <w:trPr>
          <w:jc w:val="center"/>
        </w:trPr>
        <w:tc>
          <w:tcPr>
            <w:tcW w:w="2977" w:type="dxa"/>
            <w:shd w:val="clear" w:color="auto" w:fill="FFFFFF" w:themeFill="background1"/>
          </w:tcPr>
          <w:p w14:paraId="63C68EE0" w14:textId="52B7165E" w:rsidR="00370A19" w:rsidRPr="00384A6C" w:rsidRDefault="00C461AC" w:rsidP="00167913">
            <w:pPr>
              <w:rPr>
                <w:b/>
                <w:bCs/>
                <w:color w:val="000000"/>
                <w:sz w:val="18"/>
                <w:szCs w:val="18"/>
              </w:rPr>
            </w:pPr>
            <w:r>
              <w:rPr>
                <w:b/>
                <w:bCs/>
                <w:color w:val="000000"/>
                <w:sz w:val="18"/>
                <w:szCs w:val="18"/>
              </w:rPr>
              <w:br/>
            </w:r>
            <w:r w:rsidR="00370A19" w:rsidRPr="00384A6C">
              <w:rPr>
                <w:b/>
                <w:bCs/>
                <w:color w:val="000000"/>
                <w:sz w:val="18"/>
                <w:szCs w:val="18"/>
              </w:rPr>
              <w:t>12. Васил Левски</w:t>
            </w:r>
          </w:p>
        </w:tc>
        <w:tc>
          <w:tcPr>
            <w:tcW w:w="1554" w:type="dxa"/>
            <w:vAlign w:val="center"/>
          </w:tcPr>
          <w:p w14:paraId="5364257A" w14:textId="77777777" w:rsidR="00370A19" w:rsidRPr="00384A6C" w:rsidRDefault="00370A19" w:rsidP="00FB66B9">
            <w:pPr>
              <w:jc w:val="right"/>
              <w:rPr>
                <w:color w:val="000000"/>
                <w:sz w:val="18"/>
                <w:szCs w:val="18"/>
              </w:rPr>
            </w:pPr>
            <w:r w:rsidRPr="00384A6C">
              <w:rPr>
                <w:color w:val="000000"/>
                <w:sz w:val="18"/>
                <w:szCs w:val="18"/>
              </w:rPr>
              <w:t>655</w:t>
            </w:r>
          </w:p>
        </w:tc>
        <w:tc>
          <w:tcPr>
            <w:tcW w:w="1843" w:type="dxa"/>
            <w:vAlign w:val="center"/>
          </w:tcPr>
          <w:p w14:paraId="43FEAE0F" w14:textId="77777777" w:rsidR="00370A19" w:rsidRPr="00384A6C" w:rsidRDefault="00370A19" w:rsidP="00FB66B9">
            <w:pPr>
              <w:tabs>
                <w:tab w:val="left" w:pos="1080"/>
                <w:tab w:val="left" w:pos="1994"/>
              </w:tabs>
              <w:jc w:val="right"/>
              <w:rPr>
                <w:bCs/>
                <w:i/>
                <w:color w:val="000000"/>
                <w:sz w:val="18"/>
                <w:szCs w:val="18"/>
              </w:rPr>
            </w:pPr>
            <w:r w:rsidRPr="00384A6C">
              <w:rPr>
                <w:bCs/>
                <w:i/>
                <w:color w:val="000000"/>
                <w:sz w:val="18"/>
                <w:szCs w:val="18"/>
              </w:rPr>
              <w:t>277 (0-10 сек.)</w:t>
            </w:r>
          </w:p>
          <w:p w14:paraId="1C684F24" w14:textId="183CF570" w:rsidR="00370A19" w:rsidRPr="00384A6C" w:rsidRDefault="00370A19" w:rsidP="00FB66B9">
            <w:pPr>
              <w:tabs>
                <w:tab w:val="left" w:pos="1080"/>
                <w:tab w:val="left" w:pos="1994"/>
              </w:tabs>
              <w:jc w:val="right"/>
              <w:rPr>
                <w:i/>
                <w:iCs/>
                <w:color w:val="000000"/>
                <w:sz w:val="18"/>
                <w:szCs w:val="18"/>
              </w:rPr>
            </w:pPr>
            <w:r w:rsidRPr="00384A6C">
              <w:rPr>
                <w:i/>
                <w:iCs/>
                <w:color w:val="000000"/>
                <w:sz w:val="18"/>
                <w:szCs w:val="18"/>
              </w:rPr>
              <w:t>86 (11-30 сек.)</w:t>
            </w:r>
            <w:r w:rsidRPr="00384A6C">
              <w:rPr>
                <w:b/>
                <w:bCs/>
                <w:color w:val="000000"/>
                <w:sz w:val="18"/>
                <w:szCs w:val="18"/>
              </w:rPr>
              <w:br/>
            </w:r>
            <w:r w:rsidRPr="00384A6C">
              <w:rPr>
                <w:i/>
                <w:iCs/>
                <w:color w:val="000000"/>
                <w:sz w:val="18"/>
                <w:szCs w:val="18"/>
              </w:rPr>
              <w:t>294 (над 30 сек.)</w:t>
            </w:r>
          </w:p>
        </w:tc>
        <w:tc>
          <w:tcPr>
            <w:tcW w:w="1418" w:type="dxa"/>
            <w:vAlign w:val="center"/>
          </w:tcPr>
          <w:p w14:paraId="68B0DBD0" w14:textId="2AF3E9CC" w:rsidR="00370A19" w:rsidRPr="00384A6C" w:rsidRDefault="00370A19" w:rsidP="00FB66B9">
            <w:pPr>
              <w:jc w:val="right"/>
              <w:rPr>
                <w:color w:val="000000"/>
                <w:sz w:val="18"/>
                <w:szCs w:val="18"/>
                <w:shd w:val="clear" w:color="auto" w:fill="FFFFFF"/>
              </w:rPr>
            </w:pPr>
            <w:r w:rsidRPr="00384A6C">
              <w:rPr>
                <w:color w:val="000000"/>
                <w:sz w:val="18"/>
                <w:szCs w:val="18"/>
                <w:shd w:val="clear" w:color="auto" w:fill="FFFFFF"/>
              </w:rPr>
              <w:t>2</w:t>
            </w:r>
            <w:r w:rsidR="00AB231C">
              <w:rPr>
                <w:color w:val="000000"/>
                <w:sz w:val="18"/>
                <w:szCs w:val="18"/>
                <w:shd w:val="clear" w:color="auto" w:fill="FFFFFF"/>
              </w:rPr>
              <w:t xml:space="preserve"> </w:t>
            </w:r>
            <w:r w:rsidRPr="00384A6C">
              <w:rPr>
                <w:color w:val="000000"/>
                <w:sz w:val="18"/>
                <w:szCs w:val="18"/>
                <w:shd w:val="clear" w:color="auto" w:fill="FFFFFF"/>
              </w:rPr>
              <w:t>099</w:t>
            </w:r>
          </w:p>
        </w:tc>
      </w:tr>
      <w:tr w:rsidR="00370A19" w:rsidRPr="00384A6C" w14:paraId="248B465F" w14:textId="77777777" w:rsidTr="004B1B2E">
        <w:trPr>
          <w:jc w:val="center"/>
        </w:trPr>
        <w:tc>
          <w:tcPr>
            <w:tcW w:w="2977" w:type="dxa"/>
            <w:shd w:val="clear" w:color="auto" w:fill="FFFFFF" w:themeFill="background1"/>
          </w:tcPr>
          <w:p w14:paraId="2D8DF7A4" w14:textId="6E353718" w:rsidR="00370A19" w:rsidRPr="00384A6C" w:rsidRDefault="00C461AC" w:rsidP="00167913">
            <w:pPr>
              <w:rPr>
                <w:b/>
                <w:bCs/>
                <w:color w:val="000000"/>
                <w:sz w:val="18"/>
                <w:szCs w:val="18"/>
              </w:rPr>
            </w:pPr>
            <w:r>
              <w:rPr>
                <w:b/>
                <w:bCs/>
                <w:color w:val="000000"/>
                <w:sz w:val="18"/>
                <w:szCs w:val="18"/>
              </w:rPr>
              <w:br/>
            </w:r>
            <w:r w:rsidR="00370A19" w:rsidRPr="00384A6C">
              <w:rPr>
                <w:b/>
                <w:bCs/>
                <w:color w:val="000000"/>
                <w:sz w:val="18"/>
                <w:szCs w:val="18"/>
              </w:rPr>
              <w:t>13. Съветската окупация на България (1944 – 1947 г.)</w:t>
            </w:r>
          </w:p>
        </w:tc>
        <w:tc>
          <w:tcPr>
            <w:tcW w:w="1554" w:type="dxa"/>
            <w:vAlign w:val="center"/>
          </w:tcPr>
          <w:p w14:paraId="3A622160" w14:textId="3A6E3A81" w:rsidR="00370A19" w:rsidRPr="00384A6C" w:rsidRDefault="00370A19" w:rsidP="00FB66B9">
            <w:pPr>
              <w:jc w:val="right"/>
              <w:rPr>
                <w:color w:val="000000"/>
                <w:sz w:val="18"/>
                <w:szCs w:val="18"/>
              </w:rPr>
            </w:pPr>
            <w:r w:rsidRPr="00384A6C">
              <w:rPr>
                <w:color w:val="000000"/>
                <w:sz w:val="18"/>
                <w:szCs w:val="18"/>
              </w:rPr>
              <w:t>1</w:t>
            </w:r>
            <w:r w:rsidR="00AB231C">
              <w:rPr>
                <w:color w:val="000000"/>
                <w:sz w:val="18"/>
                <w:szCs w:val="18"/>
              </w:rPr>
              <w:t xml:space="preserve"> </w:t>
            </w:r>
            <w:r w:rsidRPr="00384A6C">
              <w:rPr>
                <w:color w:val="000000"/>
                <w:sz w:val="18"/>
                <w:szCs w:val="18"/>
              </w:rPr>
              <w:t>731</w:t>
            </w:r>
          </w:p>
        </w:tc>
        <w:tc>
          <w:tcPr>
            <w:tcW w:w="1843" w:type="dxa"/>
            <w:vAlign w:val="center"/>
          </w:tcPr>
          <w:p w14:paraId="61A72EB3" w14:textId="16468972" w:rsidR="00370A19" w:rsidRPr="00384A6C" w:rsidRDefault="00370A19" w:rsidP="00FB66B9">
            <w:pPr>
              <w:tabs>
                <w:tab w:val="left" w:pos="1080"/>
                <w:tab w:val="left" w:pos="1994"/>
              </w:tabs>
              <w:jc w:val="right"/>
              <w:rPr>
                <w:bCs/>
                <w:i/>
                <w:color w:val="000000"/>
                <w:sz w:val="18"/>
                <w:szCs w:val="18"/>
              </w:rPr>
            </w:pPr>
            <w:r w:rsidRPr="00384A6C">
              <w:rPr>
                <w:bCs/>
                <w:i/>
                <w:color w:val="000000"/>
                <w:sz w:val="18"/>
                <w:szCs w:val="18"/>
              </w:rPr>
              <w:t>1</w:t>
            </w:r>
            <w:r w:rsidR="00AB231C">
              <w:rPr>
                <w:bCs/>
                <w:i/>
                <w:color w:val="000000"/>
                <w:sz w:val="18"/>
                <w:szCs w:val="18"/>
              </w:rPr>
              <w:t xml:space="preserve"> </w:t>
            </w:r>
            <w:r w:rsidRPr="00384A6C">
              <w:rPr>
                <w:bCs/>
                <w:i/>
                <w:color w:val="000000"/>
                <w:sz w:val="18"/>
                <w:szCs w:val="18"/>
              </w:rPr>
              <w:t>079 (0-10 сек.)</w:t>
            </w:r>
          </w:p>
          <w:p w14:paraId="65B76629" w14:textId="73280711" w:rsidR="00370A19" w:rsidRPr="00384A6C" w:rsidRDefault="00370A19" w:rsidP="00FB66B9">
            <w:pPr>
              <w:tabs>
                <w:tab w:val="left" w:pos="1080"/>
                <w:tab w:val="left" w:pos="1994"/>
              </w:tabs>
              <w:jc w:val="right"/>
              <w:rPr>
                <w:bCs/>
                <w:i/>
                <w:color w:val="000000"/>
                <w:sz w:val="18"/>
                <w:szCs w:val="18"/>
              </w:rPr>
            </w:pPr>
            <w:r w:rsidRPr="00384A6C">
              <w:rPr>
                <w:i/>
                <w:iCs/>
                <w:color w:val="000000"/>
                <w:sz w:val="18"/>
                <w:szCs w:val="18"/>
              </w:rPr>
              <w:t>183 (11-30 сек.)</w:t>
            </w:r>
            <w:r w:rsidRPr="00384A6C">
              <w:rPr>
                <w:b/>
                <w:bCs/>
                <w:color w:val="000000"/>
                <w:sz w:val="18"/>
                <w:szCs w:val="18"/>
              </w:rPr>
              <w:br/>
            </w:r>
            <w:r w:rsidRPr="00384A6C">
              <w:rPr>
                <w:i/>
                <w:iCs/>
                <w:color w:val="000000"/>
                <w:sz w:val="18"/>
                <w:szCs w:val="18"/>
              </w:rPr>
              <w:t>471 (над 30 сек.)</w:t>
            </w:r>
          </w:p>
        </w:tc>
        <w:tc>
          <w:tcPr>
            <w:tcW w:w="1418" w:type="dxa"/>
            <w:vAlign w:val="center"/>
          </w:tcPr>
          <w:p w14:paraId="47D72AA1" w14:textId="2AABFE73" w:rsidR="00370A19" w:rsidRPr="00384A6C" w:rsidRDefault="00370A19" w:rsidP="00FB66B9">
            <w:pPr>
              <w:jc w:val="right"/>
              <w:rPr>
                <w:color w:val="000000"/>
                <w:sz w:val="18"/>
                <w:szCs w:val="18"/>
                <w:shd w:val="clear" w:color="auto" w:fill="FFFFFF"/>
              </w:rPr>
            </w:pPr>
            <w:r w:rsidRPr="00384A6C">
              <w:rPr>
                <w:color w:val="000000"/>
                <w:sz w:val="18"/>
                <w:szCs w:val="18"/>
                <w:shd w:val="clear" w:color="auto" w:fill="FFFFFF"/>
              </w:rPr>
              <w:t>4</w:t>
            </w:r>
            <w:r w:rsidR="00AB231C">
              <w:rPr>
                <w:color w:val="000000"/>
                <w:sz w:val="18"/>
                <w:szCs w:val="18"/>
                <w:shd w:val="clear" w:color="auto" w:fill="FFFFFF"/>
              </w:rPr>
              <w:t xml:space="preserve"> </w:t>
            </w:r>
            <w:r w:rsidRPr="00384A6C">
              <w:rPr>
                <w:color w:val="000000"/>
                <w:sz w:val="18"/>
                <w:szCs w:val="18"/>
                <w:shd w:val="clear" w:color="auto" w:fill="FFFFFF"/>
              </w:rPr>
              <w:t>530</w:t>
            </w:r>
          </w:p>
        </w:tc>
      </w:tr>
      <w:tr w:rsidR="00370A19" w:rsidRPr="00384A6C" w14:paraId="392E8FFE" w14:textId="77777777" w:rsidTr="00FE5CDF">
        <w:trPr>
          <w:jc w:val="center"/>
        </w:trPr>
        <w:tc>
          <w:tcPr>
            <w:tcW w:w="2977" w:type="dxa"/>
            <w:shd w:val="clear" w:color="auto" w:fill="FFFFFF" w:themeFill="background1"/>
            <w:vAlign w:val="center"/>
          </w:tcPr>
          <w:p w14:paraId="0E1762DC" w14:textId="77777777" w:rsidR="00370A19" w:rsidRPr="00384A6C" w:rsidRDefault="00370A19" w:rsidP="00DD525B">
            <w:pPr>
              <w:ind w:firstLine="709"/>
              <w:jc w:val="right"/>
              <w:rPr>
                <w:b/>
                <w:bCs/>
                <w:color w:val="000000"/>
                <w:sz w:val="18"/>
                <w:szCs w:val="18"/>
              </w:rPr>
            </w:pPr>
            <w:r w:rsidRPr="00384A6C">
              <w:rPr>
                <w:b/>
                <w:bCs/>
                <w:color w:val="000000"/>
                <w:sz w:val="18"/>
                <w:szCs w:val="18"/>
              </w:rPr>
              <w:br/>
              <w:t>ОБЩО:</w:t>
            </w:r>
          </w:p>
          <w:p w14:paraId="32385C2D" w14:textId="77777777" w:rsidR="00370A19" w:rsidRPr="00384A6C" w:rsidRDefault="00370A19" w:rsidP="00DD525B">
            <w:pPr>
              <w:ind w:firstLine="709"/>
              <w:jc w:val="right"/>
              <w:rPr>
                <w:b/>
                <w:bCs/>
                <w:color w:val="000000"/>
                <w:sz w:val="18"/>
                <w:szCs w:val="18"/>
              </w:rPr>
            </w:pPr>
          </w:p>
        </w:tc>
        <w:tc>
          <w:tcPr>
            <w:tcW w:w="1554" w:type="dxa"/>
            <w:shd w:val="clear" w:color="auto" w:fill="FFFFFF" w:themeFill="background1"/>
            <w:vAlign w:val="center"/>
          </w:tcPr>
          <w:p w14:paraId="3735046A" w14:textId="77777777" w:rsidR="00370A19" w:rsidRPr="00384A6C" w:rsidRDefault="00370A19" w:rsidP="00FB66B9">
            <w:pPr>
              <w:jc w:val="right"/>
              <w:rPr>
                <w:b/>
                <w:bCs/>
                <w:color w:val="000000"/>
                <w:sz w:val="18"/>
                <w:szCs w:val="18"/>
              </w:rPr>
            </w:pPr>
            <w:r w:rsidRPr="00384A6C">
              <w:rPr>
                <w:b/>
                <w:bCs/>
                <w:color w:val="000000"/>
                <w:sz w:val="18"/>
                <w:szCs w:val="18"/>
              </w:rPr>
              <w:t>28 633</w:t>
            </w:r>
          </w:p>
        </w:tc>
        <w:tc>
          <w:tcPr>
            <w:tcW w:w="1843" w:type="dxa"/>
            <w:shd w:val="clear" w:color="auto" w:fill="FFFFFF" w:themeFill="background1"/>
            <w:vAlign w:val="center"/>
          </w:tcPr>
          <w:p w14:paraId="07F716BA" w14:textId="1D90F40A" w:rsidR="00370A19" w:rsidRPr="00384A6C" w:rsidRDefault="00A4193D" w:rsidP="00FB66B9">
            <w:pPr>
              <w:tabs>
                <w:tab w:val="left" w:pos="1080"/>
                <w:tab w:val="left" w:pos="1994"/>
              </w:tabs>
              <w:jc w:val="right"/>
              <w:rPr>
                <w:b/>
                <w:bCs/>
                <w:i/>
                <w:color w:val="000000"/>
                <w:sz w:val="18"/>
                <w:szCs w:val="18"/>
              </w:rPr>
            </w:pPr>
            <w:r>
              <w:rPr>
                <w:b/>
                <w:bCs/>
                <w:i/>
                <w:color w:val="000000"/>
                <w:sz w:val="18"/>
                <w:szCs w:val="18"/>
              </w:rPr>
              <w:t>13</w:t>
            </w:r>
            <w:r w:rsidR="00370A19" w:rsidRPr="00384A6C">
              <w:rPr>
                <w:b/>
                <w:bCs/>
                <w:i/>
                <w:color w:val="000000"/>
                <w:sz w:val="18"/>
                <w:szCs w:val="18"/>
              </w:rPr>
              <w:t xml:space="preserve"> </w:t>
            </w:r>
            <w:r>
              <w:rPr>
                <w:b/>
                <w:bCs/>
                <w:i/>
                <w:color w:val="000000"/>
                <w:sz w:val="18"/>
                <w:szCs w:val="18"/>
              </w:rPr>
              <w:t>331</w:t>
            </w:r>
            <w:r w:rsidR="00370A19" w:rsidRPr="00384A6C">
              <w:rPr>
                <w:b/>
                <w:bCs/>
                <w:i/>
                <w:color w:val="000000"/>
                <w:sz w:val="18"/>
                <w:szCs w:val="18"/>
              </w:rPr>
              <w:t xml:space="preserve"> (0-10 сек.)</w:t>
            </w:r>
          </w:p>
          <w:p w14:paraId="2D2F843C" w14:textId="4823E332" w:rsidR="00370A19" w:rsidRPr="00384A6C" w:rsidRDefault="00370A19" w:rsidP="00A4193D">
            <w:pPr>
              <w:tabs>
                <w:tab w:val="left" w:pos="1080"/>
                <w:tab w:val="left" w:pos="1994"/>
              </w:tabs>
              <w:jc w:val="right"/>
              <w:rPr>
                <w:b/>
                <w:bCs/>
                <w:color w:val="000000"/>
                <w:sz w:val="18"/>
                <w:szCs w:val="18"/>
              </w:rPr>
            </w:pPr>
            <w:r w:rsidRPr="00384A6C">
              <w:rPr>
                <w:b/>
                <w:i/>
                <w:iCs/>
                <w:color w:val="000000"/>
                <w:sz w:val="18"/>
                <w:szCs w:val="18"/>
              </w:rPr>
              <w:t>1</w:t>
            </w:r>
            <w:r w:rsidR="00AB231C">
              <w:rPr>
                <w:b/>
                <w:i/>
                <w:iCs/>
                <w:color w:val="000000"/>
                <w:sz w:val="18"/>
                <w:szCs w:val="18"/>
              </w:rPr>
              <w:t xml:space="preserve"> </w:t>
            </w:r>
            <w:r w:rsidR="00A4193D">
              <w:rPr>
                <w:b/>
                <w:i/>
                <w:iCs/>
                <w:color w:val="000000"/>
                <w:sz w:val="18"/>
                <w:szCs w:val="18"/>
              </w:rPr>
              <w:t>940</w:t>
            </w:r>
            <w:r w:rsidRPr="00384A6C">
              <w:rPr>
                <w:b/>
                <w:i/>
                <w:iCs/>
                <w:color w:val="000000"/>
                <w:sz w:val="18"/>
                <w:szCs w:val="18"/>
              </w:rPr>
              <w:t xml:space="preserve"> (11-30 сек.)</w:t>
            </w:r>
            <w:r w:rsidRPr="00384A6C">
              <w:rPr>
                <w:b/>
                <w:bCs/>
                <w:color w:val="000000"/>
                <w:sz w:val="18"/>
                <w:szCs w:val="18"/>
              </w:rPr>
              <w:br/>
            </w:r>
            <w:r w:rsidR="00A4193D">
              <w:rPr>
                <w:b/>
                <w:i/>
                <w:iCs/>
                <w:color w:val="000000"/>
                <w:sz w:val="18"/>
                <w:szCs w:val="18"/>
              </w:rPr>
              <w:t>13</w:t>
            </w:r>
            <w:r w:rsidR="00AB231C">
              <w:rPr>
                <w:b/>
                <w:i/>
                <w:iCs/>
                <w:color w:val="000000"/>
                <w:sz w:val="18"/>
                <w:szCs w:val="18"/>
              </w:rPr>
              <w:t xml:space="preserve"> </w:t>
            </w:r>
            <w:r w:rsidR="00A4193D">
              <w:rPr>
                <w:b/>
                <w:i/>
                <w:iCs/>
                <w:color w:val="000000"/>
                <w:sz w:val="18"/>
                <w:szCs w:val="18"/>
              </w:rPr>
              <w:t>446</w:t>
            </w:r>
            <w:r w:rsidRPr="00384A6C">
              <w:rPr>
                <w:b/>
                <w:i/>
                <w:iCs/>
                <w:color w:val="000000"/>
                <w:sz w:val="18"/>
                <w:szCs w:val="18"/>
              </w:rPr>
              <w:t xml:space="preserve"> (над 30 сек.)</w:t>
            </w:r>
          </w:p>
        </w:tc>
        <w:tc>
          <w:tcPr>
            <w:tcW w:w="1418" w:type="dxa"/>
            <w:shd w:val="clear" w:color="auto" w:fill="FFFFFF" w:themeFill="background1"/>
            <w:vAlign w:val="center"/>
          </w:tcPr>
          <w:p w14:paraId="12F0C126" w14:textId="77777777" w:rsidR="00370A19" w:rsidRPr="00384A6C" w:rsidRDefault="00370A19" w:rsidP="00FB66B9">
            <w:pPr>
              <w:jc w:val="right"/>
              <w:rPr>
                <w:b/>
                <w:bCs/>
                <w:color w:val="000000"/>
                <w:sz w:val="18"/>
                <w:szCs w:val="18"/>
              </w:rPr>
            </w:pPr>
            <w:r w:rsidRPr="00384A6C">
              <w:rPr>
                <w:b/>
                <w:bCs/>
                <w:color w:val="000000"/>
                <w:sz w:val="18"/>
                <w:szCs w:val="18"/>
              </w:rPr>
              <w:t>211 750</w:t>
            </w:r>
          </w:p>
        </w:tc>
      </w:tr>
    </w:tbl>
    <w:p w14:paraId="454E0442" w14:textId="15EA0912" w:rsidR="005120A8" w:rsidRPr="005120A8" w:rsidRDefault="005120A8" w:rsidP="004E5A4B">
      <w:pPr>
        <w:shd w:val="clear" w:color="auto" w:fill="FFFFFF" w:themeFill="background1"/>
        <w:autoSpaceDE w:val="0"/>
        <w:autoSpaceDN w:val="0"/>
        <w:adjustRightInd w:val="0"/>
        <w:spacing w:before="240"/>
        <w:ind w:firstLine="425"/>
        <w:jc w:val="both"/>
        <w:rPr>
          <w:sz w:val="22"/>
          <w:szCs w:val="22"/>
        </w:rPr>
      </w:pPr>
      <w:r w:rsidRPr="005120A8">
        <w:rPr>
          <w:sz w:val="22"/>
          <w:szCs w:val="22"/>
        </w:rPr>
        <w:lastRenderedPageBreak/>
        <w:t>Извършените справки за потребителите на архивна информация (администрация, физически и юридически лица) през отчетния период възлизат на 2</w:t>
      </w:r>
      <w:r>
        <w:rPr>
          <w:sz w:val="22"/>
          <w:szCs w:val="22"/>
        </w:rPr>
        <w:t xml:space="preserve"> </w:t>
      </w:r>
      <w:r w:rsidRPr="005120A8">
        <w:rPr>
          <w:sz w:val="22"/>
          <w:szCs w:val="22"/>
        </w:rPr>
        <w:t>625 (от тях по кореспондентски път – 1</w:t>
      </w:r>
      <w:r>
        <w:rPr>
          <w:sz w:val="22"/>
          <w:szCs w:val="22"/>
        </w:rPr>
        <w:t xml:space="preserve"> </w:t>
      </w:r>
      <w:r w:rsidRPr="005120A8">
        <w:rPr>
          <w:sz w:val="22"/>
          <w:szCs w:val="22"/>
        </w:rPr>
        <w:t>492) като по имуществени въпроси те са 704, по изследователски теми – 981 и по други въпроси – 940. Количеството на използваните архивни единици е 73 945, а изготвените и предоставените на читатели копия на документи – 138 218 бр.</w:t>
      </w:r>
    </w:p>
    <w:p w14:paraId="5D0626E0" w14:textId="1928AC12" w:rsidR="005120A8" w:rsidRPr="005120A8" w:rsidRDefault="005120A8" w:rsidP="004E5A4B">
      <w:pPr>
        <w:shd w:val="clear" w:color="auto" w:fill="FFFFFF" w:themeFill="background1"/>
        <w:autoSpaceDE w:val="0"/>
        <w:autoSpaceDN w:val="0"/>
        <w:adjustRightInd w:val="0"/>
        <w:ind w:firstLine="425"/>
        <w:jc w:val="both"/>
        <w:rPr>
          <w:sz w:val="22"/>
          <w:szCs w:val="22"/>
        </w:rPr>
      </w:pPr>
      <w:r w:rsidRPr="005120A8">
        <w:rPr>
          <w:sz w:val="22"/>
          <w:szCs w:val="22"/>
        </w:rPr>
        <w:t>В изпълнение на държавната политика за насърчаване въвеждане и използване на инструментите на електронното управление от държавната администрация, се цели повишаване на ефективността на предоставените услуги, както и насърчаване прозрачността във взаимоотношенията между администрацията и потребителите. Предоставяните от ДАА електронни специализирани услуги, обхващат всички услуги, свързани с използването на архивните документи, съхранявани в държавните архиви. През отчетния период общият брой на приетите по електронен път и обработени заявления чрез модула Е-услуги на административната интернет страница на Агенцията е 230, като най-голям дял от тях заемат услугите – издаване на удостоверения от дирекция ДВИА – Велико Търново – 93 бр. и издирване на архивни документи и изготвяне на писмена справка – 86 бр. ДАА предоставя възможност за подаване на заявления за електронни услуги и през Единния портал за достъп до електронни административни услуги на Системата за сигурно електронно връчване (ССЕВ) чрез квалифициран електронен подпис (КЕП), персонален идентификационен код (ПИК) на Националния осигурителен институт (НОИ) и ПИК на Националната агенция по приходите (НАП), с възможността за е-плащане.</w:t>
      </w:r>
    </w:p>
    <w:p w14:paraId="07748A0F" w14:textId="500E437B" w:rsidR="00C020AD" w:rsidRDefault="005120A8" w:rsidP="004E5A4B">
      <w:pPr>
        <w:shd w:val="clear" w:color="auto" w:fill="FFFFFF" w:themeFill="background1"/>
        <w:autoSpaceDE w:val="0"/>
        <w:autoSpaceDN w:val="0"/>
        <w:adjustRightInd w:val="0"/>
        <w:ind w:firstLine="425"/>
        <w:jc w:val="both"/>
        <w:rPr>
          <w:sz w:val="22"/>
          <w:szCs w:val="22"/>
        </w:rPr>
      </w:pPr>
      <w:r w:rsidRPr="005120A8">
        <w:rPr>
          <w:sz w:val="22"/>
          <w:szCs w:val="22"/>
        </w:rPr>
        <w:t>За периода 01.01.2025 г. – 30.06.2025 г. са подадени шест жалби и пет сигнала. Направени са проверки по изнесените факти и обстоятелства и за това са уведомени подателите.</w:t>
      </w:r>
    </w:p>
    <w:p w14:paraId="04988CE8" w14:textId="77777777" w:rsidR="005120A8" w:rsidRPr="004E5A4B" w:rsidRDefault="005120A8" w:rsidP="004E5A4B">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4E5A4B">
        <w:rPr>
          <w:b/>
          <w:bCs/>
          <w:i/>
          <w:iCs/>
          <w:color w:val="215E99" w:themeColor="text2" w:themeTint="BF"/>
          <w:sz w:val="22"/>
          <w:szCs w:val="22"/>
        </w:rPr>
        <w:t>Популяризиране на националното документално богатство</w:t>
      </w:r>
    </w:p>
    <w:p w14:paraId="6B62497D" w14:textId="77777777" w:rsidR="005120A8" w:rsidRPr="005120A8" w:rsidRDefault="005120A8" w:rsidP="004E5A4B">
      <w:pPr>
        <w:shd w:val="clear" w:color="auto" w:fill="FFFFFF" w:themeFill="background1"/>
        <w:autoSpaceDE w:val="0"/>
        <w:autoSpaceDN w:val="0"/>
        <w:adjustRightInd w:val="0"/>
        <w:ind w:firstLine="425"/>
        <w:jc w:val="both"/>
        <w:rPr>
          <w:b/>
          <w:i/>
          <w:color w:val="800000"/>
          <w:sz w:val="22"/>
          <w:szCs w:val="22"/>
        </w:rPr>
      </w:pPr>
      <w:r w:rsidRPr="005120A8">
        <w:rPr>
          <w:b/>
          <w:i/>
          <w:color w:val="800000"/>
          <w:sz w:val="22"/>
          <w:szCs w:val="22"/>
        </w:rPr>
        <w:t>Резултати от предоставянето на продукта/услугата:</w:t>
      </w:r>
    </w:p>
    <w:p w14:paraId="77EAE34B" w14:textId="6E77ECB4" w:rsidR="005120A8" w:rsidRPr="005120A8" w:rsidRDefault="005120A8" w:rsidP="004E5A4B">
      <w:pPr>
        <w:shd w:val="clear" w:color="auto" w:fill="FFFFFF" w:themeFill="background1"/>
        <w:autoSpaceDE w:val="0"/>
        <w:autoSpaceDN w:val="0"/>
        <w:adjustRightInd w:val="0"/>
        <w:ind w:firstLine="425"/>
        <w:jc w:val="both"/>
        <w:rPr>
          <w:sz w:val="22"/>
          <w:szCs w:val="22"/>
        </w:rPr>
      </w:pPr>
      <w:r w:rsidRPr="005120A8">
        <w:rPr>
          <w:sz w:val="22"/>
          <w:szCs w:val="22"/>
        </w:rPr>
        <w:t>През първото полугодие на 2025 г. беше подготвена за печат кн. 1/202</w:t>
      </w:r>
      <w:r w:rsidR="00826171">
        <w:rPr>
          <w:sz w:val="22"/>
          <w:szCs w:val="22"/>
        </w:rPr>
        <w:t xml:space="preserve">5 г. на сп. „Архивен преглед“. </w:t>
      </w:r>
      <w:r w:rsidRPr="005120A8">
        <w:rPr>
          <w:sz w:val="22"/>
          <w:szCs w:val="22"/>
        </w:rPr>
        <w:t>През отчетния период бяха събрани материали и започна редакционната работа по подготовката на кн. 129 за 2025 г. на „Известия на държавните архиви“.</w:t>
      </w:r>
    </w:p>
    <w:p w14:paraId="091E9E59" w14:textId="54B4B0A2" w:rsidR="005120A8" w:rsidRPr="005120A8" w:rsidRDefault="005120A8" w:rsidP="004E5A4B">
      <w:pPr>
        <w:shd w:val="clear" w:color="auto" w:fill="FFFFFF" w:themeFill="background1"/>
        <w:autoSpaceDE w:val="0"/>
        <w:autoSpaceDN w:val="0"/>
        <w:adjustRightInd w:val="0"/>
        <w:ind w:firstLine="425"/>
        <w:jc w:val="both"/>
        <w:rPr>
          <w:sz w:val="22"/>
          <w:szCs w:val="22"/>
        </w:rPr>
      </w:pPr>
      <w:r w:rsidRPr="005120A8">
        <w:rPr>
          <w:sz w:val="22"/>
          <w:szCs w:val="22"/>
        </w:rPr>
        <w:t>Продължава работата по сборника със спомени за Втората световна война на капитан Никола Николов, съхранявани в ДВИА. Временно е забавена или спряна работата по други сборници поради липса на финансиране: сборника с документи от архива на Александър Екзарх; издаването на дневника за 1944 г. на българския офи</w:t>
      </w:r>
      <w:r w:rsidR="00826171">
        <w:rPr>
          <w:sz w:val="22"/>
          <w:szCs w:val="22"/>
        </w:rPr>
        <w:t xml:space="preserve">цер и политик Първан Драганов. </w:t>
      </w:r>
    </w:p>
    <w:p w14:paraId="76AD7799" w14:textId="676B5E50" w:rsidR="005120A8" w:rsidRPr="005120A8" w:rsidRDefault="005120A8" w:rsidP="004E5A4B">
      <w:pPr>
        <w:shd w:val="clear" w:color="auto" w:fill="FFFFFF" w:themeFill="background1"/>
        <w:autoSpaceDE w:val="0"/>
        <w:autoSpaceDN w:val="0"/>
        <w:adjustRightInd w:val="0"/>
        <w:ind w:firstLine="425"/>
        <w:jc w:val="both"/>
        <w:rPr>
          <w:sz w:val="22"/>
          <w:szCs w:val="22"/>
        </w:rPr>
      </w:pPr>
      <w:r w:rsidRPr="005120A8">
        <w:rPr>
          <w:sz w:val="22"/>
          <w:szCs w:val="22"/>
        </w:rPr>
        <w:t>Продължават приоритетните дейности за обогатяване и актуализирането на административната интернет страница и интернет платформата „Архивите говорят“. Рубриките Новини, Актуално, В държавните архиви и В медиите бяха редовно поддържани с информация и снимки за събития и прояви в Агенцията и държавните архиви в страната, и с тяхното отразяване в печатни и електронни медии. През отчетния период продължи допълването със съдържание на тематичните дигитални колекции АртАрхив.bg, ФотоАрхив.bg и Войни</w:t>
      </w:r>
      <w:r w:rsidR="00826171">
        <w:rPr>
          <w:sz w:val="22"/>
          <w:szCs w:val="22"/>
        </w:rPr>
        <w:t xml:space="preserve">те на България (1878–1945 г.). </w:t>
      </w:r>
    </w:p>
    <w:p w14:paraId="77D21C6B" w14:textId="77777777" w:rsidR="005120A8" w:rsidRPr="005120A8" w:rsidRDefault="005120A8" w:rsidP="004E5A4B">
      <w:pPr>
        <w:shd w:val="clear" w:color="auto" w:fill="FFFFFF" w:themeFill="background1"/>
        <w:autoSpaceDE w:val="0"/>
        <w:autoSpaceDN w:val="0"/>
        <w:adjustRightInd w:val="0"/>
        <w:ind w:firstLine="425"/>
        <w:jc w:val="both"/>
        <w:rPr>
          <w:sz w:val="22"/>
          <w:szCs w:val="22"/>
        </w:rPr>
      </w:pPr>
      <w:r w:rsidRPr="005120A8">
        <w:rPr>
          <w:sz w:val="22"/>
          <w:szCs w:val="22"/>
        </w:rPr>
        <w:t xml:space="preserve">През отчетния период приключи изготвянето на регистър за новата дигитална колекция за видния столичен кмет и общественик инж. Иван Иванов и беше разработено техническо задание за сайт за интернет платформата „Архивите говорят“. </w:t>
      </w:r>
    </w:p>
    <w:p w14:paraId="52992E2E" w14:textId="77777777" w:rsidR="005120A8" w:rsidRPr="005120A8" w:rsidRDefault="005120A8" w:rsidP="004E5A4B">
      <w:pPr>
        <w:shd w:val="clear" w:color="auto" w:fill="FFFFFF" w:themeFill="background1"/>
        <w:autoSpaceDE w:val="0"/>
        <w:autoSpaceDN w:val="0"/>
        <w:adjustRightInd w:val="0"/>
        <w:ind w:firstLine="425"/>
        <w:jc w:val="both"/>
        <w:rPr>
          <w:sz w:val="22"/>
          <w:szCs w:val="22"/>
        </w:rPr>
      </w:pPr>
      <w:r w:rsidRPr="005120A8">
        <w:rPr>
          <w:sz w:val="22"/>
          <w:szCs w:val="22"/>
        </w:rPr>
        <w:t xml:space="preserve">През първото шестмесечие на 2025 г. бяха реализирани общо 831 популяризаторски прояви в цялата страна, от които 187 изложби. </w:t>
      </w:r>
    </w:p>
    <w:p w14:paraId="598D778C" w14:textId="67D1E8E6" w:rsidR="005120A8" w:rsidRPr="005120A8" w:rsidRDefault="005120A8" w:rsidP="004E5A4B">
      <w:pPr>
        <w:shd w:val="clear" w:color="auto" w:fill="FFFFFF" w:themeFill="background1"/>
        <w:autoSpaceDE w:val="0"/>
        <w:autoSpaceDN w:val="0"/>
        <w:adjustRightInd w:val="0"/>
        <w:ind w:firstLine="425"/>
        <w:jc w:val="both"/>
        <w:rPr>
          <w:sz w:val="22"/>
          <w:szCs w:val="22"/>
        </w:rPr>
      </w:pPr>
      <w:r w:rsidRPr="005120A8">
        <w:rPr>
          <w:sz w:val="22"/>
          <w:szCs w:val="22"/>
        </w:rPr>
        <w:t>За посочения период ДАА има участия в 6 организирани международни форуми, проучвания, анкети и др.: среща на ГЕА и ЕБНА на 3-4 април 2025 г. във Варшава, Полша; през март онлайн среща на европейския клон на Междун</w:t>
      </w:r>
      <w:r w:rsidR="00826171">
        <w:rPr>
          <w:sz w:val="22"/>
          <w:szCs w:val="22"/>
        </w:rPr>
        <w:t xml:space="preserve">ароден съвет на архивите (МСА) </w:t>
      </w:r>
      <w:r w:rsidRPr="005120A8">
        <w:rPr>
          <w:sz w:val="22"/>
          <w:szCs w:val="22"/>
        </w:rPr>
        <w:t xml:space="preserve">– EURBICA; избори за членове на Програмната комисия на МСА, май; среща на Форума на националните </w:t>
      </w:r>
      <w:proofErr w:type="spellStart"/>
      <w:r w:rsidRPr="005120A8">
        <w:rPr>
          <w:sz w:val="22"/>
          <w:szCs w:val="22"/>
        </w:rPr>
        <w:t>архивисти</w:t>
      </w:r>
      <w:proofErr w:type="spellEnd"/>
      <w:r w:rsidRPr="005120A8">
        <w:rPr>
          <w:sz w:val="22"/>
          <w:szCs w:val="22"/>
        </w:rPr>
        <w:t xml:space="preserve"> към МСА, май; 34-та среща на Международни</w:t>
      </w:r>
      <w:r w:rsidR="00826171">
        <w:rPr>
          <w:sz w:val="22"/>
          <w:szCs w:val="22"/>
        </w:rPr>
        <w:t xml:space="preserve">я център за архивни проучвания (ИКАРУС), май; </w:t>
      </w:r>
      <w:r w:rsidRPr="005120A8">
        <w:rPr>
          <w:sz w:val="22"/>
          <w:szCs w:val="22"/>
        </w:rPr>
        <w:t>информационно онлайн събитие на Организация „Машина на Времето” (ОМВ) за партньорства в областта на културното наследство и</w:t>
      </w:r>
      <w:r w:rsidR="00826171">
        <w:rPr>
          <w:sz w:val="22"/>
          <w:szCs w:val="22"/>
        </w:rPr>
        <w:t xml:space="preserve"> иновациите проведе, юни. </w:t>
      </w:r>
    </w:p>
    <w:p w14:paraId="233011B9" w14:textId="2E130EC8" w:rsidR="005120A8" w:rsidRPr="005120A8" w:rsidRDefault="005120A8" w:rsidP="004E5A4B">
      <w:pPr>
        <w:shd w:val="clear" w:color="auto" w:fill="FFFFFF" w:themeFill="background1"/>
        <w:autoSpaceDE w:val="0"/>
        <w:autoSpaceDN w:val="0"/>
        <w:adjustRightInd w:val="0"/>
        <w:ind w:firstLine="425"/>
        <w:jc w:val="both"/>
        <w:rPr>
          <w:sz w:val="22"/>
          <w:szCs w:val="22"/>
        </w:rPr>
      </w:pPr>
      <w:r w:rsidRPr="005120A8">
        <w:rPr>
          <w:sz w:val="22"/>
          <w:szCs w:val="22"/>
        </w:rPr>
        <w:t xml:space="preserve">В рамките на политиката на ДАА за развитие на двустранно сътрудничество, през първата половина на 2025 г. Агенцията продължи активната работа по проекта за сключване на споразумения за сътрудничество с Дирекцията на Държавния Архив към Президентството на Република Турция и с Генералната дирекция на архивите на Република Албания. Беше проведена съгласувателна процедура с всички министерства и предложените корекции от страна на </w:t>
      </w:r>
      <w:r w:rsidR="004E5A4B" w:rsidRPr="005120A8">
        <w:rPr>
          <w:sz w:val="22"/>
          <w:szCs w:val="22"/>
        </w:rPr>
        <w:lastRenderedPageBreak/>
        <w:t>Министерство</w:t>
      </w:r>
      <w:r w:rsidRPr="005120A8">
        <w:rPr>
          <w:sz w:val="22"/>
          <w:szCs w:val="22"/>
        </w:rPr>
        <w:t xml:space="preserve"> на външните работи бяха изпратени на турското посолство в София. Активни са и контактите с Световният възпоменателен център „Яд </w:t>
      </w:r>
      <w:proofErr w:type="spellStart"/>
      <w:r w:rsidRPr="005120A8">
        <w:rPr>
          <w:sz w:val="22"/>
          <w:szCs w:val="22"/>
        </w:rPr>
        <w:t>Вашем</w:t>
      </w:r>
      <w:proofErr w:type="spellEnd"/>
      <w:r w:rsidRPr="005120A8">
        <w:rPr>
          <w:sz w:val="22"/>
          <w:szCs w:val="22"/>
        </w:rPr>
        <w:t xml:space="preserve">“ в Израел по проект на ново споразумение. По проектите на споразумения за сътрудничества с архивите на Черна гора, Босна и Херцеговина и Косово се очаква становище от ресорната дирекция на МВнР. </w:t>
      </w:r>
    </w:p>
    <w:p w14:paraId="6C411725" w14:textId="0624B436" w:rsidR="00C020AD" w:rsidRDefault="005120A8" w:rsidP="004E5A4B">
      <w:pPr>
        <w:shd w:val="clear" w:color="auto" w:fill="FFFFFF" w:themeFill="background1"/>
        <w:autoSpaceDE w:val="0"/>
        <w:autoSpaceDN w:val="0"/>
        <w:adjustRightInd w:val="0"/>
        <w:spacing w:after="240"/>
        <w:ind w:firstLine="425"/>
        <w:jc w:val="both"/>
        <w:rPr>
          <w:sz w:val="22"/>
          <w:szCs w:val="22"/>
        </w:rPr>
      </w:pPr>
      <w:r w:rsidRPr="005120A8">
        <w:rPr>
          <w:sz w:val="22"/>
          <w:szCs w:val="22"/>
        </w:rPr>
        <w:t>През първото полугодие на 2025 г. продължиха контактите с посланика на Република България в Канада за участието на ДАА за включване в инициативата на канадската неправителствена организация „Светът помни“ и на Канадския военноисторически музей в Отава за съхраняването на паметта на загиналите войници и офицери по време на Първата световна война. През същия период бяха получени предложения за участието на България във виртуален музей за Гражданската война в Испания през българския посланик в Канада и в Националния музей на Първата световна война в Канзас Сити, САЩ през консула на Република България в Чикаго, на които ДАА даде положителен отговор.</w:t>
      </w:r>
    </w:p>
    <w:tbl>
      <w:tblPr>
        <w:tblW w:w="5000" w:type="pct"/>
        <w:tblCellMar>
          <w:left w:w="70" w:type="dxa"/>
          <w:right w:w="70" w:type="dxa"/>
        </w:tblCellMar>
        <w:tblLook w:val="0000" w:firstRow="0" w:lastRow="0" w:firstColumn="0" w:lastColumn="0" w:noHBand="0" w:noVBand="0"/>
      </w:tblPr>
      <w:tblGrid>
        <w:gridCol w:w="2732"/>
        <w:gridCol w:w="3074"/>
        <w:gridCol w:w="2044"/>
        <w:gridCol w:w="1496"/>
      </w:tblGrid>
      <w:tr w:rsidR="00795CD0" w:rsidRPr="00581315" w14:paraId="4DDCFBAB" w14:textId="77777777" w:rsidTr="00795CD0">
        <w:trPr>
          <w:trHeight w:val="450"/>
        </w:trPr>
        <w:tc>
          <w:tcPr>
            <w:tcW w:w="1471" w:type="pct"/>
            <w:tcBorders>
              <w:top w:val="single" w:sz="4" w:space="0" w:color="auto"/>
              <w:left w:val="single" w:sz="4" w:space="0" w:color="auto"/>
              <w:bottom w:val="single" w:sz="4" w:space="0" w:color="auto"/>
              <w:right w:val="single" w:sz="4" w:space="0" w:color="auto"/>
            </w:tcBorders>
            <w:shd w:val="clear" w:color="auto" w:fill="FFCC99"/>
            <w:vAlign w:val="center"/>
          </w:tcPr>
          <w:p w14:paraId="7C4B3C37" w14:textId="2EB99C59" w:rsidR="0075635C" w:rsidRPr="00581315" w:rsidRDefault="0075635C" w:rsidP="003920EE">
            <w:pPr>
              <w:jc w:val="center"/>
              <w:rPr>
                <w:b/>
                <w:bCs/>
                <w:sz w:val="18"/>
                <w:szCs w:val="18"/>
                <w:lang w:val="en-GB"/>
              </w:rPr>
            </w:pPr>
            <w:r w:rsidRPr="00581315">
              <w:rPr>
                <w:b/>
                <w:bCs/>
                <w:i/>
                <w:sz w:val="18"/>
                <w:szCs w:val="18"/>
              </w:rPr>
              <w:t>Показатели за изпълнение</w:t>
            </w:r>
          </w:p>
        </w:tc>
        <w:tc>
          <w:tcPr>
            <w:tcW w:w="1654" w:type="pct"/>
            <w:tcBorders>
              <w:top w:val="single" w:sz="4" w:space="0" w:color="auto"/>
              <w:left w:val="nil"/>
              <w:bottom w:val="single" w:sz="4" w:space="0" w:color="auto"/>
              <w:right w:val="single" w:sz="4" w:space="0" w:color="auto"/>
            </w:tcBorders>
            <w:shd w:val="clear" w:color="auto" w:fill="FFCC99"/>
            <w:vAlign w:val="center"/>
          </w:tcPr>
          <w:p w14:paraId="6D51FAD2" w14:textId="77777777" w:rsidR="0075635C" w:rsidRPr="00581315" w:rsidRDefault="0075635C" w:rsidP="003920EE">
            <w:pPr>
              <w:jc w:val="center"/>
              <w:rPr>
                <w:b/>
                <w:bCs/>
                <w:sz w:val="18"/>
                <w:szCs w:val="18"/>
              </w:rPr>
            </w:pPr>
            <w:r w:rsidRPr="00581315">
              <w:rPr>
                <w:b/>
                <w:bCs/>
                <w:sz w:val="18"/>
                <w:szCs w:val="18"/>
              </w:rPr>
              <w:t>Мерна единица</w:t>
            </w:r>
          </w:p>
        </w:tc>
        <w:tc>
          <w:tcPr>
            <w:tcW w:w="1103" w:type="pct"/>
            <w:tcBorders>
              <w:top w:val="single" w:sz="4" w:space="0" w:color="auto"/>
              <w:left w:val="nil"/>
              <w:bottom w:val="single" w:sz="4" w:space="0" w:color="auto"/>
              <w:right w:val="single" w:sz="4" w:space="0" w:color="auto"/>
            </w:tcBorders>
            <w:shd w:val="clear" w:color="auto" w:fill="FFCC99"/>
            <w:vAlign w:val="center"/>
          </w:tcPr>
          <w:p w14:paraId="7D103968" w14:textId="77777777" w:rsidR="0075635C" w:rsidRPr="00581315" w:rsidRDefault="0075635C" w:rsidP="003920EE">
            <w:pPr>
              <w:jc w:val="center"/>
              <w:rPr>
                <w:b/>
                <w:bCs/>
                <w:sz w:val="18"/>
                <w:szCs w:val="18"/>
              </w:rPr>
            </w:pPr>
            <w:r w:rsidRPr="00581315">
              <w:rPr>
                <w:b/>
                <w:bCs/>
                <w:sz w:val="18"/>
                <w:szCs w:val="18"/>
              </w:rPr>
              <w:t>Целева стойност</w:t>
            </w:r>
          </w:p>
          <w:p w14:paraId="72773301" w14:textId="77777777" w:rsidR="0075635C" w:rsidRPr="00581315" w:rsidRDefault="0075635C" w:rsidP="003920EE">
            <w:pPr>
              <w:jc w:val="center"/>
              <w:rPr>
                <w:b/>
                <w:bCs/>
                <w:i/>
                <w:iCs/>
                <w:sz w:val="18"/>
                <w:szCs w:val="18"/>
              </w:rPr>
            </w:pPr>
            <w:r w:rsidRPr="00581315">
              <w:rPr>
                <w:b/>
                <w:bCs/>
                <w:sz w:val="18"/>
                <w:szCs w:val="18"/>
              </w:rPr>
              <w:t>(ПЛАН)</w:t>
            </w:r>
          </w:p>
        </w:tc>
        <w:tc>
          <w:tcPr>
            <w:tcW w:w="773" w:type="pct"/>
            <w:tcBorders>
              <w:top w:val="single" w:sz="4" w:space="0" w:color="auto"/>
              <w:left w:val="nil"/>
              <w:bottom w:val="single" w:sz="4" w:space="0" w:color="auto"/>
              <w:right w:val="single" w:sz="4" w:space="0" w:color="auto"/>
            </w:tcBorders>
            <w:shd w:val="clear" w:color="auto" w:fill="FFCC99"/>
            <w:vAlign w:val="center"/>
          </w:tcPr>
          <w:p w14:paraId="61ECA0AD" w14:textId="77777777" w:rsidR="0075635C" w:rsidRPr="00581315" w:rsidRDefault="0075635C" w:rsidP="003920EE">
            <w:pPr>
              <w:jc w:val="center"/>
              <w:rPr>
                <w:b/>
                <w:bCs/>
                <w:iCs/>
                <w:sz w:val="18"/>
                <w:szCs w:val="18"/>
              </w:rPr>
            </w:pPr>
            <w:r w:rsidRPr="00581315">
              <w:rPr>
                <w:b/>
                <w:bCs/>
                <w:iCs/>
                <w:sz w:val="18"/>
                <w:szCs w:val="18"/>
              </w:rPr>
              <w:t>Отчет</w:t>
            </w:r>
          </w:p>
        </w:tc>
      </w:tr>
      <w:tr w:rsidR="00795CD0" w:rsidRPr="00581315" w14:paraId="79F99A8D" w14:textId="77777777" w:rsidTr="00795CD0">
        <w:trPr>
          <w:trHeight w:val="301"/>
        </w:trPr>
        <w:tc>
          <w:tcPr>
            <w:tcW w:w="1471" w:type="pct"/>
            <w:vMerge w:val="restart"/>
            <w:tcBorders>
              <w:top w:val="single" w:sz="4" w:space="0" w:color="auto"/>
              <w:left w:val="single" w:sz="4" w:space="0" w:color="auto"/>
              <w:right w:val="single" w:sz="4" w:space="0" w:color="auto"/>
            </w:tcBorders>
            <w:shd w:val="clear" w:color="auto" w:fill="auto"/>
          </w:tcPr>
          <w:p w14:paraId="31AF9B66" w14:textId="77777777" w:rsidR="0075635C" w:rsidRPr="00581315" w:rsidRDefault="0075635C" w:rsidP="00167913">
            <w:pPr>
              <w:rPr>
                <w:sz w:val="18"/>
                <w:szCs w:val="18"/>
              </w:rPr>
            </w:pPr>
            <w:r w:rsidRPr="00581315">
              <w:rPr>
                <w:sz w:val="18"/>
                <w:szCs w:val="18"/>
              </w:rPr>
              <w:t>1. Основни проверки</w:t>
            </w:r>
          </w:p>
          <w:p w14:paraId="38E96E73" w14:textId="77777777" w:rsidR="0075635C" w:rsidRPr="00581315" w:rsidRDefault="0075635C" w:rsidP="00167913">
            <w:pPr>
              <w:rPr>
                <w:sz w:val="18"/>
                <w:szCs w:val="18"/>
              </w:rPr>
            </w:pPr>
          </w:p>
        </w:tc>
        <w:tc>
          <w:tcPr>
            <w:tcW w:w="1654" w:type="pct"/>
            <w:tcBorders>
              <w:top w:val="single" w:sz="4" w:space="0" w:color="auto"/>
              <w:left w:val="nil"/>
              <w:bottom w:val="single" w:sz="4" w:space="0" w:color="auto"/>
              <w:right w:val="single" w:sz="4" w:space="0" w:color="auto"/>
            </w:tcBorders>
            <w:shd w:val="clear" w:color="auto" w:fill="auto"/>
          </w:tcPr>
          <w:p w14:paraId="6E3EF5CF" w14:textId="77777777" w:rsidR="0075635C" w:rsidRPr="00581315" w:rsidRDefault="0075635C" w:rsidP="00167913">
            <w:pPr>
              <w:jc w:val="center"/>
              <w:rPr>
                <w:sz w:val="18"/>
                <w:szCs w:val="18"/>
              </w:rPr>
            </w:pPr>
            <w:r w:rsidRPr="00581315">
              <w:rPr>
                <w:sz w:val="18"/>
                <w:szCs w:val="18"/>
              </w:rPr>
              <w:t>Бр. проверки</w:t>
            </w:r>
          </w:p>
        </w:tc>
        <w:tc>
          <w:tcPr>
            <w:tcW w:w="1103" w:type="pct"/>
            <w:tcBorders>
              <w:top w:val="single" w:sz="4" w:space="0" w:color="auto"/>
              <w:left w:val="nil"/>
              <w:bottom w:val="single" w:sz="4" w:space="0" w:color="auto"/>
              <w:right w:val="single" w:sz="4" w:space="0" w:color="auto"/>
            </w:tcBorders>
            <w:shd w:val="clear" w:color="auto" w:fill="auto"/>
          </w:tcPr>
          <w:p w14:paraId="006903B5" w14:textId="77777777" w:rsidR="0075635C" w:rsidRPr="00581315" w:rsidRDefault="0075635C" w:rsidP="00167913">
            <w:pPr>
              <w:jc w:val="center"/>
              <w:rPr>
                <w:sz w:val="18"/>
                <w:szCs w:val="18"/>
              </w:rPr>
            </w:pPr>
            <w:r w:rsidRPr="00581315">
              <w:rPr>
                <w:sz w:val="18"/>
                <w:szCs w:val="18"/>
                <w:lang w:val="en-GB"/>
              </w:rPr>
              <w:t>6</w:t>
            </w:r>
            <w:r w:rsidRPr="00581315">
              <w:rPr>
                <w:sz w:val="18"/>
                <w:szCs w:val="18"/>
              </w:rPr>
              <w:t>80</w:t>
            </w:r>
          </w:p>
        </w:tc>
        <w:tc>
          <w:tcPr>
            <w:tcW w:w="773" w:type="pct"/>
            <w:tcBorders>
              <w:top w:val="single" w:sz="4" w:space="0" w:color="auto"/>
              <w:left w:val="nil"/>
              <w:bottom w:val="single" w:sz="4" w:space="0" w:color="auto"/>
              <w:right w:val="single" w:sz="4" w:space="0" w:color="auto"/>
            </w:tcBorders>
            <w:shd w:val="clear" w:color="auto" w:fill="auto"/>
          </w:tcPr>
          <w:p w14:paraId="57BFF3D2" w14:textId="77777777" w:rsidR="0075635C" w:rsidRPr="00581315" w:rsidRDefault="0075635C" w:rsidP="00167913">
            <w:pPr>
              <w:jc w:val="center"/>
              <w:rPr>
                <w:sz w:val="18"/>
                <w:szCs w:val="18"/>
              </w:rPr>
            </w:pPr>
            <w:r w:rsidRPr="00581315">
              <w:rPr>
                <w:sz w:val="18"/>
                <w:szCs w:val="18"/>
              </w:rPr>
              <w:t>263</w:t>
            </w:r>
          </w:p>
        </w:tc>
      </w:tr>
      <w:tr w:rsidR="00795CD0" w:rsidRPr="00581315" w14:paraId="551F0CAA" w14:textId="77777777" w:rsidTr="00795CD0">
        <w:trPr>
          <w:trHeight w:val="286"/>
        </w:trPr>
        <w:tc>
          <w:tcPr>
            <w:tcW w:w="1471" w:type="pct"/>
            <w:vMerge/>
            <w:tcBorders>
              <w:left w:val="single" w:sz="4" w:space="0" w:color="auto"/>
              <w:right w:val="single" w:sz="4" w:space="0" w:color="auto"/>
            </w:tcBorders>
            <w:shd w:val="clear" w:color="auto" w:fill="auto"/>
          </w:tcPr>
          <w:p w14:paraId="77AB0496" w14:textId="77777777" w:rsidR="0075635C" w:rsidRPr="00581315" w:rsidRDefault="0075635C" w:rsidP="00167913">
            <w:pPr>
              <w:rPr>
                <w:sz w:val="18"/>
                <w:szCs w:val="18"/>
              </w:rPr>
            </w:pPr>
          </w:p>
        </w:tc>
        <w:tc>
          <w:tcPr>
            <w:tcW w:w="1654" w:type="pct"/>
            <w:tcBorders>
              <w:top w:val="single" w:sz="4" w:space="0" w:color="auto"/>
              <w:left w:val="nil"/>
              <w:bottom w:val="single" w:sz="4" w:space="0" w:color="auto"/>
              <w:right w:val="single" w:sz="4" w:space="0" w:color="auto"/>
            </w:tcBorders>
            <w:shd w:val="clear" w:color="auto" w:fill="auto"/>
          </w:tcPr>
          <w:p w14:paraId="76DBE7F3" w14:textId="77777777" w:rsidR="0075635C" w:rsidRPr="00581315" w:rsidRDefault="0075635C" w:rsidP="00167913">
            <w:pPr>
              <w:jc w:val="center"/>
              <w:rPr>
                <w:sz w:val="18"/>
                <w:szCs w:val="18"/>
              </w:rPr>
            </w:pPr>
            <w:r w:rsidRPr="00581315">
              <w:rPr>
                <w:sz w:val="18"/>
                <w:szCs w:val="18"/>
              </w:rPr>
              <w:t>Бр. дадени предписания</w:t>
            </w:r>
          </w:p>
        </w:tc>
        <w:tc>
          <w:tcPr>
            <w:tcW w:w="1103" w:type="pct"/>
            <w:tcBorders>
              <w:top w:val="single" w:sz="4" w:space="0" w:color="auto"/>
              <w:left w:val="nil"/>
              <w:bottom w:val="single" w:sz="4" w:space="0" w:color="auto"/>
              <w:right w:val="single" w:sz="4" w:space="0" w:color="auto"/>
            </w:tcBorders>
            <w:shd w:val="clear" w:color="auto" w:fill="auto"/>
          </w:tcPr>
          <w:p w14:paraId="6D5E400C" w14:textId="77777777" w:rsidR="0075635C" w:rsidRPr="00581315" w:rsidRDefault="0075635C" w:rsidP="00167913">
            <w:pPr>
              <w:jc w:val="center"/>
              <w:rPr>
                <w:sz w:val="18"/>
                <w:szCs w:val="18"/>
              </w:rPr>
            </w:pPr>
            <w:r w:rsidRPr="00581315">
              <w:rPr>
                <w:sz w:val="18"/>
                <w:szCs w:val="18"/>
              </w:rPr>
              <w:t>1</w:t>
            </w:r>
            <w:r w:rsidRPr="00581315">
              <w:rPr>
                <w:rStyle w:val="FootnoteReference"/>
                <w:sz w:val="18"/>
                <w:szCs w:val="18"/>
              </w:rPr>
              <w:footnoteReference w:id="41"/>
            </w:r>
          </w:p>
        </w:tc>
        <w:tc>
          <w:tcPr>
            <w:tcW w:w="773" w:type="pct"/>
            <w:tcBorders>
              <w:top w:val="single" w:sz="4" w:space="0" w:color="auto"/>
              <w:left w:val="nil"/>
              <w:bottom w:val="single" w:sz="4" w:space="0" w:color="auto"/>
              <w:right w:val="single" w:sz="4" w:space="0" w:color="auto"/>
            </w:tcBorders>
            <w:shd w:val="clear" w:color="auto" w:fill="auto"/>
          </w:tcPr>
          <w:p w14:paraId="53CC066B" w14:textId="77777777" w:rsidR="0075635C" w:rsidRPr="00581315" w:rsidRDefault="0075635C" w:rsidP="00167913">
            <w:pPr>
              <w:jc w:val="center"/>
              <w:rPr>
                <w:sz w:val="18"/>
                <w:szCs w:val="18"/>
              </w:rPr>
            </w:pPr>
            <w:r w:rsidRPr="00581315">
              <w:rPr>
                <w:sz w:val="18"/>
                <w:szCs w:val="18"/>
              </w:rPr>
              <w:t>1193</w:t>
            </w:r>
          </w:p>
        </w:tc>
      </w:tr>
      <w:tr w:rsidR="00795CD0" w:rsidRPr="00581315" w14:paraId="4785F88D" w14:textId="77777777" w:rsidTr="00795CD0">
        <w:trPr>
          <w:trHeight w:val="276"/>
        </w:trPr>
        <w:tc>
          <w:tcPr>
            <w:tcW w:w="1471" w:type="pct"/>
            <w:vMerge/>
            <w:tcBorders>
              <w:left w:val="single" w:sz="4" w:space="0" w:color="auto"/>
              <w:bottom w:val="single" w:sz="4" w:space="0" w:color="auto"/>
              <w:right w:val="single" w:sz="4" w:space="0" w:color="auto"/>
            </w:tcBorders>
            <w:shd w:val="clear" w:color="auto" w:fill="auto"/>
          </w:tcPr>
          <w:p w14:paraId="2335AEC6" w14:textId="77777777" w:rsidR="0075635C" w:rsidRPr="00581315" w:rsidRDefault="0075635C" w:rsidP="00167913">
            <w:pPr>
              <w:rPr>
                <w:sz w:val="18"/>
                <w:szCs w:val="18"/>
              </w:rPr>
            </w:pPr>
          </w:p>
        </w:tc>
        <w:tc>
          <w:tcPr>
            <w:tcW w:w="1654" w:type="pct"/>
            <w:tcBorders>
              <w:top w:val="single" w:sz="4" w:space="0" w:color="auto"/>
              <w:left w:val="nil"/>
              <w:bottom w:val="single" w:sz="4" w:space="0" w:color="auto"/>
              <w:right w:val="single" w:sz="4" w:space="0" w:color="auto"/>
            </w:tcBorders>
            <w:shd w:val="clear" w:color="auto" w:fill="auto"/>
          </w:tcPr>
          <w:p w14:paraId="5D7EB3AD" w14:textId="77777777" w:rsidR="0075635C" w:rsidRPr="00581315" w:rsidRDefault="0075635C" w:rsidP="00167913">
            <w:pPr>
              <w:jc w:val="center"/>
              <w:rPr>
                <w:sz w:val="18"/>
                <w:szCs w:val="18"/>
              </w:rPr>
            </w:pPr>
            <w:r w:rsidRPr="00581315">
              <w:rPr>
                <w:sz w:val="18"/>
                <w:szCs w:val="18"/>
              </w:rPr>
              <w:t>Бр. изпълнени предписания</w:t>
            </w:r>
          </w:p>
        </w:tc>
        <w:tc>
          <w:tcPr>
            <w:tcW w:w="1103" w:type="pct"/>
            <w:tcBorders>
              <w:top w:val="single" w:sz="4" w:space="0" w:color="auto"/>
              <w:left w:val="nil"/>
              <w:bottom w:val="single" w:sz="4" w:space="0" w:color="auto"/>
              <w:right w:val="single" w:sz="4" w:space="0" w:color="auto"/>
            </w:tcBorders>
            <w:shd w:val="clear" w:color="auto" w:fill="auto"/>
          </w:tcPr>
          <w:p w14:paraId="60BFD434" w14:textId="77777777" w:rsidR="0075635C" w:rsidRPr="00581315" w:rsidRDefault="0075635C" w:rsidP="00167913">
            <w:pPr>
              <w:jc w:val="center"/>
              <w:rPr>
                <w:sz w:val="18"/>
                <w:szCs w:val="18"/>
              </w:rPr>
            </w:pPr>
            <w:r w:rsidRPr="00581315">
              <w:rPr>
                <w:sz w:val="18"/>
                <w:szCs w:val="18"/>
              </w:rPr>
              <w:t>1</w:t>
            </w:r>
          </w:p>
        </w:tc>
        <w:tc>
          <w:tcPr>
            <w:tcW w:w="773" w:type="pct"/>
            <w:tcBorders>
              <w:top w:val="single" w:sz="4" w:space="0" w:color="auto"/>
              <w:left w:val="nil"/>
              <w:bottom w:val="single" w:sz="4" w:space="0" w:color="auto"/>
              <w:right w:val="single" w:sz="4" w:space="0" w:color="auto"/>
            </w:tcBorders>
            <w:shd w:val="clear" w:color="auto" w:fill="auto"/>
          </w:tcPr>
          <w:p w14:paraId="3A3CBF5C" w14:textId="77777777" w:rsidR="0075635C" w:rsidRPr="00581315" w:rsidRDefault="0075635C" w:rsidP="00167913">
            <w:pPr>
              <w:jc w:val="center"/>
              <w:rPr>
                <w:sz w:val="18"/>
                <w:szCs w:val="18"/>
              </w:rPr>
            </w:pPr>
            <w:r w:rsidRPr="00581315">
              <w:rPr>
                <w:sz w:val="18"/>
                <w:szCs w:val="18"/>
              </w:rPr>
              <w:t>194</w:t>
            </w:r>
            <w:r w:rsidRPr="00581315">
              <w:rPr>
                <w:rStyle w:val="FootnoteReference"/>
                <w:sz w:val="18"/>
                <w:szCs w:val="18"/>
              </w:rPr>
              <w:footnoteReference w:id="42"/>
            </w:r>
          </w:p>
        </w:tc>
      </w:tr>
      <w:tr w:rsidR="00795CD0" w:rsidRPr="00581315" w14:paraId="6105F4EF" w14:textId="77777777" w:rsidTr="00795CD0">
        <w:trPr>
          <w:trHeight w:val="268"/>
        </w:trPr>
        <w:tc>
          <w:tcPr>
            <w:tcW w:w="1471" w:type="pct"/>
            <w:vMerge w:val="restart"/>
            <w:tcBorders>
              <w:top w:val="single" w:sz="4" w:space="0" w:color="auto"/>
              <w:left w:val="single" w:sz="4" w:space="0" w:color="auto"/>
              <w:bottom w:val="single" w:sz="4" w:space="0" w:color="auto"/>
              <w:right w:val="single" w:sz="4" w:space="0" w:color="auto"/>
            </w:tcBorders>
            <w:shd w:val="clear" w:color="auto" w:fill="auto"/>
          </w:tcPr>
          <w:p w14:paraId="799D01AD" w14:textId="77777777" w:rsidR="0075635C" w:rsidRPr="00581315" w:rsidRDefault="0075635C" w:rsidP="00167913">
            <w:pPr>
              <w:rPr>
                <w:sz w:val="18"/>
                <w:szCs w:val="18"/>
              </w:rPr>
            </w:pPr>
            <w:r w:rsidRPr="00581315">
              <w:rPr>
                <w:sz w:val="18"/>
                <w:szCs w:val="18"/>
              </w:rPr>
              <w:t>2. Контролни проверки</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17563C7E" w14:textId="77777777" w:rsidR="0075635C" w:rsidRPr="00581315" w:rsidRDefault="0075635C" w:rsidP="00167913">
            <w:pPr>
              <w:jc w:val="center"/>
              <w:rPr>
                <w:sz w:val="18"/>
                <w:szCs w:val="18"/>
              </w:rPr>
            </w:pPr>
            <w:r w:rsidRPr="00581315">
              <w:rPr>
                <w:sz w:val="18"/>
                <w:szCs w:val="18"/>
              </w:rPr>
              <w:t>Бр. проверки</w:t>
            </w:r>
          </w:p>
        </w:tc>
        <w:tc>
          <w:tcPr>
            <w:tcW w:w="1103" w:type="pct"/>
            <w:tcBorders>
              <w:top w:val="single" w:sz="4" w:space="0" w:color="auto"/>
              <w:left w:val="nil"/>
              <w:bottom w:val="single" w:sz="4" w:space="0" w:color="auto"/>
              <w:right w:val="single" w:sz="4" w:space="0" w:color="auto"/>
            </w:tcBorders>
            <w:shd w:val="clear" w:color="auto" w:fill="auto"/>
          </w:tcPr>
          <w:p w14:paraId="625B5DF3" w14:textId="77777777" w:rsidR="0075635C" w:rsidRPr="00581315" w:rsidRDefault="0075635C" w:rsidP="00167913">
            <w:pPr>
              <w:jc w:val="center"/>
              <w:rPr>
                <w:sz w:val="18"/>
                <w:szCs w:val="18"/>
              </w:rPr>
            </w:pPr>
            <w:r w:rsidRPr="00581315">
              <w:rPr>
                <w:sz w:val="18"/>
                <w:szCs w:val="18"/>
                <w:lang w:val="en-GB"/>
              </w:rPr>
              <w:t>3</w:t>
            </w:r>
            <w:r w:rsidRPr="00581315">
              <w:rPr>
                <w:sz w:val="18"/>
                <w:szCs w:val="18"/>
              </w:rPr>
              <w:t>20</w:t>
            </w:r>
          </w:p>
        </w:tc>
        <w:tc>
          <w:tcPr>
            <w:tcW w:w="773" w:type="pct"/>
            <w:tcBorders>
              <w:top w:val="single" w:sz="4" w:space="0" w:color="auto"/>
              <w:left w:val="nil"/>
              <w:bottom w:val="single" w:sz="4" w:space="0" w:color="auto"/>
              <w:right w:val="single" w:sz="4" w:space="0" w:color="auto"/>
            </w:tcBorders>
            <w:shd w:val="clear" w:color="auto" w:fill="auto"/>
          </w:tcPr>
          <w:p w14:paraId="66302B9C" w14:textId="77777777" w:rsidR="0075635C" w:rsidRPr="00581315" w:rsidRDefault="0075635C" w:rsidP="00167913">
            <w:pPr>
              <w:jc w:val="center"/>
              <w:rPr>
                <w:sz w:val="18"/>
                <w:szCs w:val="18"/>
              </w:rPr>
            </w:pPr>
            <w:r w:rsidRPr="00581315">
              <w:rPr>
                <w:sz w:val="18"/>
                <w:szCs w:val="18"/>
              </w:rPr>
              <w:t>106</w:t>
            </w:r>
          </w:p>
        </w:tc>
      </w:tr>
      <w:tr w:rsidR="00795CD0" w:rsidRPr="00581315" w14:paraId="17C02F1E" w14:textId="77777777" w:rsidTr="00795CD0">
        <w:trPr>
          <w:trHeight w:val="272"/>
        </w:trPr>
        <w:tc>
          <w:tcPr>
            <w:tcW w:w="1471" w:type="pct"/>
            <w:vMerge/>
            <w:tcBorders>
              <w:left w:val="single" w:sz="4" w:space="0" w:color="auto"/>
              <w:bottom w:val="single" w:sz="4" w:space="0" w:color="auto"/>
              <w:right w:val="single" w:sz="4" w:space="0" w:color="auto"/>
            </w:tcBorders>
            <w:shd w:val="clear" w:color="auto" w:fill="auto"/>
          </w:tcPr>
          <w:p w14:paraId="3C9258EE" w14:textId="77777777" w:rsidR="0075635C" w:rsidRPr="00581315" w:rsidRDefault="0075635C" w:rsidP="00167913">
            <w:pPr>
              <w:rPr>
                <w:sz w:val="18"/>
                <w:szCs w:val="18"/>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556A6FB6" w14:textId="77777777" w:rsidR="0075635C" w:rsidRPr="00581315" w:rsidRDefault="0075635C" w:rsidP="00167913">
            <w:pPr>
              <w:jc w:val="center"/>
              <w:rPr>
                <w:sz w:val="18"/>
                <w:szCs w:val="18"/>
              </w:rPr>
            </w:pPr>
            <w:r w:rsidRPr="00581315">
              <w:rPr>
                <w:sz w:val="18"/>
                <w:szCs w:val="18"/>
              </w:rPr>
              <w:t xml:space="preserve">Бр. констатации </w:t>
            </w:r>
          </w:p>
        </w:tc>
        <w:tc>
          <w:tcPr>
            <w:tcW w:w="1103" w:type="pct"/>
            <w:tcBorders>
              <w:top w:val="single" w:sz="4" w:space="0" w:color="auto"/>
              <w:left w:val="nil"/>
              <w:bottom w:val="single" w:sz="4" w:space="0" w:color="auto"/>
              <w:right w:val="single" w:sz="4" w:space="0" w:color="auto"/>
            </w:tcBorders>
            <w:shd w:val="clear" w:color="auto" w:fill="auto"/>
          </w:tcPr>
          <w:p w14:paraId="6F4C7D5E" w14:textId="77777777" w:rsidR="0075635C" w:rsidRPr="00581315" w:rsidRDefault="0075635C" w:rsidP="00167913">
            <w:pPr>
              <w:jc w:val="center"/>
              <w:rPr>
                <w:sz w:val="18"/>
                <w:szCs w:val="18"/>
              </w:rPr>
            </w:pPr>
            <w:r w:rsidRPr="00581315">
              <w:rPr>
                <w:sz w:val="18"/>
                <w:szCs w:val="18"/>
              </w:rPr>
              <w:t>1</w:t>
            </w:r>
          </w:p>
        </w:tc>
        <w:tc>
          <w:tcPr>
            <w:tcW w:w="773" w:type="pct"/>
            <w:tcBorders>
              <w:top w:val="single" w:sz="4" w:space="0" w:color="auto"/>
              <w:left w:val="nil"/>
              <w:bottom w:val="single" w:sz="4" w:space="0" w:color="auto"/>
              <w:right w:val="single" w:sz="4" w:space="0" w:color="auto"/>
            </w:tcBorders>
            <w:shd w:val="clear" w:color="auto" w:fill="auto"/>
          </w:tcPr>
          <w:p w14:paraId="647280B3" w14:textId="77777777" w:rsidR="0075635C" w:rsidRPr="00581315" w:rsidRDefault="0075635C" w:rsidP="00167913">
            <w:pPr>
              <w:jc w:val="center"/>
              <w:rPr>
                <w:sz w:val="18"/>
                <w:szCs w:val="18"/>
              </w:rPr>
            </w:pPr>
            <w:r w:rsidRPr="00581315">
              <w:rPr>
                <w:sz w:val="18"/>
                <w:szCs w:val="18"/>
              </w:rPr>
              <w:t>557</w:t>
            </w:r>
          </w:p>
        </w:tc>
      </w:tr>
      <w:tr w:rsidR="00795CD0" w:rsidRPr="00581315" w14:paraId="54185DB8" w14:textId="77777777" w:rsidTr="00795CD0">
        <w:trPr>
          <w:trHeight w:val="275"/>
        </w:trPr>
        <w:tc>
          <w:tcPr>
            <w:tcW w:w="1471" w:type="pct"/>
            <w:vMerge/>
            <w:tcBorders>
              <w:left w:val="single" w:sz="4" w:space="0" w:color="auto"/>
              <w:bottom w:val="single" w:sz="4" w:space="0" w:color="auto"/>
              <w:right w:val="single" w:sz="4" w:space="0" w:color="auto"/>
            </w:tcBorders>
            <w:shd w:val="clear" w:color="auto" w:fill="auto"/>
          </w:tcPr>
          <w:p w14:paraId="42DC4E71" w14:textId="77777777" w:rsidR="0075635C" w:rsidRPr="00581315" w:rsidRDefault="0075635C" w:rsidP="00167913">
            <w:pPr>
              <w:rPr>
                <w:sz w:val="18"/>
                <w:szCs w:val="18"/>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18BA15E7" w14:textId="77777777" w:rsidR="0075635C" w:rsidRPr="00581315" w:rsidRDefault="0075635C" w:rsidP="00167913">
            <w:pPr>
              <w:jc w:val="center"/>
              <w:rPr>
                <w:sz w:val="18"/>
                <w:szCs w:val="18"/>
              </w:rPr>
            </w:pPr>
            <w:r w:rsidRPr="00581315">
              <w:rPr>
                <w:sz w:val="18"/>
                <w:szCs w:val="18"/>
              </w:rPr>
              <w:t>Бр. изпълнени предписания</w:t>
            </w:r>
          </w:p>
        </w:tc>
        <w:tc>
          <w:tcPr>
            <w:tcW w:w="1103" w:type="pct"/>
            <w:tcBorders>
              <w:top w:val="single" w:sz="4" w:space="0" w:color="auto"/>
              <w:left w:val="nil"/>
              <w:bottom w:val="single" w:sz="4" w:space="0" w:color="auto"/>
              <w:right w:val="single" w:sz="4" w:space="0" w:color="auto"/>
            </w:tcBorders>
            <w:shd w:val="clear" w:color="auto" w:fill="auto"/>
          </w:tcPr>
          <w:p w14:paraId="35E6F205" w14:textId="77777777" w:rsidR="0075635C" w:rsidRPr="00581315" w:rsidRDefault="0075635C" w:rsidP="00167913">
            <w:pPr>
              <w:jc w:val="center"/>
              <w:rPr>
                <w:sz w:val="18"/>
                <w:szCs w:val="18"/>
              </w:rPr>
            </w:pPr>
            <w:r w:rsidRPr="00581315">
              <w:rPr>
                <w:sz w:val="18"/>
                <w:szCs w:val="18"/>
              </w:rPr>
              <w:t>1</w:t>
            </w:r>
          </w:p>
        </w:tc>
        <w:tc>
          <w:tcPr>
            <w:tcW w:w="773" w:type="pct"/>
            <w:tcBorders>
              <w:top w:val="single" w:sz="4" w:space="0" w:color="auto"/>
              <w:left w:val="nil"/>
              <w:bottom w:val="single" w:sz="4" w:space="0" w:color="auto"/>
              <w:right w:val="single" w:sz="4" w:space="0" w:color="auto"/>
            </w:tcBorders>
            <w:shd w:val="clear" w:color="auto" w:fill="auto"/>
          </w:tcPr>
          <w:p w14:paraId="77DF7F02" w14:textId="77777777" w:rsidR="0075635C" w:rsidRPr="00581315" w:rsidRDefault="0075635C" w:rsidP="00167913">
            <w:pPr>
              <w:jc w:val="center"/>
              <w:rPr>
                <w:sz w:val="18"/>
                <w:szCs w:val="18"/>
              </w:rPr>
            </w:pPr>
            <w:r w:rsidRPr="00581315">
              <w:rPr>
                <w:sz w:val="18"/>
                <w:szCs w:val="18"/>
              </w:rPr>
              <w:t>374</w:t>
            </w:r>
            <w:r w:rsidRPr="00581315">
              <w:rPr>
                <w:rStyle w:val="FootnoteReference"/>
                <w:sz w:val="18"/>
                <w:szCs w:val="18"/>
              </w:rPr>
              <w:footnoteReference w:id="43"/>
            </w:r>
          </w:p>
        </w:tc>
      </w:tr>
      <w:tr w:rsidR="00795CD0" w:rsidRPr="00581315" w14:paraId="72E0DA13" w14:textId="77777777" w:rsidTr="00795CD0">
        <w:trPr>
          <w:trHeight w:val="266"/>
        </w:trPr>
        <w:tc>
          <w:tcPr>
            <w:tcW w:w="1471" w:type="pct"/>
            <w:vMerge w:val="restart"/>
            <w:tcBorders>
              <w:top w:val="single" w:sz="4" w:space="0" w:color="auto"/>
              <w:left w:val="single" w:sz="4" w:space="0" w:color="auto"/>
              <w:right w:val="single" w:sz="4" w:space="0" w:color="auto"/>
            </w:tcBorders>
            <w:shd w:val="clear" w:color="auto" w:fill="auto"/>
          </w:tcPr>
          <w:p w14:paraId="45D04E8F" w14:textId="77777777" w:rsidR="0075635C" w:rsidRPr="00581315" w:rsidRDefault="0075635C" w:rsidP="00167913">
            <w:pPr>
              <w:rPr>
                <w:sz w:val="18"/>
                <w:szCs w:val="18"/>
              </w:rPr>
            </w:pPr>
            <w:r w:rsidRPr="00581315">
              <w:rPr>
                <w:sz w:val="18"/>
                <w:szCs w:val="18"/>
              </w:rPr>
              <w:t>3. Извънредни проверки</w:t>
            </w:r>
          </w:p>
        </w:tc>
        <w:tc>
          <w:tcPr>
            <w:tcW w:w="1654" w:type="pct"/>
            <w:tcBorders>
              <w:top w:val="single" w:sz="4" w:space="0" w:color="auto"/>
              <w:left w:val="nil"/>
              <w:bottom w:val="single" w:sz="4" w:space="0" w:color="auto"/>
              <w:right w:val="single" w:sz="4" w:space="0" w:color="auto"/>
            </w:tcBorders>
            <w:shd w:val="clear" w:color="auto" w:fill="auto"/>
          </w:tcPr>
          <w:p w14:paraId="6362A14F" w14:textId="77777777" w:rsidR="0075635C" w:rsidRPr="00581315" w:rsidRDefault="0075635C" w:rsidP="00167913">
            <w:pPr>
              <w:jc w:val="center"/>
              <w:rPr>
                <w:sz w:val="18"/>
                <w:szCs w:val="18"/>
              </w:rPr>
            </w:pPr>
            <w:r w:rsidRPr="00581315">
              <w:rPr>
                <w:sz w:val="18"/>
                <w:szCs w:val="18"/>
              </w:rPr>
              <w:t>Бр. проверки</w:t>
            </w:r>
          </w:p>
        </w:tc>
        <w:tc>
          <w:tcPr>
            <w:tcW w:w="1103" w:type="pct"/>
            <w:tcBorders>
              <w:top w:val="single" w:sz="4" w:space="0" w:color="auto"/>
              <w:left w:val="nil"/>
              <w:bottom w:val="single" w:sz="4" w:space="0" w:color="auto"/>
              <w:right w:val="single" w:sz="4" w:space="0" w:color="auto"/>
            </w:tcBorders>
            <w:shd w:val="clear" w:color="auto" w:fill="auto"/>
          </w:tcPr>
          <w:p w14:paraId="59D339FA" w14:textId="77777777" w:rsidR="0075635C" w:rsidRPr="00581315" w:rsidRDefault="0075635C" w:rsidP="00167913">
            <w:pPr>
              <w:jc w:val="center"/>
              <w:rPr>
                <w:sz w:val="18"/>
                <w:szCs w:val="18"/>
              </w:rPr>
            </w:pPr>
            <w:r w:rsidRPr="00581315">
              <w:rPr>
                <w:sz w:val="18"/>
                <w:szCs w:val="18"/>
              </w:rPr>
              <w:t>1</w:t>
            </w:r>
          </w:p>
        </w:tc>
        <w:tc>
          <w:tcPr>
            <w:tcW w:w="773" w:type="pct"/>
            <w:tcBorders>
              <w:top w:val="single" w:sz="4" w:space="0" w:color="auto"/>
              <w:left w:val="nil"/>
              <w:bottom w:val="single" w:sz="4" w:space="0" w:color="auto"/>
              <w:right w:val="single" w:sz="4" w:space="0" w:color="auto"/>
            </w:tcBorders>
            <w:shd w:val="clear" w:color="auto" w:fill="auto"/>
          </w:tcPr>
          <w:p w14:paraId="17640357" w14:textId="77777777" w:rsidR="0075635C" w:rsidRPr="00581315" w:rsidRDefault="0075635C" w:rsidP="00167913">
            <w:pPr>
              <w:jc w:val="center"/>
              <w:rPr>
                <w:sz w:val="18"/>
                <w:szCs w:val="18"/>
              </w:rPr>
            </w:pPr>
            <w:r w:rsidRPr="00581315">
              <w:rPr>
                <w:sz w:val="18"/>
                <w:szCs w:val="18"/>
              </w:rPr>
              <w:t>4</w:t>
            </w:r>
          </w:p>
        </w:tc>
      </w:tr>
      <w:tr w:rsidR="00795CD0" w:rsidRPr="00581315" w14:paraId="7513415D" w14:textId="77777777" w:rsidTr="00795CD0">
        <w:trPr>
          <w:trHeight w:val="284"/>
        </w:trPr>
        <w:tc>
          <w:tcPr>
            <w:tcW w:w="1471" w:type="pct"/>
            <w:vMerge/>
            <w:tcBorders>
              <w:left w:val="single" w:sz="4" w:space="0" w:color="auto"/>
              <w:right w:val="single" w:sz="4" w:space="0" w:color="auto"/>
            </w:tcBorders>
            <w:shd w:val="clear" w:color="auto" w:fill="auto"/>
          </w:tcPr>
          <w:p w14:paraId="371AF0F5" w14:textId="77777777" w:rsidR="0075635C" w:rsidRPr="00581315" w:rsidRDefault="0075635C" w:rsidP="00167913">
            <w:pPr>
              <w:rPr>
                <w:sz w:val="18"/>
                <w:szCs w:val="18"/>
              </w:rPr>
            </w:pPr>
          </w:p>
        </w:tc>
        <w:tc>
          <w:tcPr>
            <w:tcW w:w="1654" w:type="pct"/>
            <w:tcBorders>
              <w:top w:val="single" w:sz="4" w:space="0" w:color="auto"/>
              <w:left w:val="nil"/>
              <w:bottom w:val="single" w:sz="4" w:space="0" w:color="auto"/>
              <w:right w:val="single" w:sz="4" w:space="0" w:color="auto"/>
            </w:tcBorders>
            <w:shd w:val="clear" w:color="auto" w:fill="auto"/>
          </w:tcPr>
          <w:p w14:paraId="1F9AA9C4" w14:textId="77777777" w:rsidR="0075635C" w:rsidRPr="00581315" w:rsidRDefault="0075635C" w:rsidP="00167913">
            <w:pPr>
              <w:jc w:val="center"/>
              <w:rPr>
                <w:sz w:val="18"/>
                <w:szCs w:val="18"/>
              </w:rPr>
            </w:pPr>
            <w:r w:rsidRPr="00581315">
              <w:rPr>
                <w:sz w:val="18"/>
                <w:szCs w:val="18"/>
              </w:rPr>
              <w:t>Бр. дадени предписания</w:t>
            </w:r>
          </w:p>
        </w:tc>
        <w:tc>
          <w:tcPr>
            <w:tcW w:w="1103" w:type="pct"/>
            <w:tcBorders>
              <w:top w:val="single" w:sz="4" w:space="0" w:color="auto"/>
              <w:left w:val="nil"/>
              <w:bottom w:val="single" w:sz="4" w:space="0" w:color="auto"/>
              <w:right w:val="single" w:sz="4" w:space="0" w:color="auto"/>
            </w:tcBorders>
            <w:shd w:val="clear" w:color="auto" w:fill="auto"/>
          </w:tcPr>
          <w:p w14:paraId="0B6F97FA" w14:textId="77777777" w:rsidR="0075635C" w:rsidRPr="00581315" w:rsidRDefault="0075635C" w:rsidP="00167913">
            <w:pPr>
              <w:jc w:val="center"/>
              <w:rPr>
                <w:sz w:val="18"/>
                <w:szCs w:val="18"/>
              </w:rPr>
            </w:pPr>
            <w:r w:rsidRPr="00581315">
              <w:rPr>
                <w:sz w:val="18"/>
                <w:szCs w:val="18"/>
              </w:rPr>
              <w:t>1</w:t>
            </w:r>
          </w:p>
        </w:tc>
        <w:tc>
          <w:tcPr>
            <w:tcW w:w="773" w:type="pct"/>
            <w:tcBorders>
              <w:top w:val="single" w:sz="4" w:space="0" w:color="auto"/>
              <w:left w:val="nil"/>
              <w:bottom w:val="single" w:sz="4" w:space="0" w:color="auto"/>
              <w:right w:val="single" w:sz="4" w:space="0" w:color="auto"/>
            </w:tcBorders>
            <w:shd w:val="clear" w:color="auto" w:fill="auto"/>
          </w:tcPr>
          <w:p w14:paraId="53260824" w14:textId="77777777" w:rsidR="0075635C" w:rsidRPr="00581315" w:rsidRDefault="0075635C" w:rsidP="00167913">
            <w:pPr>
              <w:jc w:val="center"/>
              <w:rPr>
                <w:sz w:val="18"/>
                <w:szCs w:val="18"/>
              </w:rPr>
            </w:pPr>
            <w:r w:rsidRPr="00581315">
              <w:rPr>
                <w:sz w:val="18"/>
                <w:szCs w:val="18"/>
              </w:rPr>
              <w:t>4</w:t>
            </w:r>
          </w:p>
        </w:tc>
      </w:tr>
      <w:tr w:rsidR="00795CD0" w:rsidRPr="00581315" w14:paraId="35FA8CA2" w14:textId="77777777" w:rsidTr="00795CD0">
        <w:trPr>
          <w:trHeight w:val="274"/>
        </w:trPr>
        <w:tc>
          <w:tcPr>
            <w:tcW w:w="1471" w:type="pct"/>
            <w:vMerge/>
            <w:tcBorders>
              <w:left w:val="single" w:sz="4" w:space="0" w:color="auto"/>
              <w:bottom w:val="single" w:sz="4" w:space="0" w:color="auto"/>
              <w:right w:val="single" w:sz="4" w:space="0" w:color="auto"/>
            </w:tcBorders>
            <w:shd w:val="clear" w:color="auto" w:fill="auto"/>
          </w:tcPr>
          <w:p w14:paraId="7EBF8963" w14:textId="77777777" w:rsidR="0075635C" w:rsidRPr="00581315" w:rsidRDefault="0075635C" w:rsidP="00167913">
            <w:pPr>
              <w:rPr>
                <w:sz w:val="18"/>
                <w:szCs w:val="18"/>
              </w:rPr>
            </w:pPr>
          </w:p>
        </w:tc>
        <w:tc>
          <w:tcPr>
            <w:tcW w:w="1654" w:type="pct"/>
            <w:tcBorders>
              <w:top w:val="single" w:sz="4" w:space="0" w:color="auto"/>
              <w:left w:val="nil"/>
              <w:bottom w:val="single" w:sz="4" w:space="0" w:color="auto"/>
              <w:right w:val="single" w:sz="4" w:space="0" w:color="auto"/>
            </w:tcBorders>
            <w:shd w:val="clear" w:color="auto" w:fill="auto"/>
          </w:tcPr>
          <w:p w14:paraId="15069DDE" w14:textId="77777777" w:rsidR="0075635C" w:rsidRPr="00581315" w:rsidRDefault="0075635C" w:rsidP="00167913">
            <w:pPr>
              <w:jc w:val="center"/>
              <w:rPr>
                <w:sz w:val="18"/>
                <w:szCs w:val="18"/>
              </w:rPr>
            </w:pPr>
            <w:r w:rsidRPr="00581315">
              <w:rPr>
                <w:sz w:val="18"/>
                <w:szCs w:val="18"/>
              </w:rPr>
              <w:t>Бр. изпълнени предписания</w:t>
            </w:r>
          </w:p>
        </w:tc>
        <w:tc>
          <w:tcPr>
            <w:tcW w:w="1103" w:type="pct"/>
            <w:tcBorders>
              <w:top w:val="single" w:sz="4" w:space="0" w:color="auto"/>
              <w:left w:val="nil"/>
              <w:bottom w:val="single" w:sz="4" w:space="0" w:color="auto"/>
              <w:right w:val="single" w:sz="4" w:space="0" w:color="auto"/>
            </w:tcBorders>
            <w:shd w:val="clear" w:color="auto" w:fill="auto"/>
          </w:tcPr>
          <w:p w14:paraId="39E30DB6" w14:textId="77777777" w:rsidR="0075635C" w:rsidRPr="00581315" w:rsidRDefault="0075635C" w:rsidP="00167913">
            <w:pPr>
              <w:jc w:val="center"/>
              <w:rPr>
                <w:sz w:val="18"/>
                <w:szCs w:val="18"/>
              </w:rPr>
            </w:pPr>
            <w:r w:rsidRPr="00581315">
              <w:rPr>
                <w:sz w:val="18"/>
                <w:szCs w:val="18"/>
              </w:rPr>
              <w:t>1</w:t>
            </w:r>
          </w:p>
        </w:tc>
        <w:tc>
          <w:tcPr>
            <w:tcW w:w="773" w:type="pct"/>
            <w:tcBorders>
              <w:top w:val="single" w:sz="4" w:space="0" w:color="auto"/>
              <w:left w:val="nil"/>
              <w:bottom w:val="single" w:sz="4" w:space="0" w:color="auto"/>
              <w:right w:val="single" w:sz="4" w:space="0" w:color="auto"/>
            </w:tcBorders>
            <w:shd w:val="clear" w:color="auto" w:fill="auto"/>
          </w:tcPr>
          <w:p w14:paraId="5691E492" w14:textId="77777777" w:rsidR="0075635C" w:rsidRPr="00581315" w:rsidRDefault="0075635C" w:rsidP="00167913">
            <w:pPr>
              <w:jc w:val="center"/>
              <w:rPr>
                <w:sz w:val="18"/>
                <w:szCs w:val="18"/>
              </w:rPr>
            </w:pPr>
            <w:r w:rsidRPr="00581315">
              <w:rPr>
                <w:sz w:val="18"/>
                <w:szCs w:val="18"/>
              </w:rPr>
              <w:t>2</w:t>
            </w:r>
            <w:r w:rsidRPr="00581315">
              <w:rPr>
                <w:rStyle w:val="FootnoteReference"/>
                <w:sz w:val="18"/>
                <w:szCs w:val="18"/>
              </w:rPr>
              <w:footnoteReference w:id="44"/>
            </w:r>
          </w:p>
        </w:tc>
      </w:tr>
      <w:tr w:rsidR="00795CD0" w:rsidRPr="00581315" w14:paraId="1931A01D" w14:textId="77777777" w:rsidTr="00795CD0">
        <w:trPr>
          <w:trHeight w:val="263"/>
        </w:trPr>
        <w:tc>
          <w:tcPr>
            <w:tcW w:w="1471" w:type="pct"/>
            <w:vMerge w:val="restart"/>
            <w:tcBorders>
              <w:top w:val="single" w:sz="4" w:space="0" w:color="auto"/>
              <w:left w:val="single" w:sz="4" w:space="0" w:color="auto"/>
              <w:right w:val="single" w:sz="4" w:space="0" w:color="auto"/>
            </w:tcBorders>
            <w:shd w:val="clear" w:color="auto" w:fill="auto"/>
          </w:tcPr>
          <w:p w14:paraId="67F1E34A" w14:textId="77777777" w:rsidR="0075635C" w:rsidRPr="00581315" w:rsidRDefault="0075635C" w:rsidP="00167913">
            <w:pPr>
              <w:rPr>
                <w:sz w:val="18"/>
                <w:szCs w:val="18"/>
              </w:rPr>
            </w:pPr>
            <w:r w:rsidRPr="00581315">
              <w:rPr>
                <w:sz w:val="18"/>
                <w:szCs w:val="18"/>
              </w:rPr>
              <w:t>4.  Инцидентни проверки</w:t>
            </w:r>
          </w:p>
        </w:tc>
        <w:tc>
          <w:tcPr>
            <w:tcW w:w="1654" w:type="pct"/>
            <w:tcBorders>
              <w:top w:val="single" w:sz="4" w:space="0" w:color="auto"/>
              <w:left w:val="nil"/>
              <w:bottom w:val="single" w:sz="4" w:space="0" w:color="auto"/>
              <w:right w:val="single" w:sz="4" w:space="0" w:color="auto"/>
            </w:tcBorders>
            <w:shd w:val="clear" w:color="auto" w:fill="auto"/>
          </w:tcPr>
          <w:p w14:paraId="45A96FD0" w14:textId="77777777" w:rsidR="0075635C" w:rsidRPr="00581315" w:rsidRDefault="0075635C" w:rsidP="00167913">
            <w:pPr>
              <w:jc w:val="center"/>
              <w:rPr>
                <w:sz w:val="18"/>
                <w:szCs w:val="18"/>
              </w:rPr>
            </w:pPr>
            <w:r w:rsidRPr="00581315">
              <w:rPr>
                <w:sz w:val="18"/>
                <w:szCs w:val="18"/>
              </w:rPr>
              <w:t>Бр. проверки</w:t>
            </w:r>
          </w:p>
        </w:tc>
        <w:tc>
          <w:tcPr>
            <w:tcW w:w="1103" w:type="pct"/>
            <w:tcBorders>
              <w:top w:val="single" w:sz="4" w:space="0" w:color="auto"/>
              <w:left w:val="nil"/>
              <w:bottom w:val="single" w:sz="4" w:space="0" w:color="auto"/>
              <w:right w:val="single" w:sz="4" w:space="0" w:color="auto"/>
            </w:tcBorders>
            <w:shd w:val="clear" w:color="auto" w:fill="auto"/>
          </w:tcPr>
          <w:p w14:paraId="103367EA" w14:textId="77777777" w:rsidR="0075635C" w:rsidRPr="00581315" w:rsidRDefault="0075635C" w:rsidP="00167913">
            <w:pPr>
              <w:jc w:val="center"/>
              <w:rPr>
                <w:sz w:val="18"/>
                <w:szCs w:val="18"/>
              </w:rPr>
            </w:pPr>
            <w:r w:rsidRPr="00581315">
              <w:rPr>
                <w:sz w:val="18"/>
                <w:szCs w:val="18"/>
              </w:rPr>
              <w:t>1</w:t>
            </w:r>
          </w:p>
        </w:tc>
        <w:tc>
          <w:tcPr>
            <w:tcW w:w="773" w:type="pct"/>
            <w:tcBorders>
              <w:top w:val="single" w:sz="4" w:space="0" w:color="auto"/>
              <w:left w:val="nil"/>
              <w:bottom w:val="single" w:sz="4" w:space="0" w:color="auto"/>
              <w:right w:val="single" w:sz="4" w:space="0" w:color="auto"/>
            </w:tcBorders>
            <w:shd w:val="clear" w:color="auto" w:fill="auto"/>
          </w:tcPr>
          <w:p w14:paraId="1F263E52" w14:textId="77777777" w:rsidR="0075635C" w:rsidRPr="00581315" w:rsidRDefault="0075635C" w:rsidP="00167913">
            <w:pPr>
              <w:jc w:val="center"/>
              <w:rPr>
                <w:sz w:val="18"/>
                <w:szCs w:val="18"/>
              </w:rPr>
            </w:pPr>
            <w:r w:rsidRPr="00581315">
              <w:rPr>
                <w:sz w:val="18"/>
                <w:szCs w:val="18"/>
              </w:rPr>
              <w:t>1</w:t>
            </w:r>
          </w:p>
        </w:tc>
      </w:tr>
      <w:tr w:rsidR="00795CD0" w:rsidRPr="00581315" w14:paraId="6A9B09EF" w14:textId="77777777" w:rsidTr="00795CD0">
        <w:trPr>
          <w:trHeight w:val="273"/>
        </w:trPr>
        <w:tc>
          <w:tcPr>
            <w:tcW w:w="1471" w:type="pct"/>
            <w:vMerge/>
            <w:tcBorders>
              <w:left w:val="single" w:sz="4" w:space="0" w:color="auto"/>
              <w:right w:val="single" w:sz="4" w:space="0" w:color="auto"/>
            </w:tcBorders>
            <w:shd w:val="clear" w:color="auto" w:fill="auto"/>
          </w:tcPr>
          <w:p w14:paraId="1FD84796" w14:textId="77777777" w:rsidR="0075635C" w:rsidRPr="00581315" w:rsidRDefault="0075635C" w:rsidP="00167913">
            <w:pPr>
              <w:rPr>
                <w:sz w:val="18"/>
                <w:szCs w:val="18"/>
              </w:rPr>
            </w:pPr>
          </w:p>
        </w:tc>
        <w:tc>
          <w:tcPr>
            <w:tcW w:w="1654" w:type="pct"/>
            <w:tcBorders>
              <w:top w:val="single" w:sz="4" w:space="0" w:color="auto"/>
              <w:left w:val="nil"/>
              <w:bottom w:val="single" w:sz="4" w:space="0" w:color="auto"/>
              <w:right w:val="single" w:sz="4" w:space="0" w:color="auto"/>
            </w:tcBorders>
            <w:shd w:val="clear" w:color="auto" w:fill="auto"/>
          </w:tcPr>
          <w:p w14:paraId="473F112B" w14:textId="77777777" w:rsidR="0075635C" w:rsidRPr="00581315" w:rsidRDefault="0075635C" w:rsidP="00167913">
            <w:pPr>
              <w:jc w:val="center"/>
              <w:rPr>
                <w:sz w:val="18"/>
                <w:szCs w:val="18"/>
              </w:rPr>
            </w:pPr>
            <w:r w:rsidRPr="00581315">
              <w:rPr>
                <w:sz w:val="18"/>
                <w:szCs w:val="18"/>
              </w:rPr>
              <w:t>Бр. дадени предписания</w:t>
            </w:r>
          </w:p>
        </w:tc>
        <w:tc>
          <w:tcPr>
            <w:tcW w:w="1103" w:type="pct"/>
            <w:tcBorders>
              <w:top w:val="single" w:sz="4" w:space="0" w:color="auto"/>
              <w:left w:val="nil"/>
              <w:bottom w:val="single" w:sz="4" w:space="0" w:color="auto"/>
              <w:right w:val="single" w:sz="4" w:space="0" w:color="auto"/>
            </w:tcBorders>
            <w:shd w:val="clear" w:color="auto" w:fill="auto"/>
          </w:tcPr>
          <w:p w14:paraId="598289FE" w14:textId="77777777" w:rsidR="0075635C" w:rsidRPr="00581315" w:rsidRDefault="0075635C" w:rsidP="00167913">
            <w:pPr>
              <w:jc w:val="center"/>
              <w:rPr>
                <w:sz w:val="18"/>
                <w:szCs w:val="18"/>
              </w:rPr>
            </w:pPr>
            <w:r w:rsidRPr="00581315">
              <w:rPr>
                <w:sz w:val="18"/>
                <w:szCs w:val="18"/>
              </w:rPr>
              <w:t>1</w:t>
            </w:r>
          </w:p>
        </w:tc>
        <w:tc>
          <w:tcPr>
            <w:tcW w:w="773" w:type="pct"/>
            <w:tcBorders>
              <w:top w:val="single" w:sz="4" w:space="0" w:color="auto"/>
              <w:left w:val="nil"/>
              <w:bottom w:val="single" w:sz="4" w:space="0" w:color="auto"/>
              <w:right w:val="single" w:sz="4" w:space="0" w:color="auto"/>
            </w:tcBorders>
            <w:shd w:val="clear" w:color="auto" w:fill="auto"/>
          </w:tcPr>
          <w:p w14:paraId="7FF4BA46" w14:textId="77777777" w:rsidR="0075635C" w:rsidRPr="00581315" w:rsidRDefault="0075635C" w:rsidP="00167913">
            <w:pPr>
              <w:jc w:val="center"/>
              <w:rPr>
                <w:sz w:val="18"/>
                <w:szCs w:val="18"/>
              </w:rPr>
            </w:pPr>
            <w:r w:rsidRPr="00581315">
              <w:rPr>
                <w:sz w:val="18"/>
                <w:szCs w:val="18"/>
              </w:rPr>
              <w:t>4</w:t>
            </w:r>
          </w:p>
        </w:tc>
      </w:tr>
      <w:tr w:rsidR="00795CD0" w:rsidRPr="00581315" w14:paraId="38C56076" w14:textId="77777777" w:rsidTr="00795CD0">
        <w:trPr>
          <w:trHeight w:val="277"/>
        </w:trPr>
        <w:tc>
          <w:tcPr>
            <w:tcW w:w="1471" w:type="pct"/>
            <w:vMerge/>
            <w:tcBorders>
              <w:left w:val="single" w:sz="4" w:space="0" w:color="auto"/>
              <w:bottom w:val="single" w:sz="4" w:space="0" w:color="auto"/>
              <w:right w:val="single" w:sz="4" w:space="0" w:color="auto"/>
            </w:tcBorders>
            <w:shd w:val="clear" w:color="auto" w:fill="auto"/>
          </w:tcPr>
          <w:p w14:paraId="58D9156D" w14:textId="77777777" w:rsidR="0075635C" w:rsidRPr="00581315" w:rsidRDefault="0075635C" w:rsidP="00167913">
            <w:pPr>
              <w:rPr>
                <w:sz w:val="18"/>
                <w:szCs w:val="18"/>
              </w:rPr>
            </w:pPr>
          </w:p>
        </w:tc>
        <w:tc>
          <w:tcPr>
            <w:tcW w:w="1654" w:type="pct"/>
            <w:tcBorders>
              <w:top w:val="single" w:sz="4" w:space="0" w:color="auto"/>
              <w:left w:val="nil"/>
              <w:bottom w:val="single" w:sz="4" w:space="0" w:color="auto"/>
              <w:right w:val="single" w:sz="4" w:space="0" w:color="auto"/>
            </w:tcBorders>
            <w:shd w:val="clear" w:color="auto" w:fill="auto"/>
          </w:tcPr>
          <w:p w14:paraId="1B17DD41" w14:textId="77777777" w:rsidR="0075635C" w:rsidRPr="00581315" w:rsidRDefault="0075635C" w:rsidP="00167913">
            <w:pPr>
              <w:jc w:val="center"/>
              <w:rPr>
                <w:sz w:val="18"/>
                <w:szCs w:val="18"/>
              </w:rPr>
            </w:pPr>
            <w:r w:rsidRPr="00581315">
              <w:rPr>
                <w:sz w:val="18"/>
                <w:szCs w:val="18"/>
              </w:rPr>
              <w:t>Бр. изпълнени предписания</w:t>
            </w:r>
          </w:p>
        </w:tc>
        <w:tc>
          <w:tcPr>
            <w:tcW w:w="1103" w:type="pct"/>
            <w:tcBorders>
              <w:top w:val="single" w:sz="4" w:space="0" w:color="auto"/>
              <w:left w:val="nil"/>
              <w:bottom w:val="single" w:sz="4" w:space="0" w:color="auto"/>
              <w:right w:val="single" w:sz="4" w:space="0" w:color="auto"/>
            </w:tcBorders>
            <w:shd w:val="clear" w:color="auto" w:fill="auto"/>
          </w:tcPr>
          <w:p w14:paraId="7D8FB43E" w14:textId="77777777" w:rsidR="0075635C" w:rsidRPr="00581315" w:rsidRDefault="0075635C" w:rsidP="00167913">
            <w:pPr>
              <w:jc w:val="center"/>
              <w:rPr>
                <w:sz w:val="18"/>
                <w:szCs w:val="18"/>
              </w:rPr>
            </w:pPr>
            <w:r w:rsidRPr="00581315">
              <w:rPr>
                <w:sz w:val="18"/>
                <w:szCs w:val="18"/>
              </w:rPr>
              <w:t>1</w:t>
            </w:r>
          </w:p>
        </w:tc>
        <w:tc>
          <w:tcPr>
            <w:tcW w:w="773" w:type="pct"/>
            <w:tcBorders>
              <w:top w:val="single" w:sz="4" w:space="0" w:color="auto"/>
              <w:left w:val="nil"/>
              <w:bottom w:val="single" w:sz="4" w:space="0" w:color="auto"/>
              <w:right w:val="single" w:sz="4" w:space="0" w:color="auto"/>
            </w:tcBorders>
            <w:shd w:val="clear" w:color="auto" w:fill="auto"/>
          </w:tcPr>
          <w:p w14:paraId="0D02A01E" w14:textId="77777777" w:rsidR="0075635C" w:rsidRPr="00581315" w:rsidRDefault="0075635C" w:rsidP="00167913">
            <w:pPr>
              <w:jc w:val="center"/>
              <w:rPr>
                <w:sz w:val="18"/>
                <w:szCs w:val="18"/>
              </w:rPr>
            </w:pPr>
            <w:r w:rsidRPr="00581315">
              <w:rPr>
                <w:sz w:val="18"/>
                <w:szCs w:val="18"/>
              </w:rPr>
              <w:t>1</w:t>
            </w:r>
          </w:p>
        </w:tc>
      </w:tr>
      <w:tr w:rsidR="00795CD0" w:rsidRPr="00581315" w14:paraId="5CE0DA5D" w14:textId="77777777" w:rsidTr="009D26D4">
        <w:trPr>
          <w:trHeight w:val="593"/>
        </w:trPr>
        <w:tc>
          <w:tcPr>
            <w:tcW w:w="1471" w:type="pct"/>
            <w:tcBorders>
              <w:top w:val="single" w:sz="4" w:space="0" w:color="auto"/>
              <w:left w:val="single" w:sz="4" w:space="0" w:color="auto"/>
              <w:bottom w:val="single" w:sz="4" w:space="0" w:color="auto"/>
              <w:right w:val="single" w:sz="4" w:space="0" w:color="auto"/>
            </w:tcBorders>
            <w:shd w:val="clear" w:color="auto" w:fill="auto"/>
          </w:tcPr>
          <w:p w14:paraId="0712663D" w14:textId="77777777" w:rsidR="0075635C" w:rsidRPr="00581315" w:rsidRDefault="0075635C" w:rsidP="00167913">
            <w:pPr>
              <w:rPr>
                <w:sz w:val="18"/>
                <w:szCs w:val="18"/>
              </w:rPr>
            </w:pPr>
            <w:r w:rsidRPr="00581315">
              <w:rPr>
                <w:sz w:val="18"/>
                <w:szCs w:val="18"/>
              </w:rPr>
              <w:t>5. Изготвяне и актуализиране на номенклатури по дела/списъци на видовете документи</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67E8DDB1" w14:textId="77777777" w:rsidR="0075635C" w:rsidRPr="00581315" w:rsidRDefault="0075635C" w:rsidP="00167913">
            <w:pPr>
              <w:jc w:val="center"/>
              <w:rPr>
                <w:sz w:val="18"/>
                <w:szCs w:val="18"/>
              </w:rPr>
            </w:pPr>
            <w:r w:rsidRPr="00581315">
              <w:rPr>
                <w:sz w:val="18"/>
                <w:szCs w:val="18"/>
              </w:rPr>
              <w:t>Бр.</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6B8DBD98" w14:textId="77777777" w:rsidR="0075635C" w:rsidRPr="00581315" w:rsidRDefault="0075635C" w:rsidP="00167913">
            <w:pPr>
              <w:jc w:val="center"/>
              <w:rPr>
                <w:sz w:val="18"/>
                <w:szCs w:val="18"/>
                <w:lang w:val="en-GB"/>
              </w:rPr>
            </w:pPr>
            <w:r w:rsidRPr="00581315">
              <w:rPr>
                <w:sz w:val="18"/>
                <w:szCs w:val="18"/>
              </w:rPr>
              <w:t>315</w:t>
            </w:r>
          </w:p>
        </w:tc>
        <w:tc>
          <w:tcPr>
            <w:tcW w:w="773" w:type="pct"/>
            <w:tcBorders>
              <w:top w:val="single" w:sz="4" w:space="0" w:color="auto"/>
              <w:left w:val="single" w:sz="4" w:space="0" w:color="auto"/>
              <w:bottom w:val="single" w:sz="4" w:space="0" w:color="auto"/>
              <w:right w:val="single" w:sz="4" w:space="0" w:color="auto"/>
            </w:tcBorders>
            <w:shd w:val="clear" w:color="auto" w:fill="auto"/>
          </w:tcPr>
          <w:p w14:paraId="37AF5872" w14:textId="77777777" w:rsidR="0075635C" w:rsidRPr="00581315" w:rsidRDefault="0075635C" w:rsidP="00167913">
            <w:pPr>
              <w:jc w:val="center"/>
              <w:rPr>
                <w:sz w:val="18"/>
                <w:szCs w:val="18"/>
              </w:rPr>
            </w:pPr>
            <w:r w:rsidRPr="00581315">
              <w:rPr>
                <w:sz w:val="18"/>
                <w:szCs w:val="18"/>
                <w:lang w:val="ru-RU"/>
              </w:rPr>
              <w:t>338</w:t>
            </w:r>
            <w:r w:rsidRPr="00581315">
              <w:rPr>
                <w:rStyle w:val="FootnoteReference"/>
                <w:sz w:val="18"/>
                <w:szCs w:val="18"/>
              </w:rPr>
              <w:footnoteReference w:id="45"/>
            </w:r>
          </w:p>
        </w:tc>
      </w:tr>
      <w:tr w:rsidR="00795CD0" w:rsidRPr="00581315" w14:paraId="0DDED447" w14:textId="77777777" w:rsidTr="00795CD0">
        <w:trPr>
          <w:trHeight w:val="273"/>
        </w:trPr>
        <w:tc>
          <w:tcPr>
            <w:tcW w:w="1471" w:type="pct"/>
            <w:vMerge w:val="restart"/>
            <w:tcBorders>
              <w:top w:val="single" w:sz="4" w:space="0" w:color="auto"/>
              <w:left w:val="single" w:sz="4" w:space="0" w:color="auto"/>
              <w:bottom w:val="single" w:sz="4" w:space="0" w:color="auto"/>
              <w:right w:val="single" w:sz="4" w:space="0" w:color="auto"/>
            </w:tcBorders>
            <w:shd w:val="clear" w:color="auto" w:fill="auto"/>
          </w:tcPr>
          <w:p w14:paraId="39261088" w14:textId="77777777" w:rsidR="0075635C" w:rsidRPr="00581315" w:rsidRDefault="0075635C" w:rsidP="00167913">
            <w:pPr>
              <w:rPr>
                <w:sz w:val="18"/>
                <w:szCs w:val="18"/>
              </w:rPr>
            </w:pPr>
            <w:r w:rsidRPr="00581315">
              <w:rPr>
                <w:sz w:val="18"/>
                <w:szCs w:val="18"/>
              </w:rPr>
              <w:t>6. Организирани курсове и методически срещи за членовете на ПДЕК и работещите в учрежденските архиви на държавните и общинските институции и организации</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0454F6B8" w14:textId="77777777" w:rsidR="0075635C" w:rsidRPr="00581315" w:rsidRDefault="0075635C" w:rsidP="00167913">
            <w:pPr>
              <w:jc w:val="center"/>
              <w:rPr>
                <w:sz w:val="18"/>
                <w:szCs w:val="18"/>
              </w:rPr>
            </w:pPr>
            <w:r w:rsidRPr="00581315">
              <w:rPr>
                <w:sz w:val="18"/>
                <w:szCs w:val="18"/>
              </w:rPr>
              <w:t>Бр. курсове и методически обучения</w:t>
            </w:r>
          </w:p>
        </w:tc>
        <w:tc>
          <w:tcPr>
            <w:tcW w:w="1103" w:type="pct"/>
            <w:tcBorders>
              <w:top w:val="single" w:sz="4" w:space="0" w:color="auto"/>
              <w:left w:val="nil"/>
              <w:bottom w:val="single" w:sz="4" w:space="0" w:color="auto"/>
              <w:right w:val="single" w:sz="4" w:space="0" w:color="auto"/>
            </w:tcBorders>
            <w:shd w:val="clear" w:color="auto" w:fill="auto"/>
          </w:tcPr>
          <w:p w14:paraId="4A89A4FE" w14:textId="77777777" w:rsidR="0075635C" w:rsidRPr="00581315" w:rsidRDefault="0075635C" w:rsidP="00167913">
            <w:pPr>
              <w:jc w:val="center"/>
              <w:rPr>
                <w:sz w:val="18"/>
                <w:szCs w:val="18"/>
                <w:lang w:val="en-GB"/>
              </w:rPr>
            </w:pPr>
            <w:r w:rsidRPr="00581315">
              <w:rPr>
                <w:sz w:val="18"/>
                <w:szCs w:val="18"/>
                <w:lang w:val="en-GB"/>
              </w:rPr>
              <w:t>2</w:t>
            </w:r>
            <w:r w:rsidRPr="00581315">
              <w:rPr>
                <w:sz w:val="18"/>
                <w:szCs w:val="18"/>
              </w:rPr>
              <w:t>40</w:t>
            </w:r>
          </w:p>
        </w:tc>
        <w:tc>
          <w:tcPr>
            <w:tcW w:w="773" w:type="pct"/>
            <w:tcBorders>
              <w:top w:val="single" w:sz="4" w:space="0" w:color="auto"/>
              <w:left w:val="nil"/>
              <w:bottom w:val="single" w:sz="4" w:space="0" w:color="auto"/>
              <w:right w:val="single" w:sz="4" w:space="0" w:color="auto"/>
            </w:tcBorders>
            <w:shd w:val="clear" w:color="auto" w:fill="auto"/>
          </w:tcPr>
          <w:p w14:paraId="1D8B8E4D" w14:textId="35458582" w:rsidR="0075635C" w:rsidRPr="00581315" w:rsidRDefault="0075635C" w:rsidP="00167913">
            <w:pPr>
              <w:jc w:val="center"/>
              <w:rPr>
                <w:sz w:val="18"/>
                <w:szCs w:val="18"/>
                <w:lang w:val="en-GB"/>
              </w:rPr>
            </w:pPr>
            <w:r w:rsidRPr="00581315">
              <w:rPr>
                <w:sz w:val="18"/>
                <w:szCs w:val="18"/>
              </w:rPr>
              <w:t>214</w:t>
            </w:r>
          </w:p>
        </w:tc>
      </w:tr>
      <w:tr w:rsidR="00795CD0" w:rsidRPr="00581315" w14:paraId="5F7FEA50" w14:textId="77777777" w:rsidTr="00795CD0">
        <w:trPr>
          <w:trHeight w:val="278"/>
        </w:trPr>
        <w:tc>
          <w:tcPr>
            <w:tcW w:w="1471" w:type="pct"/>
            <w:vMerge/>
            <w:tcBorders>
              <w:top w:val="single" w:sz="4" w:space="0" w:color="auto"/>
              <w:left w:val="single" w:sz="4" w:space="0" w:color="auto"/>
              <w:bottom w:val="single" w:sz="4" w:space="0" w:color="auto"/>
              <w:right w:val="single" w:sz="4" w:space="0" w:color="auto"/>
            </w:tcBorders>
            <w:shd w:val="clear" w:color="auto" w:fill="auto"/>
          </w:tcPr>
          <w:p w14:paraId="38825307" w14:textId="77777777" w:rsidR="0075635C" w:rsidRPr="00581315" w:rsidRDefault="0075635C" w:rsidP="00167913">
            <w:pPr>
              <w:rPr>
                <w:sz w:val="18"/>
                <w:szCs w:val="18"/>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7AB805F6" w14:textId="77777777" w:rsidR="0075635C" w:rsidRPr="00581315" w:rsidRDefault="0075635C" w:rsidP="00167913">
            <w:pPr>
              <w:jc w:val="center"/>
              <w:rPr>
                <w:sz w:val="18"/>
                <w:szCs w:val="18"/>
              </w:rPr>
            </w:pPr>
            <w:r w:rsidRPr="00581315">
              <w:rPr>
                <w:sz w:val="18"/>
                <w:szCs w:val="18"/>
              </w:rPr>
              <w:t>Бр. сертификати</w:t>
            </w:r>
          </w:p>
        </w:tc>
        <w:tc>
          <w:tcPr>
            <w:tcW w:w="1103" w:type="pct"/>
            <w:tcBorders>
              <w:top w:val="single" w:sz="4" w:space="0" w:color="auto"/>
              <w:left w:val="nil"/>
              <w:bottom w:val="single" w:sz="4" w:space="0" w:color="auto"/>
              <w:right w:val="single" w:sz="4" w:space="0" w:color="auto"/>
            </w:tcBorders>
            <w:shd w:val="clear" w:color="auto" w:fill="auto"/>
          </w:tcPr>
          <w:p w14:paraId="00C9A715" w14:textId="77777777" w:rsidR="0075635C" w:rsidRPr="00581315" w:rsidRDefault="0075635C" w:rsidP="00167913">
            <w:pPr>
              <w:jc w:val="center"/>
              <w:rPr>
                <w:sz w:val="18"/>
                <w:szCs w:val="18"/>
              </w:rPr>
            </w:pPr>
            <w:r w:rsidRPr="00581315">
              <w:rPr>
                <w:sz w:val="18"/>
                <w:szCs w:val="18"/>
              </w:rPr>
              <w:t>1</w:t>
            </w:r>
          </w:p>
        </w:tc>
        <w:tc>
          <w:tcPr>
            <w:tcW w:w="773" w:type="pct"/>
            <w:tcBorders>
              <w:top w:val="single" w:sz="4" w:space="0" w:color="auto"/>
              <w:left w:val="nil"/>
              <w:bottom w:val="single" w:sz="4" w:space="0" w:color="auto"/>
              <w:right w:val="single" w:sz="4" w:space="0" w:color="auto"/>
            </w:tcBorders>
            <w:shd w:val="clear" w:color="auto" w:fill="auto"/>
          </w:tcPr>
          <w:p w14:paraId="531B75B8" w14:textId="77777777" w:rsidR="0075635C" w:rsidRPr="00581315" w:rsidRDefault="0075635C" w:rsidP="00167913">
            <w:pPr>
              <w:jc w:val="center"/>
              <w:rPr>
                <w:sz w:val="18"/>
                <w:szCs w:val="18"/>
              </w:rPr>
            </w:pPr>
            <w:r w:rsidRPr="00581315">
              <w:rPr>
                <w:sz w:val="18"/>
                <w:szCs w:val="18"/>
              </w:rPr>
              <w:t>136</w:t>
            </w:r>
          </w:p>
        </w:tc>
      </w:tr>
      <w:tr w:rsidR="00795CD0" w:rsidRPr="00581315" w14:paraId="717078AE" w14:textId="77777777" w:rsidTr="00795CD0">
        <w:trPr>
          <w:trHeight w:val="269"/>
        </w:trPr>
        <w:tc>
          <w:tcPr>
            <w:tcW w:w="1471" w:type="pct"/>
            <w:vMerge/>
            <w:tcBorders>
              <w:top w:val="single" w:sz="4" w:space="0" w:color="auto"/>
              <w:left w:val="single" w:sz="4" w:space="0" w:color="auto"/>
              <w:bottom w:val="single" w:sz="4" w:space="0" w:color="auto"/>
              <w:right w:val="single" w:sz="4" w:space="0" w:color="auto"/>
            </w:tcBorders>
            <w:shd w:val="clear" w:color="auto" w:fill="auto"/>
          </w:tcPr>
          <w:p w14:paraId="494CD588" w14:textId="77777777" w:rsidR="0075635C" w:rsidRPr="00581315" w:rsidRDefault="0075635C" w:rsidP="00167913">
            <w:pPr>
              <w:rPr>
                <w:sz w:val="18"/>
                <w:szCs w:val="18"/>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23A88D69" w14:textId="77777777" w:rsidR="0075635C" w:rsidRPr="00581315" w:rsidRDefault="0075635C" w:rsidP="00167913">
            <w:pPr>
              <w:jc w:val="center"/>
              <w:rPr>
                <w:sz w:val="18"/>
                <w:szCs w:val="18"/>
              </w:rPr>
            </w:pPr>
            <w:r w:rsidRPr="00581315">
              <w:rPr>
                <w:sz w:val="18"/>
                <w:szCs w:val="18"/>
              </w:rPr>
              <w:t xml:space="preserve">Бр. обучени </w:t>
            </w:r>
            <w:proofErr w:type="spellStart"/>
            <w:r w:rsidRPr="00581315">
              <w:rPr>
                <w:sz w:val="18"/>
                <w:szCs w:val="18"/>
              </w:rPr>
              <w:t>фондообразуватели</w:t>
            </w:r>
            <w:proofErr w:type="spellEnd"/>
          </w:p>
        </w:tc>
        <w:tc>
          <w:tcPr>
            <w:tcW w:w="1103" w:type="pct"/>
            <w:tcBorders>
              <w:top w:val="single" w:sz="4" w:space="0" w:color="auto"/>
              <w:left w:val="nil"/>
              <w:bottom w:val="single" w:sz="4" w:space="0" w:color="auto"/>
              <w:right w:val="single" w:sz="4" w:space="0" w:color="auto"/>
            </w:tcBorders>
            <w:shd w:val="clear" w:color="auto" w:fill="auto"/>
          </w:tcPr>
          <w:p w14:paraId="1445C82B" w14:textId="77777777" w:rsidR="0075635C" w:rsidRPr="00581315" w:rsidRDefault="0075635C" w:rsidP="00167913">
            <w:pPr>
              <w:jc w:val="center"/>
              <w:rPr>
                <w:sz w:val="18"/>
                <w:szCs w:val="18"/>
              </w:rPr>
            </w:pPr>
            <w:r w:rsidRPr="00581315">
              <w:rPr>
                <w:sz w:val="18"/>
                <w:szCs w:val="18"/>
              </w:rPr>
              <w:t>1</w:t>
            </w:r>
          </w:p>
        </w:tc>
        <w:tc>
          <w:tcPr>
            <w:tcW w:w="773" w:type="pct"/>
            <w:tcBorders>
              <w:top w:val="single" w:sz="4" w:space="0" w:color="auto"/>
              <w:left w:val="nil"/>
              <w:bottom w:val="single" w:sz="4" w:space="0" w:color="auto"/>
              <w:right w:val="single" w:sz="4" w:space="0" w:color="auto"/>
            </w:tcBorders>
            <w:shd w:val="clear" w:color="auto" w:fill="auto"/>
          </w:tcPr>
          <w:p w14:paraId="541CD6FD" w14:textId="77777777" w:rsidR="0075635C" w:rsidRPr="00581315" w:rsidRDefault="0075635C" w:rsidP="00167913">
            <w:pPr>
              <w:jc w:val="center"/>
              <w:rPr>
                <w:sz w:val="18"/>
                <w:szCs w:val="18"/>
              </w:rPr>
            </w:pPr>
            <w:r w:rsidRPr="00581315">
              <w:rPr>
                <w:sz w:val="18"/>
                <w:szCs w:val="18"/>
              </w:rPr>
              <w:t>308</w:t>
            </w:r>
          </w:p>
        </w:tc>
      </w:tr>
      <w:tr w:rsidR="00795CD0" w:rsidRPr="00581315" w14:paraId="40B63C93" w14:textId="77777777" w:rsidTr="009D26D4">
        <w:trPr>
          <w:trHeight w:val="345"/>
        </w:trPr>
        <w:tc>
          <w:tcPr>
            <w:tcW w:w="1471" w:type="pct"/>
            <w:tcBorders>
              <w:top w:val="single" w:sz="4" w:space="0" w:color="auto"/>
              <w:left w:val="single" w:sz="4" w:space="0" w:color="auto"/>
              <w:bottom w:val="single" w:sz="4" w:space="0" w:color="auto"/>
              <w:right w:val="single" w:sz="4" w:space="0" w:color="auto"/>
            </w:tcBorders>
            <w:shd w:val="clear" w:color="auto" w:fill="auto"/>
          </w:tcPr>
          <w:p w14:paraId="02D2A413" w14:textId="77777777" w:rsidR="0075635C" w:rsidRPr="00581315" w:rsidRDefault="0075635C" w:rsidP="00167913">
            <w:pPr>
              <w:rPr>
                <w:sz w:val="18"/>
                <w:szCs w:val="18"/>
              </w:rPr>
            </w:pPr>
            <w:r w:rsidRPr="00581315">
              <w:rPr>
                <w:sz w:val="18"/>
                <w:szCs w:val="18"/>
              </w:rPr>
              <w:t xml:space="preserve">7. Използване на архивни документи </w:t>
            </w:r>
          </w:p>
        </w:tc>
        <w:tc>
          <w:tcPr>
            <w:tcW w:w="1654" w:type="pct"/>
            <w:tcBorders>
              <w:top w:val="single" w:sz="4" w:space="0" w:color="auto"/>
              <w:left w:val="nil"/>
              <w:bottom w:val="single" w:sz="4" w:space="0" w:color="auto"/>
              <w:right w:val="single" w:sz="4" w:space="0" w:color="auto"/>
            </w:tcBorders>
            <w:shd w:val="clear" w:color="auto" w:fill="auto"/>
          </w:tcPr>
          <w:p w14:paraId="65ED1FED" w14:textId="77777777" w:rsidR="0075635C" w:rsidRPr="00581315" w:rsidRDefault="0075635C" w:rsidP="00167913">
            <w:pPr>
              <w:jc w:val="center"/>
              <w:rPr>
                <w:sz w:val="18"/>
                <w:szCs w:val="18"/>
              </w:rPr>
            </w:pPr>
            <w:r w:rsidRPr="00581315">
              <w:rPr>
                <w:sz w:val="18"/>
                <w:szCs w:val="18"/>
              </w:rPr>
              <w:t xml:space="preserve">Бр. </w:t>
            </w:r>
            <w:proofErr w:type="spellStart"/>
            <w:r w:rsidRPr="00581315">
              <w:rPr>
                <w:sz w:val="18"/>
                <w:szCs w:val="18"/>
              </w:rPr>
              <w:t>а.е</w:t>
            </w:r>
            <w:proofErr w:type="spellEnd"/>
            <w:r w:rsidRPr="00581315">
              <w:rPr>
                <w:sz w:val="18"/>
                <w:szCs w:val="18"/>
              </w:rPr>
              <w:t>.</w:t>
            </w:r>
          </w:p>
        </w:tc>
        <w:tc>
          <w:tcPr>
            <w:tcW w:w="1103" w:type="pct"/>
            <w:tcBorders>
              <w:top w:val="single" w:sz="4" w:space="0" w:color="auto"/>
              <w:left w:val="nil"/>
              <w:bottom w:val="single" w:sz="4" w:space="0" w:color="auto"/>
              <w:right w:val="single" w:sz="4" w:space="0" w:color="auto"/>
            </w:tcBorders>
            <w:shd w:val="clear" w:color="auto" w:fill="auto"/>
          </w:tcPr>
          <w:p w14:paraId="54EEBBB0" w14:textId="77777777" w:rsidR="0075635C" w:rsidRPr="00581315" w:rsidRDefault="0075635C" w:rsidP="00167913">
            <w:pPr>
              <w:jc w:val="center"/>
              <w:rPr>
                <w:sz w:val="18"/>
                <w:szCs w:val="18"/>
              </w:rPr>
            </w:pPr>
            <w:r w:rsidRPr="00581315">
              <w:rPr>
                <w:sz w:val="18"/>
                <w:szCs w:val="18"/>
              </w:rPr>
              <w:t>100 000</w:t>
            </w:r>
          </w:p>
        </w:tc>
        <w:tc>
          <w:tcPr>
            <w:tcW w:w="773" w:type="pct"/>
            <w:tcBorders>
              <w:top w:val="single" w:sz="4" w:space="0" w:color="auto"/>
              <w:left w:val="nil"/>
              <w:bottom w:val="single" w:sz="4" w:space="0" w:color="auto"/>
              <w:right w:val="single" w:sz="4" w:space="0" w:color="auto"/>
            </w:tcBorders>
            <w:shd w:val="clear" w:color="auto" w:fill="auto"/>
          </w:tcPr>
          <w:p w14:paraId="65A331B1" w14:textId="77777777" w:rsidR="0075635C" w:rsidRPr="00581315" w:rsidRDefault="0075635C" w:rsidP="00167913">
            <w:pPr>
              <w:jc w:val="center"/>
              <w:rPr>
                <w:sz w:val="18"/>
                <w:szCs w:val="18"/>
              </w:rPr>
            </w:pPr>
            <w:r w:rsidRPr="00581315">
              <w:rPr>
                <w:sz w:val="18"/>
                <w:szCs w:val="18"/>
              </w:rPr>
              <w:t>73 945</w:t>
            </w:r>
          </w:p>
        </w:tc>
      </w:tr>
      <w:tr w:rsidR="00795CD0" w:rsidRPr="00581315" w14:paraId="30B43074" w14:textId="77777777" w:rsidTr="003C05A3">
        <w:trPr>
          <w:trHeight w:val="407"/>
        </w:trPr>
        <w:tc>
          <w:tcPr>
            <w:tcW w:w="1471" w:type="pct"/>
            <w:tcBorders>
              <w:top w:val="single" w:sz="4" w:space="0" w:color="auto"/>
              <w:left w:val="single" w:sz="4" w:space="0" w:color="auto"/>
              <w:bottom w:val="single" w:sz="4" w:space="0" w:color="auto"/>
              <w:right w:val="single" w:sz="4" w:space="0" w:color="auto"/>
            </w:tcBorders>
            <w:shd w:val="clear" w:color="auto" w:fill="auto"/>
          </w:tcPr>
          <w:p w14:paraId="42B6C79E" w14:textId="25911667" w:rsidR="0075635C" w:rsidRPr="00581315" w:rsidRDefault="0075635C" w:rsidP="00167913">
            <w:pPr>
              <w:rPr>
                <w:sz w:val="18"/>
                <w:szCs w:val="18"/>
              </w:rPr>
            </w:pPr>
            <w:r w:rsidRPr="00581315">
              <w:rPr>
                <w:sz w:val="18"/>
                <w:szCs w:val="18"/>
                <w:lang w:val="ru-RU"/>
              </w:rPr>
              <w:t>8</w:t>
            </w:r>
            <w:r w:rsidRPr="00581315">
              <w:rPr>
                <w:sz w:val="18"/>
                <w:szCs w:val="18"/>
              </w:rPr>
              <w:t>. Посещения в читалните на държавните архиви</w:t>
            </w:r>
          </w:p>
        </w:tc>
        <w:tc>
          <w:tcPr>
            <w:tcW w:w="1654" w:type="pct"/>
            <w:tcBorders>
              <w:top w:val="single" w:sz="4" w:space="0" w:color="auto"/>
              <w:left w:val="nil"/>
              <w:bottom w:val="single" w:sz="4" w:space="0" w:color="auto"/>
              <w:right w:val="single" w:sz="4" w:space="0" w:color="auto"/>
            </w:tcBorders>
            <w:shd w:val="clear" w:color="auto" w:fill="auto"/>
          </w:tcPr>
          <w:p w14:paraId="7914C712" w14:textId="77777777" w:rsidR="0075635C" w:rsidRPr="00581315" w:rsidRDefault="0075635C" w:rsidP="00167913">
            <w:pPr>
              <w:jc w:val="center"/>
              <w:rPr>
                <w:sz w:val="18"/>
                <w:szCs w:val="18"/>
              </w:rPr>
            </w:pPr>
            <w:r w:rsidRPr="00581315">
              <w:rPr>
                <w:sz w:val="18"/>
                <w:szCs w:val="18"/>
              </w:rPr>
              <w:t>Бр.</w:t>
            </w:r>
          </w:p>
        </w:tc>
        <w:tc>
          <w:tcPr>
            <w:tcW w:w="1103" w:type="pct"/>
            <w:tcBorders>
              <w:top w:val="single" w:sz="4" w:space="0" w:color="auto"/>
              <w:left w:val="nil"/>
              <w:bottom w:val="single" w:sz="4" w:space="0" w:color="auto"/>
              <w:right w:val="single" w:sz="4" w:space="0" w:color="auto"/>
            </w:tcBorders>
            <w:shd w:val="clear" w:color="auto" w:fill="auto"/>
          </w:tcPr>
          <w:p w14:paraId="2D25F31A" w14:textId="77777777" w:rsidR="0075635C" w:rsidRPr="00581315" w:rsidRDefault="0075635C" w:rsidP="00167913">
            <w:pPr>
              <w:jc w:val="center"/>
              <w:rPr>
                <w:sz w:val="18"/>
                <w:szCs w:val="18"/>
              </w:rPr>
            </w:pPr>
            <w:r w:rsidRPr="00581315">
              <w:rPr>
                <w:sz w:val="18"/>
                <w:szCs w:val="18"/>
              </w:rPr>
              <w:t>1</w:t>
            </w:r>
            <w:r w:rsidRPr="00581315">
              <w:rPr>
                <w:sz w:val="18"/>
                <w:szCs w:val="18"/>
                <w:lang w:val="en-GB"/>
              </w:rPr>
              <w:t>0</w:t>
            </w:r>
            <w:r w:rsidRPr="00581315">
              <w:rPr>
                <w:sz w:val="18"/>
                <w:szCs w:val="18"/>
              </w:rPr>
              <w:t xml:space="preserve"> 000</w:t>
            </w:r>
          </w:p>
        </w:tc>
        <w:tc>
          <w:tcPr>
            <w:tcW w:w="773" w:type="pct"/>
            <w:tcBorders>
              <w:top w:val="single" w:sz="4" w:space="0" w:color="auto"/>
              <w:left w:val="nil"/>
              <w:bottom w:val="single" w:sz="4" w:space="0" w:color="auto"/>
              <w:right w:val="single" w:sz="4" w:space="0" w:color="auto"/>
            </w:tcBorders>
            <w:shd w:val="clear" w:color="auto" w:fill="auto"/>
          </w:tcPr>
          <w:p w14:paraId="23EC0623" w14:textId="77777777" w:rsidR="0075635C" w:rsidRPr="00581315" w:rsidRDefault="0075635C" w:rsidP="00167913">
            <w:pPr>
              <w:jc w:val="center"/>
              <w:rPr>
                <w:sz w:val="18"/>
                <w:szCs w:val="18"/>
              </w:rPr>
            </w:pPr>
            <w:r w:rsidRPr="00581315">
              <w:rPr>
                <w:noProof/>
                <w:sz w:val="18"/>
                <w:szCs w:val="18"/>
              </w:rPr>
              <w:t>6239</w:t>
            </w:r>
            <w:r w:rsidRPr="00581315">
              <w:rPr>
                <w:rStyle w:val="FootnoteReference"/>
                <w:sz w:val="18"/>
                <w:szCs w:val="18"/>
              </w:rPr>
              <w:footnoteReference w:id="46"/>
            </w:r>
          </w:p>
        </w:tc>
      </w:tr>
      <w:tr w:rsidR="00795CD0" w:rsidRPr="00581315" w14:paraId="6CBE8C11" w14:textId="77777777" w:rsidTr="00795CD0">
        <w:trPr>
          <w:trHeight w:val="265"/>
        </w:trPr>
        <w:tc>
          <w:tcPr>
            <w:tcW w:w="1471" w:type="pct"/>
            <w:vMerge w:val="restart"/>
            <w:tcBorders>
              <w:top w:val="single" w:sz="4" w:space="0" w:color="auto"/>
              <w:left w:val="single" w:sz="4" w:space="0" w:color="auto"/>
              <w:right w:val="single" w:sz="4" w:space="0" w:color="auto"/>
            </w:tcBorders>
            <w:shd w:val="clear" w:color="auto" w:fill="auto"/>
          </w:tcPr>
          <w:p w14:paraId="0BB38D6A" w14:textId="77777777" w:rsidR="0075635C" w:rsidRPr="00581315" w:rsidRDefault="0075635C" w:rsidP="00167913">
            <w:pPr>
              <w:rPr>
                <w:sz w:val="18"/>
                <w:szCs w:val="18"/>
              </w:rPr>
            </w:pPr>
            <w:r w:rsidRPr="00581315">
              <w:rPr>
                <w:sz w:val="18"/>
                <w:szCs w:val="18"/>
              </w:rPr>
              <w:t xml:space="preserve">9. Справки по заявки на физически и юридически лица </w:t>
            </w:r>
          </w:p>
        </w:tc>
        <w:tc>
          <w:tcPr>
            <w:tcW w:w="1654" w:type="pct"/>
            <w:tcBorders>
              <w:top w:val="single" w:sz="4" w:space="0" w:color="auto"/>
              <w:left w:val="nil"/>
              <w:bottom w:val="single" w:sz="4" w:space="0" w:color="auto"/>
              <w:right w:val="single" w:sz="4" w:space="0" w:color="auto"/>
            </w:tcBorders>
            <w:shd w:val="clear" w:color="auto" w:fill="auto"/>
          </w:tcPr>
          <w:p w14:paraId="0244C2A0" w14:textId="77777777" w:rsidR="0075635C" w:rsidRPr="00581315" w:rsidRDefault="0075635C" w:rsidP="00167913">
            <w:pPr>
              <w:jc w:val="center"/>
              <w:rPr>
                <w:sz w:val="18"/>
                <w:szCs w:val="18"/>
              </w:rPr>
            </w:pPr>
            <w:r w:rsidRPr="00581315">
              <w:rPr>
                <w:sz w:val="18"/>
                <w:szCs w:val="18"/>
              </w:rPr>
              <w:t>Общ бр. справки</w:t>
            </w:r>
            <w:r w:rsidRPr="00581315">
              <w:rPr>
                <w:rStyle w:val="FootnoteReference"/>
                <w:sz w:val="18"/>
                <w:szCs w:val="18"/>
              </w:rPr>
              <w:footnoteReference w:id="47"/>
            </w:r>
          </w:p>
        </w:tc>
        <w:tc>
          <w:tcPr>
            <w:tcW w:w="1103" w:type="pct"/>
            <w:tcBorders>
              <w:top w:val="single" w:sz="4" w:space="0" w:color="auto"/>
              <w:left w:val="nil"/>
              <w:bottom w:val="single" w:sz="4" w:space="0" w:color="auto"/>
              <w:right w:val="single" w:sz="4" w:space="0" w:color="auto"/>
            </w:tcBorders>
            <w:shd w:val="clear" w:color="auto" w:fill="auto"/>
          </w:tcPr>
          <w:p w14:paraId="22EB208F" w14:textId="77777777" w:rsidR="0075635C" w:rsidRPr="00581315" w:rsidRDefault="0075635C" w:rsidP="00167913">
            <w:pPr>
              <w:jc w:val="center"/>
              <w:rPr>
                <w:sz w:val="18"/>
                <w:szCs w:val="18"/>
              </w:rPr>
            </w:pPr>
            <w:r w:rsidRPr="00581315">
              <w:rPr>
                <w:sz w:val="18"/>
                <w:szCs w:val="18"/>
                <w:lang w:val="en-GB"/>
              </w:rPr>
              <w:t>9</w:t>
            </w:r>
            <w:r w:rsidRPr="00581315">
              <w:rPr>
                <w:sz w:val="18"/>
                <w:szCs w:val="18"/>
              </w:rPr>
              <w:t xml:space="preserve"> 000</w:t>
            </w:r>
          </w:p>
        </w:tc>
        <w:tc>
          <w:tcPr>
            <w:tcW w:w="773" w:type="pct"/>
            <w:tcBorders>
              <w:top w:val="single" w:sz="4" w:space="0" w:color="auto"/>
              <w:left w:val="nil"/>
              <w:bottom w:val="single" w:sz="4" w:space="0" w:color="auto"/>
              <w:right w:val="single" w:sz="4" w:space="0" w:color="auto"/>
            </w:tcBorders>
            <w:shd w:val="clear" w:color="auto" w:fill="auto"/>
          </w:tcPr>
          <w:p w14:paraId="314CDCC7" w14:textId="77777777" w:rsidR="0075635C" w:rsidRPr="00581315" w:rsidRDefault="0075635C" w:rsidP="00167913">
            <w:pPr>
              <w:jc w:val="center"/>
              <w:rPr>
                <w:sz w:val="18"/>
                <w:szCs w:val="18"/>
              </w:rPr>
            </w:pPr>
            <w:r w:rsidRPr="00581315">
              <w:rPr>
                <w:noProof/>
                <w:sz w:val="18"/>
                <w:szCs w:val="18"/>
              </w:rPr>
              <w:t>2625</w:t>
            </w:r>
          </w:p>
        </w:tc>
      </w:tr>
      <w:tr w:rsidR="00795CD0" w:rsidRPr="00581315" w14:paraId="4CBF5C83" w14:textId="77777777" w:rsidTr="00795CD0">
        <w:trPr>
          <w:trHeight w:val="415"/>
        </w:trPr>
        <w:tc>
          <w:tcPr>
            <w:tcW w:w="1471" w:type="pct"/>
            <w:vMerge/>
            <w:tcBorders>
              <w:left w:val="single" w:sz="4" w:space="0" w:color="auto"/>
              <w:right w:val="single" w:sz="4" w:space="0" w:color="auto"/>
            </w:tcBorders>
            <w:shd w:val="clear" w:color="auto" w:fill="auto"/>
          </w:tcPr>
          <w:p w14:paraId="651056D8" w14:textId="77777777" w:rsidR="0075635C" w:rsidRPr="00581315" w:rsidRDefault="0075635C" w:rsidP="00167913">
            <w:pPr>
              <w:rPr>
                <w:sz w:val="18"/>
                <w:szCs w:val="18"/>
              </w:rPr>
            </w:pPr>
          </w:p>
        </w:tc>
        <w:tc>
          <w:tcPr>
            <w:tcW w:w="1654" w:type="pct"/>
            <w:tcBorders>
              <w:top w:val="single" w:sz="4" w:space="0" w:color="auto"/>
              <w:left w:val="nil"/>
              <w:bottom w:val="single" w:sz="4" w:space="0" w:color="auto"/>
              <w:right w:val="single" w:sz="4" w:space="0" w:color="auto"/>
            </w:tcBorders>
            <w:shd w:val="clear" w:color="auto" w:fill="auto"/>
          </w:tcPr>
          <w:p w14:paraId="3EE0813F" w14:textId="77777777" w:rsidR="0075635C" w:rsidRPr="00581315" w:rsidRDefault="0075635C" w:rsidP="00167913">
            <w:pPr>
              <w:jc w:val="center"/>
              <w:rPr>
                <w:sz w:val="18"/>
                <w:szCs w:val="18"/>
              </w:rPr>
            </w:pPr>
            <w:r w:rsidRPr="00581315">
              <w:rPr>
                <w:b/>
                <w:sz w:val="18"/>
                <w:szCs w:val="18"/>
              </w:rPr>
              <w:t>ОТ ТЯХ:</w:t>
            </w:r>
          </w:p>
          <w:p w14:paraId="45CB337D" w14:textId="77777777" w:rsidR="0075635C" w:rsidRPr="00581315" w:rsidRDefault="0075635C" w:rsidP="00167913">
            <w:pPr>
              <w:jc w:val="center"/>
              <w:rPr>
                <w:sz w:val="18"/>
                <w:szCs w:val="18"/>
              </w:rPr>
            </w:pPr>
            <w:r w:rsidRPr="00581315">
              <w:rPr>
                <w:sz w:val="18"/>
                <w:szCs w:val="18"/>
              </w:rPr>
              <w:t>Бр. справки по изследователски теми</w:t>
            </w:r>
          </w:p>
        </w:tc>
        <w:tc>
          <w:tcPr>
            <w:tcW w:w="1103" w:type="pct"/>
            <w:tcBorders>
              <w:top w:val="single" w:sz="4" w:space="0" w:color="auto"/>
              <w:left w:val="nil"/>
              <w:bottom w:val="single" w:sz="4" w:space="0" w:color="auto"/>
              <w:right w:val="single" w:sz="4" w:space="0" w:color="auto"/>
            </w:tcBorders>
            <w:shd w:val="clear" w:color="auto" w:fill="auto"/>
          </w:tcPr>
          <w:p w14:paraId="66498211" w14:textId="77777777" w:rsidR="0075635C" w:rsidRPr="00581315" w:rsidRDefault="0075635C" w:rsidP="00167913">
            <w:pPr>
              <w:jc w:val="center"/>
              <w:rPr>
                <w:sz w:val="18"/>
                <w:szCs w:val="18"/>
              </w:rPr>
            </w:pPr>
            <w:r w:rsidRPr="00581315">
              <w:rPr>
                <w:sz w:val="18"/>
                <w:szCs w:val="18"/>
              </w:rPr>
              <w:t>1</w:t>
            </w:r>
          </w:p>
        </w:tc>
        <w:tc>
          <w:tcPr>
            <w:tcW w:w="773" w:type="pct"/>
            <w:tcBorders>
              <w:top w:val="single" w:sz="4" w:space="0" w:color="auto"/>
              <w:left w:val="nil"/>
              <w:bottom w:val="single" w:sz="4" w:space="0" w:color="auto"/>
              <w:right w:val="single" w:sz="4" w:space="0" w:color="auto"/>
            </w:tcBorders>
            <w:shd w:val="clear" w:color="auto" w:fill="auto"/>
          </w:tcPr>
          <w:p w14:paraId="2D0FA87C" w14:textId="77777777" w:rsidR="0075635C" w:rsidRPr="00581315" w:rsidRDefault="0075635C" w:rsidP="00167913">
            <w:pPr>
              <w:jc w:val="center"/>
              <w:rPr>
                <w:sz w:val="18"/>
                <w:szCs w:val="18"/>
              </w:rPr>
            </w:pPr>
            <w:r w:rsidRPr="00581315">
              <w:rPr>
                <w:sz w:val="18"/>
                <w:szCs w:val="18"/>
              </w:rPr>
              <w:t>981</w:t>
            </w:r>
          </w:p>
        </w:tc>
      </w:tr>
      <w:tr w:rsidR="00795CD0" w:rsidRPr="00581315" w14:paraId="2684F50D" w14:textId="77777777" w:rsidTr="00795CD0">
        <w:trPr>
          <w:trHeight w:val="279"/>
        </w:trPr>
        <w:tc>
          <w:tcPr>
            <w:tcW w:w="1471" w:type="pct"/>
            <w:vMerge/>
            <w:tcBorders>
              <w:left w:val="single" w:sz="4" w:space="0" w:color="auto"/>
              <w:right w:val="single" w:sz="4" w:space="0" w:color="auto"/>
            </w:tcBorders>
            <w:shd w:val="clear" w:color="auto" w:fill="auto"/>
          </w:tcPr>
          <w:p w14:paraId="644CE1A8" w14:textId="77777777" w:rsidR="0075635C" w:rsidRPr="00581315" w:rsidRDefault="0075635C" w:rsidP="00167913">
            <w:pPr>
              <w:rPr>
                <w:sz w:val="18"/>
                <w:szCs w:val="18"/>
              </w:rPr>
            </w:pPr>
          </w:p>
        </w:tc>
        <w:tc>
          <w:tcPr>
            <w:tcW w:w="1654" w:type="pct"/>
            <w:tcBorders>
              <w:top w:val="single" w:sz="4" w:space="0" w:color="auto"/>
              <w:left w:val="nil"/>
              <w:bottom w:val="single" w:sz="4" w:space="0" w:color="auto"/>
              <w:right w:val="single" w:sz="4" w:space="0" w:color="auto"/>
            </w:tcBorders>
            <w:shd w:val="clear" w:color="auto" w:fill="auto"/>
          </w:tcPr>
          <w:p w14:paraId="7479E297" w14:textId="77777777" w:rsidR="0075635C" w:rsidRPr="00581315" w:rsidRDefault="0075635C" w:rsidP="00167913">
            <w:pPr>
              <w:jc w:val="center"/>
              <w:rPr>
                <w:b/>
                <w:sz w:val="18"/>
                <w:szCs w:val="18"/>
              </w:rPr>
            </w:pPr>
            <w:r w:rsidRPr="00581315">
              <w:rPr>
                <w:sz w:val="18"/>
                <w:szCs w:val="18"/>
              </w:rPr>
              <w:t>Бр. справки по имуществени въпроси</w:t>
            </w:r>
          </w:p>
        </w:tc>
        <w:tc>
          <w:tcPr>
            <w:tcW w:w="1103" w:type="pct"/>
            <w:tcBorders>
              <w:top w:val="single" w:sz="4" w:space="0" w:color="auto"/>
              <w:left w:val="nil"/>
              <w:bottom w:val="single" w:sz="4" w:space="0" w:color="auto"/>
              <w:right w:val="single" w:sz="4" w:space="0" w:color="auto"/>
            </w:tcBorders>
            <w:shd w:val="clear" w:color="auto" w:fill="auto"/>
          </w:tcPr>
          <w:p w14:paraId="4A319123" w14:textId="77777777" w:rsidR="0075635C" w:rsidRPr="00581315" w:rsidRDefault="0075635C" w:rsidP="00167913">
            <w:pPr>
              <w:jc w:val="center"/>
              <w:rPr>
                <w:sz w:val="18"/>
                <w:szCs w:val="18"/>
              </w:rPr>
            </w:pPr>
            <w:r w:rsidRPr="00581315">
              <w:rPr>
                <w:sz w:val="18"/>
                <w:szCs w:val="18"/>
              </w:rPr>
              <w:t>1</w:t>
            </w:r>
          </w:p>
        </w:tc>
        <w:tc>
          <w:tcPr>
            <w:tcW w:w="773" w:type="pct"/>
            <w:tcBorders>
              <w:top w:val="single" w:sz="4" w:space="0" w:color="auto"/>
              <w:left w:val="nil"/>
              <w:bottom w:val="single" w:sz="4" w:space="0" w:color="auto"/>
              <w:right w:val="single" w:sz="4" w:space="0" w:color="auto"/>
            </w:tcBorders>
            <w:shd w:val="clear" w:color="auto" w:fill="auto"/>
          </w:tcPr>
          <w:p w14:paraId="6A99BA17" w14:textId="77777777" w:rsidR="0075635C" w:rsidRPr="00581315" w:rsidRDefault="0075635C" w:rsidP="00167913">
            <w:pPr>
              <w:jc w:val="center"/>
              <w:rPr>
                <w:sz w:val="18"/>
                <w:szCs w:val="18"/>
              </w:rPr>
            </w:pPr>
            <w:r w:rsidRPr="00581315">
              <w:rPr>
                <w:sz w:val="18"/>
                <w:szCs w:val="18"/>
              </w:rPr>
              <w:t>704</w:t>
            </w:r>
          </w:p>
        </w:tc>
      </w:tr>
      <w:tr w:rsidR="00795CD0" w:rsidRPr="00581315" w14:paraId="135C17C3" w14:textId="77777777" w:rsidTr="00795CD0">
        <w:trPr>
          <w:trHeight w:val="276"/>
        </w:trPr>
        <w:tc>
          <w:tcPr>
            <w:tcW w:w="1471" w:type="pct"/>
            <w:vMerge/>
            <w:tcBorders>
              <w:left w:val="single" w:sz="4" w:space="0" w:color="auto"/>
              <w:bottom w:val="single" w:sz="4" w:space="0" w:color="auto"/>
              <w:right w:val="single" w:sz="4" w:space="0" w:color="auto"/>
            </w:tcBorders>
            <w:shd w:val="clear" w:color="auto" w:fill="auto"/>
          </w:tcPr>
          <w:p w14:paraId="55B9AE64" w14:textId="77777777" w:rsidR="0075635C" w:rsidRPr="00581315" w:rsidRDefault="0075635C" w:rsidP="00167913">
            <w:pPr>
              <w:rPr>
                <w:sz w:val="18"/>
                <w:szCs w:val="18"/>
              </w:rPr>
            </w:pPr>
          </w:p>
        </w:tc>
        <w:tc>
          <w:tcPr>
            <w:tcW w:w="1654" w:type="pct"/>
            <w:tcBorders>
              <w:top w:val="single" w:sz="4" w:space="0" w:color="auto"/>
              <w:left w:val="nil"/>
              <w:bottom w:val="single" w:sz="4" w:space="0" w:color="auto"/>
              <w:right w:val="single" w:sz="4" w:space="0" w:color="auto"/>
            </w:tcBorders>
            <w:shd w:val="clear" w:color="auto" w:fill="auto"/>
          </w:tcPr>
          <w:p w14:paraId="4F6414C9" w14:textId="77777777" w:rsidR="0075635C" w:rsidRPr="00581315" w:rsidRDefault="0075635C" w:rsidP="00167913">
            <w:pPr>
              <w:jc w:val="center"/>
              <w:rPr>
                <w:sz w:val="18"/>
                <w:szCs w:val="18"/>
              </w:rPr>
            </w:pPr>
            <w:r w:rsidRPr="00581315">
              <w:rPr>
                <w:sz w:val="18"/>
                <w:szCs w:val="18"/>
              </w:rPr>
              <w:t>Бр. справки по други теми</w:t>
            </w:r>
          </w:p>
        </w:tc>
        <w:tc>
          <w:tcPr>
            <w:tcW w:w="1103" w:type="pct"/>
            <w:tcBorders>
              <w:top w:val="single" w:sz="4" w:space="0" w:color="auto"/>
              <w:left w:val="nil"/>
              <w:bottom w:val="single" w:sz="4" w:space="0" w:color="auto"/>
              <w:right w:val="single" w:sz="4" w:space="0" w:color="auto"/>
            </w:tcBorders>
            <w:shd w:val="clear" w:color="auto" w:fill="auto"/>
          </w:tcPr>
          <w:p w14:paraId="4D7E306C" w14:textId="77777777" w:rsidR="0075635C" w:rsidRPr="00581315" w:rsidRDefault="0075635C" w:rsidP="00167913">
            <w:pPr>
              <w:jc w:val="center"/>
              <w:rPr>
                <w:sz w:val="18"/>
                <w:szCs w:val="18"/>
              </w:rPr>
            </w:pPr>
            <w:r w:rsidRPr="00581315">
              <w:rPr>
                <w:sz w:val="18"/>
                <w:szCs w:val="18"/>
              </w:rPr>
              <w:t>1</w:t>
            </w:r>
          </w:p>
        </w:tc>
        <w:tc>
          <w:tcPr>
            <w:tcW w:w="773" w:type="pct"/>
            <w:tcBorders>
              <w:top w:val="single" w:sz="4" w:space="0" w:color="auto"/>
              <w:left w:val="nil"/>
              <w:bottom w:val="single" w:sz="4" w:space="0" w:color="auto"/>
              <w:right w:val="single" w:sz="4" w:space="0" w:color="auto"/>
            </w:tcBorders>
            <w:shd w:val="clear" w:color="auto" w:fill="auto"/>
          </w:tcPr>
          <w:p w14:paraId="7D146B0F" w14:textId="77777777" w:rsidR="0075635C" w:rsidRPr="00581315" w:rsidRDefault="0075635C" w:rsidP="00167913">
            <w:pPr>
              <w:jc w:val="center"/>
              <w:rPr>
                <w:sz w:val="18"/>
                <w:szCs w:val="18"/>
              </w:rPr>
            </w:pPr>
            <w:r w:rsidRPr="00581315">
              <w:rPr>
                <w:sz w:val="18"/>
                <w:szCs w:val="18"/>
              </w:rPr>
              <w:t>940</w:t>
            </w:r>
          </w:p>
        </w:tc>
      </w:tr>
      <w:tr w:rsidR="00795CD0" w:rsidRPr="00581315" w14:paraId="2E89C597" w14:textId="77777777" w:rsidTr="003C05A3">
        <w:trPr>
          <w:trHeight w:val="275"/>
        </w:trPr>
        <w:tc>
          <w:tcPr>
            <w:tcW w:w="1471" w:type="pct"/>
            <w:tcBorders>
              <w:top w:val="single" w:sz="4" w:space="0" w:color="auto"/>
              <w:left w:val="single" w:sz="4" w:space="0" w:color="auto"/>
              <w:bottom w:val="single" w:sz="4" w:space="0" w:color="auto"/>
              <w:right w:val="single" w:sz="4" w:space="0" w:color="auto"/>
            </w:tcBorders>
            <w:shd w:val="clear" w:color="auto" w:fill="auto"/>
          </w:tcPr>
          <w:p w14:paraId="4F084A50" w14:textId="77777777" w:rsidR="0075635C" w:rsidRPr="00581315" w:rsidRDefault="0075635C" w:rsidP="00167913">
            <w:pPr>
              <w:rPr>
                <w:sz w:val="18"/>
                <w:szCs w:val="18"/>
              </w:rPr>
            </w:pPr>
            <w:r w:rsidRPr="00581315">
              <w:rPr>
                <w:sz w:val="18"/>
                <w:szCs w:val="18"/>
              </w:rPr>
              <w:t>10. Дигитален архив</w:t>
            </w:r>
          </w:p>
        </w:tc>
        <w:tc>
          <w:tcPr>
            <w:tcW w:w="1654" w:type="pct"/>
            <w:tcBorders>
              <w:top w:val="single" w:sz="4" w:space="0" w:color="auto"/>
              <w:left w:val="nil"/>
              <w:bottom w:val="single" w:sz="4" w:space="0" w:color="auto"/>
              <w:right w:val="single" w:sz="4" w:space="0" w:color="auto"/>
            </w:tcBorders>
            <w:shd w:val="clear" w:color="auto" w:fill="auto"/>
          </w:tcPr>
          <w:p w14:paraId="0C17BAEE" w14:textId="77777777" w:rsidR="0075635C" w:rsidRPr="00581315" w:rsidRDefault="0075635C" w:rsidP="00167913">
            <w:pPr>
              <w:jc w:val="center"/>
              <w:rPr>
                <w:sz w:val="18"/>
                <w:szCs w:val="18"/>
              </w:rPr>
            </w:pPr>
            <w:r w:rsidRPr="00581315">
              <w:rPr>
                <w:sz w:val="18"/>
                <w:szCs w:val="18"/>
              </w:rPr>
              <w:t xml:space="preserve">Бр. файлове с образи </w:t>
            </w:r>
          </w:p>
        </w:tc>
        <w:tc>
          <w:tcPr>
            <w:tcW w:w="1103" w:type="pct"/>
            <w:tcBorders>
              <w:top w:val="single" w:sz="4" w:space="0" w:color="auto"/>
              <w:left w:val="nil"/>
              <w:bottom w:val="single" w:sz="4" w:space="0" w:color="auto"/>
              <w:right w:val="single" w:sz="4" w:space="0" w:color="auto"/>
            </w:tcBorders>
            <w:shd w:val="clear" w:color="auto" w:fill="auto"/>
          </w:tcPr>
          <w:p w14:paraId="056AE41A" w14:textId="77777777" w:rsidR="0075635C" w:rsidRPr="00581315" w:rsidRDefault="0075635C" w:rsidP="00167913">
            <w:pPr>
              <w:jc w:val="center"/>
              <w:rPr>
                <w:sz w:val="18"/>
                <w:szCs w:val="18"/>
              </w:rPr>
            </w:pPr>
            <w:r w:rsidRPr="00581315">
              <w:rPr>
                <w:sz w:val="18"/>
                <w:szCs w:val="18"/>
              </w:rPr>
              <w:t>24 000</w:t>
            </w:r>
          </w:p>
        </w:tc>
        <w:tc>
          <w:tcPr>
            <w:tcW w:w="773" w:type="pct"/>
            <w:tcBorders>
              <w:top w:val="single" w:sz="4" w:space="0" w:color="auto"/>
              <w:left w:val="nil"/>
              <w:bottom w:val="single" w:sz="4" w:space="0" w:color="auto"/>
              <w:right w:val="single" w:sz="4" w:space="0" w:color="auto"/>
            </w:tcBorders>
            <w:shd w:val="clear" w:color="auto" w:fill="auto"/>
          </w:tcPr>
          <w:p w14:paraId="70BD704A" w14:textId="77777777" w:rsidR="0075635C" w:rsidRPr="00581315" w:rsidRDefault="0075635C" w:rsidP="00167913">
            <w:pPr>
              <w:jc w:val="center"/>
              <w:rPr>
                <w:sz w:val="18"/>
                <w:szCs w:val="18"/>
              </w:rPr>
            </w:pPr>
            <w:r w:rsidRPr="00581315">
              <w:rPr>
                <w:sz w:val="18"/>
                <w:szCs w:val="18"/>
                <w:lang w:val="ru-RU"/>
              </w:rPr>
              <w:t>127 587</w:t>
            </w:r>
          </w:p>
        </w:tc>
      </w:tr>
      <w:tr w:rsidR="00795CD0" w:rsidRPr="00581315" w14:paraId="6F1688D7" w14:textId="77777777" w:rsidTr="00795CD0">
        <w:trPr>
          <w:trHeight w:val="270"/>
        </w:trPr>
        <w:tc>
          <w:tcPr>
            <w:tcW w:w="1471" w:type="pct"/>
            <w:tcBorders>
              <w:top w:val="single" w:sz="4" w:space="0" w:color="auto"/>
              <w:left w:val="single" w:sz="4" w:space="0" w:color="auto"/>
              <w:bottom w:val="single" w:sz="4" w:space="0" w:color="auto"/>
              <w:right w:val="single" w:sz="4" w:space="0" w:color="auto"/>
            </w:tcBorders>
            <w:shd w:val="clear" w:color="auto" w:fill="auto"/>
          </w:tcPr>
          <w:p w14:paraId="766DEB53" w14:textId="77777777" w:rsidR="0075635C" w:rsidRPr="00581315" w:rsidRDefault="0075635C" w:rsidP="00167913">
            <w:pPr>
              <w:rPr>
                <w:sz w:val="18"/>
                <w:szCs w:val="18"/>
              </w:rPr>
            </w:pPr>
            <w:r w:rsidRPr="00581315">
              <w:rPr>
                <w:sz w:val="18"/>
                <w:szCs w:val="18"/>
              </w:rPr>
              <w:t>11. Предоставяни архивни услуги</w:t>
            </w:r>
          </w:p>
        </w:tc>
        <w:tc>
          <w:tcPr>
            <w:tcW w:w="1654" w:type="pct"/>
            <w:tcBorders>
              <w:top w:val="single" w:sz="4" w:space="0" w:color="auto"/>
              <w:left w:val="nil"/>
              <w:bottom w:val="single" w:sz="4" w:space="0" w:color="auto"/>
              <w:right w:val="single" w:sz="4" w:space="0" w:color="auto"/>
            </w:tcBorders>
            <w:shd w:val="clear" w:color="auto" w:fill="auto"/>
          </w:tcPr>
          <w:p w14:paraId="71E9B534" w14:textId="77777777" w:rsidR="0075635C" w:rsidRPr="00581315" w:rsidRDefault="0075635C" w:rsidP="00167913">
            <w:pPr>
              <w:jc w:val="center"/>
              <w:rPr>
                <w:sz w:val="18"/>
                <w:szCs w:val="18"/>
              </w:rPr>
            </w:pPr>
            <w:r w:rsidRPr="00581315">
              <w:rPr>
                <w:sz w:val="18"/>
                <w:szCs w:val="18"/>
              </w:rPr>
              <w:t>Общ брой видове услуги</w:t>
            </w:r>
          </w:p>
        </w:tc>
        <w:tc>
          <w:tcPr>
            <w:tcW w:w="1103" w:type="pct"/>
            <w:tcBorders>
              <w:top w:val="single" w:sz="4" w:space="0" w:color="auto"/>
              <w:left w:val="nil"/>
              <w:bottom w:val="single" w:sz="4" w:space="0" w:color="auto"/>
              <w:right w:val="single" w:sz="4" w:space="0" w:color="auto"/>
            </w:tcBorders>
            <w:shd w:val="clear" w:color="auto" w:fill="auto"/>
          </w:tcPr>
          <w:p w14:paraId="2DD97504" w14:textId="77777777" w:rsidR="0075635C" w:rsidRPr="00581315" w:rsidRDefault="0075635C" w:rsidP="00167913">
            <w:pPr>
              <w:jc w:val="center"/>
              <w:rPr>
                <w:sz w:val="18"/>
                <w:szCs w:val="18"/>
              </w:rPr>
            </w:pPr>
            <w:r w:rsidRPr="00581315">
              <w:rPr>
                <w:sz w:val="18"/>
                <w:szCs w:val="18"/>
              </w:rPr>
              <w:t xml:space="preserve">14 </w:t>
            </w:r>
          </w:p>
          <w:p w14:paraId="0A6AEE4D" w14:textId="573669BE" w:rsidR="0075635C" w:rsidRPr="00581315" w:rsidRDefault="0075635C" w:rsidP="00167913">
            <w:pPr>
              <w:jc w:val="center"/>
              <w:rPr>
                <w:strike/>
                <w:sz w:val="18"/>
                <w:szCs w:val="18"/>
              </w:rPr>
            </w:pPr>
            <w:r w:rsidRPr="00581315">
              <w:rPr>
                <w:sz w:val="18"/>
                <w:szCs w:val="18"/>
              </w:rPr>
              <w:t xml:space="preserve">(от тях 11 административни </w:t>
            </w:r>
            <w:r w:rsidR="003920EE" w:rsidRPr="00581315">
              <w:rPr>
                <w:sz w:val="18"/>
                <w:szCs w:val="18"/>
              </w:rPr>
              <w:t xml:space="preserve">услуги на ДАА и </w:t>
            </w:r>
            <w:r w:rsidRPr="00581315">
              <w:rPr>
                <w:sz w:val="18"/>
                <w:szCs w:val="18"/>
              </w:rPr>
              <w:t>3-за всички администрации)</w:t>
            </w:r>
          </w:p>
        </w:tc>
        <w:tc>
          <w:tcPr>
            <w:tcW w:w="773" w:type="pct"/>
            <w:tcBorders>
              <w:top w:val="single" w:sz="4" w:space="0" w:color="auto"/>
              <w:left w:val="nil"/>
              <w:bottom w:val="single" w:sz="4" w:space="0" w:color="auto"/>
              <w:right w:val="single" w:sz="4" w:space="0" w:color="auto"/>
            </w:tcBorders>
            <w:shd w:val="clear" w:color="auto" w:fill="auto"/>
          </w:tcPr>
          <w:p w14:paraId="4344BD44" w14:textId="77777777" w:rsidR="0075635C" w:rsidRPr="00581315" w:rsidRDefault="0075635C" w:rsidP="00167913">
            <w:pPr>
              <w:jc w:val="center"/>
              <w:rPr>
                <w:sz w:val="18"/>
                <w:szCs w:val="18"/>
              </w:rPr>
            </w:pPr>
            <w:r w:rsidRPr="00581315">
              <w:rPr>
                <w:sz w:val="18"/>
                <w:szCs w:val="18"/>
              </w:rPr>
              <w:t xml:space="preserve">14 </w:t>
            </w:r>
          </w:p>
          <w:p w14:paraId="3F1DA382" w14:textId="060C1549" w:rsidR="0075635C" w:rsidRPr="00581315" w:rsidRDefault="003920EE" w:rsidP="00167913">
            <w:pPr>
              <w:jc w:val="center"/>
              <w:rPr>
                <w:strike/>
                <w:sz w:val="18"/>
                <w:szCs w:val="18"/>
              </w:rPr>
            </w:pPr>
            <w:r w:rsidRPr="00581315">
              <w:rPr>
                <w:sz w:val="18"/>
                <w:szCs w:val="18"/>
              </w:rPr>
              <w:t>(от тях 11 админи</w:t>
            </w:r>
            <w:r w:rsidR="0075635C" w:rsidRPr="00581315">
              <w:rPr>
                <w:sz w:val="18"/>
                <w:szCs w:val="18"/>
              </w:rPr>
              <w:t>стративни услуги на ДАА и 3 – за всички администрации)</w:t>
            </w:r>
          </w:p>
        </w:tc>
      </w:tr>
      <w:tr w:rsidR="00795CD0" w:rsidRPr="00581315" w14:paraId="22C52FF9" w14:textId="77777777" w:rsidTr="00573E0C">
        <w:trPr>
          <w:trHeight w:val="295"/>
        </w:trPr>
        <w:tc>
          <w:tcPr>
            <w:tcW w:w="1471" w:type="pct"/>
            <w:tcBorders>
              <w:top w:val="single" w:sz="4" w:space="0" w:color="auto"/>
              <w:left w:val="single" w:sz="4" w:space="0" w:color="auto"/>
              <w:bottom w:val="single" w:sz="4" w:space="0" w:color="auto"/>
              <w:right w:val="single" w:sz="4" w:space="0" w:color="auto"/>
            </w:tcBorders>
            <w:shd w:val="clear" w:color="auto" w:fill="auto"/>
          </w:tcPr>
          <w:p w14:paraId="4E8C9F68" w14:textId="77777777" w:rsidR="0075635C" w:rsidRPr="00581315" w:rsidRDefault="0075635C" w:rsidP="00167913">
            <w:pPr>
              <w:rPr>
                <w:sz w:val="18"/>
                <w:szCs w:val="18"/>
              </w:rPr>
            </w:pPr>
            <w:r w:rsidRPr="00581315">
              <w:rPr>
                <w:sz w:val="18"/>
                <w:szCs w:val="18"/>
              </w:rPr>
              <w:t>12. Електронни издания</w:t>
            </w:r>
          </w:p>
        </w:tc>
        <w:tc>
          <w:tcPr>
            <w:tcW w:w="1654" w:type="pct"/>
            <w:tcBorders>
              <w:top w:val="single" w:sz="4" w:space="0" w:color="auto"/>
              <w:left w:val="nil"/>
              <w:bottom w:val="single" w:sz="4" w:space="0" w:color="auto"/>
              <w:right w:val="single" w:sz="4" w:space="0" w:color="auto"/>
            </w:tcBorders>
            <w:shd w:val="clear" w:color="auto" w:fill="auto"/>
          </w:tcPr>
          <w:p w14:paraId="03CC4A00" w14:textId="77777777" w:rsidR="0075635C" w:rsidRPr="00581315" w:rsidRDefault="0075635C" w:rsidP="00167913">
            <w:pPr>
              <w:jc w:val="center"/>
              <w:rPr>
                <w:sz w:val="18"/>
                <w:szCs w:val="18"/>
              </w:rPr>
            </w:pPr>
            <w:r w:rsidRPr="00581315">
              <w:rPr>
                <w:sz w:val="18"/>
                <w:szCs w:val="18"/>
              </w:rPr>
              <w:t>Бр.</w:t>
            </w:r>
          </w:p>
        </w:tc>
        <w:tc>
          <w:tcPr>
            <w:tcW w:w="1103" w:type="pct"/>
            <w:tcBorders>
              <w:top w:val="single" w:sz="4" w:space="0" w:color="auto"/>
              <w:left w:val="nil"/>
              <w:bottom w:val="single" w:sz="4" w:space="0" w:color="auto"/>
              <w:right w:val="single" w:sz="4" w:space="0" w:color="auto"/>
            </w:tcBorders>
            <w:shd w:val="clear" w:color="auto" w:fill="auto"/>
          </w:tcPr>
          <w:p w14:paraId="4F3FA715" w14:textId="77777777" w:rsidR="0075635C" w:rsidRPr="00581315" w:rsidRDefault="0075635C" w:rsidP="00167913">
            <w:pPr>
              <w:jc w:val="center"/>
              <w:rPr>
                <w:sz w:val="18"/>
                <w:szCs w:val="18"/>
                <w:lang w:val="en-US"/>
              </w:rPr>
            </w:pPr>
            <w:r w:rsidRPr="00581315">
              <w:rPr>
                <w:sz w:val="18"/>
                <w:szCs w:val="18"/>
              </w:rPr>
              <w:t>4</w:t>
            </w:r>
          </w:p>
        </w:tc>
        <w:tc>
          <w:tcPr>
            <w:tcW w:w="773" w:type="pct"/>
            <w:tcBorders>
              <w:top w:val="single" w:sz="4" w:space="0" w:color="auto"/>
              <w:left w:val="nil"/>
              <w:bottom w:val="single" w:sz="4" w:space="0" w:color="auto"/>
              <w:right w:val="single" w:sz="4" w:space="0" w:color="auto"/>
            </w:tcBorders>
            <w:shd w:val="clear" w:color="auto" w:fill="auto"/>
          </w:tcPr>
          <w:p w14:paraId="57F9BC99" w14:textId="77777777" w:rsidR="0075635C" w:rsidRPr="00581315" w:rsidRDefault="0075635C" w:rsidP="00167913">
            <w:pPr>
              <w:jc w:val="center"/>
              <w:rPr>
                <w:sz w:val="18"/>
                <w:szCs w:val="18"/>
              </w:rPr>
            </w:pPr>
            <w:r w:rsidRPr="00581315">
              <w:rPr>
                <w:sz w:val="18"/>
                <w:szCs w:val="18"/>
              </w:rPr>
              <w:t>0</w:t>
            </w:r>
          </w:p>
        </w:tc>
      </w:tr>
      <w:tr w:rsidR="00795CD0" w:rsidRPr="00581315" w14:paraId="444B8505" w14:textId="77777777" w:rsidTr="00795CD0">
        <w:trPr>
          <w:trHeight w:val="411"/>
        </w:trPr>
        <w:tc>
          <w:tcPr>
            <w:tcW w:w="1471" w:type="pct"/>
            <w:tcBorders>
              <w:top w:val="single" w:sz="4" w:space="0" w:color="auto"/>
              <w:left w:val="single" w:sz="4" w:space="0" w:color="auto"/>
              <w:bottom w:val="single" w:sz="4" w:space="0" w:color="auto"/>
              <w:right w:val="single" w:sz="4" w:space="0" w:color="auto"/>
            </w:tcBorders>
            <w:shd w:val="clear" w:color="auto" w:fill="auto"/>
          </w:tcPr>
          <w:p w14:paraId="01CE16A3" w14:textId="77777777" w:rsidR="0075635C" w:rsidRPr="00581315" w:rsidRDefault="0075635C" w:rsidP="00167913">
            <w:pPr>
              <w:rPr>
                <w:sz w:val="18"/>
                <w:szCs w:val="18"/>
              </w:rPr>
            </w:pPr>
            <w:r w:rsidRPr="00581315">
              <w:rPr>
                <w:sz w:val="18"/>
                <w:szCs w:val="18"/>
              </w:rPr>
              <w:t>13. Публикации в административната страница</w:t>
            </w:r>
          </w:p>
        </w:tc>
        <w:tc>
          <w:tcPr>
            <w:tcW w:w="1654" w:type="pct"/>
            <w:tcBorders>
              <w:top w:val="single" w:sz="4" w:space="0" w:color="auto"/>
              <w:left w:val="nil"/>
              <w:bottom w:val="single" w:sz="4" w:space="0" w:color="auto"/>
              <w:right w:val="single" w:sz="4" w:space="0" w:color="auto"/>
            </w:tcBorders>
            <w:shd w:val="clear" w:color="auto" w:fill="auto"/>
          </w:tcPr>
          <w:p w14:paraId="5A472103" w14:textId="77777777" w:rsidR="0075635C" w:rsidRPr="00581315" w:rsidRDefault="0075635C" w:rsidP="00167913">
            <w:pPr>
              <w:jc w:val="center"/>
              <w:rPr>
                <w:sz w:val="18"/>
                <w:szCs w:val="18"/>
              </w:rPr>
            </w:pPr>
            <w:r w:rsidRPr="00581315">
              <w:rPr>
                <w:sz w:val="18"/>
                <w:szCs w:val="18"/>
              </w:rPr>
              <w:t>Бр.</w:t>
            </w:r>
          </w:p>
          <w:p w14:paraId="75CA59F7" w14:textId="77777777" w:rsidR="0075635C" w:rsidRPr="00581315" w:rsidRDefault="0075635C" w:rsidP="00167913">
            <w:pPr>
              <w:jc w:val="center"/>
              <w:rPr>
                <w:sz w:val="18"/>
                <w:szCs w:val="18"/>
              </w:rPr>
            </w:pPr>
          </w:p>
        </w:tc>
        <w:tc>
          <w:tcPr>
            <w:tcW w:w="1103" w:type="pct"/>
            <w:tcBorders>
              <w:top w:val="single" w:sz="4" w:space="0" w:color="auto"/>
              <w:left w:val="nil"/>
              <w:bottom w:val="single" w:sz="4" w:space="0" w:color="auto"/>
              <w:right w:val="single" w:sz="4" w:space="0" w:color="auto"/>
            </w:tcBorders>
            <w:shd w:val="clear" w:color="auto" w:fill="auto"/>
          </w:tcPr>
          <w:p w14:paraId="6EEA3C75" w14:textId="77777777" w:rsidR="0075635C" w:rsidRPr="00581315" w:rsidRDefault="0075635C" w:rsidP="00167913">
            <w:pPr>
              <w:jc w:val="center"/>
              <w:rPr>
                <w:sz w:val="18"/>
                <w:szCs w:val="18"/>
                <w:lang w:val="en-US"/>
              </w:rPr>
            </w:pPr>
            <w:r w:rsidRPr="00581315">
              <w:rPr>
                <w:sz w:val="18"/>
                <w:szCs w:val="18"/>
                <w:lang w:val="en-US"/>
              </w:rPr>
              <w:t>3</w:t>
            </w:r>
            <w:r w:rsidRPr="00581315">
              <w:rPr>
                <w:sz w:val="18"/>
                <w:szCs w:val="18"/>
              </w:rPr>
              <w:t>9</w:t>
            </w:r>
            <w:r w:rsidRPr="00581315">
              <w:rPr>
                <w:sz w:val="18"/>
                <w:szCs w:val="18"/>
                <w:lang w:val="en-US"/>
              </w:rPr>
              <w:t>0</w:t>
            </w:r>
          </w:p>
        </w:tc>
        <w:tc>
          <w:tcPr>
            <w:tcW w:w="773" w:type="pct"/>
            <w:tcBorders>
              <w:top w:val="single" w:sz="4" w:space="0" w:color="auto"/>
              <w:left w:val="nil"/>
              <w:bottom w:val="single" w:sz="4" w:space="0" w:color="auto"/>
              <w:right w:val="single" w:sz="4" w:space="0" w:color="auto"/>
            </w:tcBorders>
            <w:shd w:val="clear" w:color="auto" w:fill="auto"/>
          </w:tcPr>
          <w:p w14:paraId="2B1E4BB7" w14:textId="77777777" w:rsidR="0075635C" w:rsidRPr="00581315" w:rsidRDefault="0075635C" w:rsidP="00167913">
            <w:pPr>
              <w:jc w:val="center"/>
              <w:rPr>
                <w:sz w:val="18"/>
                <w:szCs w:val="18"/>
                <w:lang w:val="en-US"/>
              </w:rPr>
            </w:pPr>
            <w:r w:rsidRPr="00581315">
              <w:rPr>
                <w:sz w:val="18"/>
                <w:szCs w:val="18"/>
                <w:lang w:val="en-US"/>
              </w:rPr>
              <w:t>263</w:t>
            </w:r>
          </w:p>
        </w:tc>
      </w:tr>
      <w:tr w:rsidR="00795CD0" w:rsidRPr="00581315" w14:paraId="5B518E4B" w14:textId="77777777" w:rsidTr="00795CD0">
        <w:trPr>
          <w:trHeight w:val="328"/>
        </w:trPr>
        <w:tc>
          <w:tcPr>
            <w:tcW w:w="1471" w:type="pct"/>
            <w:tcBorders>
              <w:top w:val="single" w:sz="4" w:space="0" w:color="auto"/>
              <w:left w:val="single" w:sz="4" w:space="0" w:color="auto"/>
              <w:bottom w:val="single" w:sz="4" w:space="0" w:color="auto"/>
              <w:right w:val="single" w:sz="4" w:space="0" w:color="auto"/>
            </w:tcBorders>
            <w:shd w:val="clear" w:color="auto" w:fill="auto"/>
          </w:tcPr>
          <w:p w14:paraId="203AECFB" w14:textId="77777777" w:rsidR="0075635C" w:rsidRPr="00581315" w:rsidRDefault="0075635C" w:rsidP="00167913">
            <w:pPr>
              <w:rPr>
                <w:sz w:val="18"/>
                <w:szCs w:val="18"/>
              </w:rPr>
            </w:pPr>
            <w:r w:rsidRPr="00581315">
              <w:rPr>
                <w:sz w:val="18"/>
                <w:szCs w:val="18"/>
                <w:lang w:val="ru-RU"/>
              </w:rPr>
              <w:t>14</w:t>
            </w:r>
            <w:r w:rsidRPr="00581315">
              <w:rPr>
                <w:sz w:val="18"/>
                <w:szCs w:val="18"/>
              </w:rPr>
              <w:t>. Нови и допълнени тематични дигитални колекции</w:t>
            </w:r>
          </w:p>
        </w:tc>
        <w:tc>
          <w:tcPr>
            <w:tcW w:w="1654" w:type="pct"/>
            <w:tcBorders>
              <w:top w:val="single" w:sz="4" w:space="0" w:color="auto"/>
              <w:left w:val="nil"/>
              <w:bottom w:val="single" w:sz="4" w:space="0" w:color="auto"/>
              <w:right w:val="single" w:sz="4" w:space="0" w:color="auto"/>
            </w:tcBorders>
            <w:shd w:val="clear" w:color="auto" w:fill="auto"/>
          </w:tcPr>
          <w:p w14:paraId="0FA21CB2" w14:textId="77777777" w:rsidR="0075635C" w:rsidRPr="00581315" w:rsidRDefault="0075635C" w:rsidP="00167913">
            <w:pPr>
              <w:jc w:val="center"/>
              <w:rPr>
                <w:sz w:val="18"/>
                <w:szCs w:val="18"/>
              </w:rPr>
            </w:pPr>
            <w:r w:rsidRPr="00581315">
              <w:rPr>
                <w:sz w:val="18"/>
                <w:szCs w:val="18"/>
              </w:rPr>
              <w:t>Бр.</w:t>
            </w:r>
          </w:p>
        </w:tc>
        <w:tc>
          <w:tcPr>
            <w:tcW w:w="1103" w:type="pct"/>
            <w:tcBorders>
              <w:top w:val="single" w:sz="4" w:space="0" w:color="auto"/>
              <w:left w:val="nil"/>
              <w:bottom w:val="single" w:sz="4" w:space="0" w:color="auto"/>
              <w:right w:val="single" w:sz="4" w:space="0" w:color="auto"/>
            </w:tcBorders>
            <w:shd w:val="clear" w:color="auto" w:fill="auto"/>
          </w:tcPr>
          <w:p w14:paraId="5933A564" w14:textId="77777777" w:rsidR="0075635C" w:rsidRPr="00581315" w:rsidRDefault="0075635C" w:rsidP="00167913">
            <w:pPr>
              <w:jc w:val="center"/>
              <w:rPr>
                <w:sz w:val="18"/>
                <w:szCs w:val="18"/>
                <w:lang w:val="en-US"/>
              </w:rPr>
            </w:pPr>
            <w:r w:rsidRPr="00581315">
              <w:rPr>
                <w:sz w:val="18"/>
                <w:szCs w:val="18"/>
              </w:rPr>
              <w:t>1/3</w:t>
            </w:r>
          </w:p>
        </w:tc>
        <w:tc>
          <w:tcPr>
            <w:tcW w:w="773" w:type="pct"/>
            <w:tcBorders>
              <w:top w:val="single" w:sz="4" w:space="0" w:color="auto"/>
              <w:left w:val="nil"/>
              <w:bottom w:val="single" w:sz="4" w:space="0" w:color="auto"/>
              <w:right w:val="single" w:sz="4" w:space="0" w:color="auto"/>
            </w:tcBorders>
            <w:shd w:val="clear" w:color="auto" w:fill="auto"/>
          </w:tcPr>
          <w:p w14:paraId="2D5CC72B" w14:textId="77777777" w:rsidR="0075635C" w:rsidRPr="00581315" w:rsidRDefault="0075635C" w:rsidP="00167913">
            <w:pPr>
              <w:jc w:val="center"/>
              <w:rPr>
                <w:sz w:val="18"/>
                <w:szCs w:val="18"/>
              </w:rPr>
            </w:pPr>
            <w:r w:rsidRPr="00581315">
              <w:rPr>
                <w:sz w:val="18"/>
                <w:szCs w:val="18"/>
              </w:rPr>
              <w:t>0/</w:t>
            </w:r>
            <w:r w:rsidRPr="00581315">
              <w:rPr>
                <w:sz w:val="18"/>
                <w:szCs w:val="18"/>
                <w:lang w:val="en-US"/>
              </w:rPr>
              <w:t>3</w:t>
            </w:r>
          </w:p>
        </w:tc>
      </w:tr>
      <w:tr w:rsidR="00795CD0" w:rsidRPr="00581315" w14:paraId="390C6B72" w14:textId="77777777" w:rsidTr="00795CD0">
        <w:trPr>
          <w:trHeight w:val="270"/>
        </w:trPr>
        <w:tc>
          <w:tcPr>
            <w:tcW w:w="1471" w:type="pct"/>
            <w:tcBorders>
              <w:top w:val="single" w:sz="4" w:space="0" w:color="auto"/>
              <w:left w:val="single" w:sz="4" w:space="0" w:color="auto"/>
              <w:bottom w:val="single" w:sz="4" w:space="0" w:color="auto"/>
              <w:right w:val="single" w:sz="4" w:space="0" w:color="auto"/>
            </w:tcBorders>
            <w:shd w:val="clear" w:color="auto" w:fill="auto"/>
          </w:tcPr>
          <w:p w14:paraId="62CCACA2" w14:textId="77777777" w:rsidR="0075635C" w:rsidRPr="00581315" w:rsidRDefault="0075635C" w:rsidP="00167913">
            <w:pPr>
              <w:rPr>
                <w:sz w:val="18"/>
                <w:szCs w:val="18"/>
              </w:rPr>
            </w:pPr>
            <w:r w:rsidRPr="00581315">
              <w:rPr>
                <w:sz w:val="18"/>
                <w:szCs w:val="18"/>
              </w:rPr>
              <w:t xml:space="preserve">15. Публикации в социалните мрежи (фейсбук, </w:t>
            </w:r>
            <w:proofErr w:type="spellStart"/>
            <w:r w:rsidRPr="00581315">
              <w:rPr>
                <w:sz w:val="18"/>
                <w:szCs w:val="18"/>
              </w:rPr>
              <w:t>ютюб</w:t>
            </w:r>
            <w:proofErr w:type="spellEnd"/>
            <w:r w:rsidRPr="00581315">
              <w:rPr>
                <w:sz w:val="18"/>
                <w:szCs w:val="18"/>
              </w:rPr>
              <w:t xml:space="preserve">, </w:t>
            </w:r>
            <w:proofErr w:type="spellStart"/>
            <w:r w:rsidRPr="00581315">
              <w:rPr>
                <w:sz w:val="18"/>
                <w:szCs w:val="18"/>
              </w:rPr>
              <w:t>туитър</w:t>
            </w:r>
            <w:proofErr w:type="spellEnd"/>
            <w:r w:rsidRPr="00581315">
              <w:rPr>
                <w:sz w:val="18"/>
                <w:szCs w:val="18"/>
              </w:rPr>
              <w:t xml:space="preserve">, </w:t>
            </w:r>
            <w:proofErr w:type="spellStart"/>
            <w:r w:rsidRPr="00581315">
              <w:rPr>
                <w:sz w:val="18"/>
                <w:szCs w:val="18"/>
              </w:rPr>
              <w:t>инстаграм</w:t>
            </w:r>
            <w:proofErr w:type="spellEnd"/>
            <w:r w:rsidRPr="00581315">
              <w:rPr>
                <w:sz w:val="18"/>
                <w:szCs w:val="18"/>
              </w:rPr>
              <w:t>)</w:t>
            </w:r>
          </w:p>
        </w:tc>
        <w:tc>
          <w:tcPr>
            <w:tcW w:w="1654" w:type="pct"/>
            <w:tcBorders>
              <w:top w:val="single" w:sz="4" w:space="0" w:color="auto"/>
              <w:left w:val="nil"/>
              <w:bottom w:val="single" w:sz="4" w:space="0" w:color="auto"/>
              <w:right w:val="single" w:sz="4" w:space="0" w:color="auto"/>
            </w:tcBorders>
            <w:shd w:val="clear" w:color="auto" w:fill="auto"/>
          </w:tcPr>
          <w:p w14:paraId="6107B770" w14:textId="77777777" w:rsidR="0075635C" w:rsidRPr="00581315" w:rsidRDefault="0075635C" w:rsidP="00167913">
            <w:pPr>
              <w:jc w:val="center"/>
              <w:rPr>
                <w:sz w:val="18"/>
                <w:szCs w:val="18"/>
              </w:rPr>
            </w:pPr>
            <w:r w:rsidRPr="00581315">
              <w:rPr>
                <w:sz w:val="18"/>
                <w:szCs w:val="18"/>
              </w:rPr>
              <w:t>Бр.</w:t>
            </w:r>
          </w:p>
        </w:tc>
        <w:tc>
          <w:tcPr>
            <w:tcW w:w="1103" w:type="pct"/>
            <w:tcBorders>
              <w:top w:val="single" w:sz="4" w:space="0" w:color="auto"/>
              <w:left w:val="nil"/>
              <w:bottom w:val="single" w:sz="4" w:space="0" w:color="auto"/>
              <w:right w:val="single" w:sz="4" w:space="0" w:color="auto"/>
            </w:tcBorders>
            <w:shd w:val="clear" w:color="auto" w:fill="auto"/>
          </w:tcPr>
          <w:p w14:paraId="001535CF" w14:textId="77777777" w:rsidR="0075635C" w:rsidRPr="00581315" w:rsidRDefault="0075635C" w:rsidP="00167913">
            <w:pPr>
              <w:jc w:val="center"/>
              <w:rPr>
                <w:sz w:val="18"/>
                <w:szCs w:val="18"/>
              </w:rPr>
            </w:pPr>
            <w:r w:rsidRPr="00581315">
              <w:rPr>
                <w:sz w:val="18"/>
                <w:szCs w:val="18"/>
              </w:rPr>
              <w:t>140</w:t>
            </w:r>
          </w:p>
        </w:tc>
        <w:tc>
          <w:tcPr>
            <w:tcW w:w="773" w:type="pct"/>
            <w:tcBorders>
              <w:top w:val="single" w:sz="4" w:space="0" w:color="auto"/>
              <w:left w:val="nil"/>
              <w:bottom w:val="single" w:sz="4" w:space="0" w:color="auto"/>
              <w:right w:val="single" w:sz="4" w:space="0" w:color="auto"/>
            </w:tcBorders>
            <w:shd w:val="clear" w:color="auto" w:fill="auto"/>
          </w:tcPr>
          <w:p w14:paraId="48BDEBD0" w14:textId="77777777" w:rsidR="0075635C" w:rsidRPr="00581315" w:rsidRDefault="0075635C" w:rsidP="00167913">
            <w:pPr>
              <w:jc w:val="center"/>
              <w:rPr>
                <w:sz w:val="18"/>
                <w:szCs w:val="18"/>
                <w:lang w:val="en-US"/>
              </w:rPr>
            </w:pPr>
            <w:r w:rsidRPr="00581315">
              <w:rPr>
                <w:sz w:val="18"/>
                <w:szCs w:val="18"/>
                <w:lang w:val="en-US"/>
              </w:rPr>
              <w:t>893</w:t>
            </w:r>
          </w:p>
        </w:tc>
      </w:tr>
      <w:tr w:rsidR="00795CD0" w:rsidRPr="00581315" w14:paraId="78783AB8" w14:textId="77777777" w:rsidTr="00795CD0">
        <w:trPr>
          <w:trHeight w:val="270"/>
        </w:trPr>
        <w:tc>
          <w:tcPr>
            <w:tcW w:w="1471" w:type="pct"/>
            <w:tcBorders>
              <w:top w:val="single" w:sz="4" w:space="0" w:color="auto"/>
              <w:left w:val="single" w:sz="4" w:space="0" w:color="auto"/>
              <w:bottom w:val="single" w:sz="4" w:space="0" w:color="auto"/>
              <w:right w:val="single" w:sz="4" w:space="0" w:color="auto"/>
            </w:tcBorders>
            <w:shd w:val="clear" w:color="auto" w:fill="auto"/>
          </w:tcPr>
          <w:p w14:paraId="2C82D692" w14:textId="77777777" w:rsidR="0075635C" w:rsidRPr="00581315" w:rsidRDefault="0075635C" w:rsidP="00167913">
            <w:pPr>
              <w:rPr>
                <w:sz w:val="18"/>
                <w:szCs w:val="18"/>
              </w:rPr>
            </w:pPr>
            <w:r w:rsidRPr="00581315">
              <w:rPr>
                <w:sz w:val="18"/>
                <w:szCs w:val="18"/>
              </w:rPr>
              <w:t xml:space="preserve">16. Посетители и посещения в административната интернет страница </w:t>
            </w:r>
          </w:p>
        </w:tc>
        <w:tc>
          <w:tcPr>
            <w:tcW w:w="1654" w:type="pct"/>
            <w:tcBorders>
              <w:top w:val="single" w:sz="4" w:space="0" w:color="auto"/>
              <w:left w:val="nil"/>
              <w:bottom w:val="single" w:sz="4" w:space="0" w:color="auto"/>
              <w:right w:val="single" w:sz="4" w:space="0" w:color="auto"/>
            </w:tcBorders>
            <w:shd w:val="clear" w:color="auto" w:fill="auto"/>
          </w:tcPr>
          <w:p w14:paraId="326E76EE" w14:textId="77777777" w:rsidR="0075635C" w:rsidRPr="00581315" w:rsidRDefault="0075635C" w:rsidP="00167913">
            <w:pPr>
              <w:jc w:val="center"/>
              <w:rPr>
                <w:sz w:val="18"/>
                <w:szCs w:val="18"/>
              </w:rPr>
            </w:pPr>
            <w:r w:rsidRPr="00581315">
              <w:rPr>
                <w:sz w:val="18"/>
                <w:szCs w:val="18"/>
              </w:rPr>
              <w:t>Бр.</w:t>
            </w:r>
          </w:p>
        </w:tc>
        <w:tc>
          <w:tcPr>
            <w:tcW w:w="1103" w:type="pct"/>
            <w:tcBorders>
              <w:top w:val="single" w:sz="4" w:space="0" w:color="auto"/>
              <w:left w:val="nil"/>
              <w:bottom w:val="single" w:sz="4" w:space="0" w:color="auto"/>
              <w:right w:val="single" w:sz="4" w:space="0" w:color="auto"/>
            </w:tcBorders>
            <w:shd w:val="clear" w:color="auto" w:fill="auto"/>
          </w:tcPr>
          <w:p w14:paraId="52D564C6" w14:textId="77777777" w:rsidR="0075635C" w:rsidRPr="00581315" w:rsidRDefault="0075635C" w:rsidP="00167913">
            <w:pPr>
              <w:jc w:val="center"/>
              <w:rPr>
                <w:sz w:val="18"/>
                <w:szCs w:val="18"/>
              </w:rPr>
            </w:pPr>
            <w:r w:rsidRPr="00581315">
              <w:rPr>
                <w:sz w:val="18"/>
                <w:szCs w:val="18"/>
              </w:rPr>
              <w:t>74 000/144 000</w:t>
            </w:r>
          </w:p>
        </w:tc>
        <w:tc>
          <w:tcPr>
            <w:tcW w:w="773" w:type="pct"/>
            <w:tcBorders>
              <w:top w:val="single" w:sz="4" w:space="0" w:color="auto"/>
              <w:left w:val="nil"/>
              <w:bottom w:val="single" w:sz="4" w:space="0" w:color="auto"/>
              <w:right w:val="single" w:sz="4" w:space="0" w:color="auto"/>
            </w:tcBorders>
            <w:shd w:val="clear" w:color="auto" w:fill="auto"/>
          </w:tcPr>
          <w:p w14:paraId="5F87D160" w14:textId="77777777" w:rsidR="0075635C" w:rsidRPr="00581315" w:rsidRDefault="0075635C" w:rsidP="00167913">
            <w:pPr>
              <w:jc w:val="center"/>
              <w:rPr>
                <w:sz w:val="18"/>
                <w:szCs w:val="18"/>
              </w:rPr>
            </w:pPr>
            <w:r w:rsidRPr="00581315">
              <w:rPr>
                <w:sz w:val="18"/>
                <w:szCs w:val="18"/>
              </w:rPr>
              <w:t>6</w:t>
            </w:r>
            <w:r w:rsidRPr="00581315">
              <w:rPr>
                <w:sz w:val="18"/>
                <w:szCs w:val="18"/>
                <w:lang w:val="en-US"/>
              </w:rPr>
              <w:t>0</w:t>
            </w:r>
            <w:r w:rsidRPr="00581315">
              <w:rPr>
                <w:sz w:val="18"/>
                <w:szCs w:val="18"/>
              </w:rPr>
              <w:t xml:space="preserve"> </w:t>
            </w:r>
            <w:r w:rsidRPr="00581315">
              <w:rPr>
                <w:sz w:val="18"/>
                <w:szCs w:val="18"/>
                <w:lang w:val="en-US"/>
              </w:rPr>
              <w:t>263</w:t>
            </w:r>
            <w:r w:rsidRPr="00581315">
              <w:rPr>
                <w:rStyle w:val="FootnoteReference"/>
                <w:sz w:val="18"/>
                <w:szCs w:val="18"/>
              </w:rPr>
              <w:footnoteReference w:id="48"/>
            </w:r>
          </w:p>
        </w:tc>
      </w:tr>
      <w:tr w:rsidR="00795CD0" w:rsidRPr="00581315" w14:paraId="2A989B77" w14:textId="77777777" w:rsidTr="00795CD0">
        <w:trPr>
          <w:trHeight w:val="270"/>
        </w:trPr>
        <w:tc>
          <w:tcPr>
            <w:tcW w:w="1471" w:type="pct"/>
            <w:tcBorders>
              <w:top w:val="single" w:sz="4" w:space="0" w:color="auto"/>
              <w:left w:val="single" w:sz="4" w:space="0" w:color="auto"/>
              <w:bottom w:val="single" w:sz="4" w:space="0" w:color="auto"/>
              <w:right w:val="single" w:sz="4" w:space="0" w:color="auto"/>
            </w:tcBorders>
            <w:shd w:val="clear" w:color="auto" w:fill="auto"/>
          </w:tcPr>
          <w:p w14:paraId="3771A5CC" w14:textId="77777777" w:rsidR="0075635C" w:rsidRPr="00581315" w:rsidRDefault="0075635C" w:rsidP="00167913">
            <w:pPr>
              <w:rPr>
                <w:sz w:val="18"/>
                <w:szCs w:val="18"/>
              </w:rPr>
            </w:pPr>
            <w:r w:rsidRPr="00581315">
              <w:rPr>
                <w:sz w:val="18"/>
                <w:szCs w:val="18"/>
              </w:rPr>
              <w:t>17. Посетители и посещения в тематичните дигитални  колекции</w:t>
            </w:r>
          </w:p>
        </w:tc>
        <w:tc>
          <w:tcPr>
            <w:tcW w:w="1654" w:type="pct"/>
            <w:tcBorders>
              <w:top w:val="single" w:sz="4" w:space="0" w:color="auto"/>
              <w:left w:val="nil"/>
              <w:bottom w:val="single" w:sz="4" w:space="0" w:color="auto"/>
              <w:right w:val="single" w:sz="4" w:space="0" w:color="auto"/>
            </w:tcBorders>
            <w:shd w:val="clear" w:color="auto" w:fill="auto"/>
          </w:tcPr>
          <w:p w14:paraId="1DF24DD1" w14:textId="77777777" w:rsidR="0075635C" w:rsidRPr="00581315" w:rsidRDefault="0075635C" w:rsidP="00167913">
            <w:pPr>
              <w:jc w:val="center"/>
              <w:rPr>
                <w:sz w:val="18"/>
                <w:szCs w:val="18"/>
              </w:rPr>
            </w:pPr>
            <w:r w:rsidRPr="00581315">
              <w:rPr>
                <w:sz w:val="18"/>
                <w:szCs w:val="18"/>
              </w:rPr>
              <w:t>Бр.</w:t>
            </w:r>
          </w:p>
        </w:tc>
        <w:tc>
          <w:tcPr>
            <w:tcW w:w="1103" w:type="pct"/>
            <w:tcBorders>
              <w:top w:val="single" w:sz="4" w:space="0" w:color="auto"/>
              <w:left w:val="nil"/>
              <w:bottom w:val="single" w:sz="4" w:space="0" w:color="auto"/>
              <w:right w:val="single" w:sz="4" w:space="0" w:color="auto"/>
            </w:tcBorders>
            <w:shd w:val="clear" w:color="auto" w:fill="auto"/>
          </w:tcPr>
          <w:p w14:paraId="73A00212" w14:textId="77777777" w:rsidR="0075635C" w:rsidRPr="00581315" w:rsidRDefault="0075635C" w:rsidP="00167913">
            <w:pPr>
              <w:jc w:val="center"/>
              <w:rPr>
                <w:sz w:val="18"/>
                <w:szCs w:val="18"/>
              </w:rPr>
            </w:pPr>
            <w:r w:rsidRPr="00581315">
              <w:rPr>
                <w:sz w:val="18"/>
                <w:szCs w:val="18"/>
              </w:rPr>
              <w:t>74 000/114 000</w:t>
            </w:r>
          </w:p>
        </w:tc>
        <w:tc>
          <w:tcPr>
            <w:tcW w:w="773" w:type="pct"/>
            <w:tcBorders>
              <w:top w:val="single" w:sz="4" w:space="0" w:color="auto"/>
              <w:left w:val="nil"/>
              <w:bottom w:val="single" w:sz="4" w:space="0" w:color="auto"/>
              <w:right w:val="single" w:sz="4" w:space="0" w:color="auto"/>
            </w:tcBorders>
            <w:shd w:val="clear" w:color="auto" w:fill="auto"/>
          </w:tcPr>
          <w:p w14:paraId="5C7C60C0" w14:textId="77777777" w:rsidR="0075635C" w:rsidRPr="00581315" w:rsidRDefault="0075635C" w:rsidP="00167913">
            <w:pPr>
              <w:jc w:val="center"/>
              <w:rPr>
                <w:sz w:val="18"/>
                <w:szCs w:val="18"/>
              </w:rPr>
            </w:pPr>
            <w:r w:rsidRPr="00581315">
              <w:rPr>
                <w:sz w:val="18"/>
                <w:szCs w:val="18"/>
                <w:lang w:val="en-US"/>
              </w:rPr>
              <w:t>28</w:t>
            </w:r>
            <w:r w:rsidRPr="00581315">
              <w:rPr>
                <w:sz w:val="18"/>
                <w:szCs w:val="18"/>
              </w:rPr>
              <w:t xml:space="preserve"> </w:t>
            </w:r>
            <w:r w:rsidRPr="00581315">
              <w:rPr>
                <w:sz w:val="18"/>
                <w:szCs w:val="18"/>
                <w:lang w:val="en-US"/>
              </w:rPr>
              <w:t>633</w:t>
            </w:r>
            <w:r w:rsidRPr="00581315">
              <w:rPr>
                <w:rStyle w:val="FootnoteReference"/>
                <w:sz w:val="18"/>
                <w:szCs w:val="18"/>
              </w:rPr>
              <w:footnoteReference w:id="49"/>
            </w:r>
          </w:p>
        </w:tc>
      </w:tr>
      <w:tr w:rsidR="00795CD0" w:rsidRPr="00581315" w14:paraId="6F17572E" w14:textId="77777777" w:rsidTr="00795CD0">
        <w:trPr>
          <w:trHeight w:val="270"/>
        </w:trPr>
        <w:tc>
          <w:tcPr>
            <w:tcW w:w="1471" w:type="pct"/>
            <w:tcBorders>
              <w:top w:val="single" w:sz="4" w:space="0" w:color="auto"/>
              <w:left w:val="single" w:sz="4" w:space="0" w:color="auto"/>
              <w:bottom w:val="single" w:sz="4" w:space="0" w:color="auto"/>
              <w:right w:val="single" w:sz="4" w:space="0" w:color="auto"/>
            </w:tcBorders>
            <w:shd w:val="clear" w:color="auto" w:fill="auto"/>
          </w:tcPr>
          <w:p w14:paraId="3B90E56B" w14:textId="77777777" w:rsidR="0075635C" w:rsidRPr="00581315" w:rsidRDefault="0075635C" w:rsidP="00167913">
            <w:pPr>
              <w:rPr>
                <w:sz w:val="18"/>
                <w:szCs w:val="18"/>
              </w:rPr>
            </w:pPr>
            <w:r w:rsidRPr="00581315">
              <w:rPr>
                <w:sz w:val="18"/>
                <w:szCs w:val="18"/>
              </w:rPr>
              <w:t>18. Последователи/</w:t>
            </w:r>
          </w:p>
          <w:p w14:paraId="40BE14C2" w14:textId="77777777" w:rsidR="0075635C" w:rsidRPr="00581315" w:rsidRDefault="0075635C" w:rsidP="00167913">
            <w:pPr>
              <w:rPr>
                <w:sz w:val="18"/>
                <w:szCs w:val="18"/>
              </w:rPr>
            </w:pPr>
            <w:r w:rsidRPr="00581315">
              <w:rPr>
                <w:sz w:val="18"/>
                <w:szCs w:val="18"/>
              </w:rPr>
              <w:t>абонати и ангажираност/</w:t>
            </w:r>
          </w:p>
          <w:p w14:paraId="572F3CFA" w14:textId="77777777" w:rsidR="0075635C" w:rsidRPr="00581315" w:rsidRDefault="0075635C" w:rsidP="00167913">
            <w:pPr>
              <w:rPr>
                <w:sz w:val="18"/>
                <w:szCs w:val="18"/>
              </w:rPr>
            </w:pPr>
            <w:r w:rsidRPr="00581315">
              <w:rPr>
                <w:sz w:val="18"/>
                <w:szCs w:val="18"/>
              </w:rPr>
              <w:t>харесвания/показвания в социалните мрежи</w:t>
            </w:r>
          </w:p>
        </w:tc>
        <w:tc>
          <w:tcPr>
            <w:tcW w:w="1654" w:type="pct"/>
            <w:tcBorders>
              <w:top w:val="single" w:sz="4" w:space="0" w:color="auto"/>
              <w:left w:val="nil"/>
              <w:bottom w:val="single" w:sz="4" w:space="0" w:color="auto"/>
              <w:right w:val="single" w:sz="4" w:space="0" w:color="auto"/>
            </w:tcBorders>
            <w:shd w:val="clear" w:color="auto" w:fill="auto"/>
          </w:tcPr>
          <w:p w14:paraId="4A432F3E" w14:textId="77777777" w:rsidR="0075635C" w:rsidRPr="00581315" w:rsidRDefault="0075635C" w:rsidP="00167913">
            <w:pPr>
              <w:jc w:val="center"/>
              <w:rPr>
                <w:sz w:val="18"/>
                <w:szCs w:val="18"/>
              </w:rPr>
            </w:pPr>
            <w:r w:rsidRPr="00581315">
              <w:rPr>
                <w:sz w:val="18"/>
                <w:szCs w:val="18"/>
              </w:rPr>
              <w:t>Бр.</w:t>
            </w:r>
          </w:p>
        </w:tc>
        <w:tc>
          <w:tcPr>
            <w:tcW w:w="1103" w:type="pct"/>
            <w:tcBorders>
              <w:top w:val="single" w:sz="4" w:space="0" w:color="auto"/>
              <w:left w:val="nil"/>
              <w:bottom w:val="single" w:sz="4" w:space="0" w:color="auto"/>
              <w:right w:val="single" w:sz="4" w:space="0" w:color="auto"/>
            </w:tcBorders>
            <w:shd w:val="clear" w:color="auto" w:fill="auto"/>
          </w:tcPr>
          <w:p w14:paraId="0E7830FF" w14:textId="77777777" w:rsidR="0075635C" w:rsidRPr="00581315" w:rsidRDefault="0075635C" w:rsidP="00167913">
            <w:pPr>
              <w:jc w:val="center"/>
              <w:rPr>
                <w:sz w:val="18"/>
                <w:szCs w:val="18"/>
              </w:rPr>
            </w:pPr>
            <w:r w:rsidRPr="00581315">
              <w:rPr>
                <w:sz w:val="18"/>
                <w:szCs w:val="18"/>
              </w:rPr>
              <w:t>5500/14 000</w:t>
            </w:r>
          </w:p>
        </w:tc>
        <w:tc>
          <w:tcPr>
            <w:tcW w:w="773" w:type="pct"/>
            <w:tcBorders>
              <w:top w:val="single" w:sz="4" w:space="0" w:color="auto"/>
              <w:left w:val="nil"/>
              <w:bottom w:val="single" w:sz="4" w:space="0" w:color="auto"/>
              <w:right w:val="single" w:sz="4" w:space="0" w:color="auto"/>
            </w:tcBorders>
            <w:shd w:val="clear" w:color="auto" w:fill="auto"/>
          </w:tcPr>
          <w:p w14:paraId="33FC6773" w14:textId="77777777" w:rsidR="0075635C" w:rsidRPr="00581315" w:rsidRDefault="0075635C" w:rsidP="00167913">
            <w:pPr>
              <w:jc w:val="center"/>
              <w:rPr>
                <w:sz w:val="18"/>
                <w:szCs w:val="18"/>
                <w:lang w:val="en-GB"/>
              </w:rPr>
            </w:pPr>
            <w:r w:rsidRPr="00581315">
              <w:rPr>
                <w:sz w:val="18"/>
                <w:szCs w:val="18"/>
                <w:lang w:val="en-US"/>
              </w:rPr>
              <w:t>91</w:t>
            </w:r>
            <w:r w:rsidRPr="00581315">
              <w:rPr>
                <w:sz w:val="18"/>
                <w:szCs w:val="18"/>
              </w:rPr>
              <w:t xml:space="preserve"> </w:t>
            </w:r>
            <w:r w:rsidRPr="00581315">
              <w:rPr>
                <w:sz w:val="18"/>
                <w:szCs w:val="18"/>
                <w:lang w:val="en-US"/>
              </w:rPr>
              <w:t>417</w:t>
            </w:r>
            <w:r w:rsidRPr="00581315">
              <w:rPr>
                <w:rStyle w:val="FootnoteReference"/>
                <w:sz w:val="18"/>
                <w:szCs w:val="18"/>
              </w:rPr>
              <w:footnoteReference w:id="50"/>
            </w:r>
            <w:r w:rsidRPr="00581315">
              <w:rPr>
                <w:sz w:val="18"/>
                <w:szCs w:val="18"/>
              </w:rPr>
              <w:t>/</w:t>
            </w:r>
          </w:p>
          <w:p w14:paraId="7519852F" w14:textId="77777777" w:rsidR="0075635C" w:rsidRPr="00581315" w:rsidRDefault="0075635C" w:rsidP="00167913">
            <w:pPr>
              <w:jc w:val="center"/>
              <w:rPr>
                <w:sz w:val="18"/>
                <w:szCs w:val="18"/>
              </w:rPr>
            </w:pPr>
            <w:r w:rsidRPr="00581315">
              <w:rPr>
                <w:sz w:val="18"/>
                <w:szCs w:val="18"/>
                <w:lang w:val="en-US"/>
              </w:rPr>
              <w:t>562</w:t>
            </w:r>
            <w:r w:rsidRPr="00581315">
              <w:rPr>
                <w:sz w:val="18"/>
                <w:szCs w:val="18"/>
              </w:rPr>
              <w:t xml:space="preserve"> </w:t>
            </w:r>
            <w:r w:rsidRPr="00581315">
              <w:rPr>
                <w:sz w:val="18"/>
                <w:szCs w:val="18"/>
                <w:lang w:val="en-US"/>
              </w:rPr>
              <w:t>061</w:t>
            </w:r>
          </w:p>
        </w:tc>
      </w:tr>
      <w:tr w:rsidR="00795CD0" w:rsidRPr="00581315" w14:paraId="5A0C528F" w14:textId="77777777" w:rsidTr="003C05A3">
        <w:trPr>
          <w:trHeight w:val="236"/>
        </w:trPr>
        <w:tc>
          <w:tcPr>
            <w:tcW w:w="1471" w:type="pct"/>
            <w:tcBorders>
              <w:top w:val="single" w:sz="4" w:space="0" w:color="auto"/>
              <w:left w:val="single" w:sz="4" w:space="0" w:color="auto"/>
              <w:bottom w:val="single" w:sz="4" w:space="0" w:color="auto"/>
              <w:right w:val="single" w:sz="4" w:space="0" w:color="auto"/>
            </w:tcBorders>
            <w:shd w:val="clear" w:color="auto" w:fill="auto"/>
          </w:tcPr>
          <w:p w14:paraId="6D786A55" w14:textId="77777777" w:rsidR="0075635C" w:rsidRPr="00581315" w:rsidRDefault="0075635C" w:rsidP="00167913">
            <w:pPr>
              <w:rPr>
                <w:sz w:val="18"/>
                <w:szCs w:val="18"/>
              </w:rPr>
            </w:pPr>
            <w:r w:rsidRPr="00581315">
              <w:rPr>
                <w:sz w:val="18"/>
                <w:szCs w:val="18"/>
              </w:rPr>
              <w:t>19. Популяризаторски прояви</w:t>
            </w:r>
          </w:p>
        </w:tc>
        <w:tc>
          <w:tcPr>
            <w:tcW w:w="1654" w:type="pct"/>
            <w:tcBorders>
              <w:top w:val="single" w:sz="4" w:space="0" w:color="auto"/>
              <w:left w:val="nil"/>
              <w:bottom w:val="single" w:sz="4" w:space="0" w:color="auto"/>
              <w:right w:val="single" w:sz="4" w:space="0" w:color="auto"/>
            </w:tcBorders>
            <w:shd w:val="clear" w:color="auto" w:fill="auto"/>
          </w:tcPr>
          <w:p w14:paraId="3F942B00" w14:textId="77777777" w:rsidR="0075635C" w:rsidRPr="00581315" w:rsidRDefault="0075635C" w:rsidP="00167913">
            <w:pPr>
              <w:jc w:val="center"/>
              <w:rPr>
                <w:sz w:val="18"/>
                <w:szCs w:val="18"/>
              </w:rPr>
            </w:pPr>
            <w:r w:rsidRPr="00581315">
              <w:rPr>
                <w:sz w:val="18"/>
                <w:szCs w:val="18"/>
              </w:rPr>
              <w:t>Бр.</w:t>
            </w:r>
          </w:p>
        </w:tc>
        <w:tc>
          <w:tcPr>
            <w:tcW w:w="1103" w:type="pct"/>
            <w:tcBorders>
              <w:top w:val="single" w:sz="4" w:space="0" w:color="auto"/>
              <w:left w:val="nil"/>
              <w:bottom w:val="single" w:sz="4" w:space="0" w:color="auto"/>
              <w:right w:val="single" w:sz="4" w:space="0" w:color="auto"/>
            </w:tcBorders>
            <w:shd w:val="clear" w:color="auto" w:fill="auto"/>
          </w:tcPr>
          <w:p w14:paraId="32427D09" w14:textId="77777777" w:rsidR="0075635C" w:rsidRPr="00581315" w:rsidRDefault="0075635C" w:rsidP="00167913">
            <w:pPr>
              <w:jc w:val="center"/>
              <w:rPr>
                <w:sz w:val="18"/>
                <w:szCs w:val="18"/>
              </w:rPr>
            </w:pPr>
            <w:r w:rsidRPr="00581315">
              <w:rPr>
                <w:sz w:val="18"/>
                <w:szCs w:val="18"/>
              </w:rPr>
              <w:t>500</w:t>
            </w:r>
          </w:p>
        </w:tc>
        <w:tc>
          <w:tcPr>
            <w:tcW w:w="773" w:type="pct"/>
            <w:tcBorders>
              <w:top w:val="single" w:sz="4" w:space="0" w:color="auto"/>
              <w:left w:val="nil"/>
              <w:bottom w:val="single" w:sz="4" w:space="0" w:color="auto"/>
              <w:right w:val="single" w:sz="4" w:space="0" w:color="auto"/>
            </w:tcBorders>
            <w:shd w:val="clear" w:color="auto" w:fill="auto"/>
          </w:tcPr>
          <w:p w14:paraId="3BC39A89" w14:textId="77777777" w:rsidR="0075635C" w:rsidRPr="00581315" w:rsidRDefault="0075635C" w:rsidP="00167913">
            <w:pPr>
              <w:jc w:val="center"/>
              <w:rPr>
                <w:sz w:val="18"/>
                <w:szCs w:val="18"/>
                <w:lang w:val="en-US"/>
              </w:rPr>
            </w:pPr>
            <w:r w:rsidRPr="00581315">
              <w:rPr>
                <w:sz w:val="18"/>
                <w:szCs w:val="18"/>
                <w:lang w:val="en-US"/>
              </w:rPr>
              <w:t>831</w:t>
            </w:r>
          </w:p>
        </w:tc>
      </w:tr>
      <w:tr w:rsidR="00795CD0" w:rsidRPr="00581315" w14:paraId="429C43BD" w14:textId="77777777" w:rsidTr="00795CD0">
        <w:trPr>
          <w:trHeight w:val="414"/>
        </w:trPr>
        <w:tc>
          <w:tcPr>
            <w:tcW w:w="1471" w:type="pct"/>
            <w:tcBorders>
              <w:top w:val="single" w:sz="4" w:space="0" w:color="auto"/>
              <w:left w:val="single" w:sz="4" w:space="0" w:color="auto"/>
              <w:bottom w:val="single" w:sz="4" w:space="0" w:color="auto"/>
              <w:right w:val="single" w:sz="4" w:space="0" w:color="auto"/>
            </w:tcBorders>
            <w:shd w:val="clear" w:color="auto" w:fill="auto"/>
          </w:tcPr>
          <w:p w14:paraId="25C81B28" w14:textId="77777777" w:rsidR="0075635C" w:rsidRPr="00581315" w:rsidRDefault="0075635C" w:rsidP="00167913">
            <w:pPr>
              <w:rPr>
                <w:sz w:val="18"/>
                <w:szCs w:val="18"/>
              </w:rPr>
            </w:pPr>
            <w:r w:rsidRPr="00581315">
              <w:rPr>
                <w:sz w:val="18"/>
                <w:szCs w:val="18"/>
              </w:rPr>
              <w:t>20. Участия в организирани форуми, проучвания, анкети и др.</w:t>
            </w:r>
          </w:p>
        </w:tc>
        <w:tc>
          <w:tcPr>
            <w:tcW w:w="1654" w:type="pct"/>
            <w:tcBorders>
              <w:top w:val="single" w:sz="4" w:space="0" w:color="auto"/>
              <w:left w:val="nil"/>
              <w:bottom w:val="single" w:sz="4" w:space="0" w:color="auto"/>
              <w:right w:val="single" w:sz="4" w:space="0" w:color="auto"/>
            </w:tcBorders>
            <w:shd w:val="clear" w:color="auto" w:fill="auto"/>
          </w:tcPr>
          <w:p w14:paraId="08C693E5" w14:textId="77777777" w:rsidR="0075635C" w:rsidRPr="00581315" w:rsidRDefault="0075635C" w:rsidP="00167913">
            <w:pPr>
              <w:jc w:val="center"/>
              <w:rPr>
                <w:sz w:val="18"/>
                <w:szCs w:val="18"/>
              </w:rPr>
            </w:pPr>
            <w:r w:rsidRPr="00581315">
              <w:rPr>
                <w:sz w:val="18"/>
                <w:szCs w:val="18"/>
              </w:rPr>
              <w:t>Бр.</w:t>
            </w:r>
          </w:p>
        </w:tc>
        <w:tc>
          <w:tcPr>
            <w:tcW w:w="1103" w:type="pct"/>
            <w:tcBorders>
              <w:top w:val="single" w:sz="4" w:space="0" w:color="auto"/>
              <w:left w:val="nil"/>
              <w:bottom w:val="single" w:sz="4" w:space="0" w:color="auto"/>
              <w:right w:val="single" w:sz="4" w:space="0" w:color="auto"/>
            </w:tcBorders>
            <w:shd w:val="clear" w:color="auto" w:fill="auto"/>
          </w:tcPr>
          <w:p w14:paraId="45245ACF" w14:textId="77777777" w:rsidR="0075635C" w:rsidRPr="00581315" w:rsidRDefault="0075635C" w:rsidP="00167913">
            <w:pPr>
              <w:jc w:val="center"/>
              <w:rPr>
                <w:sz w:val="18"/>
                <w:szCs w:val="18"/>
              </w:rPr>
            </w:pPr>
            <w:r w:rsidRPr="00581315">
              <w:rPr>
                <w:sz w:val="18"/>
                <w:szCs w:val="18"/>
              </w:rPr>
              <w:t>8</w:t>
            </w:r>
          </w:p>
        </w:tc>
        <w:tc>
          <w:tcPr>
            <w:tcW w:w="773" w:type="pct"/>
            <w:tcBorders>
              <w:top w:val="single" w:sz="4" w:space="0" w:color="auto"/>
              <w:left w:val="nil"/>
              <w:bottom w:val="single" w:sz="4" w:space="0" w:color="auto"/>
              <w:right w:val="single" w:sz="4" w:space="0" w:color="auto"/>
            </w:tcBorders>
            <w:shd w:val="clear" w:color="auto" w:fill="auto"/>
          </w:tcPr>
          <w:p w14:paraId="1EBC8DE5" w14:textId="77777777" w:rsidR="0075635C" w:rsidRPr="00581315" w:rsidRDefault="0075635C" w:rsidP="00167913">
            <w:pPr>
              <w:jc w:val="center"/>
              <w:rPr>
                <w:sz w:val="18"/>
                <w:szCs w:val="18"/>
              </w:rPr>
            </w:pPr>
            <w:r w:rsidRPr="00581315">
              <w:rPr>
                <w:sz w:val="18"/>
                <w:szCs w:val="18"/>
              </w:rPr>
              <w:t>6</w:t>
            </w:r>
          </w:p>
        </w:tc>
      </w:tr>
      <w:tr w:rsidR="00795CD0" w:rsidRPr="00581315" w14:paraId="5F6C9F84" w14:textId="77777777" w:rsidTr="00795CD0">
        <w:trPr>
          <w:trHeight w:val="270"/>
        </w:trPr>
        <w:tc>
          <w:tcPr>
            <w:tcW w:w="1471" w:type="pct"/>
            <w:tcBorders>
              <w:top w:val="single" w:sz="4" w:space="0" w:color="auto"/>
              <w:left w:val="single" w:sz="4" w:space="0" w:color="auto"/>
              <w:bottom w:val="single" w:sz="4" w:space="0" w:color="auto"/>
              <w:right w:val="single" w:sz="4" w:space="0" w:color="auto"/>
            </w:tcBorders>
            <w:shd w:val="clear" w:color="auto" w:fill="auto"/>
          </w:tcPr>
          <w:p w14:paraId="7FDF7050" w14:textId="77777777" w:rsidR="0075635C" w:rsidRPr="00581315" w:rsidRDefault="0075635C" w:rsidP="00167913">
            <w:pPr>
              <w:rPr>
                <w:sz w:val="18"/>
                <w:szCs w:val="18"/>
              </w:rPr>
            </w:pPr>
            <w:r w:rsidRPr="00581315">
              <w:rPr>
                <w:sz w:val="18"/>
                <w:szCs w:val="18"/>
              </w:rPr>
              <w:t>21. Сключени споразумения за сътрудничество</w:t>
            </w:r>
          </w:p>
        </w:tc>
        <w:tc>
          <w:tcPr>
            <w:tcW w:w="1654" w:type="pct"/>
            <w:tcBorders>
              <w:top w:val="single" w:sz="4" w:space="0" w:color="auto"/>
              <w:left w:val="nil"/>
              <w:bottom w:val="single" w:sz="4" w:space="0" w:color="auto"/>
              <w:right w:val="single" w:sz="4" w:space="0" w:color="auto"/>
            </w:tcBorders>
            <w:shd w:val="clear" w:color="auto" w:fill="auto"/>
          </w:tcPr>
          <w:p w14:paraId="39E4B848" w14:textId="77777777" w:rsidR="0075635C" w:rsidRPr="00581315" w:rsidRDefault="0075635C" w:rsidP="00167913">
            <w:pPr>
              <w:jc w:val="center"/>
              <w:rPr>
                <w:sz w:val="18"/>
                <w:szCs w:val="18"/>
              </w:rPr>
            </w:pPr>
            <w:r w:rsidRPr="00581315">
              <w:rPr>
                <w:sz w:val="18"/>
                <w:szCs w:val="18"/>
              </w:rPr>
              <w:t>Бр.</w:t>
            </w:r>
          </w:p>
        </w:tc>
        <w:tc>
          <w:tcPr>
            <w:tcW w:w="1103" w:type="pct"/>
            <w:tcBorders>
              <w:top w:val="single" w:sz="4" w:space="0" w:color="auto"/>
              <w:left w:val="nil"/>
              <w:bottom w:val="single" w:sz="4" w:space="0" w:color="auto"/>
              <w:right w:val="single" w:sz="4" w:space="0" w:color="auto"/>
            </w:tcBorders>
            <w:shd w:val="clear" w:color="auto" w:fill="auto"/>
          </w:tcPr>
          <w:p w14:paraId="167E6884" w14:textId="77777777" w:rsidR="0075635C" w:rsidRPr="00581315" w:rsidRDefault="0075635C" w:rsidP="00167913">
            <w:pPr>
              <w:jc w:val="center"/>
              <w:rPr>
                <w:sz w:val="18"/>
                <w:szCs w:val="18"/>
              </w:rPr>
            </w:pPr>
            <w:r w:rsidRPr="00581315">
              <w:rPr>
                <w:sz w:val="18"/>
                <w:szCs w:val="18"/>
              </w:rPr>
              <w:t>2</w:t>
            </w:r>
          </w:p>
        </w:tc>
        <w:tc>
          <w:tcPr>
            <w:tcW w:w="773" w:type="pct"/>
            <w:tcBorders>
              <w:top w:val="single" w:sz="4" w:space="0" w:color="auto"/>
              <w:left w:val="nil"/>
              <w:bottom w:val="single" w:sz="4" w:space="0" w:color="auto"/>
              <w:right w:val="single" w:sz="4" w:space="0" w:color="auto"/>
            </w:tcBorders>
            <w:shd w:val="clear" w:color="auto" w:fill="auto"/>
          </w:tcPr>
          <w:p w14:paraId="0A7C58F0" w14:textId="77777777" w:rsidR="0075635C" w:rsidRPr="00581315" w:rsidRDefault="0075635C" w:rsidP="00167913">
            <w:pPr>
              <w:jc w:val="center"/>
              <w:rPr>
                <w:sz w:val="18"/>
                <w:szCs w:val="18"/>
              </w:rPr>
            </w:pPr>
            <w:r w:rsidRPr="00581315">
              <w:rPr>
                <w:sz w:val="18"/>
                <w:szCs w:val="18"/>
              </w:rPr>
              <w:t>0</w:t>
            </w:r>
          </w:p>
        </w:tc>
      </w:tr>
      <w:tr w:rsidR="00795CD0" w:rsidRPr="00581315" w14:paraId="55286A51" w14:textId="77777777" w:rsidTr="00795CD0">
        <w:trPr>
          <w:trHeight w:val="270"/>
        </w:trPr>
        <w:tc>
          <w:tcPr>
            <w:tcW w:w="1471" w:type="pct"/>
            <w:tcBorders>
              <w:top w:val="single" w:sz="4" w:space="0" w:color="auto"/>
              <w:left w:val="single" w:sz="4" w:space="0" w:color="auto"/>
              <w:bottom w:val="single" w:sz="4" w:space="0" w:color="auto"/>
              <w:right w:val="single" w:sz="4" w:space="0" w:color="auto"/>
            </w:tcBorders>
            <w:shd w:val="clear" w:color="auto" w:fill="auto"/>
          </w:tcPr>
          <w:p w14:paraId="65306ADC" w14:textId="77777777" w:rsidR="0075635C" w:rsidRPr="00581315" w:rsidRDefault="0075635C" w:rsidP="00167913">
            <w:pPr>
              <w:rPr>
                <w:sz w:val="18"/>
                <w:szCs w:val="18"/>
              </w:rPr>
            </w:pPr>
            <w:r w:rsidRPr="00581315">
              <w:rPr>
                <w:sz w:val="18"/>
                <w:szCs w:val="18"/>
              </w:rPr>
              <w:t>22. Посещения на чуждестранни делегации в ДАА и на делегации от ДАА в чужбина</w:t>
            </w:r>
          </w:p>
        </w:tc>
        <w:tc>
          <w:tcPr>
            <w:tcW w:w="1654" w:type="pct"/>
            <w:tcBorders>
              <w:top w:val="single" w:sz="4" w:space="0" w:color="auto"/>
              <w:left w:val="nil"/>
              <w:bottom w:val="single" w:sz="4" w:space="0" w:color="auto"/>
              <w:right w:val="single" w:sz="4" w:space="0" w:color="auto"/>
            </w:tcBorders>
            <w:shd w:val="clear" w:color="auto" w:fill="auto"/>
          </w:tcPr>
          <w:p w14:paraId="0D8066F2" w14:textId="77777777" w:rsidR="0075635C" w:rsidRPr="00581315" w:rsidRDefault="0075635C" w:rsidP="00167913">
            <w:pPr>
              <w:jc w:val="center"/>
              <w:rPr>
                <w:sz w:val="18"/>
                <w:szCs w:val="18"/>
              </w:rPr>
            </w:pPr>
            <w:r w:rsidRPr="00581315">
              <w:rPr>
                <w:sz w:val="18"/>
                <w:szCs w:val="18"/>
              </w:rPr>
              <w:t>Бр.</w:t>
            </w:r>
          </w:p>
        </w:tc>
        <w:tc>
          <w:tcPr>
            <w:tcW w:w="1103" w:type="pct"/>
            <w:tcBorders>
              <w:top w:val="single" w:sz="4" w:space="0" w:color="auto"/>
              <w:left w:val="nil"/>
              <w:bottom w:val="single" w:sz="4" w:space="0" w:color="auto"/>
              <w:right w:val="single" w:sz="4" w:space="0" w:color="auto"/>
            </w:tcBorders>
            <w:shd w:val="clear" w:color="auto" w:fill="auto"/>
          </w:tcPr>
          <w:p w14:paraId="11FA1068" w14:textId="77777777" w:rsidR="0075635C" w:rsidRPr="00581315" w:rsidRDefault="0075635C" w:rsidP="00167913">
            <w:pPr>
              <w:jc w:val="center"/>
              <w:rPr>
                <w:sz w:val="18"/>
                <w:szCs w:val="18"/>
                <w:lang w:val="en-GB"/>
              </w:rPr>
            </w:pPr>
            <w:r w:rsidRPr="00581315">
              <w:rPr>
                <w:sz w:val="18"/>
                <w:szCs w:val="18"/>
                <w:lang w:val="en-GB"/>
              </w:rPr>
              <w:t>1</w:t>
            </w:r>
          </w:p>
        </w:tc>
        <w:tc>
          <w:tcPr>
            <w:tcW w:w="773" w:type="pct"/>
            <w:tcBorders>
              <w:top w:val="single" w:sz="4" w:space="0" w:color="auto"/>
              <w:left w:val="nil"/>
              <w:bottom w:val="single" w:sz="4" w:space="0" w:color="auto"/>
              <w:right w:val="single" w:sz="4" w:space="0" w:color="auto"/>
            </w:tcBorders>
            <w:shd w:val="clear" w:color="auto" w:fill="auto"/>
          </w:tcPr>
          <w:p w14:paraId="41542BFD" w14:textId="77777777" w:rsidR="0075635C" w:rsidRPr="00581315" w:rsidRDefault="0075635C" w:rsidP="00167913">
            <w:pPr>
              <w:jc w:val="center"/>
              <w:rPr>
                <w:sz w:val="18"/>
                <w:szCs w:val="18"/>
              </w:rPr>
            </w:pPr>
            <w:r w:rsidRPr="00581315">
              <w:rPr>
                <w:sz w:val="18"/>
                <w:szCs w:val="18"/>
              </w:rPr>
              <w:t>0</w:t>
            </w:r>
          </w:p>
        </w:tc>
      </w:tr>
    </w:tbl>
    <w:p w14:paraId="23AA22CA" w14:textId="2E38E7BB" w:rsidR="009847F3" w:rsidRPr="00051E6B" w:rsidRDefault="009847F3" w:rsidP="004E5A4B">
      <w:pPr>
        <w:shd w:val="clear" w:color="auto" w:fill="FFFFFF" w:themeFill="background1"/>
        <w:spacing w:before="120"/>
        <w:ind w:firstLine="426"/>
        <w:jc w:val="both"/>
        <w:rPr>
          <w:sz w:val="22"/>
          <w:szCs w:val="22"/>
        </w:rPr>
      </w:pPr>
      <w:r w:rsidRPr="00051E6B">
        <w:rPr>
          <w:sz w:val="22"/>
          <w:szCs w:val="22"/>
        </w:rPr>
        <w:t xml:space="preserve">Отчетът за дейността на ДАА през първото полугодие на 2025 г. показва </w:t>
      </w:r>
      <w:r w:rsidRPr="009847F3">
        <w:rPr>
          <w:sz w:val="22"/>
          <w:szCs w:val="22"/>
        </w:rPr>
        <w:t>изпълнени</w:t>
      </w:r>
      <w:r w:rsidRPr="00051E6B">
        <w:rPr>
          <w:sz w:val="22"/>
          <w:szCs w:val="22"/>
        </w:rPr>
        <w:t xml:space="preserve">е в максималната възможна степен на регламентираните от ЗНАФ функции и стратегическите цели, съобразно наличните финансови и кадрови ресурси. </w:t>
      </w:r>
    </w:p>
    <w:p w14:paraId="51055960" w14:textId="77777777" w:rsidR="009847F3" w:rsidRPr="00051E6B" w:rsidRDefault="009847F3" w:rsidP="004E5A4B">
      <w:pPr>
        <w:shd w:val="clear" w:color="auto" w:fill="FFFFFF" w:themeFill="background1"/>
        <w:ind w:firstLine="426"/>
        <w:jc w:val="both"/>
        <w:rPr>
          <w:bCs/>
          <w:sz w:val="22"/>
          <w:szCs w:val="22"/>
        </w:rPr>
      </w:pPr>
      <w:r w:rsidRPr="00051E6B">
        <w:rPr>
          <w:kern w:val="32"/>
          <w:sz w:val="22"/>
          <w:szCs w:val="22"/>
        </w:rPr>
        <w:t xml:space="preserve">ДАА изпълнява </w:t>
      </w:r>
      <w:r w:rsidRPr="00051E6B">
        <w:rPr>
          <w:sz w:val="22"/>
          <w:szCs w:val="22"/>
        </w:rPr>
        <w:t>регламентираните в Закона за НАФ дейности за обогатяване на НАФ с ценни документи, свързани с управлението на държавата, развитието на науката и културата, за проследяване въз основа на документална информация на всеки един етап от обществения живот и неговото развитие. Особено внимание е насочено към оказването на методическа помощ и контрола на п</w:t>
      </w:r>
      <w:r w:rsidRPr="00051E6B">
        <w:rPr>
          <w:sz w:val="22"/>
          <w:szCs w:val="22"/>
          <w:lang w:eastAsia="zh-CN"/>
        </w:rPr>
        <w:t xml:space="preserve">роцесите по организация, експертиза, съхранение и използване на електронните документи в държавните и общинските институции, както и по подготовка за предаване, опазване, съхранение и използване на ценните електронни документи в държавните архиви </w:t>
      </w:r>
      <w:r w:rsidRPr="00051E6B">
        <w:rPr>
          <w:sz w:val="22"/>
          <w:szCs w:val="22"/>
        </w:rPr>
        <w:t xml:space="preserve">чрез система за е-архивиране. </w:t>
      </w:r>
      <w:r w:rsidRPr="00051E6B">
        <w:rPr>
          <w:color w:val="00141F"/>
          <w:sz w:val="22"/>
          <w:szCs w:val="22"/>
        </w:rPr>
        <w:t xml:space="preserve">Като член на </w:t>
      </w:r>
      <w:r w:rsidRPr="00051E6B">
        <w:rPr>
          <w:sz w:val="22"/>
          <w:szCs w:val="22"/>
        </w:rPr>
        <w:t>Съвета по цифрово десетилетие, ДАА насърчава въвеждането и използване на инструментите на електронното управление от държавната администрация, както и за повишаването на ефективността</w:t>
      </w:r>
      <w:r w:rsidRPr="00051E6B">
        <w:rPr>
          <w:color w:val="00141F"/>
          <w:sz w:val="22"/>
          <w:szCs w:val="22"/>
        </w:rPr>
        <w:t xml:space="preserve"> на предоставените услуги. Представени са предложения в процеса на изготвяне на </w:t>
      </w:r>
      <w:r w:rsidRPr="00051E6B">
        <w:rPr>
          <w:sz w:val="22"/>
          <w:szCs w:val="22"/>
        </w:rPr>
        <w:t xml:space="preserve">проектите на </w:t>
      </w:r>
      <w:r w:rsidRPr="00051E6B">
        <w:rPr>
          <w:bCs/>
          <w:sz w:val="22"/>
          <w:szCs w:val="22"/>
        </w:rPr>
        <w:t>Национална стратегия за цифрова трансформация на Република България с Пътна карта.</w:t>
      </w:r>
    </w:p>
    <w:p w14:paraId="5542A857" w14:textId="77777777" w:rsidR="009847F3" w:rsidRPr="00051E6B" w:rsidRDefault="009847F3" w:rsidP="004E5A4B">
      <w:pPr>
        <w:widowControl w:val="0"/>
        <w:shd w:val="clear" w:color="auto" w:fill="FFFFFF" w:themeFill="background1"/>
        <w:suppressAutoHyphens/>
        <w:autoSpaceDE w:val="0"/>
        <w:autoSpaceDN w:val="0"/>
        <w:ind w:firstLine="426"/>
        <w:jc w:val="both"/>
        <w:textAlignment w:val="baseline"/>
        <w:rPr>
          <w:sz w:val="22"/>
          <w:szCs w:val="22"/>
        </w:rPr>
      </w:pPr>
      <w:r w:rsidRPr="00051E6B">
        <w:rPr>
          <w:sz w:val="22"/>
          <w:szCs w:val="22"/>
        </w:rPr>
        <w:t xml:space="preserve">ДАА управлява критично важни за НАФ и обществото информационни системи и услуги, </w:t>
      </w:r>
      <w:r w:rsidRPr="00051E6B">
        <w:rPr>
          <w:sz w:val="22"/>
          <w:szCs w:val="22"/>
        </w:rPr>
        <w:lastRenderedPageBreak/>
        <w:t>които са от ключово значение за функционирането на държавните архиви, осигурявайки както административни процеси, така и публичен достъп до описанията на архивните документи и техни копия. Тяхната надеждност, сигурност и непрекъсваемост са не само нормативно задължение, но и обществена необходимост. Поддръжката и развитието на този информационен актив в последните десет години са реализирани при недостатъчно финансиране и с фокус към надеждността. Това наложи инициирането от ДАА на промени за въвеждане на комплекс от мерки, релевантни към киберзаплахите и поддържани в съответствие с добрите практики в областта. С Решение № 450 на Министерския съвет от 10.07.2025 г., е допълнено РМС № 727/2019 г., като ДАА е включена към административните органи, които възлагат дейностите по системна интеграция на Системния интегратор „Информационно обслужване“ АД.</w:t>
      </w:r>
    </w:p>
    <w:p w14:paraId="79410418" w14:textId="36FA6107" w:rsidR="009847F3" w:rsidRPr="00051E6B" w:rsidRDefault="009847F3" w:rsidP="004E5A4B">
      <w:pPr>
        <w:widowControl w:val="0"/>
        <w:shd w:val="clear" w:color="auto" w:fill="FFFFFF" w:themeFill="background1"/>
        <w:suppressAutoHyphens/>
        <w:autoSpaceDE w:val="0"/>
        <w:autoSpaceDN w:val="0"/>
        <w:ind w:firstLine="426"/>
        <w:jc w:val="both"/>
        <w:textAlignment w:val="baseline"/>
        <w:rPr>
          <w:sz w:val="22"/>
          <w:szCs w:val="22"/>
        </w:rPr>
      </w:pPr>
      <w:r w:rsidRPr="00051E6B">
        <w:rPr>
          <w:sz w:val="22"/>
          <w:szCs w:val="22"/>
        </w:rPr>
        <w:t>През отчетния период се запазват тенденциите за увеличено ползване на Дигиталния архив от потребители на архивна информация през публичната част на ИСДА (37 093 показвания, което е над средното за първите шестмесечия на последните три години) и интересът към сайтовете (административен и тематични колекции от платформата „Архивите говорят“).</w:t>
      </w:r>
      <w:r w:rsidRPr="00D87FCB">
        <w:rPr>
          <w:sz w:val="22"/>
          <w:szCs w:val="22"/>
        </w:rPr>
        <w:t xml:space="preserve"> </w:t>
      </w:r>
      <w:r w:rsidRPr="00051E6B">
        <w:rPr>
          <w:sz w:val="22"/>
          <w:szCs w:val="22"/>
        </w:rPr>
        <w:t>Изключително голяма популярност придобиват и социалните медии, особено Фейсбук, който</w:t>
      </w:r>
      <w:r w:rsidRPr="00D87FCB">
        <w:rPr>
          <w:sz w:val="22"/>
          <w:szCs w:val="22"/>
        </w:rPr>
        <w:t xml:space="preserve"> </w:t>
      </w:r>
      <w:r w:rsidRPr="00051E6B">
        <w:rPr>
          <w:sz w:val="22"/>
          <w:szCs w:val="22"/>
        </w:rPr>
        <w:t xml:space="preserve">несъмнено се превърна в мощен инструмент за комуникация, със стотици хиляди интеракции на потребители и активно участие от тяхна страна с коментари и дискусии. </w:t>
      </w:r>
    </w:p>
    <w:p w14:paraId="4E46FB8A" w14:textId="77777777" w:rsidR="009847F3" w:rsidRPr="00D87FCB" w:rsidRDefault="009847F3" w:rsidP="00537151">
      <w:pPr>
        <w:widowControl w:val="0"/>
        <w:shd w:val="clear" w:color="auto" w:fill="FFFFFF" w:themeFill="background1"/>
        <w:suppressAutoHyphens/>
        <w:autoSpaceDE w:val="0"/>
        <w:autoSpaceDN w:val="0"/>
        <w:ind w:firstLine="426"/>
        <w:jc w:val="both"/>
        <w:textAlignment w:val="baseline"/>
        <w:rPr>
          <w:sz w:val="22"/>
          <w:szCs w:val="22"/>
        </w:rPr>
      </w:pPr>
      <w:r w:rsidRPr="00D87FCB">
        <w:rPr>
          <w:sz w:val="22"/>
          <w:szCs w:val="22"/>
        </w:rPr>
        <w:t>През 2025 г. продължи изпълнението от ДАА на дейностите по НПВУ</w:t>
      </w:r>
      <w:r w:rsidRPr="00D87FCB">
        <w:t>, в качеството й на краен получател – партньор, по инвестиция С11.I7 „</w:t>
      </w:r>
      <w:r w:rsidRPr="00D87FCB">
        <w:rPr>
          <w:sz w:val="22"/>
          <w:szCs w:val="22"/>
        </w:rPr>
        <w:t>Цифровизация на музейни колекции, библиотеки и архиви</w:t>
      </w:r>
      <w:r w:rsidRPr="00D87FCB">
        <w:t xml:space="preserve">“. Това е </w:t>
      </w:r>
      <w:r w:rsidRPr="00D87FCB">
        <w:rPr>
          <w:sz w:val="22"/>
          <w:szCs w:val="22"/>
        </w:rPr>
        <w:t xml:space="preserve">единствената пряко упомената мярка, свързана с Агенцията, в Програмата за управление на Република България за периода 2025–2029 г. </w:t>
      </w:r>
      <w:r w:rsidRPr="00D87FCB">
        <w:t xml:space="preserve">Дейността е в пряка връзка в попълването на Дигиталния архив и е в изпълнение на </w:t>
      </w:r>
      <w:r w:rsidRPr="00D87FCB">
        <w:rPr>
          <w:sz w:val="22"/>
          <w:szCs w:val="22"/>
        </w:rPr>
        <w:t>политиките на държавата по дигитализиране, опазване и съхранение на културното наследство за осигуряване на свободен достъп на всички заинтересовани страни до културното богатство на страната. С натрупване от 01.01.2023 г. до 30.06.2025 г., ДАА отчита изпълнение на 69.01% от подлежащите за дигитализация архивни документи в цялост с метаданни по инвестицията. Извършва се разглеждане и оценка на офертите, подадени по обявената обществена поръчка 01463-2025-0001 „Закупуване на специализирана техника за дигитализация, реставрация и консервация на архивни документи” с две обособени позиции. За изпълнение на инвестиция С11.I7 от НПВУ ДАА използва цялата си наличната сканираща техника, която е силно амортизирана, значителна част от нея се нуждае от ремонт, профилактика и подмяна. За постигане на завишените планови показатели при запазване на качеството е необходимо закупуване и на допълнителна техника, извън заложената по инвестицията, като за целта се поучават и възможностите за проектно финансиране.</w:t>
      </w:r>
    </w:p>
    <w:p w14:paraId="142CA97D" w14:textId="08E9D91D" w:rsidR="009847F3" w:rsidRPr="00051E6B" w:rsidRDefault="009847F3" w:rsidP="00537151">
      <w:pPr>
        <w:widowControl w:val="0"/>
        <w:shd w:val="clear" w:color="auto" w:fill="FFFFFF" w:themeFill="background1"/>
        <w:suppressAutoHyphens/>
        <w:autoSpaceDE w:val="0"/>
        <w:autoSpaceDN w:val="0"/>
        <w:ind w:firstLine="426"/>
        <w:jc w:val="both"/>
        <w:textAlignment w:val="baseline"/>
        <w:rPr>
          <w:sz w:val="22"/>
          <w:szCs w:val="22"/>
        </w:rPr>
      </w:pPr>
      <w:r w:rsidRPr="00051E6B">
        <w:rPr>
          <w:sz w:val="22"/>
          <w:szCs w:val="22"/>
        </w:rPr>
        <w:t>Развитието и модернизирането на държавните архиви е пряко обвързано с опазването и съхранението на документалното богатство на нацията. ДАА стопанисва 60 административни сгради и архивохранилища на територията на 28-те областни центъра в страната. Без подходящо оборудвани и климатизирани архивохранилища поради ограничения финансов ресурс не могат да бъдат постигнати оптималните условия за съхранение на архивните документи. Трайната тенденция на значителни отклонения при температурно-</w:t>
      </w:r>
      <w:proofErr w:type="spellStart"/>
      <w:r w:rsidRPr="00051E6B">
        <w:rPr>
          <w:sz w:val="22"/>
          <w:szCs w:val="22"/>
        </w:rPr>
        <w:t>влажностния</w:t>
      </w:r>
      <w:proofErr w:type="spellEnd"/>
      <w:r w:rsidRPr="00051E6B">
        <w:rPr>
          <w:sz w:val="22"/>
          <w:szCs w:val="22"/>
        </w:rPr>
        <w:t xml:space="preserve"> режим създава риск от физическо увреждане и унищожаване на ценни архивни документи в един екземпляр. Това ограничава възможността за бъдещата им използваемост. Особено внимание изисква о</w:t>
      </w:r>
      <w:r w:rsidRPr="00D87FCB">
        <w:rPr>
          <w:sz w:val="22"/>
          <w:szCs w:val="22"/>
        </w:rPr>
        <w:t>пазването и правилното съхранение на документите в риск</w:t>
      </w:r>
      <w:r w:rsidRPr="00051E6B">
        <w:rPr>
          <w:sz w:val="22"/>
          <w:szCs w:val="22"/>
        </w:rPr>
        <w:t xml:space="preserve">, </w:t>
      </w:r>
      <w:r w:rsidRPr="00D87FCB">
        <w:rPr>
          <w:sz w:val="22"/>
          <w:szCs w:val="22"/>
        </w:rPr>
        <w:t xml:space="preserve">съхранявани в Централния държавен архив и в Държавен </w:t>
      </w:r>
      <w:r w:rsidR="00D87FCB">
        <w:rPr>
          <w:sz w:val="22"/>
          <w:szCs w:val="22"/>
        </w:rPr>
        <w:br/>
      </w:r>
      <w:r w:rsidRPr="00D87FCB">
        <w:rPr>
          <w:sz w:val="22"/>
          <w:szCs w:val="22"/>
        </w:rPr>
        <w:t>архив – София. К</w:t>
      </w:r>
      <w:r w:rsidRPr="00051E6B">
        <w:rPr>
          <w:sz w:val="22"/>
          <w:szCs w:val="22"/>
        </w:rPr>
        <w:t xml:space="preserve">ритични са показателите в </w:t>
      </w:r>
      <w:proofErr w:type="spellStart"/>
      <w:r w:rsidRPr="00051E6B">
        <w:rPr>
          <w:sz w:val="22"/>
          <w:szCs w:val="22"/>
        </w:rPr>
        <w:t>архивохранилищна</w:t>
      </w:r>
      <w:proofErr w:type="spellEnd"/>
      <w:r w:rsidRPr="00051E6B">
        <w:rPr>
          <w:sz w:val="22"/>
          <w:szCs w:val="22"/>
        </w:rPr>
        <w:t xml:space="preserve"> база „</w:t>
      </w:r>
      <w:proofErr w:type="spellStart"/>
      <w:r w:rsidRPr="00051E6B">
        <w:rPr>
          <w:sz w:val="22"/>
          <w:szCs w:val="22"/>
        </w:rPr>
        <w:t>Биримирци</w:t>
      </w:r>
      <w:proofErr w:type="spellEnd"/>
      <w:r w:rsidRPr="00051E6B">
        <w:rPr>
          <w:sz w:val="22"/>
          <w:szCs w:val="22"/>
        </w:rPr>
        <w:t xml:space="preserve">“, която е разположена в зона с висок сеизмичен риск и с висока относителна влажност, застрашаваща физическото състояние на архивните документи. Проблемът се задълбочава и от наличието на вредители. Към настоящия момент в риск </w:t>
      </w:r>
      <w:r w:rsidRPr="00D87FCB">
        <w:rPr>
          <w:sz w:val="22"/>
          <w:szCs w:val="22"/>
        </w:rPr>
        <w:t>от увреждане или безвъзвратна загуба</w:t>
      </w:r>
      <w:r w:rsidRPr="00051E6B">
        <w:rPr>
          <w:sz w:val="22"/>
          <w:szCs w:val="22"/>
        </w:rPr>
        <w:t xml:space="preserve"> в архивохранилище „</w:t>
      </w:r>
      <w:proofErr w:type="spellStart"/>
      <w:r w:rsidRPr="00051E6B">
        <w:rPr>
          <w:sz w:val="22"/>
          <w:szCs w:val="22"/>
        </w:rPr>
        <w:t>Биримирци</w:t>
      </w:r>
      <w:proofErr w:type="spellEnd"/>
      <w:r w:rsidRPr="00051E6B">
        <w:rPr>
          <w:sz w:val="22"/>
          <w:szCs w:val="22"/>
        </w:rPr>
        <w:t>“ са около 9</w:t>
      </w:r>
      <w:r w:rsidR="00A64027">
        <w:rPr>
          <w:sz w:val="22"/>
          <w:szCs w:val="22"/>
        </w:rPr>
        <w:t xml:space="preserve"> </w:t>
      </w:r>
      <w:r w:rsidRPr="00051E6B">
        <w:rPr>
          <w:sz w:val="22"/>
          <w:szCs w:val="22"/>
        </w:rPr>
        <w:t xml:space="preserve">300 линейни метра ценни документа, за които е необходимо спешно предприемане на мерки за тяхното преместване. Ежегодно, с приемането на нови постъпления, техният обем нараства. ДАА не разполага с достатъчна свободна </w:t>
      </w:r>
      <w:proofErr w:type="spellStart"/>
      <w:r w:rsidRPr="00051E6B">
        <w:rPr>
          <w:sz w:val="22"/>
          <w:szCs w:val="22"/>
        </w:rPr>
        <w:t>архивохранилищна</w:t>
      </w:r>
      <w:proofErr w:type="spellEnd"/>
      <w:r w:rsidRPr="00051E6B">
        <w:rPr>
          <w:sz w:val="22"/>
          <w:szCs w:val="22"/>
        </w:rPr>
        <w:t xml:space="preserve"> площ и е представила мотивирани предложения с подходящи решения за преодоляването на проблема. Агенцията е в контакт с компетентните държавни органи за предоставяне на подходящи терен и сграда за опазване на документите в риск. Проучват се и възможностите чрез проектно финансиране за ремонт и оборудване на сгради в страната.</w:t>
      </w:r>
    </w:p>
    <w:p w14:paraId="106ED769" w14:textId="77777777" w:rsidR="009847F3" w:rsidRPr="00A64027" w:rsidRDefault="009847F3" w:rsidP="00537151">
      <w:pPr>
        <w:widowControl w:val="0"/>
        <w:shd w:val="clear" w:color="auto" w:fill="FFFFFF" w:themeFill="background1"/>
        <w:suppressAutoHyphens/>
        <w:autoSpaceDE w:val="0"/>
        <w:autoSpaceDN w:val="0"/>
        <w:ind w:firstLine="426"/>
        <w:jc w:val="both"/>
        <w:textAlignment w:val="baseline"/>
        <w:rPr>
          <w:sz w:val="22"/>
          <w:szCs w:val="22"/>
        </w:rPr>
      </w:pPr>
      <w:r w:rsidRPr="00A64027">
        <w:rPr>
          <w:sz w:val="22"/>
          <w:szCs w:val="22"/>
        </w:rPr>
        <w:lastRenderedPageBreak/>
        <w:t xml:space="preserve">През първото полугодие на 2025 г. продължи изпълнението на сключения между ДАА, в качеството й на краен получател, и Министерството на регионалното развитие и благоустройството, в качеството на Структура за наблюдение и докладване, договор за финансиране за предоставяне на средства на крайни получатели от Механизма за възстановяване и устойчивост, Процедура за предоставяне на средства чрез подбор на предложения за изпълнение на инвестиции (ПИИ) BG-RRP-4.020 „Подкрепа за устойчиво енергийно обновяване на публичен сграден фонд за административно обслужване, култура и спорт“, за изпълнение на Инвестиция (ПИИ) № BG-RRP-4.020-0057 „Устойчиво енергийно обновяване на сграда на ДАА, ул. „Московска“ № 5, гр. София“. </w:t>
      </w:r>
    </w:p>
    <w:p w14:paraId="074A9710" w14:textId="77777777" w:rsidR="009847F3" w:rsidRPr="00051E6B" w:rsidRDefault="009847F3" w:rsidP="00537151">
      <w:pPr>
        <w:widowControl w:val="0"/>
        <w:shd w:val="clear" w:color="auto" w:fill="FFFFFF" w:themeFill="background1"/>
        <w:suppressAutoHyphens/>
        <w:autoSpaceDE w:val="0"/>
        <w:autoSpaceDN w:val="0"/>
        <w:ind w:firstLine="426"/>
        <w:jc w:val="both"/>
        <w:textAlignment w:val="baseline"/>
        <w:rPr>
          <w:sz w:val="22"/>
          <w:szCs w:val="22"/>
        </w:rPr>
      </w:pPr>
      <w:r w:rsidRPr="00051E6B">
        <w:rPr>
          <w:sz w:val="22"/>
          <w:szCs w:val="22"/>
        </w:rPr>
        <w:t>ДАА проявява стремеж към иновативен подход за формиране на общественото разбиране за значението и функциите на Агенцията като национална институция, съхраняваща културно-историческото документално наследство и осигуряваща използване му в общодостъпна форма в обществен интерес. През първата половина на 2025 г. ДАА осъществи интензивна популяризаторска дейност по линия на изготвяне, представяне и участие в петнадесет изложби в София, посветени на: конституциите на България и световния отзвук от Априлското въстание през 1876 г. (съвместно с Народното събрание), паметта на жертвите от атентата в църквата „Св. Неделя“ през 1925 г., 90 години от създаването на Българското национално радио, българския художник от чешки произход Ярослав Вешин (по повод Международния ден на архивите – 9 юни) и др. Общо в страната, извън столицата, от държавните архиви през разглеждания период са организирани сто изложби.</w:t>
      </w:r>
    </w:p>
    <w:p w14:paraId="5391F1F7" w14:textId="77777777" w:rsidR="009847F3" w:rsidRPr="00051E6B" w:rsidRDefault="009847F3" w:rsidP="00537151">
      <w:pPr>
        <w:widowControl w:val="0"/>
        <w:shd w:val="clear" w:color="auto" w:fill="FFFFFF" w:themeFill="background1"/>
        <w:suppressAutoHyphens/>
        <w:autoSpaceDE w:val="0"/>
        <w:autoSpaceDN w:val="0"/>
        <w:ind w:firstLine="426"/>
        <w:jc w:val="both"/>
        <w:textAlignment w:val="baseline"/>
        <w:rPr>
          <w:sz w:val="22"/>
          <w:szCs w:val="22"/>
        </w:rPr>
      </w:pPr>
      <w:r w:rsidRPr="00051E6B">
        <w:rPr>
          <w:sz w:val="22"/>
          <w:szCs w:val="22"/>
        </w:rPr>
        <w:t xml:space="preserve">В отношенията си с чуждестранни партньори, ДАА бе домакин на срещи с посланиците на Обединените арабски емирства, Великобритания и Монголия, на които бяха инициирани конкретни дейности за задълбочаване на отношенията между техните страни и Република България: съвместни изложби – за влиянието на Априлското въстание върху британската вътрешна политика и по повод 75-та годишнина от установяване на българо-монголски дипломатически отношения. Отправена е и покана до Националната библиотека и архив на ОАЕ за официално посещение в София през есента на 2025 г. и за подписване на споразумение за сътрудничество. В напреднал етап са процедури за подписване на споразумения за сътрудничество с Дирекцията на държавния архив към президентството на Република Турция и със Световния възпоменателен център „Яд </w:t>
      </w:r>
      <w:proofErr w:type="spellStart"/>
      <w:r w:rsidRPr="00051E6B">
        <w:rPr>
          <w:sz w:val="22"/>
          <w:szCs w:val="22"/>
        </w:rPr>
        <w:t>Вашем</w:t>
      </w:r>
      <w:proofErr w:type="spellEnd"/>
      <w:r w:rsidRPr="00051E6B">
        <w:rPr>
          <w:sz w:val="22"/>
          <w:szCs w:val="22"/>
        </w:rPr>
        <w:t xml:space="preserve">“ в Йерусалим. През първата половина на 2025 г. в държавата, председателстваща Съвета на Европейския съюз – Полша се проведоха срещите на Групата на европейските архиви и Европейския борд на националните </w:t>
      </w:r>
      <w:proofErr w:type="spellStart"/>
      <w:r w:rsidRPr="00051E6B">
        <w:rPr>
          <w:sz w:val="22"/>
          <w:szCs w:val="22"/>
        </w:rPr>
        <w:t>архивисти</w:t>
      </w:r>
      <w:proofErr w:type="spellEnd"/>
      <w:r w:rsidRPr="00051E6B">
        <w:rPr>
          <w:sz w:val="22"/>
          <w:szCs w:val="22"/>
        </w:rPr>
        <w:t xml:space="preserve">, на които участва председателят на ДАА доц. д-р Михаил Груев. ДАА е и единствената национална институция, която се отзова на поканите на дипломатически представители на Република България в Северна Америка за участие в проекти, посветени на Първата световна война (Канада и САЩ), както и за Испанската гражданската война от 1936–1939 г. (в Канада). </w:t>
      </w:r>
    </w:p>
    <w:p w14:paraId="20FC7091" w14:textId="77777777" w:rsidR="009847F3" w:rsidRPr="00051E6B" w:rsidRDefault="009847F3" w:rsidP="00537151">
      <w:pPr>
        <w:widowControl w:val="0"/>
        <w:shd w:val="clear" w:color="auto" w:fill="FFFFFF" w:themeFill="background1"/>
        <w:suppressAutoHyphens/>
        <w:autoSpaceDE w:val="0"/>
        <w:autoSpaceDN w:val="0"/>
        <w:ind w:firstLine="426"/>
        <w:jc w:val="both"/>
        <w:textAlignment w:val="baseline"/>
        <w:rPr>
          <w:sz w:val="22"/>
          <w:szCs w:val="22"/>
        </w:rPr>
      </w:pPr>
      <w:r w:rsidRPr="00051E6B">
        <w:rPr>
          <w:sz w:val="22"/>
          <w:szCs w:val="22"/>
        </w:rPr>
        <w:t xml:space="preserve">ДАА е търсен партньор в страната и чужбина за реализиране на съвместни проекти, което създава необходимост от осигуряване на ресурс за развитие на популяризаторската и международната дейност на Агенцията в области като: задълбочаване на взаимоотношенията и обмена на информация, добри практики и копия на архивни документи с чуждестранни национални архивни институции; участие в международни форуми, съвместни инициативи и работни групи; въвеждане на иновативни продукти, включително и такива, базирани на изкуствен интелект, за популяризиране на националното архивно наследство сред вътрешна и чуждестранна публика и др. </w:t>
      </w:r>
    </w:p>
    <w:p w14:paraId="0F772A5E" w14:textId="77777777" w:rsidR="009847F3" w:rsidRPr="00051E6B" w:rsidRDefault="009847F3" w:rsidP="00537151">
      <w:pPr>
        <w:widowControl w:val="0"/>
        <w:shd w:val="clear" w:color="auto" w:fill="FFFFFF" w:themeFill="background1"/>
        <w:suppressAutoHyphens/>
        <w:autoSpaceDE w:val="0"/>
        <w:autoSpaceDN w:val="0"/>
        <w:spacing w:after="120"/>
        <w:ind w:firstLine="425"/>
        <w:jc w:val="both"/>
        <w:textAlignment w:val="baseline"/>
        <w:rPr>
          <w:sz w:val="22"/>
          <w:szCs w:val="22"/>
        </w:rPr>
      </w:pPr>
      <w:r w:rsidRPr="00051E6B">
        <w:rPr>
          <w:sz w:val="22"/>
          <w:szCs w:val="22"/>
        </w:rPr>
        <w:t xml:space="preserve">Паралелно с нормативно определените функции, с висок приоритет и през 2025 г. е изведена дейността за подобряване на управлението на човешките ресурси в ДАА чрез провеждане на устойчива политика за повишаване на възнагражденията на служителите, както и за подобряване на условията на труд. Въпреки приложената през 2024 г. Методика за преодоляване на диспропорциите във възнагражденията на държавните служители, равнищата на заплащане на експертите и специалистите в Агенцията (по длъжности) спрямо средните нива в публичния сектор изостават. Ръководството на ДАА продължава целенасочените си действия за преодоляване на диспропорциите във възнагражденията с цел мотивиране на служителите и привличане на нови кадри за осигуряване на приемственост при предаването на специализираните знания и умения в областта на архивистиката. Въз основа на проучени добри бизнес практики беше разработена от екип на Агенцията и утвърдена през 2025 г. HR Стратегия на Държавна агенция „Архиви“ за </w:t>
      </w:r>
      <w:r w:rsidRPr="00051E6B">
        <w:rPr>
          <w:sz w:val="22"/>
          <w:szCs w:val="22"/>
        </w:rPr>
        <w:lastRenderedPageBreak/>
        <w:t xml:space="preserve">изграждане на силна работодателска марка (EMPLOYER BRANDING STRATEGY) за периода 2025–2030 г. </w:t>
      </w:r>
      <w:r w:rsidRPr="00A64027">
        <w:rPr>
          <w:sz w:val="22"/>
          <w:szCs w:val="22"/>
        </w:rPr>
        <w:t>Прилагането на Стратегията е процес със средносрочен хоризонт и неговото реализиране изисква прилагане на практики, които са иновативни за държавната администрация и изискват активната подкрепа от висшия мениджмънт.</w:t>
      </w:r>
      <w:r w:rsidRPr="00051E6B">
        <w:rPr>
          <w:sz w:val="22"/>
          <w:szCs w:val="22"/>
        </w:rPr>
        <w:t xml:space="preserve"> Реализацията й се основава на различни източници на финансиране – бюджетно и при възможност проектно финансиране.</w:t>
      </w:r>
    </w:p>
    <w:p w14:paraId="12C5336D" w14:textId="454D9792" w:rsidR="005F6A7C" w:rsidRPr="00406176" w:rsidRDefault="00406176" w:rsidP="00537151">
      <w:pPr>
        <w:widowControl w:val="0"/>
        <w:shd w:val="clear" w:color="auto" w:fill="FFFFFF" w:themeFill="background1"/>
        <w:tabs>
          <w:tab w:val="left" w:pos="426"/>
        </w:tabs>
        <w:ind w:firstLine="425"/>
        <w:jc w:val="both"/>
        <w:outlineLvl w:val="3"/>
        <w:rPr>
          <w:b/>
          <w:bCs/>
          <w:iCs/>
          <w:color w:val="215E99" w:themeColor="text2" w:themeTint="BF"/>
          <w:sz w:val="22"/>
          <w:szCs w:val="22"/>
          <w:lang w:eastAsia="en-US"/>
        </w:rPr>
      </w:pPr>
      <w:r w:rsidRPr="00406176">
        <w:rPr>
          <w:b/>
          <w:bCs/>
          <w:iCs/>
          <w:color w:val="215E99" w:themeColor="text2" w:themeTint="BF"/>
          <w:sz w:val="22"/>
          <w:szCs w:val="22"/>
          <w:lang w:eastAsia="en-US"/>
        </w:rPr>
        <w:t>Отчет на разходите по бюджетната програма с разпределение по ведомствени и администрирани разходи</w:t>
      </w:r>
    </w:p>
    <w:bookmarkEnd w:id="66"/>
    <w:bookmarkEnd w:id="67"/>
    <w:bookmarkEnd w:id="68"/>
    <w:bookmarkEnd w:id="69"/>
    <w:bookmarkEnd w:id="70"/>
    <w:bookmarkEnd w:id="71"/>
    <w:bookmarkEnd w:id="72"/>
    <w:p w14:paraId="457BA3E3" w14:textId="77777777" w:rsidR="00406176" w:rsidRPr="003356D9" w:rsidRDefault="00072CAB" w:rsidP="00537151">
      <w:pPr>
        <w:shd w:val="clear" w:color="auto" w:fill="FFFFFF" w:themeFill="background1"/>
        <w:jc w:val="right"/>
        <w:rPr>
          <w:bCs/>
          <w:i/>
          <w:sz w:val="20"/>
          <w:szCs w:val="20"/>
        </w:rPr>
      </w:pPr>
      <w:r w:rsidRPr="003356D9">
        <w:rPr>
          <w:b/>
          <w:bCs/>
          <w:i/>
          <w:sz w:val="20"/>
          <w:szCs w:val="20"/>
        </w:rPr>
        <w:t>Приложение № 7</w:t>
      </w:r>
      <w:r w:rsidR="00406176" w:rsidRPr="003356D9">
        <w:rPr>
          <w:bCs/>
          <w:i/>
          <w:sz w:val="20"/>
          <w:szCs w:val="20"/>
        </w:rPr>
        <w:t xml:space="preserve"> </w:t>
      </w:r>
    </w:p>
    <w:p w14:paraId="56CAAD08" w14:textId="473132EE" w:rsidR="00072CAB" w:rsidRDefault="00072CAB" w:rsidP="00537151">
      <w:pPr>
        <w:shd w:val="clear" w:color="auto" w:fill="FFFFFF" w:themeFill="background1"/>
        <w:jc w:val="both"/>
        <w:rPr>
          <w:bCs/>
          <w:i/>
          <w:sz w:val="20"/>
          <w:szCs w:val="20"/>
        </w:rPr>
      </w:pPr>
      <w:r w:rsidRPr="003356D9">
        <w:rPr>
          <w:bCs/>
          <w:i/>
          <w:sz w:val="20"/>
          <w:szCs w:val="20"/>
        </w:rPr>
        <w:t>Отчет на разходите по бюджетните програми с разпределение по ведомствени и администрирани разходи</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354"/>
        <w:gridCol w:w="936"/>
        <w:gridCol w:w="936"/>
        <w:gridCol w:w="856"/>
      </w:tblGrid>
      <w:tr w:rsidR="006323C9" w:rsidRPr="005136AC" w14:paraId="00826A33" w14:textId="77777777" w:rsidTr="00AE7EF2">
        <w:trPr>
          <w:trHeight w:val="315"/>
        </w:trPr>
        <w:tc>
          <w:tcPr>
            <w:tcW w:w="237" w:type="pct"/>
            <w:vMerge w:val="restart"/>
            <w:shd w:val="clear" w:color="000000" w:fill="E6E6E6"/>
            <w:noWrap/>
            <w:vAlign w:val="center"/>
            <w:hideMark/>
          </w:tcPr>
          <w:p w14:paraId="0A847998" w14:textId="77777777" w:rsidR="00D532E9" w:rsidRPr="005136AC" w:rsidRDefault="00D532E9">
            <w:pPr>
              <w:jc w:val="center"/>
              <w:rPr>
                <w:b/>
                <w:bCs/>
                <w:sz w:val="16"/>
                <w:szCs w:val="16"/>
              </w:rPr>
            </w:pPr>
            <w:r w:rsidRPr="005136AC">
              <w:rPr>
                <w:b/>
                <w:bCs/>
                <w:sz w:val="16"/>
                <w:szCs w:val="16"/>
              </w:rPr>
              <w:t>№</w:t>
            </w:r>
          </w:p>
        </w:tc>
        <w:tc>
          <w:tcPr>
            <w:tcW w:w="3273" w:type="pct"/>
            <w:tcBorders>
              <w:bottom w:val="nil"/>
            </w:tcBorders>
            <w:shd w:val="clear" w:color="000000" w:fill="E6E6E6"/>
            <w:noWrap/>
            <w:vAlign w:val="center"/>
            <w:hideMark/>
          </w:tcPr>
          <w:p w14:paraId="17396C40" w14:textId="77777777" w:rsidR="00D532E9" w:rsidRPr="005136AC" w:rsidRDefault="00D532E9">
            <w:pPr>
              <w:jc w:val="center"/>
              <w:rPr>
                <w:b/>
                <w:bCs/>
                <w:sz w:val="16"/>
                <w:szCs w:val="16"/>
              </w:rPr>
            </w:pPr>
            <w:r w:rsidRPr="005136AC">
              <w:rPr>
                <w:b/>
                <w:bCs/>
                <w:sz w:val="16"/>
                <w:szCs w:val="16"/>
              </w:rPr>
              <w:t>0300.05.01 'Бюджетна програма „Национален архивен фонд”</w:t>
            </w:r>
          </w:p>
        </w:tc>
        <w:tc>
          <w:tcPr>
            <w:tcW w:w="485" w:type="pct"/>
            <w:vMerge w:val="restart"/>
            <w:shd w:val="clear" w:color="000000" w:fill="E6E6E6"/>
            <w:vAlign w:val="center"/>
            <w:hideMark/>
          </w:tcPr>
          <w:p w14:paraId="10FA974A" w14:textId="77777777" w:rsidR="00D532E9" w:rsidRPr="005136AC" w:rsidRDefault="00D532E9">
            <w:pPr>
              <w:jc w:val="center"/>
              <w:rPr>
                <w:b/>
                <w:bCs/>
                <w:sz w:val="16"/>
                <w:szCs w:val="16"/>
              </w:rPr>
            </w:pPr>
            <w:r w:rsidRPr="005136AC">
              <w:rPr>
                <w:b/>
                <w:bCs/>
                <w:sz w:val="16"/>
                <w:szCs w:val="16"/>
              </w:rPr>
              <w:t>Закон</w:t>
            </w:r>
          </w:p>
        </w:tc>
        <w:tc>
          <w:tcPr>
            <w:tcW w:w="485" w:type="pct"/>
            <w:vMerge w:val="restart"/>
            <w:shd w:val="clear" w:color="000000" w:fill="E6E6E6"/>
            <w:vAlign w:val="center"/>
            <w:hideMark/>
          </w:tcPr>
          <w:p w14:paraId="788AA2A8" w14:textId="77777777" w:rsidR="00D532E9" w:rsidRPr="005136AC" w:rsidRDefault="00D532E9">
            <w:pPr>
              <w:jc w:val="center"/>
              <w:rPr>
                <w:b/>
                <w:bCs/>
                <w:sz w:val="16"/>
                <w:szCs w:val="16"/>
              </w:rPr>
            </w:pPr>
            <w:r w:rsidRPr="005136AC">
              <w:rPr>
                <w:b/>
                <w:bCs/>
                <w:sz w:val="16"/>
                <w:szCs w:val="16"/>
              </w:rPr>
              <w:t>Уточнен план</w:t>
            </w:r>
          </w:p>
        </w:tc>
        <w:tc>
          <w:tcPr>
            <w:tcW w:w="520" w:type="pct"/>
            <w:vMerge w:val="restart"/>
            <w:shd w:val="clear" w:color="000000" w:fill="E6E6E6"/>
            <w:vAlign w:val="center"/>
            <w:hideMark/>
          </w:tcPr>
          <w:p w14:paraId="798F10BF" w14:textId="77777777" w:rsidR="00D532E9" w:rsidRPr="005136AC" w:rsidRDefault="00D532E9">
            <w:pPr>
              <w:jc w:val="center"/>
              <w:rPr>
                <w:b/>
                <w:bCs/>
                <w:sz w:val="16"/>
                <w:szCs w:val="16"/>
              </w:rPr>
            </w:pPr>
            <w:r w:rsidRPr="005136AC">
              <w:rPr>
                <w:b/>
                <w:bCs/>
                <w:sz w:val="16"/>
                <w:szCs w:val="16"/>
              </w:rPr>
              <w:t>Отчет</w:t>
            </w:r>
          </w:p>
        </w:tc>
      </w:tr>
      <w:tr w:rsidR="00AE7EF2" w:rsidRPr="005136AC" w14:paraId="1CA321DA" w14:textId="77777777" w:rsidTr="00AE7EF2">
        <w:trPr>
          <w:trHeight w:val="60"/>
        </w:trPr>
        <w:tc>
          <w:tcPr>
            <w:tcW w:w="237" w:type="pct"/>
            <w:vMerge/>
            <w:vAlign w:val="center"/>
            <w:hideMark/>
          </w:tcPr>
          <w:p w14:paraId="2630CEEA" w14:textId="77777777" w:rsidR="00D532E9" w:rsidRPr="005136AC" w:rsidRDefault="00D532E9">
            <w:pPr>
              <w:rPr>
                <w:b/>
                <w:bCs/>
                <w:sz w:val="16"/>
                <w:szCs w:val="16"/>
              </w:rPr>
            </w:pPr>
          </w:p>
        </w:tc>
        <w:tc>
          <w:tcPr>
            <w:tcW w:w="3273" w:type="pct"/>
            <w:tcBorders>
              <w:top w:val="nil"/>
            </w:tcBorders>
            <w:shd w:val="clear" w:color="000000" w:fill="E6E6E6"/>
            <w:noWrap/>
            <w:vAlign w:val="center"/>
            <w:hideMark/>
          </w:tcPr>
          <w:p w14:paraId="397EBD2D" w14:textId="77777777" w:rsidR="00D532E9" w:rsidRPr="005136AC" w:rsidRDefault="00D532E9">
            <w:pPr>
              <w:jc w:val="center"/>
              <w:rPr>
                <w:b/>
                <w:bCs/>
                <w:sz w:val="16"/>
                <w:szCs w:val="16"/>
              </w:rPr>
            </w:pPr>
            <w:r w:rsidRPr="005136AC">
              <w:rPr>
                <w:b/>
                <w:bCs/>
                <w:sz w:val="16"/>
                <w:szCs w:val="16"/>
              </w:rPr>
              <w:t>(в лева)</w:t>
            </w:r>
          </w:p>
        </w:tc>
        <w:tc>
          <w:tcPr>
            <w:tcW w:w="485" w:type="pct"/>
            <w:vMerge/>
            <w:vAlign w:val="center"/>
            <w:hideMark/>
          </w:tcPr>
          <w:p w14:paraId="4E2C4857" w14:textId="77777777" w:rsidR="00D532E9" w:rsidRPr="005136AC" w:rsidRDefault="00D532E9">
            <w:pPr>
              <w:rPr>
                <w:b/>
                <w:bCs/>
                <w:sz w:val="16"/>
                <w:szCs w:val="16"/>
              </w:rPr>
            </w:pPr>
          </w:p>
        </w:tc>
        <w:tc>
          <w:tcPr>
            <w:tcW w:w="485" w:type="pct"/>
            <w:vMerge/>
            <w:vAlign w:val="center"/>
            <w:hideMark/>
          </w:tcPr>
          <w:p w14:paraId="13E023CD" w14:textId="77777777" w:rsidR="00D532E9" w:rsidRPr="005136AC" w:rsidRDefault="00D532E9">
            <w:pPr>
              <w:rPr>
                <w:b/>
                <w:bCs/>
                <w:sz w:val="16"/>
                <w:szCs w:val="16"/>
              </w:rPr>
            </w:pPr>
          </w:p>
        </w:tc>
        <w:tc>
          <w:tcPr>
            <w:tcW w:w="520" w:type="pct"/>
            <w:vMerge/>
            <w:vAlign w:val="center"/>
            <w:hideMark/>
          </w:tcPr>
          <w:p w14:paraId="18CA1C0F" w14:textId="77777777" w:rsidR="00D532E9" w:rsidRPr="005136AC" w:rsidRDefault="00D532E9">
            <w:pPr>
              <w:rPr>
                <w:b/>
                <w:bCs/>
                <w:sz w:val="16"/>
                <w:szCs w:val="16"/>
              </w:rPr>
            </w:pPr>
          </w:p>
        </w:tc>
      </w:tr>
      <w:tr w:rsidR="00AE7EF2" w:rsidRPr="005136AC" w14:paraId="2E31A328" w14:textId="77777777" w:rsidTr="00AE7EF2">
        <w:trPr>
          <w:trHeight w:val="248"/>
        </w:trPr>
        <w:tc>
          <w:tcPr>
            <w:tcW w:w="237" w:type="pct"/>
            <w:shd w:val="clear" w:color="000000" w:fill="E6E6E6"/>
            <w:noWrap/>
            <w:vAlign w:val="center"/>
            <w:hideMark/>
          </w:tcPr>
          <w:p w14:paraId="395656BA" w14:textId="77777777" w:rsidR="00D532E9" w:rsidRPr="005136AC" w:rsidRDefault="00D532E9">
            <w:pPr>
              <w:jc w:val="both"/>
              <w:rPr>
                <w:b/>
                <w:bCs/>
                <w:sz w:val="16"/>
                <w:szCs w:val="16"/>
              </w:rPr>
            </w:pPr>
            <w:r w:rsidRPr="005136AC">
              <w:rPr>
                <w:b/>
                <w:bCs/>
                <w:sz w:val="16"/>
                <w:szCs w:val="16"/>
              </w:rPr>
              <w:t>І.</w:t>
            </w:r>
          </w:p>
        </w:tc>
        <w:tc>
          <w:tcPr>
            <w:tcW w:w="3273" w:type="pct"/>
            <w:shd w:val="clear" w:color="000000" w:fill="E6E6E6"/>
            <w:noWrap/>
            <w:vAlign w:val="center"/>
            <w:hideMark/>
          </w:tcPr>
          <w:p w14:paraId="4049EFB1" w14:textId="77777777" w:rsidR="00D532E9" w:rsidRPr="005136AC" w:rsidRDefault="00D532E9">
            <w:pPr>
              <w:rPr>
                <w:b/>
                <w:bCs/>
                <w:sz w:val="16"/>
                <w:szCs w:val="16"/>
              </w:rPr>
            </w:pPr>
            <w:r w:rsidRPr="005136AC">
              <w:rPr>
                <w:b/>
                <w:bCs/>
                <w:sz w:val="16"/>
                <w:szCs w:val="16"/>
              </w:rPr>
              <w:t>Общо ведомствени разходи:</w:t>
            </w:r>
          </w:p>
        </w:tc>
        <w:tc>
          <w:tcPr>
            <w:tcW w:w="485" w:type="pct"/>
            <w:shd w:val="clear" w:color="000000" w:fill="E6E6E6"/>
            <w:noWrap/>
            <w:vAlign w:val="center"/>
            <w:hideMark/>
          </w:tcPr>
          <w:p w14:paraId="6F7D3622" w14:textId="77777777" w:rsidR="00D532E9" w:rsidRPr="005136AC" w:rsidRDefault="00D532E9">
            <w:pPr>
              <w:jc w:val="right"/>
              <w:rPr>
                <w:b/>
                <w:bCs/>
                <w:sz w:val="16"/>
                <w:szCs w:val="16"/>
              </w:rPr>
            </w:pPr>
            <w:r w:rsidRPr="005136AC">
              <w:rPr>
                <w:b/>
                <w:bCs/>
                <w:sz w:val="16"/>
                <w:szCs w:val="16"/>
              </w:rPr>
              <w:t>13 746 700</w:t>
            </w:r>
          </w:p>
        </w:tc>
        <w:tc>
          <w:tcPr>
            <w:tcW w:w="485" w:type="pct"/>
            <w:shd w:val="clear" w:color="000000" w:fill="E6E6E6"/>
            <w:noWrap/>
            <w:vAlign w:val="center"/>
            <w:hideMark/>
          </w:tcPr>
          <w:p w14:paraId="3192B894" w14:textId="77777777" w:rsidR="00D532E9" w:rsidRPr="005136AC" w:rsidRDefault="00D532E9">
            <w:pPr>
              <w:jc w:val="right"/>
              <w:rPr>
                <w:b/>
                <w:bCs/>
                <w:sz w:val="16"/>
                <w:szCs w:val="16"/>
              </w:rPr>
            </w:pPr>
            <w:r w:rsidRPr="005136AC">
              <w:rPr>
                <w:b/>
                <w:bCs/>
                <w:sz w:val="16"/>
                <w:szCs w:val="16"/>
              </w:rPr>
              <w:t>13 746 700</w:t>
            </w:r>
          </w:p>
        </w:tc>
        <w:tc>
          <w:tcPr>
            <w:tcW w:w="520" w:type="pct"/>
            <w:shd w:val="clear" w:color="000000" w:fill="E6E6E6"/>
            <w:noWrap/>
            <w:vAlign w:val="center"/>
            <w:hideMark/>
          </w:tcPr>
          <w:p w14:paraId="64BFD3EA" w14:textId="77777777" w:rsidR="00D532E9" w:rsidRPr="005136AC" w:rsidRDefault="00D532E9">
            <w:pPr>
              <w:jc w:val="right"/>
              <w:rPr>
                <w:b/>
                <w:bCs/>
                <w:sz w:val="16"/>
                <w:szCs w:val="16"/>
              </w:rPr>
            </w:pPr>
            <w:r w:rsidRPr="005136AC">
              <w:rPr>
                <w:b/>
                <w:bCs/>
                <w:sz w:val="16"/>
                <w:szCs w:val="16"/>
              </w:rPr>
              <w:t>6 233 374</w:t>
            </w:r>
          </w:p>
        </w:tc>
      </w:tr>
      <w:tr w:rsidR="00AE7EF2" w:rsidRPr="005136AC" w14:paraId="36A0FA1E" w14:textId="77777777" w:rsidTr="00AA6681">
        <w:trPr>
          <w:trHeight w:val="124"/>
        </w:trPr>
        <w:tc>
          <w:tcPr>
            <w:tcW w:w="237" w:type="pct"/>
            <w:shd w:val="clear" w:color="auto" w:fill="auto"/>
            <w:noWrap/>
            <w:vAlign w:val="center"/>
            <w:hideMark/>
          </w:tcPr>
          <w:p w14:paraId="414D05A1" w14:textId="77777777" w:rsidR="00D532E9" w:rsidRPr="005136AC" w:rsidRDefault="00D532E9">
            <w:pPr>
              <w:jc w:val="both"/>
              <w:rPr>
                <w:sz w:val="16"/>
                <w:szCs w:val="16"/>
              </w:rPr>
            </w:pPr>
            <w:r w:rsidRPr="005136AC">
              <w:rPr>
                <w:sz w:val="16"/>
                <w:szCs w:val="16"/>
              </w:rPr>
              <w:t> </w:t>
            </w:r>
          </w:p>
        </w:tc>
        <w:tc>
          <w:tcPr>
            <w:tcW w:w="3273" w:type="pct"/>
            <w:shd w:val="clear" w:color="auto" w:fill="auto"/>
            <w:noWrap/>
            <w:vAlign w:val="center"/>
            <w:hideMark/>
          </w:tcPr>
          <w:p w14:paraId="42DDD1FF" w14:textId="577B276E" w:rsidR="00D532E9" w:rsidRPr="005136AC" w:rsidRDefault="00D532E9" w:rsidP="006323C9">
            <w:pPr>
              <w:ind w:firstLine="146"/>
              <w:rPr>
                <w:sz w:val="16"/>
                <w:szCs w:val="16"/>
              </w:rPr>
            </w:pPr>
            <w:r w:rsidRPr="005136AC">
              <w:rPr>
                <w:sz w:val="16"/>
                <w:szCs w:val="16"/>
              </w:rPr>
              <w:t>Персонал</w:t>
            </w:r>
          </w:p>
        </w:tc>
        <w:tc>
          <w:tcPr>
            <w:tcW w:w="485" w:type="pct"/>
            <w:shd w:val="clear" w:color="auto" w:fill="auto"/>
            <w:noWrap/>
            <w:vAlign w:val="center"/>
            <w:hideMark/>
          </w:tcPr>
          <w:p w14:paraId="52CDFBAD" w14:textId="77777777" w:rsidR="00D532E9" w:rsidRPr="005136AC" w:rsidRDefault="00D532E9">
            <w:pPr>
              <w:jc w:val="right"/>
              <w:rPr>
                <w:sz w:val="16"/>
                <w:szCs w:val="16"/>
              </w:rPr>
            </w:pPr>
            <w:r w:rsidRPr="005136AC">
              <w:rPr>
                <w:sz w:val="16"/>
                <w:szCs w:val="16"/>
              </w:rPr>
              <w:t>11 517 500</w:t>
            </w:r>
          </w:p>
        </w:tc>
        <w:tc>
          <w:tcPr>
            <w:tcW w:w="485" w:type="pct"/>
            <w:shd w:val="clear" w:color="auto" w:fill="auto"/>
            <w:noWrap/>
            <w:vAlign w:val="center"/>
            <w:hideMark/>
          </w:tcPr>
          <w:p w14:paraId="433D0619" w14:textId="77777777" w:rsidR="00D532E9" w:rsidRPr="005136AC" w:rsidRDefault="00D532E9">
            <w:pPr>
              <w:jc w:val="right"/>
              <w:rPr>
                <w:sz w:val="16"/>
                <w:szCs w:val="16"/>
              </w:rPr>
            </w:pPr>
            <w:r w:rsidRPr="005136AC">
              <w:rPr>
                <w:sz w:val="16"/>
                <w:szCs w:val="16"/>
              </w:rPr>
              <w:t>11 517 500</w:t>
            </w:r>
          </w:p>
        </w:tc>
        <w:tc>
          <w:tcPr>
            <w:tcW w:w="520" w:type="pct"/>
            <w:shd w:val="clear" w:color="auto" w:fill="auto"/>
            <w:noWrap/>
            <w:vAlign w:val="center"/>
            <w:hideMark/>
          </w:tcPr>
          <w:p w14:paraId="171FB64A" w14:textId="77777777" w:rsidR="00D532E9" w:rsidRPr="005136AC" w:rsidRDefault="00D532E9">
            <w:pPr>
              <w:jc w:val="right"/>
              <w:rPr>
                <w:sz w:val="16"/>
                <w:szCs w:val="16"/>
              </w:rPr>
            </w:pPr>
            <w:r w:rsidRPr="005136AC">
              <w:rPr>
                <w:sz w:val="16"/>
                <w:szCs w:val="16"/>
              </w:rPr>
              <w:t>5 475 774</w:t>
            </w:r>
          </w:p>
        </w:tc>
      </w:tr>
      <w:tr w:rsidR="00AE7EF2" w:rsidRPr="005136AC" w14:paraId="38565DE9" w14:textId="77777777" w:rsidTr="00AA6681">
        <w:trPr>
          <w:trHeight w:val="212"/>
        </w:trPr>
        <w:tc>
          <w:tcPr>
            <w:tcW w:w="237" w:type="pct"/>
            <w:shd w:val="clear" w:color="auto" w:fill="auto"/>
            <w:noWrap/>
            <w:vAlign w:val="center"/>
            <w:hideMark/>
          </w:tcPr>
          <w:p w14:paraId="58A82471" w14:textId="77777777" w:rsidR="00D532E9" w:rsidRPr="005136AC" w:rsidRDefault="00D532E9">
            <w:pPr>
              <w:jc w:val="both"/>
              <w:rPr>
                <w:sz w:val="16"/>
                <w:szCs w:val="16"/>
              </w:rPr>
            </w:pPr>
            <w:r w:rsidRPr="005136AC">
              <w:rPr>
                <w:sz w:val="16"/>
                <w:szCs w:val="16"/>
              </w:rPr>
              <w:t> </w:t>
            </w:r>
          </w:p>
        </w:tc>
        <w:tc>
          <w:tcPr>
            <w:tcW w:w="3273" w:type="pct"/>
            <w:shd w:val="clear" w:color="auto" w:fill="auto"/>
            <w:noWrap/>
            <w:vAlign w:val="center"/>
            <w:hideMark/>
          </w:tcPr>
          <w:p w14:paraId="458AF132" w14:textId="6BD90E4B" w:rsidR="00D532E9" w:rsidRPr="005136AC" w:rsidRDefault="00D532E9" w:rsidP="006323C9">
            <w:pPr>
              <w:ind w:firstLine="146"/>
              <w:rPr>
                <w:sz w:val="16"/>
                <w:szCs w:val="16"/>
              </w:rPr>
            </w:pPr>
            <w:r w:rsidRPr="005136AC">
              <w:rPr>
                <w:sz w:val="16"/>
                <w:szCs w:val="16"/>
              </w:rPr>
              <w:t>Издръжка</w:t>
            </w:r>
          </w:p>
        </w:tc>
        <w:tc>
          <w:tcPr>
            <w:tcW w:w="485" w:type="pct"/>
            <w:shd w:val="clear" w:color="auto" w:fill="auto"/>
            <w:noWrap/>
            <w:vAlign w:val="center"/>
            <w:hideMark/>
          </w:tcPr>
          <w:p w14:paraId="7E53E573" w14:textId="77777777" w:rsidR="00D532E9" w:rsidRPr="005136AC" w:rsidRDefault="00D532E9">
            <w:pPr>
              <w:jc w:val="right"/>
              <w:rPr>
                <w:sz w:val="16"/>
                <w:szCs w:val="16"/>
              </w:rPr>
            </w:pPr>
            <w:r w:rsidRPr="005136AC">
              <w:rPr>
                <w:sz w:val="16"/>
                <w:szCs w:val="16"/>
              </w:rPr>
              <w:t>1 289 000</w:t>
            </w:r>
          </w:p>
        </w:tc>
        <w:tc>
          <w:tcPr>
            <w:tcW w:w="485" w:type="pct"/>
            <w:shd w:val="clear" w:color="auto" w:fill="auto"/>
            <w:noWrap/>
            <w:vAlign w:val="center"/>
            <w:hideMark/>
          </w:tcPr>
          <w:p w14:paraId="73966842" w14:textId="77777777" w:rsidR="00D532E9" w:rsidRPr="005136AC" w:rsidRDefault="00D532E9">
            <w:pPr>
              <w:jc w:val="right"/>
              <w:rPr>
                <w:sz w:val="16"/>
                <w:szCs w:val="16"/>
              </w:rPr>
            </w:pPr>
            <w:r w:rsidRPr="005136AC">
              <w:rPr>
                <w:sz w:val="16"/>
                <w:szCs w:val="16"/>
              </w:rPr>
              <w:t>1 289 000</w:t>
            </w:r>
          </w:p>
        </w:tc>
        <w:tc>
          <w:tcPr>
            <w:tcW w:w="520" w:type="pct"/>
            <w:shd w:val="clear" w:color="auto" w:fill="auto"/>
            <w:noWrap/>
            <w:vAlign w:val="center"/>
            <w:hideMark/>
          </w:tcPr>
          <w:p w14:paraId="6C2A9300" w14:textId="77777777" w:rsidR="00D532E9" w:rsidRPr="005136AC" w:rsidRDefault="00D532E9">
            <w:pPr>
              <w:jc w:val="right"/>
              <w:rPr>
                <w:sz w:val="16"/>
                <w:szCs w:val="16"/>
              </w:rPr>
            </w:pPr>
            <w:r w:rsidRPr="005136AC">
              <w:rPr>
                <w:sz w:val="16"/>
                <w:szCs w:val="16"/>
              </w:rPr>
              <w:t>711 472</w:t>
            </w:r>
          </w:p>
        </w:tc>
      </w:tr>
      <w:tr w:rsidR="00AE7EF2" w:rsidRPr="005136AC" w14:paraId="06C0F5F9" w14:textId="77777777" w:rsidTr="00AA6681">
        <w:trPr>
          <w:trHeight w:val="143"/>
        </w:trPr>
        <w:tc>
          <w:tcPr>
            <w:tcW w:w="237" w:type="pct"/>
            <w:shd w:val="clear" w:color="auto" w:fill="auto"/>
            <w:noWrap/>
            <w:vAlign w:val="center"/>
            <w:hideMark/>
          </w:tcPr>
          <w:p w14:paraId="645D97AC" w14:textId="77777777" w:rsidR="00D532E9" w:rsidRPr="005136AC" w:rsidRDefault="00D532E9">
            <w:pPr>
              <w:jc w:val="both"/>
              <w:rPr>
                <w:sz w:val="16"/>
                <w:szCs w:val="16"/>
              </w:rPr>
            </w:pPr>
            <w:r w:rsidRPr="005136AC">
              <w:rPr>
                <w:sz w:val="16"/>
                <w:szCs w:val="16"/>
              </w:rPr>
              <w:t> </w:t>
            </w:r>
          </w:p>
        </w:tc>
        <w:tc>
          <w:tcPr>
            <w:tcW w:w="3273" w:type="pct"/>
            <w:shd w:val="clear" w:color="auto" w:fill="auto"/>
            <w:noWrap/>
            <w:vAlign w:val="center"/>
            <w:hideMark/>
          </w:tcPr>
          <w:p w14:paraId="75908E21" w14:textId="4D985061" w:rsidR="00D532E9" w:rsidRPr="005136AC" w:rsidRDefault="00D532E9" w:rsidP="006323C9">
            <w:pPr>
              <w:ind w:firstLine="146"/>
              <w:rPr>
                <w:sz w:val="16"/>
                <w:szCs w:val="16"/>
              </w:rPr>
            </w:pPr>
            <w:r w:rsidRPr="005136AC">
              <w:rPr>
                <w:sz w:val="16"/>
                <w:szCs w:val="16"/>
              </w:rPr>
              <w:t>Капиталови разходи</w:t>
            </w:r>
          </w:p>
        </w:tc>
        <w:tc>
          <w:tcPr>
            <w:tcW w:w="485" w:type="pct"/>
            <w:shd w:val="clear" w:color="auto" w:fill="auto"/>
            <w:noWrap/>
            <w:vAlign w:val="center"/>
            <w:hideMark/>
          </w:tcPr>
          <w:p w14:paraId="45A9705D" w14:textId="77777777" w:rsidR="00D532E9" w:rsidRPr="005136AC" w:rsidRDefault="00D532E9">
            <w:pPr>
              <w:jc w:val="right"/>
              <w:rPr>
                <w:sz w:val="16"/>
                <w:szCs w:val="16"/>
              </w:rPr>
            </w:pPr>
            <w:r w:rsidRPr="005136AC">
              <w:rPr>
                <w:sz w:val="16"/>
                <w:szCs w:val="16"/>
              </w:rPr>
              <w:t>940 200</w:t>
            </w:r>
          </w:p>
        </w:tc>
        <w:tc>
          <w:tcPr>
            <w:tcW w:w="485" w:type="pct"/>
            <w:shd w:val="clear" w:color="auto" w:fill="auto"/>
            <w:noWrap/>
            <w:vAlign w:val="center"/>
            <w:hideMark/>
          </w:tcPr>
          <w:p w14:paraId="10487AAD" w14:textId="77777777" w:rsidR="00D532E9" w:rsidRPr="005136AC" w:rsidRDefault="00D532E9">
            <w:pPr>
              <w:jc w:val="right"/>
              <w:rPr>
                <w:sz w:val="16"/>
                <w:szCs w:val="16"/>
              </w:rPr>
            </w:pPr>
            <w:r w:rsidRPr="005136AC">
              <w:rPr>
                <w:sz w:val="16"/>
                <w:szCs w:val="16"/>
              </w:rPr>
              <w:t>940 200</w:t>
            </w:r>
          </w:p>
        </w:tc>
        <w:tc>
          <w:tcPr>
            <w:tcW w:w="520" w:type="pct"/>
            <w:shd w:val="clear" w:color="auto" w:fill="auto"/>
            <w:noWrap/>
            <w:vAlign w:val="center"/>
            <w:hideMark/>
          </w:tcPr>
          <w:p w14:paraId="4796FEFC" w14:textId="77777777" w:rsidR="00D532E9" w:rsidRPr="005136AC" w:rsidRDefault="00D532E9">
            <w:pPr>
              <w:jc w:val="right"/>
              <w:rPr>
                <w:sz w:val="16"/>
                <w:szCs w:val="16"/>
              </w:rPr>
            </w:pPr>
            <w:r w:rsidRPr="005136AC">
              <w:rPr>
                <w:sz w:val="16"/>
                <w:szCs w:val="16"/>
              </w:rPr>
              <w:t>46 128</w:t>
            </w:r>
          </w:p>
        </w:tc>
      </w:tr>
      <w:tr w:rsidR="00AE7EF2" w:rsidRPr="005136AC" w14:paraId="4FF2D338" w14:textId="77777777" w:rsidTr="00AA6681">
        <w:trPr>
          <w:trHeight w:val="218"/>
        </w:trPr>
        <w:tc>
          <w:tcPr>
            <w:tcW w:w="237" w:type="pct"/>
            <w:shd w:val="clear" w:color="000000" w:fill="E6E6E6"/>
            <w:noWrap/>
            <w:vAlign w:val="center"/>
            <w:hideMark/>
          </w:tcPr>
          <w:p w14:paraId="33A8FE91" w14:textId="77777777" w:rsidR="00D532E9" w:rsidRPr="005136AC" w:rsidRDefault="00D532E9">
            <w:pPr>
              <w:jc w:val="both"/>
              <w:rPr>
                <w:b/>
                <w:bCs/>
                <w:sz w:val="16"/>
                <w:szCs w:val="16"/>
              </w:rPr>
            </w:pPr>
            <w:r w:rsidRPr="005136AC">
              <w:rPr>
                <w:b/>
                <w:bCs/>
                <w:sz w:val="16"/>
                <w:szCs w:val="16"/>
              </w:rPr>
              <w:t>1</w:t>
            </w:r>
          </w:p>
        </w:tc>
        <w:tc>
          <w:tcPr>
            <w:tcW w:w="3273" w:type="pct"/>
            <w:shd w:val="clear" w:color="000000" w:fill="E6E6E6"/>
            <w:noWrap/>
            <w:vAlign w:val="center"/>
            <w:hideMark/>
          </w:tcPr>
          <w:p w14:paraId="753AC17C" w14:textId="77777777" w:rsidR="00D532E9" w:rsidRPr="005136AC" w:rsidRDefault="00D532E9">
            <w:pPr>
              <w:ind w:firstLineChars="300" w:firstLine="482"/>
              <w:rPr>
                <w:b/>
                <w:bCs/>
                <w:sz w:val="16"/>
                <w:szCs w:val="16"/>
              </w:rPr>
            </w:pPr>
            <w:r w:rsidRPr="005136AC">
              <w:rPr>
                <w:b/>
                <w:bCs/>
                <w:sz w:val="16"/>
                <w:szCs w:val="16"/>
              </w:rPr>
              <w:t>Ведомствени разходи по бюджета на ПРБ:</w:t>
            </w:r>
          </w:p>
        </w:tc>
        <w:tc>
          <w:tcPr>
            <w:tcW w:w="485" w:type="pct"/>
            <w:shd w:val="clear" w:color="000000" w:fill="E6E6E6"/>
            <w:noWrap/>
            <w:vAlign w:val="center"/>
            <w:hideMark/>
          </w:tcPr>
          <w:p w14:paraId="6A1DB6D1" w14:textId="77777777" w:rsidR="00D532E9" w:rsidRPr="005136AC" w:rsidRDefault="00D532E9">
            <w:pPr>
              <w:jc w:val="right"/>
              <w:rPr>
                <w:b/>
                <w:bCs/>
                <w:sz w:val="16"/>
                <w:szCs w:val="16"/>
              </w:rPr>
            </w:pPr>
            <w:r w:rsidRPr="005136AC">
              <w:rPr>
                <w:b/>
                <w:bCs/>
                <w:sz w:val="16"/>
                <w:szCs w:val="16"/>
              </w:rPr>
              <w:t>13 746 700</w:t>
            </w:r>
          </w:p>
        </w:tc>
        <w:tc>
          <w:tcPr>
            <w:tcW w:w="485" w:type="pct"/>
            <w:shd w:val="clear" w:color="000000" w:fill="E6E6E6"/>
            <w:noWrap/>
            <w:vAlign w:val="center"/>
            <w:hideMark/>
          </w:tcPr>
          <w:p w14:paraId="10FB6B09" w14:textId="77777777" w:rsidR="00D532E9" w:rsidRPr="005136AC" w:rsidRDefault="00D532E9">
            <w:pPr>
              <w:jc w:val="right"/>
              <w:rPr>
                <w:b/>
                <w:bCs/>
                <w:sz w:val="16"/>
                <w:szCs w:val="16"/>
              </w:rPr>
            </w:pPr>
            <w:r w:rsidRPr="005136AC">
              <w:rPr>
                <w:b/>
                <w:bCs/>
                <w:sz w:val="16"/>
                <w:szCs w:val="16"/>
              </w:rPr>
              <w:t>13 746 700</w:t>
            </w:r>
          </w:p>
        </w:tc>
        <w:tc>
          <w:tcPr>
            <w:tcW w:w="520" w:type="pct"/>
            <w:shd w:val="clear" w:color="000000" w:fill="E6E6E6"/>
            <w:noWrap/>
            <w:vAlign w:val="center"/>
            <w:hideMark/>
          </w:tcPr>
          <w:p w14:paraId="1845FC75" w14:textId="77777777" w:rsidR="00D532E9" w:rsidRPr="005136AC" w:rsidRDefault="00D532E9">
            <w:pPr>
              <w:jc w:val="right"/>
              <w:rPr>
                <w:b/>
                <w:bCs/>
                <w:sz w:val="16"/>
                <w:szCs w:val="16"/>
              </w:rPr>
            </w:pPr>
            <w:r w:rsidRPr="005136AC">
              <w:rPr>
                <w:b/>
                <w:bCs/>
                <w:sz w:val="16"/>
                <w:szCs w:val="16"/>
              </w:rPr>
              <w:t>6 218 270</w:t>
            </w:r>
          </w:p>
        </w:tc>
      </w:tr>
      <w:tr w:rsidR="00AE7EF2" w:rsidRPr="005136AC" w14:paraId="449416ED" w14:textId="77777777" w:rsidTr="00AA6681">
        <w:trPr>
          <w:trHeight w:val="131"/>
        </w:trPr>
        <w:tc>
          <w:tcPr>
            <w:tcW w:w="237" w:type="pct"/>
            <w:shd w:val="clear" w:color="auto" w:fill="auto"/>
            <w:noWrap/>
            <w:vAlign w:val="center"/>
            <w:hideMark/>
          </w:tcPr>
          <w:p w14:paraId="319DE675" w14:textId="77777777" w:rsidR="00D532E9" w:rsidRPr="005136AC" w:rsidRDefault="00D532E9">
            <w:pPr>
              <w:jc w:val="both"/>
              <w:rPr>
                <w:sz w:val="16"/>
                <w:szCs w:val="16"/>
              </w:rPr>
            </w:pPr>
            <w:r w:rsidRPr="005136AC">
              <w:rPr>
                <w:sz w:val="16"/>
                <w:szCs w:val="16"/>
              </w:rPr>
              <w:t> </w:t>
            </w:r>
          </w:p>
        </w:tc>
        <w:tc>
          <w:tcPr>
            <w:tcW w:w="3273" w:type="pct"/>
            <w:shd w:val="clear" w:color="auto" w:fill="auto"/>
            <w:noWrap/>
            <w:vAlign w:val="center"/>
            <w:hideMark/>
          </w:tcPr>
          <w:p w14:paraId="119EEB8D" w14:textId="7F8DB5F2" w:rsidR="00D532E9" w:rsidRPr="005136AC" w:rsidRDefault="00D532E9" w:rsidP="00D94257">
            <w:pPr>
              <w:ind w:firstLineChars="356" w:firstLine="570"/>
              <w:rPr>
                <w:sz w:val="16"/>
                <w:szCs w:val="16"/>
              </w:rPr>
            </w:pPr>
            <w:r w:rsidRPr="005136AC">
              <w:rPr>
                <w:sz w:val="16"/>
                <w:szCs w:val="16"/>
              </w:rPr>
              <w:t>Персонал</w:t>
            </w:r>
          </w:p>
        </w:tc>
        <w:tc>
          <w:tcPr>
            <w:tcW w:w="485" w:type="pct"/>
            <w:shd w:val="clear" w:color="auto" w:fill="auto"/>
            <w:noWrap/>
            <w:vAlign w:val="center"/>
            <w:hideMark/>
          </w:tcPr>
          <w:p w14:paraId="18BF39EC" w14:textId="77777777" w:rsidR="00D532E9" w:rsidRPr="005136AC" w:rsidRDefault="00D532E9">
            <w:pPr>
              <w:jc w:val="right"/>
              <w:rPr>
                <w:sz w:val="16"/>
                <w:szCs w:val="16"/>
              </w:rPr>
            </w:pPr>
            <w:r w:rsidRPr="005136AC">
              <w:rPr>
                <w:sz w:val="16"/>
                <w:szCs w:val="16"/>
              </w:rPr>
              <w:t>11 517 500</w:t>
            </w:r>
          </w:p>
        </w:tc>
        <w:tc>
          <w:tcPr>
            <w:tcW w:w="485" w:type="pct"/>
            <w:shd w:val="clear" w:color="auto" w:fill="auto"/>
            <w:vAlign w:val="center"/>
            <w:hideMark/>
          </w:tcPr>
          <w:p w14:paraId="7B1DC0F6" w14:textId="77777777" w:rsidR="00D532E9" w:rsidRPr="005136AC" w:rsidRDefault="00D532E9">
            <w:pPr>
              <w:jc w:val="right"/>
              <w:rPr>
                <w:sz w:val="16"/>
                <w:szCs w:val="16"/>
              </w:rPr>
            </w:pPr>
            <w:r w:rsidRPr="005136AC">
              <w:rPr>
                <w:sz w:val="16"/>
                <w:szCs w:val="16"/>
              </w:rPr>
              <w:t>11 517 500</w:t>
            </w:r>
          </w:p>
        </w:tc>
        <w:tc>
          <w:tcPr>
            <w:tcW w:w="520" w:type="pct"/>
            <w:shd w:val="clear" w:color="auto" w:fill="auto"/>
            <w:vAlign w:val="center"/>
            <w:hideMark/>
          </w:tcPr>
          <w:p w14:paraId="3F80A058" w14:textId="77777777" w:rsidR="00D532E9" w:rsidRPr="005136AC" w:rsidRDefault="00D532E9">
            <w:pPr>
              <w:jc w:val="right"/>
              <w:rPr>
                <w:sz w:val="16"/>
                <w:szCs w:val="16"/>
              </w:rPr>
            </w:pPr>
            <w:r w:rsidRPr="005136AC">
              <w:rPr>
                <w:sz w:val="16"/>
                <w:szCs w:val="16"/>
              </w:rPr>
              <w:t>5 466 670</w:t>
            </w:r>
          </w:p>
        </w:tc>
      </w:tr>
      <w:tr w:rsidR="00AE7EF2" w:rsidRPr="005136AC" w14:paraId="7930918B" w14:textId="77777777" w:rsidTr="00AA6681">
        <w:trPr>
          <w:trHeight w:val="131"/>
        </w:trPr>
        <w:tc>
          <w:tcPr>
            <w:tcW w:w="237" w:type="pct"/>
            <w:shd w:val="clear" w:color="auto" w:fill="auto"/>
            <w:noWrap/>
            <w:vAlign w:val="center"/>
            <w:hideMark/>
          </w:tcPr>
          <w:p w14:paraId="00405C77" w14:textId="77777777" w:rsidR="00D532E9" w:rsidRPr="005136AC" w:rsidRDefault="00D532E9">
            <w:pPr>
              <w:jc w:val="both"/>
              <w:rPr>
                <w:sz w:val="16"/>
                <w:szCs w:val="16"/>
              </w:rPr>
            </w:pPr>
            <w:r w:rsidRPr="005136AC">
              <w:rPr>
                <w:sz w:val="16"/>
                <w:szCs w:val="16"/>
              </w:rPr>
              <w:t> </w:t>
            </w:r>
          </w:p>
        </w:tc>
        <w:tc>
          <w:tcPr>
            <w:tcW w:w="3273" w:type="pct"/>
            <w:shd w:val="clear" w:color="auto" w:fill="auto"/>
            <w:noWrap/>
            <w:vAlign w:val="center"/>
            <w:hideMark/>
          </w:tcPr>
          <w:p w14:paraId="4027F6F4" w14:textId="21F26178" w:rsidR="00D532E9" w:rsidRPr="005136AC" w:rsidRDefault="00D532E9" w:rsidP="00D94257">
            <w:pPr>
              <w:ind w:firstLineChars="356" w:firstLine="570"/>
              <w:rPr>
                <w:sz w:val="16"/>
                <w:szCs w:val="16"/>
              </w:rPr>
            </w:pPr>
            <w:r w:rsidRPr="005136AC">
              <w:rPr>
                <w:sz w:val="16"/>
                <w:szCs w:val="16"/>
              </w:rPr>
              <w:t>Издръжка</w:t>
            </w:r>
          </w:p>
        </w:tc>
        <w:tc>
          <w:tcPr>
            <w:tcW w:w="485" w:type="pct"/>
            <w:shd w:val="clear" w:color="auto" w:fill="auto"/>
            <w:noWrap/>
            <w:vAlign w:val="center"/>
            <w:hideMark/>
          </w:tcPr>
          <w:p w14:paraId="5839D18C" w14:textId="77777777" w:rsidR="00D532E9" w:rsidRPr="005136AC" w:rsidRDefault="00D532E9">
            <w:pPr>
              <w:jc w:val="right"/>
              <w:rPr>
                <w:sz w:val="16"/>
                <w:szCs w:val="16"/>
              </w:rPr>
            </w:pPr>
            <w:r w:rsidRPr="005136AC">
              <w:rPr>
                <w:sz w:val="16"/>
                <w:szCs w:val="16"/>
              </w:rPr>
              <w:t>1 289 000</w:t>
            </w:r>
          </w:p>
        </w:tc>
        <w:tc>
          <w:tcPr>
            <w:tcW w:w="485" w:type="pct"/>
            <w:shd w:val="clear" w:color="auto" w:fill="auto"/>
            <w:vAlign w:val="center"/>
            <w:hideMark/>
          </w:tcPr>
          <w:p w14:paraId="3D28C718" w14:textId="77777777" w:rsidR="00D532E9" w:rsidRPr="005136AC" w:rsidRDefault="00D532E9">
            <w:pPr>
              <w:jc w:val="right"/>
              <w:rPr>
                <w:sz w:val="16"/>
                <w:szCs w:val="16"/>
              </w:rPr>
            </w:pPr>
            <w:r w:rsidRPr="005136AC">
              <w:rPr>
                <w:sz w:val="16"/>
                <w:szCs w:val="16"/>
              </w:rPr>
              <w:t>1 289 000</w:t>
            </w:r>
          </w:p>
        </w:tc>
        <w:tc>
          <w:tcPr>
            <w:tcW w:w="520" w:type="pct"/>
            <w:shd w:val="clear" w:color="auto" w:fill="auto"/>
            <w:vAlign w:val="center"/>
            <w:hideMark/>
          </w:tcPr>
          <w:p w14:paraId="606AB863" w14:textId="77777777" w:rsidR="00D532E9" w:rsidRPr="005136AC" w:rsidRDefault="00D532E9">
            <w:pPr>
              <w:jc w:val="right"/>
              <w:rPr>
                <w:sz w:val="16"/>
                <w:szCs w:val="16"/>
              </w:rPr>
            </w:pPr>
            <w:r w:rsidRPr="005136AC">
              <w:rPr>
                <w:sz w:val="16"/>
                <w:szCs w:val="16"/>
              </w:rPr>
              <w:t>705 472</w:t>
            </w:r>
          </w:p>
        </w:tc>
      </w:tr>
      <w:tr w:rsidR="00AE7EF2" w:rsidRPr="005136AC" w14:paraId="26773F72" w14:textId="77777777" w:rsidTr="00702B59">
        <w:trPr>
          <w:trHeight w:val="219"/>
        </w:trPr>
        <w:tc>
          <w:tcPr>
            <w:tcW w:w="237" w:type="pct"/>
            <w:shd w:val="clear" w:color="auto" w:fill="auto"/>
            <w:noWrap/>
            <w:vAlign w:val="center"/>
            <w:hideMark/>
          </w:tcPr>
          <w:p w14:paraId="574C6AB2" w14:textId="77777777" w:rsidR="00D532E9" w:rsidRPr="005136AC" w:rsidRDefault="00D532E9">
            <w:pPr>
              <w:jc w:val="both"/>
              <w:rPr>
                <w:sz w:val="16"/>
                <w:szCs w:val="16"/>
              </w:rPr>
            </w:pPr>
            <w:r w:rsidRPr="005136AC">
              <w:rPr>
                <w:sz w:val="16"/>
                <w:szCs w:val="16"/>
              </w:rPr>
              <w:t> </w:t>
            </w:r>
          </w:p>
        </w:tc>
        <w:tc>
          <w:tcPr>
            <w:tcW w:w="3273" w:type="pct"/>
            <w:shd w:val="clear" w:color="auto" w:fill="auto"/>
            <w:noWrap/>
            <w:vAlign w:val="center"/>
            <w:hideMark/>
          </w:tcPr>
          <w:p w14:paraId="29A60967" w14:textId="1B5FB0FB" w:rsidR="00D532E9" w:rsidRPr="005136AC" w:rsidRDefault="00D532E9" w:rsidP="00D94257">
            <w:pPr>
              <w:ind w:firstLineChars="356" w:firstLine="570"/>
              <w:rPr>
                <w:sz w:val="16"/>
                <w:szCs w:val="16"/>
              </w:rPr>
            </w:pPr>
            <w:r w:rsidRPr="005136AC">
              <w:rPr>
                <w:sz w:val="16"/>
                <w:szCs w:val="16"/>
              </w:rPr>
              <w:t>Капиталови разходи</w:t>
            </w:r>
          </w:p>
        </w:tc>
        <w:tc>
          <w:tcPr>
            <w:tcW w:w="485" w:type="pct"/>
            <w:shd w:val="clear" w:color="auto" w:fill="auto"/>
            <w:noWrap/>
            <w:vAlign w:val="center"/>
            <w:hideMark/>
          </w:tcPr>
          <w:p w14:paraId="61C38CFB" w14:textId="77777777" w:rsidR="00D532E9" w:rsidRPr="005136AC" w:rsidRDefault="00D532E9">
            <w:pPr>
              <w:jc w:val="right"/>
              <w:rPr>
                <w:sz w:val="16"/>
                <w:szCs w:val="16"/>
              </w:rPr>
            </w:pPr>
            <w:r w:rsidRPr="005136AC">
              <w:rPr>
                <w:sz w:val="16"/>
                <w:szCs w:val="16"/>
              </w:rPr>
              <w:t>940 200</w:t>
            </w:r>
          </w:p>
        </w:tc>
        <w:tc>
          <w:tcPr>
            <w:tcW w:w="485" w:type="pct"/>
            <w:shd w:val="clear" w:color="auto" w:fill="auto"/>
            <w:vAlign w:val="center"/>
            <w:hideMark/>
          </w:tcPr>
          <w:p w14:paraId="26046DD9" w14:textId="77777777" w:rsidR="00D532E9" w:rsidRPr="005136AC" w:rsidRDefault="00D532E9">
            <w:pPr>
              <w:jc w:val="right"/>
              <w:rPr>
                <w:sz w:val="16"/>
                <w:szCs w:val="16"/>
              </w:rPr>
            </w:pPr>
            <w:r w:rsidRPr="005136AC">
              <w:rPr>
                <w:sz w:val="16"/>
                <w:szCs w:val="16"/>
              </w:rPr>
              <w:t>940 200</w:t>
            </w:r>
          </w:p>
        </w:tc>
        <w:tc>
          <w:tcPr>
            <w:tcW w:w="520" w:type="pct"/>
            <w:shd w:val="clear" w:color="auto" w:fill="auto"/>
            <w:vAlign w:val="center"/>
            <w:hideMark/>
          </w:tcPr>
          <w:p w14:paraId="12F6F08E" w14:textId="77777777" w:rsidR="00D532E9" w:rsidRPr="005136AC" w:rsidRDefault="00D532E9">
            <w:pPr>
              <w:jc w:val="right"/>
              <w:rPr>
                <w:sz w:val="16"/>
                <w:szCs w:val="16"/>
              </w:rPr>
            </w:pPr>
            <w:r w:rsidRPr="005136AC">
              <w:rPr>
                <w:sz w:val="16"/>
                <w:szCs w:val="16"/>
              </w:rPr>
              <w:t>46 128</w:t>
            </w:r>
          </w:p>
        </w:tc>
      </w:tr>
      <w:tr w:rsidR="00AE7EF2" w:rsidRPr="005136AC" w14:paraId="25D246C5" w14:textId="77777777" w:rsidTr="00702B59">
        <w:trPr>
          <w:trHeight w:val="122"/>
        </w:trPr>
        <w:tc>
          <w:tcPr>
            <w:tcW w:w="237" w:type="pct"/>
            <w:shd w:val="clear" w:color="000000" w:fill="E6E6E6"/>
            <w:noWrap/>
            <w:vAlign w:val="center"/>
            <w:hideMark/>
          </w:tcPr>
          <w:p w14:paraId="47C9B34F" w14:textId="77777777" w:rsidR="00D532E9" w:rsidRPr="005136AC" w:rsidRDefault="00D532E9">
            <w:pPr>
              <w:jc w:val="both"/>
              <w:rPr>
                <w:b/>
                <w:bCs/>
                <w:sz w:val="16"/>
                <w:szCs w:val="16"/>
              </w:rPr>
            </w:pPr>
            <w:r w:rsidRPr="005136AC">
              <w:rPr>
                <w:b/>
                <w:bCs/>
                <w:sz w:val="16"/>
                <w:szCs w:val="16"/>
              </w:rPr>
              <w:t>2</w:t>
            </w:r>
          </w:p>
        </w:tc>
        <w:tc>
          <w:tcPr>
            <w:tcW w:w="3273" w:type="pct"/>
            <w:shd w:val="clear" w:color="000000" w:fill="E6E6E6"/>
            <w:noWrap/>
            <w:vAlign w:val="center"/>
            <w:hideMark/>
          </w:tcPr>
          <w:p w14:paraId="1FF0AEB3" w14:textId="77777777" w:rsidR="00D532E9" w:rsidRPr="005136AC" w:rsidRDefault="00D532E9">
            <w:pPr>
              <w:ind w:firstLineChars="300" w:firstLine="482"/>
              <w:rPr>
                <w:b/>
                <w:bCs/>
                <w:sz w:val="16"/>
                <w:szCs w:val="16"/>
              </w:rPr>
            </w:pPr>
            <w:r w:rsidRPr="005136AC">
              <w:rPr>
                <w:b/>
                <w:bCs/>
                <w:sz w:val="16"/>
                <w:szCs w:val="16"/>
              </w:rPr>
              <w:t xml:space="preserve">Ведомствени разходи по други бюджети и сметки за средства от ЕС </w:t>
            </w:r>
          </w:p>
        </w:tc>
        <w:tc>
          <w:tcPr>
            <w:tcW w:w="485" w:type="pct"/>
            <w:shd w:val="clear" w:color="000000" w:fill="E6E6E6"/>
            <w:noWrap/>
            <w:vAlign w:val="center"/>
            <w:hideMark/>
          </w:tcPr>
          <w:p w14:paraId="6F6ACA10" w14:textId="77777777" w:rsidR="00D532E9" w:rsidRPr="005136AC" w:rsidRDefault="00D532E9">
            <w:pPr>
              <w:jc w:val="right"/>
              <w:rPr>
                <w:b/>
                <w:bCs/>
                <w:sz w:val="16"/>
                <w:szCs w:val="16"/>
              </w:rPr>
            </w:pPr>
            <w:r w:rsidRPr="005136AC">
              <w:rPr>
                <w:b/>
                <w:bCs/>
                <w:sz w:val="16"/>
                <w:szCs w:val="16"/>
              </w:rPr>
              <w:t>0</w:t>
            </w:r>
          </w:p>
        </w:tc>
        <w:tc>
          <w:tcPr>
            <w:tcW w:w="485" w:type="pct"/>
            <w:shd w:val="clear" w:color="000000" w:fill="E6E6E6"/>
            <w:noWrap/>
            <w:vAlign w:val="center"/>
            <w:hideMark/>
          </w:tcPr>
          <w:p w14:paraId="6ED6BB20" w14:textId="77777777" w:rsidR="00D532E9" w:rsidRPr="005136AC" w:rsidRDefault="00D532E9">
            <w:pPr>
              <w:jc w:val="right"/>
              <w:rPr>
                <w:b/>
                <w:bCs/>
                <w:sz w:val="16"/>
                <w:szCs w:val="16"/>
              </w:rPr>
            </w:pPr>
            <w:r w:rsidRPr="005136AC">
              <w:rPr>
                <w:b/>
                <w:bCs/>
                <w:sz w:val="16"/>
                <w:szCs w:val="16"/>
              </w:rPr>
              <w:t>0</w:t>
            </w:r>
          </w:p>
        </w:tc>
        <w:tc>
          <w:tcPr>
            <w:tcW w:w="520" w:type="pct"/>
            <w:shd w:val="clear" w:color="000000" w:fill="E6E6E6"/>
            <w:noWrap/>
            <w:vAlign w:val="center"/>
            <w:hideMark/>
          </w:tcPr>
          <w:p w14:paraId="3ED5A972" w14:textId="77777777" w:rsidR="00D532E9" w:rsidRPr="005136AC" w:rsidRDefault="00D532E9">
            <w:pPr>
              <w:jc w:val="right"/>
              <w:rPr>
                <w:b/>
                <w:bCs/>
                <w:sz w:val="16"/>
                <w:szCs w:val="16"/>
              </w:rPr>
            </w:pPr>
            <w:r w:rsidRPr="005136AC">
              <w:rPr>
                <w:b/>
                <w:bCs/>
                <w:sz w:val="16"/>
                <w:szCs w:val="16"/>
              </w:rPr>
              <w:t>15 104</w:t>
            </w:r>
          </w:p>
        </w:tc>
      </w:tr>
      <w:tr w:rsidR="00AE7EF2" w:rsidRPr="005136AC" w14:paraId="48FFF6CA" w14:textId="77777777" w:rsidTr="001F694C">
        <w:trPr>
          <w:trHeight w:val="207"/>
        </w:trPr>
        <w:tc>
          <w:tcPr>
            <w:tcW w:w="237" w:type="pct"/>
            <w:shd w:val="clear" w:color="auto" w:fill="auto"/>
            <w:noWrap/>
            <w:vAlign w:val="center"/>
            <w:hideMark/>
          </w:tcPr>
          <w:p w14:paraId="0EF1AA91" w14:textId="77777777" w:rsidR="00D532E9" w:rsidRPr="005136AC" w:rsidRDefault="00D532E9">
            <w:pPr>
              <w:jc w:val="both"/>
              <w:rPr>
                <w:sz w:val="16"/>
                <w:szCs w:val="16"/>
              </w:rPr>
            </w:pPr>
            <w:r w:rsidRPr="005136AC">
              <w:rPr>
                <w:sz w:val="16"/>
                <w:szCs w:val="16"/>
              </w:rPr>
              <w:t> </w:t>
            </w:r>
          </w:p>
        </w:tc>
        <w:tc>
          <w:tcPr>
            <w:tcW w:w="3273" w:type="pct"/>
            <w:shd w:val="clear" w:color="auto" w:fill="auto"/>
            <w:noWrap/>
            <w:vAlign w:val="center"/>
            <w:hideMark/>
          </w:tcPr>
          <w:p w14:paraId="68293C96" w14:textId="4043E345" w:rsidR="00D532E9" w:rsidRPr="005136AC" w:rsidRDefault="00D532E9" w:rsidP="00D94257">
            <w:pPr>
              <w:ind w:firstLine="571"/>
              <w:rPr>
                <w:sz w:val="16"/>
                <w:szCs w:val="16"/>
              </w:rPr>
            </w:pPr>
            <w:r w:rsidRPr="005136AC">
              <w:rPr>
                <w:sz w:val="16"/>
                <w:szCs w:val="16"/>
              </w:rPr>
              <w:t>Персонал</w:t>
            </w:r>
          </w:p>
        </w:tc>
        <w:tc>
          <w:tcPr>
            <w:tcW w:w="485" w:type="pct"/>
            <w:shd w:val="clear" w:color="auto" w:fill="auto"/>
            <w:noWrap/>
            <w:vAlign w:val="center"/>
            <w:hideMark/>
          </w:tcPr>
          <w:p w14:paraId="11064460" w14:textId="77777777" w:rsidR="00D532E9" w:rsidRPr="005136AC" w:rsidRDefault="00D532E9">
            <w:pPr>
              <w:jc w:val="right"/>
              <w:rPr>
                <w:sz w:val="16"/>
                <w:szCs w:val="16"/>
              </w:rPr>
            </w:pPr>
            <w:r w:rsidRPr="005136AC">
              <w:rPr>
                <w:sz w:val="16"/>
                <w:szCs w:val="16"/>
              </w:rPr>
              <w:t> </w:t>
            </w:r>
          </w:p>
        </w:tc>
        <w:tc>
          <w:tcPr>
            <w:tcW w:w="485" w:type="pct"/>
            <w:shd w:val="clear" w:color="auto" w:fill="auto"/>
            <w:noWrap/>
            <w:vAlign w:val="center"/>
            <w:hideMark/>
          </w:tcPr>
          <w:p w14:paraId="3879D059" w14:textId="77777777" w:rsidR="00D532E9" w:rsidRPr="005136AC" w:rsidRDefault="00D532E9">
            <w:pPr>
              <w:jc w:val="right"/>
              <w:rPr>
                <w:sz w:val="16"/>
                <w:szCs w:val="16"/>
              </w:rPr>
            </w:pPr>
            <w:r w:rsidRPr="005136AC">
              <w:rPr>
                <w:sz w:val="16"/>
                <w:szCs w:val="16"/>
              </w:rPr>
              <w:t> </w:t>
            </w:r>
          </w:p>
        </w:tc>
        <w:tc>
          <w:tcPr>
            <w:tcW w:w="520" w:type="pct"/>
            <w:shd w:val="clear" w:color="000000" w:fill="FFFFFF"/>
            <w:noWrap/>
            <w:vAlign w:val="center"/>
            <w:hideMark/>
          </w:tcPr>
          <w:p w14:paraId="343AA606" w14:textId="77777777" w:rsidR="00D532E9" w:rsidRPr="005136AC" w:rsidRDefault="00D532E9">
            <w:pPr>
              <w:jc w:val="right"/>
              <w:rPr>
                <w:sz w:val="16"/>
                <w:szCs w:val="16"/>
              </w:rPr>
            </w:pPr>
            <w:r w:rsidRPr="005136AC">
              <w:rPr>
                <w:sz w:val="16"/>
                <w:szCs w:val="16"/>
              </w:rPr>
              <w:t>9 104</w:t>
            </w:r>
          </w:p>
        </w:tc>
      </w:tr>
      <w:tr w:rsidR="00AE7EF2" w:rsidRPr="005136AC" w14:paraId="11B0C6DB" w14:textId="77777777" w:rsidTr="001F694C">
        <w:trPr>
          <w:trHeight w:val="126"/>
        </w:trPr>
        <w:tc>
          <w:tcPr>
            <w:tcW w:w="237" w:type="pct"/>
            <w:shd w:val="clear" w:color="auto" w:fill="auto"/>
            <w:noWrap/>
            <w:vAlign w:val="center"/>
            <w:hideMark/>
          </w:tcPr>
          <w:p w14:paraId="1EAB8F95" w14:textId="77777777" w:rsidR="00D532E9" w:rsidRPr="005136AC" w:rsidRDefault="00D532E9">
            <w:pPr>
              <w:jc w:val="both"/>
              <w:rPr>
                <w:sz w:val="16"/>
                <w:szCs w:val="16"/>
              </w:rPr>
            </w:pPr>
            <w:r w:rsidRPr="005136AC">
              <w:rPr>
                <w:sz w:val="16"/>
                <w:szCs w:val="16"/>
              </w:rPr>
              <w:t> </w:t>
            </w:r>
          </w:p>
        </w:tc>
        <w:tc>
          <w:tcPr>
            <w:tcW w:w="3273" w:type="pct"/>
            <w:shd w:val="clear" w:color="auto" w:fill="auto"/>
            <w:noWrap/>
            <w:vAlign w:val="center"/>
            <w:hideMark/>
          </w:tcPr>
          <w:p w14:paraId="36B005B2" w14:textId="1670EB03" w:rsidR="00D532E9" w:rsidRPr="005136AC" w:rsidRDefault="00D532E9" w:rsidP="00D94257">
            <w:pPr>
              <w:ind w:firstLine="571"/>
              <w:rPr>
                <w:sz w:val="16"/>
                <w:szCs w:val="16"/>
              </w:rPr>
            </w:pPr>
            <w:r w:rsidRPr="005136AC">
              <w:rPr>
                <w:sz w:val="16"/>
                <w:szCs w:val="16"/>
              </w:rPr>
              <w:t>Издръжка</w:t>
            </w:r>
          </w:p>
        </w:tc>
        <w:tc>
          <w:tcPr>
            <w:tcW w:w="485" w:type="pct"/>
            <w:shd w:val="clear" w:color="auto" w:fill="auto"/>
            <w:noWrap/>
            <w:vAlign w:val="center"/>
            <w:hideMark/>
          </w:tcPr>
          <w:p w14:paraId="19D74AD8" w14:textId="77777777" w:rsidR="00D532E9" w:rsidRPr="005136AC" w:rsidRDefault="00D532E9">
            <w:pPr>
              <w:jc w:val="right"/>
              <w:rPr>
                <w:sz w:val="16"/>
                <w:szCs w:val="16"/>
              </w:rPr>
            </w:pPr>
            <w:r w:rsidRPr="005136AC">
              <w:rPr>
                <w:sz w:val="16"/>
                <w:szCs w:val="16"/>
              </w:rPr>
              <w:t> </w:t>
            </w:r>
          </w:p>
        </w:tc>
        <w:tc>
          <w:tcPr>
            <w:tcW w:w="485" w:type="pct"/>
            <w:shd w:val="clear" w:color="auto" w:fill="auto"/>
            <w:noWrap/>
            <w:vAlign w:val="center"/>
            <w:hideMark/>
          </w:tcPr>
          <w:p w14:paraId="735EF763" w14:textId="77777777" w:rsidR="00D532E9" w:rsidRPr="005136AC" w:rsidRDefault="00D532E9">
            <w:pPr>
              <w:jc w:val="right"/>
              <w:rPr>
                <w:sz w:val="16"/>
                <w:szCs w:val="16"/>
              </w:rPr>
            </w:pPr>
            <w:r w:rsidRPr="005136AC">
              <w:rPr>
                <w:sz w:val="16"/>
                <w:szCs w:val="16"/>
              </w:rPr>
              <w:t> </w:t>
            </w:r>
          </w:p>
        </w:tc>
        <w:tc>
          <w:tcPr>
            <w:tcW w:w="520" w:type="pct"/>
            <w:shd w:val="clear" w:color="000000" w:fill="FFFFFF"/>
            <w:noWrap/>
            <w:vAlign w:val="center"/>
            <w:hideMark/>
          </w:tcPr>
          <w:p w14:paraId="1D4596A4" w14:textId="77777777" w:rsidR="00D532E9" w:rsidRPr="005136AC" w:rsidRDefault="00D532E9">
            <w:pPr>
              <w:jc w:val="right"/>
              <w:rPr>
                <w:sz w:val="16"/>
                <w:szCs w:val="16"/>
              </w:rPr>
            </w:pPr>
            <w:r w:rsidRPr="005136AC">
              <w:rPr>
                <w:sz w:val="16"/>
                <w:szCs w:val="16"/>
              </w:rPr>
              <w:t>6 000</w:t>
            </w:r>
          </w:p>
        </w:tc>
      </w:tr>
      <w:tr w:rsidR="00AE7EF2" w:rsidRPr="005136AC" w14:paraId="1869AA53" w14:textId="77777777" w:rsidTr="001F694C">
        <w:trPr>
          <w:trHeight w:val="72"/>
        </w:trPr>
        <w:tc>
          <w:tcPr>
            <w:tcW w:w="237" w:type="pct"/>
            <w:shd w:val="clear" w:color="auto" w:fill="auto"/>
            <w:noWrap/>
            <w:vAlign w:val="center"/>
            <w:hideMark/>
          </w:tcPr>
          <w:p w14:paraId="45C978A7" w14:textId="77777777" w:rsidR="00D532E9" w:rsidRPr="005136AC" w:rsidRDefault="00D532E9">
            <w:pPr>
              <w:jc w:val="both"/>
              <w:rPr>
                <w:sz w:val="16"/>
                <w:szCs w:val="16"/>
              </w:rPr>
            </w:pPr>
            <w:r w:rsidRPr="005136AC">
              <w:rPr>
                <w:sz w:val="16"/>
                <w:szCs w:val="16"/>
              </w:rPr>
              <w:t> </w:t>
            </w:r>
          </w:p>
        </w:tc>
        <w:tc>
          <w:tcPr>
            <w:tcW w:w="3273" w:type="pct"/>
            <w:shd w:val="clear" w:color="auto" w:fill="auto"/>
            <w:noWrap/>
            <w:vAlign w:val="center"/>
            <w:hideMark/>
          </w:tcPr>
          <w:p w14:paraId="5D26883E" w14:textId="09377D5B" w:rsidR="00D532E9" w:rsidRPr="005136AC" w:rsidRDefault="00D532E9" w:rsidP="00D94257">
            <w:pPr>
              <w:ind w:firstLine="571"/>
              <w:rPr>
                <w:sz w:val="16"/>
                <w:szCs w:val="16"/>
              </w:rPr>
            </w:pPr>
            <w:r w:rsidRPr="005136AC">
              <w:rPr>
                <w:sz w:val="16"/>
                <w:szCs w:val="16"/>
              </w:rPr>
              <w:t>Капиталови разходи</w:t>
            </w:r>
          </w:p>
        </w:tc>
        <w:tc>
          <w:tcPr>
            <w:tcW w:w="485" w:type="pct"/>
            <w:shd w:val="clear" w:color="auto" w:fill="auto"/>
            <w:noWrap/>
            <w:vAlign w:val="center"/>
            <w:hideMark/>
          </w:tcPr>
          <w:p w14:paraId="2A4589BE" w14:textId="77777777" w:rsidR="00D532E9" w:rsidRPr="005136AC" w:rsidRDefault="00D532E9">
            <w:pPr>
              <w:jc w:val="right"/>
              <w:rPr>
                <w:sz w:val="16"/>
                <w:szCs w:val="16"/>
              </w:rPr>
            </w:pPr>
            <w:r w:rsidRPr="005136AC">
              <w:rPr>
                <w:sz w:val="16"/>
                <w:szCs w:val="16"/>
              </w:rPr>
              <w:t> </w:t>
            </w:r>
          </w:p>
        </w:tc>
        <w:tc>
          <w:tcPr>
            <w:tcW w:w="485" w:type="pct"/>
            <w:shd w:val="clear" w:color="auto" w:fill="auto"/>
            <w:noWrap/>
            <w:vAlign w:val="center"/>
            <w:hideMark/>
          </w:tcPr>
          <w:p w14:paraId="48C201FC" w14:textId="77777777" w:rsidR="00D532E9" w:rsidRPr="005136AC" w:rsidRDefault="00D532E9">
            <w:pPr>
              <w:jc w:val="right"/>
              <w:rPr>
                <w:sz w:val="16"/>
                <w:szCs w:val="16"/>
              </w:rPr>
            </w:pPr>
            <w:r w:rsidRPr="005136AC">
              <w:rPr>
                <w:sz w:val="16"/>
                <w:szCs w:val="16"/>
              </w:rPr>
              <w:t> </w:t>
            </w:r>
          </w:p>
        </w:tc>
        <w:tc>
          <w:tcPr>
            <w:tcW w:w="520" w:type="pct"/>
            <w:shd w:val="clear" w:color="000000" w:fill="FFFFFF"/>
            <w:noWrap/>
            <w:vAlign w:val="center"/>
            <w:hideMark/>
          </w:tcPr>
          <w:p w14:paraId="55D2F0B8" w14:textId="77777777" w:rsidR="00D532E9" w:rsidRPr="005136AC" w:rsidRDefault="00D532E9">
            <w:pPr>
              <w:jc w:val="right"/>
              <w:rPr>
                <w:sz w:val="16"/>
                <w:szCs w:val="16"/>
              </w:rPr>
            </w:pPr>
            <w:r w:rsidRPr="005136AC">
              <w:rPr>
                <w:sz w:val="16"/>
                <w:szCs w:val="16"/>
              </w:rPr>
              <w:t> </w:t>
            </w:r>
          </w:p>
        </w:tc>
      </w:tr>
      <w:tr w:rsidR="00AE7EF2" w:rsidRPr="005136AC" w14:paraId="391D3873" w14:textId="77777777" w:rsidTr="001F694C">
        <w:trPr>
          <w:trHeight w:val="159"/>
        </w:trPr>
        <w:tc>
          <w:tcPr>
            <w:tcW w:w="237" w:type="pct"/>
            <w:shd w:val="clear" w:color="auto" w:fill="auto"/>
            <w:noWrap/>
            <w:vAlign w:val="center"/>
            <w:hideMark/>
          </w:tcPr>
          <w:p w14:paraId="28B7DFB6" w14:textId="77777777" w:rsidR="00D532E9" w:rsidRPr="005136AC" w:rsidRDefault="00D532E9">
            <w:pPr>
              <w:jc w:val="both"/>
              <w:rPr>
                <w:sz w:val="16"/>
                <w:szCs w:val="16"/>
              </w:rPr>
            </w:pPr>
            <w:r w:rsidRPr="005136AC">
              <w:rPr>
                <w:sz w:val="16"/>
                <w:szCs w:val="16"/>
              </w:rPr>
              <w:t> </w:t>
            </w:r>
          </w:p>
        </w:tc>
        <w:tc>
          <w:tcPr>
            <w:tcW w:w="3273" w:type="pct"/>
            <w:shd w:val="clear" w:color="auto" w:fill="auto"/>
            <w:noWrap/>
            <w:vAlign w:val="center"/>
            <w:hideMark/>
          </w:tcPr>
          <w:p w14:paraId="310E0D61" w14:textId="77777777" w:rsidR="00D532E9" w:rsidRPr="005136AC" w:rsidRDefault="00D532E9">
            <w:pPr>
              <w:ind w:firstLineChars="200" w:firstLine="320"/>
              <w:rPr>
                <w:sz w:val="16"/>
                <w:szCs w:val="16"/>
              </w:rPr>
            </w:pPr>
            <w:r w:rsidRPr="005136AC">
              <w:rPr>
                <w:sz w:val="16"/>
                <w:szCs w:val="16"/>
              </w:rPr>
              <w:t xml:space="preserve">От тях за: * </w:t>
            </w:r>
          </w:p>
        </w:tc>
        <w:tc>
          <w:tcPr>
            <w:tcW w:w="485" w:type="pct"/>
            <w:shd w:val="clear" w:color="auto" w:fill="auto"/>
            <w:noWrap/>
            <w:vAlign w:val="center"/>
            <w:hideMark/>
          </w:tcPr>
          <w:p w14:paraId="032407ED" w14:textId="77777777" w:rsidR="00D532E9" w:rsidRPr="005136AC" w:rsidRDefault="00D532E9">
            <w:pPr>
              <w:jc w:val="right"/>
              <w:rPr>
                <w:sz w:val="16"/>
                <w:szCs w:val="16"/>
              </w:rPr>
            </w:pPr>
            <w:r w:rsidRPr="005136AC">
              <w:rPr>
                <w:sz w:val="16"/>
                <w:szCs w:val="16"/>
              </w:rPr>
              <w:t> </w:t>
            </w:r>
          </w:p>
        </w:tc>
        <w:tc>
          <w:tcPr>
            <w:tcW w:w="485" w:type="pct"/>
            <w:shd w:val="clear" w:color="auto" w:fill="auto"/>
            <w:noWrap/>
            <w:vAlign w:val="center"/>
            <w:hideMark/>
          </w:tcPr>
          <w:p w14:paraId="1850BFBB" w14:textId="77777777" w:rsidR="00D532E9" w:rsidRPr="005136AC" w:rsidRDefault="00D532E9">
            <w:pPr>
              <w:jc w:val="right"/>
              <w:rPr>
                <w:sz w:val="16"/>
                <w:szCs w:val="16"/>
              </w:rPr>
            </w:pPr>
            <w:r w:rsidRPr="005136AC">
              <w:rPr>
                <w:sz w:val="16"/>
                <w:szCs w:val="16"/>
              </w:rPr>
              <w:t> </w:t>
            </w:r>
          </w:p>
        </w:tc>
        <w:tc>
          <w:tcPr>
            <w:tcW w:w="520" w:type="pct"/>
            <w:shd w:val="clear" w:color="000000" w:fill="FFFFFF"/>
            <w:noWrap/>
            <w:vAlign w:val="center"/>
            <w:hideMark/>
          </w:tcPr>
          <w:p w14:paraId="6CD817FD" w14:textId="77777777" w:rsidR="00D532E9" w:rsidRPr="005136AC" w:rsidRDefault="00D532E9">
            <w:pPr>
              <w:jc w:val="right"/>
              <w:rPr>
                <w:sz w:val="16"/>
                <w:szCs w:val="16"/>
              </w:rPr>
            </w:pPr>
            <w:r w:rsidRPr="005136AC">
              <w:rPr>
                <w:sz w:val="16"/>
                <w:szCs w:val="16"/>
              </w:rPr>
              <w:t> </w:t>
            </w:r>
          </w:p>
        </w:tc>
      </w:tr>
      <w:tr w:rsidR="00AE7EF2" w:rsidRPr="005136AC" w14:paraId="5C0103C9" w14:textId="77777777" w:rsidTr="001F694C">
        <w:trPr>
          <w:trHeight w:val="262"/>
        </w:trPr>
        <w:tc>
          <w:tcPr>
            <w:tcW w:w="237" w:type="pct"/>
            <w:shd w:val="clear" w:color="auto" w:fill="auto"/>
            <w:noWrap/>
            <w:vAlign w:val="center"/>
            <w:hideMark/>
          </w:tcPr>
          <w:p w14:paraId="310B7137" w14:textId="77777777" w:rsidR="00D532E9" w:rsidRPr="005136AC" w:rsidRDefault="00D532E9">
            <w:pPr>
              <w:jc w:val="both"/>
              <w:rPr>
                <w:sz w:val="16"/>
                <w:szCs w:val="16"/>
              </w:rPr>
            </w:pPr>
            <w:r w:rsidRPr="005136AC">
              <w:rPr>
                <w:sz w:val="16"/>
                <w:szCs w:val="16"/>
              </w:rPr>
              <w:t> 2.1</w:t>
            </w:r>
          </w:p>
        </w:tc>
        <w:tc>
          <w:tcPr>
            <w:tcW w:w="3273" w:type="pct"/>
            <w:shd w:val="clear" w:color="auto" w:fill="auto"/>
            <w:noWrap/>
            <w:vAlign w:val="center"/>
            <w:hideMark/>
          </w:tcPr>
          <w:p w14:paraId="1F0311DD" w14:textId="77777777" w:rsidR="00D532E9" w:rsidRPr="005136AC" w:rsidRDefault="00D532E9">
            <w:pPr>
              <w:ind w:firstLineChars="200" w:firstLine="320"/>
              <w:rPr>
                <w:sz w:val="16"/>
                <w:szCs w:val="16"/>
              </w:rPr>
            </w:pPr>
            <w:r w:rsidRPr="005136AC">
              <w:rPr>
                <w:sz w:val="16"/>
                <w:szCs w:val="16"/>
              </w:rPr>
              <w:t>Разходи по Плана за възстановяване и устойчивост на РБ</w:t>
            </w:r>
          </w:p>
        </w:tc>
        <w:tc>
          <w:tcPr>
            <w:tcW w:w="485" w:type="pct"/>
            <w:shd w:val="clear" w:color="auto" w:fill="auto"/>
            <w:noWrap/>
            <w:vAlign w:val="center"/>
            <w:hideMark/>
          </w:tcPr>
          <w:p w14:paraId="53D11EAE" w14:textId="77777777" w:rsidR="00D532E9" w:rsidRPr="005136AC" w:rsidRDefault="00D532E9">
            <w:pPr>
              <w:jc w:val="right"/>
              <w:rPr>
                <w:sz w:val="16"/>
                <w:szCs w:val="16"/>
              </w:rPr>
            </w:pPr>
            <w:r w:rsidRPr="005136AC">
              <w:rPr>
                <w:sz w:val="16"/>
                <w:szCs w:val="16"/>
              </w:rPr>
              <w:t> </w:t>
            </w:r>
          </w:p>
        </w:tc>
        <w:tc>
          <w:tcPr>
            <w:tcW w:w="485" w:type="pct"/>
            <w:shd w:val="clear" w:color="auto" w:fill="auto"/>
            <w:noWrap/>
            <w:vAlign w:val="center"/>
            <w:hideMark/>
          </w:tcPr>
          <w:p w14:paraId="1892D96C" w14:textId="77777777" w:rsidR="00D532E9" w:rsidRPr="005136AC" w:rsidRDefault="00D532E9">
            <w:pPr>
              <w:jc w:val="right"/>
              <w:rPr>
                <w:sz w:val="16"/>
                <w:szCs w:val="16"/>
              </w:rPr>
            </w:pPr>
            <w:r w:rsidRPr="005136AC">
              <w:rPr>
                <w:sz w:val="16"/>
                <w:szCs w:val="16"/>
              </w:rPr>
              <w:t> </w:t>
            </w:r>
          </w:p>
        </w:tc>
        <w:tc>
          <w:tcPr>
            <w:tcW w:w="520" w:type="pct"/>
            <w:shd w:val="clear" w:color="auto" w:fill="auto"/>
            <w:noWrap/>
            <w:vAlign w:val="center"/>
            <w:hideMark/>
          </w:tcPr>
          <w:p w14:paraId="54ABC067" w14:textId="77777777" w:rsidR="00D532E9" w:rsidRPr="005136AC" w:rsidRDefault="00D532E9">
            <w:pPr>
              <w:jc w:val="right"/>
              <w:rPr>
                <w:sz w:val="16"/>
                <w:szCs w:val="16"/>
              </w:rPr>
            </w:pPr>
            <w:r w:rsidRPr="005136AC">
              <w:rPr>
                <w:sz w:val="16"/>
                <w:szCs w:val="16"/>
              </w:rPr>
              <w:t>15 104</w:t>
            </w:r>
          </w:p>
        </w:tc>
      </w:tr>
      <w:tr w:rsidR="00AE7EF2" w:rsidRPr="005136AC" w14:paraId="4DD1C46A" w14:textId="77777777" w:rsidTr="001F694C">
        <w:trPr>
          <w:trHeight w:val="124"/>
        </w:trPr>
        <w:tc>
          <w:tcPr>
            <w:tcW w:w="237" w:type="pct"/>
            <w:shd w:val="clear" w:color="auto" w:fill="auto"/>
            <w:noWrap/>
            <w:vAlign w:val="center"/>
            <w:hideMark/>
          </w:tcPr>
          <w:p w14:paraId="2DFB2417" w14:textId="77777777" w:rsidR="00D532E9" w:rsidRPr="005136AC" w:rsidRDefault="00D532E9">
            <w:pPr>
              <w:jc w:val="both"/>
              <w:rPr>
                <w:sz w:val="16"/>
                <w:szCs w:val="16"/>
              </w:rPr>
            </w:pPr>
            <w:r w:rsidRPr="005136AC">
              <w:rPr>
                <w:sz w:val="16"/>
                <w:szCs w:val="16"/>
              </w:rPr>
              <w:t> </w:t>
            </w:r>
          </w:p>
        </w:tc>
        <w:tc>
          <w:tcPr>
            <w:tcW w:w="3273" w:type="pct"/>
            <w:shd w:val="clear" w:color="auto" w:fill="auto"/>
            <w:noWrap/>
            <w:vAlign w:val="center"/>
            <w:hideMark/>
          </w:tcPr>
          <w:p w14:paraId="16A459AE" w14:textId="77777777" w:rsidR="00D532E9" w:rsidRPr="005136AC" w:rsidRDefault="00D532E9">
            <w:pPr>
              <w:ind w:firstLineChars="500" w:firstLine="800"/>
              <w:rPr>
                <w:sz w:val="16"/>
                <w:szCs w:val="16"/>
              </w:rPr>
            </w:pPr>
            <w:r w:rsidRPr="005136AC">
              <w:rPr>
                <w:sz w:val="16"/>
                <w:szCs w:val="16"/>
              </w:rPr>
              <w:t> </w:t>
            </w:r>
          </w:p>
        </w:tc>
        <w:tc>
          <w:tcPr>
            <w:tcW w:w="485" w:type="pct"/>
            <w:shd w:val="clear" w:color="auto" w:fill="auto"/>
            <w:noWrap/>
            <w:vAlign w:val="center"/>
            <w:hideMark/>
          </w:tcPr>
          <w:p w14:paraId="3A111B17" w14:textId="77777777" w:rsidR="00D532E9" w:rsidRPr="005136AC" w:rsidRDefault="00D532E9">
            <w:pPr>
              <w:jc w:val="right"/>
              <w:rPr>
                <w:sz w:val="16"/>
                <w:szCs w:val="16"/>
              </w:rPr>
            </w:pPr>
            <w:r w:rsidRPr="005136AC">
              <w:rPr>
                <w:sz w:val="16"/>
                <w:szCs w:val="16"/>
              </w:rPr>
              <w:t> </w:t>
            </w:r>
          </w:p>
        </w:tc>
        <w:tc>
          <w:tcPr>
            <w:tcW w:w="485" w:type="pct"/>
            <w:shd w:val="clear" w:color="auto" w:fill="auto"/>
            <w:noWrap/>
            <w:vAlign w:val="center"/>
            <w:hideMark/>
          </w:tcPr>
          <w:p w14:paraId="3D4901A5" w14:textId="77777777" w:rsidR="00D532E9" w:rsidRPr="005136AC" w:rsidRDefault="00D532E9">
            <w:pPr>
              <w:jc w:val="right"/>
              <w:rPr>
                <w:sz w:val="16"/>
                <w:szCs w:val="16"/>
              </w:rPr>
            </w:pPr>
            <w:r w:rsidRPr="005136AC">
              <w:rPr>
                <w:sz w:val="16"/>
                <w:szCs w:val="16"/>
              </w:rPr>
              <w:t> </w:t>
            </w:r>
          </w:p>
        </w:tc>
        <w:tc>
          <w:tcPr>
            <w:tcW w:w="520" w:type="pct"/>
            <w:shd w:val="clear" w:color="auto" w:fill="auto"/>
            <w:noWrap/>
            <w:vAlign w:val="center"/>
            <w:hideMark/>
          </w:tcPr>
          <w:p w14:paraId="34D0EAF0" w14:textId="77777777" w:rsidR="00D532E9" w:rsidRPr="005136AC" w:rsidRDefault="00D532E9">
            <w:pPr>
              <w:jc w:val="right"/>
              <w:rPr>
                <w:sz w:val="16"/>
                <w:szCs w:val="16"/>
              </w:rPr>
            </w:pPr>
            <w:r w:rsidRPr="005136AC">
              <w:rPr>
                <w:sz w:val="16"/>
                <w:szCs w:val="16"/>
              </w:rPr>
              <w:t> </w:t>
            </w:r>
          </w:p>
        </w:tc>
      </w:tr>
      <w:tr w:rsidR="00AE7EF2" w:rsidRPr="005136AC" w14:paraId="24E15FB4" w14:textId="77777777" w:rsidTr="001F694C">
        <w:trPr>
          <w:trHeight w:val="225"/>
        </w:trPr>
        <w:tc>
          <w:tcPr>
            <w:tcW w:w="237" w:type="pct"/>
            <w:shd w:val="clear" w:color="auto" w:fill="auto"/>
            <w:noWrap/>
            <w:vAlign w:val="center"/>
            <w:hideMark/>
          </w:tcPr>
          <w:p w14:paraId="0368FE70" w14:textId="77777777" w:rsidR="00D532E9" w:rsidRPr="005136AC" w:rsidRDefault="00D532E9">
            <w:pPr>
              <w:jc w:val="both"/>
              <w:rPr>
                <w:sz w:val="16"/>
                <w:szCs w:val="16"/>
              </w:rPr>
            </w:pPr>
            <w:r w:rsidRPr="005136AC">
              <w:rPr>
                <w:sz w:val="16"/>
                <w:szCs w:val="16"/>
              </w:rPr>
              <w:t> </w:t>
            </w:r>
          </w:p>
        </w:tc>
        <w:tc>
          <w:tcPr>
            <w:tcW w:w="3273" w:type="pct"/>
            <w:shd w:val="clear" w:color="auto" w:fill="auto"/>
            <w:noWrap/>
            <w:vAlign w:val="center"/>
            <w:hideMark/>
          </w:tcPr>
          <w:p w14:paraId="6DF5BFB0" w14:textId="77777777" w:rsidR="00D532E9" w:rsidRPr="005136AC" w:rsidRDefault="00D532E9">
            <w:pPr>
              <w:rPr>
                <w:i/>
                <w:iCs/>
                <w:sz w:val="16"/>
                <w:szCs w:val="16"/>
              </w:rPr>
            </w:pPr>
            <w:r w:rsidRPr="005136AC">
              <w:rPr>
                <w:i/>
                <w:iCs/>
                <w:sz w:val="16"/>
                <w:szCs w:val="16"/>
              </w:rPr>
              <w:t xml:space="preserve">Администрирани разходни показатели </w:t>
            </w:r>
            <w:r w:rsidRPr="005136AC">
              <w:rPr>
                <w:sz w:val="16"/>
                <w:szCs w:val="16"/>
              </w:rPr>
              <w:t>**</w:t>
            </w:r>
          </w:p>
        </w:tc>
        <w:tc>
          <w:tcPr>
            <w:tcW w:w="485" w:type="pct"/>
            <w:shd w:val="clear" w:color="auto" w:fill="auto"/>
            <w:noWrap/>
            <w:vAlign w:val="center"/>
            <w:hideMark/>
          </w:tcPr>
          <w:p w14:paraId="07C7BB33" w14:textId="77777777" w:rsidR="00D532E9" w:rsidRPr="005136AC" w:rsidRDefault="00D532E9">
            <w:pPr>
              <w:jc w:val="right"/>
              <w:rPr>
                <w:sz w:val="16"/>
                <w:szCs w:val="16"/>
              </w:rPr>
            </w:pPr>
            <w:r w:rsidRPr="005136AC">
              <w:rPr>
                <w:sz w:val="16"/>
                <w:szCs w:val="16"/>
              </w:rPr>
              <w:t> </w:t>
            </w:r>
          </w:p>
        </w:tc>
        <w:tc>
          <w:tcPr>
            <w:tcW w:w="485" w:type="pct"/>
            <w:shd w:val="clear" w:color="auto" w:fill="auto"/>
            <w:noWrap/>
            <w:vAlign w:val="center"/>
            <w:hideMark/>
          </w:tcPr>
          <w:p w14:paraId="14655B89" w14:textId="77777777" w:rsidR="00D532E9" w:rsidRPr="005136AC" w:rsidRDefault="00D532E9">
            <w:pPr>
              <w:jc w:val="right"/>
              <w:rPr>
                <w:sz w:val="16"/>
                <w:szCs w:val="16"/>
              </w:rPr>
            </w:pPr>
            <w:r w:rsidRPr="005136AC">
              <w:rPr>
                <w:sz w:val="16"/>
                <w:szCs w:val="16"/>
              </w:rPr>
              <w:t> </w:t>
            </w:r>
          </w:p>
        </w:tc>
        <w:tc>
          <w:tcPr>
            <w:tcW w:w="520" w:type="pct"/>
            <w:shd w:val="clear" w:color="auto" w:fill="auto"/>
            <w:noWrap/>
            <w:vAlign w:val="center"/>
            <w:hideMark/>
          </w:tcPr>
          <w:p w14:paraId="0F755F9A" w14:textId="77777777" w:rsidR="00D532E9" w:rsidRPr="005136AC" w:rsidRDefault="00D532E9">
            <w:pPr>
              <w:jc w:val="right"/>
              <w:rPr>
                <w:sz w:val="16"/>
                <w:szCs w:val="16"/>
              </w:rPr>
            </w:pPr>
            <w:r w:rsidRPr="005136AC">
              <w:rPr>
                <w:sz w:val="16"/>
                <w:szCs w:val="16"/>
              </w:rPr>
              <w:t> </w:t>
            </w:r>
          </w:p>
        </w:tc>
      </w:tr>
      <w:tr w:rsidR="00AE7EF2" w:rsidRPr="005136AC" w14:paraId="1AB888DD" w14:textId="77777777" w:rsidTr="001F694C">
        <w:trPr>
          <w:trHeight w:val="116"/>
        </w:trPr>
        <w:tc>
          <w:tcPr>
            <w:tcW w:w="237" w:type="pct"/>
            <w:shd w:val="clear" w:color="000000" w:fill="E6E6E6"/>
            <w:noWrap/>
            <w:vAlign w:val="center"/>
            <w:hideMark/>
          </w:tcPr>
          <w:p w14:paraId="75213E2D" w14:textId="77777777" w:rsidR="00D532E9" w:rsidRPr="005136AC" w:rsidRDefault="00D532E9">
            <w:pPr>
              <w:jc w:val="both"/>
              <w:rPr>
                <w:b/>
                <w:bCs/>
                <w:sz w:val="16"/>
                <w:szCs w:val="16"/>
              </w:rPr>
            </w:pPr>
            <w:r w:rsidRPr="005136AC">
              <w:rPr>
                <w:b/>
                <w:bCs/>
                <w:sz w:val="16"/>
                <w:szCs w:val="16"/>
              </w:rPr>
              <w:t>ІІ.</w:t>
            </w:r>
          </w:p>
        </w:tc>
        <w:tc>
          <w:tcPr>
            <w:tcW w:w="3273" w:type="pct"/>
            <w:shd w:val="clear" w:color="000000" w:fill="E6E6E6"/>
            <w:noWrap/>
            <w:vAlign w:val="center"/>
            <w:hideMark/>
          </w:tcPr>
          <w:p w14:paraId="175B309F" w14:textId="77777777" w:rsidR="00D532E9" w:rsidRPr="005136AC" w:rsidRDefault="00D532E9">
            <w:pPr>
              <w:rPr>
                <w:b/>
                <w:bCs/>
                <w:sz w:val="16"/>
                <w:szCs w:val="16"/>
              </w:rPr>
            </w:pPr>
            <w:r w:rsidRPr="005136AC">
              <w:rPr>
                <w:b/>
                <w:bCs/>
                <w:sz w:val="16"/>
                <w:szCs w:val="16"/>
              </w:rPr>
              <w:t xml:space="preserve">Администрирани разходни параграфи по бюджета </w:t>
            </w:r>
          </w:p>
        </w:tc>
        <w:tc>
          <w:tcPr>
            <w:tcW w:w="485" w:type="pct"/>
            <w:shd w:val="clear" w:color="000000" w:fill="E6E6E6"/>
            <w:noWrap/>
            <w:vAlign w:val="center"/>
            <w:hideMark/>
          </w:tcPr>
          <w:p w14:paraId="2065095F" w14:textId="77777777" w:rsidR="00D532E9" w:rsidRPr="005136AC" w:rsidRDefault="00D532E9">
            <w:pPr>
              <w:jc w:val="right"/>
              <w:rPr>
                <w:b/>
                <w:bCs/>
                <w:sz w:val="16"/>
                <w:szCs w:val="16"/>
              </w:rPr>
            </w:pPr>
            <w:r w:rsidRPr="005136AC">
              <w:rPr>
                <w:b/>
                <w:bCs/>
                <w:sz w:val="16"/>
                <w:szCs w:val="16"/>
              </w:rPr>
              <w:t>0</w:t>
            </w:r>
          </w:p>
        </w:tc>
        <w:tc>
          <w:tcPr>
            <w:tcW w:w="485" w:type="pct"/>
            <w:shd w:val="clear" w:color="000000" w:fill="E6E6E6"/>
            <w:noWrap/>
            <w:vAlign w:val="center"/>
            <w:hideMark/>
          </w:tcPr>
          <w:p w14:paraId="5F255189" w14:textId="77777777" w:rsidR="00D532E9" w:rsidRPr="005136AC" w:rsidRDefault="00D532E9">
            <w:pPr>
              <w:jc w:val="right"/>
              <w:rPr>
                <w:b/>
                <w:bCs/>
                <w:sz w:val="16"/>
                <w:szCs w:val="16"/>
              </w:rPr>
            </w:pPr>
            <w:r w:rsidRPr="005136AC">
              <w:rPr>
                <w:b/>
                <w:bCs/>
                <w:sz w:val="16"/>
                <w:szCs w:val="16"/>
              </w:rPr>
              <w:t>0</w:t>
            </w:r>
          </w:p>
        </w:tc>
        <w:tc>
          <w:tcPr>
            <w:tcW w:w="520" w:type="pct"/>
            <w:shd w:val="clear" w:color="000000" w:fill="E6E6E6"/>
            <w:noWrap/>
            <w:vAlign w:val="center"/>
            <w:hideMark/>
          </w:tcPr>
          <w:p w14:paraId="35B5CE4F" w14:textId="77777777" w:rsidR="00D532E9" w:rsidRPr="005136AC" w:rsidRDefault="00D532E9">
            <w:pPr>
              <w:jc w:val="right"/>
              <w:rPr>
                <w:b/>
                <w:bCs/>
                <w:sz w:val="16"/>
                <w:szCs w:val="16"/>
              </w:rPr>
            </w:pPr>
            <w:r w:rsidRPr="005136AC">
              <w:rPr>
                <w:b/>
                <w:bCs/>
                <w:sz w:val="16"/>
                <w:szCs w:val="16"/>
              </w:rPr>
              <w:t>0</w:t>
            </w:r>
          </w:p>
        </w:tc>
      </w:tr>
      <w:tr w:rsidR="00AE7EF2" w:rsidRPr="005136AC" w14:paraId="68A3FA67" w14:textId="77777777" w:rsidTr="001F694C">
        <w:trPr>
          <w:trHeight w:val="76"/>
        </w:trPr>
        <w:tc>
          <w:tcPr>
            <w:tcW w:w="237" w:type="pct"/>
            <w:shd w:val="clear" w:color="auto" w:fill="auto"/>
            <w:noWrap/>
            <w:vAlign w:val="center"/>
            <w:hideMark/>
          </w:tcPr>
          <w:p w14:paraId="346749CC" w14:textId="77777777" w:rsidR="00D532E9" w:rsidRPr="005136AC" w:rsidRDefault="00D532E9">
            <w:pPr>
              <w:jc w:val="both"/>
              <w:rPr>
                <w:sz w:val="16"/>
                <w:szCs w:val="16"/>
              </w:rPr>
            </w:pPr>
            <w:r w:rsidRPr="005136AC">
              <w:rPr>
                <w:sz w:val="16"/>
                <w:szCs w:val="16"/>
              </w:rPr>
              <w:t> </w:t>
            </w:r>
          </w:p>
        </w:tc>
        <w:tc>
          <w:tcPr>
            <w:tcW w:w="3273" w:type="pct"/>
            <w:shd w:val="clear" w:color="auto" w:fill="auto"/>
            <w:noWrap/>
            <w:vAlign w:val="center"/>
            <w:hideMark/>
          </w:tcPr>
          <w:p w14:paraId="7986E3D5" w14:textId="77777777" w:rsidR="00D532E9" w:rsidRPr="005136AC" w:rsidRDefault="00D532E9">
            <w:pPr>
              <w:ind w:firstLineChars="200" w:firstLine="320"/>
              <w:rPr>
                <w:sz w:val="16"/>
                <w:szCs w:val="16"/>
              </w:rPr>
            </w:pPr>
            <w:r w:rsidRPr="005136AC">
              <w:rPr>
                <w:sz w:val="16"/>
                <w:szCs w:val="16"/>
              </w:rPr>
              <w:t> </w:t>
            </w:r>
          </w:p>
        </w:tc>
        <w:tc>
          <w:tcPr>
            <w:tcW w:w="485" w:type="pct"/>
            <w:shd w:val="clear" w:color="auto" w:fill="auto"/>
            <w:noWrap/>
            <w:vAlign w:val="center"/>
            <w:hideMark/>
          </w:tcPr>
          <w:p w14:paraId="46DF6295" w14:textId="77777777" w:rsidR="00D532E9" w:rsidRPr="005136AC" w:rsidRDefault="00D532E9">
            <w:pPr>
              <w:jc w:val="right"/>
              <w:rPr>
                <w:sz w:val="16"/>
                <w:szCs w:val="16"/>
              </w:rPr>
            </w:pPr>
            <w:r w:rsidRPr="005136AC">
              <w:rPr>
                <w:sz w:val="16"/>
                <w:szCs w:val="16"/>
              </w:rPr>
              <w:t> </w:t>
            </w:r>
          </w:p>
        </w:tc>
        <w:tc>
          <w:tcPr>
            <w:tcW w:w="485" w:type="pct"/>
            <w:shd w:val="clear" w:color="auto" w:fill="auto"/>
            <w:noWrap/>
            <w:vAlign w:val="center"/>
            <w:hideMark/>
          </w:tcPr>
          <w:p w14:paraId="02D5BFE1" w14:textId="77777777" w:rsidR="00D532E9" w:rsidRPr="005136AC" w:rsidRDefault="00D532E9">
            <w:pPr>
              <w:jc w:val="right"/>
              <w:rPr>
                <w:sz w:val="16"/>
                <w:szCs w:val="16"/>
              </w:rPr>
            </w:pPr>
            <w:r w:rsidRPr="005136AC">
              <w:rPr>
                <w:sz w:val="16"/>
                <w:szCs w:val="16"/>
              </w:rPr>
              <w:t> </w:t>
            </w:r>
          </w:p>
        </w:tc>
        <w:tc>
          <w:tcPr>
            <w:tcW w:w="520" w:type="pct"/>
            <w:shd w:val="clear" w:color="auto" w:fill="auto"/>
            <w:noWrap/>
            <w:vAlign w:val="center"/>
            <w:hideMark/>
          </w:tcPr>
          <w:p w14:paraId="5D2ED4BB" w14:textId="77777777" w:rsidR="00D532E9" w:rsidRPr="005136AC" w:rsidRDefault="00D532E9">
            <w:pPr>
              <w:jc w:val="right"/>
              <w:rPr>
                <w:sz w:val="16"/>
                <w:szCs w:val="16"/>
              </w:rPr>
            </w:pPr>
            <w:r w:rsidRPr="005136AC">
              <w:rPr>
                <w:sz w:val="16"/>
                <w:szCs w:val="16"/>
              </w:rPr>
              <w:t> </w:t>
            </w:r>
          </w:p>
        </w:tc>
      </w:tr>
      <w:tr w:rsidR="00AE7EF2" w:rsidRPr="005136AC" w14:paraId="3678B1E9" w14:textId="77777777" w:rsidTr="00702B59">
        <w:trPr>
          <w:trHeight w:val="238"/>
        </w:trPr>
        <w:tc>
          <w:tcPr>
            <w:tcW w:w="237" w:type="pct"/>
            <w:shd w:val="clear" w:color="000000" w:fill="E6E6E6"/>
            <w:noWrap/>
            <w:vAlign w:val="center"/>
            <w:hideMark/>
          </w:tcPr>
          <w:p w14:paraId="75CA248C" w14:textId="77777777" w:rsidR="00D532E9" w:rsidRPr="005136AC" w:rsidRDefault="00D532E9">
            <w:pPr>
              <w:jc w:val="both"/>
              <w:rPr>
                <w:b/>
                <w:bCs/>
                <w:sz w:val="16"/>
                <w:szCs w:val="16"/>
              </w:rPr>
            </w:pPr>
            <w:r w:rsidRPr="005136AC">
              <w:rPr>
                <w:b/>
                <w:bCs/>
                <w:sz w:val="16"/>
                <w:szCs w:val="16"/>
              </w:rPr>
              <w:t>ІІІ.</w:t>
            </w:r>
          </w:p>
        </w:tc>
        <w:tc>
          <w:tcPr>
            <w:tcW w:w="3273" w:type="pct"/>
            <w:shd w:val="clear" w:color="000000" w:fill="E6E6E6"/>
            <w:noWrap/>
            <w:vAlign w:val="center"/>
            <w:hideMark/>
          </w:tcPr>
          <w:p w14:paraId="66E8F49C" w14:textId="77777777" w:rsidR="00D532E9" w:rsidRPr="005136AC" w:rsidRDefault="00D532E9">
            <w:pPr>
              <w:rPr>
                <w:b/>
                <w:bCs/>
                <w:sz w:val="16"/>
                <w:szCs w:val="16"/>
              </w:rPr>
            </w:pPr>
            <w:r w:rsidRPr="005136AC">
              <w:rPr>
                <w:b/>
                <w:bCs/>
                <w:sz w:val="16"/>
                <w:szCs w:val="16"/>
              </w:rPr>
              <w:t>Администрирани разходни параграфи по други бюджети и сметки за средства от ЕС</w:t>
            </w:r>
          </w:p>
        </w:tc>
        <w:tc>
          <w:tcPr>
            <w:tcW w:w="485" w:type="pct"/>
            <w:shd w:val="clear" w:color="000000" w:fill="E6E6E6"/>
            <w:noWrap/>
            <w:vAlign w:val="center"/>
            <w:hideMark/>
          </w:tcPr>
          <w:p w14:paraId="11FCF84A" w14:textId="77777777" w:rsidR="00D532E9" w:rsidRPr="005136AC" w:rsidRDefault="00D532E9">
            <w:pPr>
              <w:jc w:val="right"/>
              <w:rPr>
                <w:b/>
                <w:bCs/>
                <w:sz w:val="16"/>
                <w:szCs w:val="16"/>
              </w:rPr>
            </w:pPr>
            <w:r w:rsidRPr="005136AC">
              <w:rPr>
                <w:b/>
                <w:bCs/>
                <w:sz w:val="16"/>
                <w:szCs w:val="16"/>
              </w:rPr>
              <w:t>0</w:t>
            </w:r>
          </w:p>
        </w:tc>
        <w:tc>
          <w:tcPr>
            <w:tcW w:w="485" w:type="pct"/>
            <w:shd w:val="clear" w:color="000000" w:fill="E6E6E6"/>
            <w:noWrap/>
            <w:vAlign w:val="center"/>
            <w:hideMark/>
          </w:tcPr>
          <w:p w14:paraId="30CDECC6" w14:textId="77777777" w:rsidR="00D532E9" w:rsidRPr="005136AC" w:rsidRDefault="00D532E9">
            <w:pPr>
              <w:jc w:val="right"/>
              <w:rPr>
                <w:b/>
                <w:bCs/>
                <w:sz w:val="16"/>
                <w:szCs w:val="16"/>
              </w:rPr>
            </w:pPr>
            <w:r w:rsidRPr="005136AC">
              <w:rPr>
                <w:b/>
                <w:bCs/>
                <w:sz w:val="16"/>
                <w:szCs w:val="16"/>
              </w:rPr>
              <w:t>0</w:t>
            </w:r>
          </w:p>
        </w:tc>
        <w:tc>
          <w:tcPr>
            <w:tcW w:w="520" w:type="pct"/>
            <w:shd w:val="clear" w:color="000000" w:fill="E6E6E6"/>
            <w:noWrap/>
            <w:vAlign w:val="center"/>
            <w:hideMark/>
          </w:tcPr>
          <w:p w14:paraId="6701431E" w14:textId="77777777" w:rsidR="00D532E9" w:rsidRPr="005136AC" w:rsidRDefault="00D532E9">
            <w:pPr>
              <w:jc w:val="right"/>
              <w:rPr>
                <w:b/>
                <w:bCs/>
                <w:sz w:val="16"/>
                <w:szCs w:val="16"/>
              </w:rPr>
            </w:pPr>
            <w:r w:rsidRPr="005136AC">
              <w:rPr>
                <w:b/>
                <w:bCs/>
                <w:sz w:val="16"/>
                <w:szCs w:val="16"/>
              </w:rPr>
              <w:t>0</w:t>
            </w:r>
          </w:p>
        </w:tc>
      </w:tr>
      <w:tr w:rsidR="00AE7EF2" w:rsidRPr="005136AC" w14:paraId="68A85265" w14:textId="77777777" w:rsidTr="001F694C">
        <w:trPr>
          <w:trHeight w:val="126"/>
        </w:trPr>
        <w:tc>
          <w:tcPr>
            <w:tcW w:w="237" w:type="pct"/>
            <w:shd w:val="clear" w:color="auto" w:fill="auto"/>
            <w:noWrap/>
            <w:vAlign w:val="center"/>
            <w:hideMark/>
          </w:tcPr>
          <w:p w14:paraId="4F4E1395" w14:textId="77777777" w:rsidR="00D532E9" w:rsidRPr="005136AC" w:rsidRDefault="00D532E9">
            <w:pPr>
              <w:jc w:val="both"/>
              <w:rPr>
                <w:sz w:val="16"/>
                <w:szCs w:val="16"/>
              </w:rPr>
            </w:pPr>
            <w:r w:rsidRPr="005136AC">
              <w:rPr>
                <w:sz w:val="16"/>
                <w:szCs w:val="16"/>
              </w:rPr>
              <w:t> </w:t>
            </w:r>
          </w:p>
        </w:tc>
        <w:tc>
          <w:tcPr>
            <w:tcW w:w="3273" w:type="pct"/>
            <w:shd w:val="clear" w:color="auto" w:fill="auto"/>
            <w:noWrap/>
            <w:vAlign w:val="center"/>
            <w:hideMark/>
          </w:tcPr>
          <w:p w14:paraId="0152101A" w14:textId="77777777" w:rsidR="00D532E9" w:rsidRPr="005136AC" w:rsidRDefault="00D532E9">
            <w:pPr>
              <w:ind w:firstLineChars="200" w:firstLine="320"/>
              <w:rPr>
                <w:sz w:val="16"/>
                <w:szCs w:val="16"/>
              </w:rPr>
            </w:pPr>
            <w:r w:rsidRPr="005136AC">
              <w:rPr>
                <w:sz w:val="16"/>
                <w:szCs w:val="16"/>
              </w:rPr>
              <w:t> </w:t>
            </w:r>
          </w:p>
        </w:tc>
        <w:tc>
          <w:tcPr>
            <w:tcW w:w="485" w:type="pct"/>
            <w:shd w:val="clear" w:color="auto" w:fill="auto"/>
            <w:noWrap/>
            <w:vAlign w:val="center"/>
            <w:hideMark/>
          </w:tcPr>
          <w:p w14:paraId="4440682C" w14:textId="77777777" w:rsidR="00D532E9" w:rsidRPr="005136AC" w:rsidRDefault="00D532E9">
            <w:pPr>
              <w:jc w:val="right"/>
              <w:rPr>
                <w:sz w:val="16"/>
                <w:szCs w:val="16"/>
              </w:rPr>
            </w:pPr>
            <w:r w:rsidRPr="005136AC">
              <w:rPr>
                <w:sz w:val="16"/>
                <w:szCs w:val="16"/>
              </w:rPr>
              <w:t> </w:t>
            </w:r>
          </w:p>
        </w:tc>
        <w:tc>
          <w:tcPr>
            <w:tcW w:w="485" w:type="pct"/>
            <w:shd w:val="clear" w:color="auto" w:fill="auto"/>
            <w:noWrap/>
            <w:vAlign w:val="center"/>
            <w:hideMark/>
          </w:tcPr>
          <w:p w14:paraId="75E938B3" w14:textId="77777777" w:rsidR="00D532E9" w:rsidRPr="005136AC" w:rsidRDefault="00D532E9">
            <w:pPr>
              <w:jc w:val="right"/>
              <w:rPr>
                <w:sz w:val="16"/>
                <w:szCs w:val="16"/>
              </w:rPr>
            </w:pPr>
            <w:r w:rsidRPr="005136AC">
              <w:rPr>
                <w:sz w:val="16"/>
                <w:szCs w:val="16"/>
              </w:rPr>
              <w:t> </w:t>
            </w:r>
          </w:p>
        </w:tc>
        <w:tc>
          <w:tcPr>
            <w:tcW w:w="520" w:type="pct"/>
            <w:shd w:val="clear" w:color="auto" w:fill="auto"/>
            <w:noWrap/>
            <w:vAlign w:val="center"/>
            <w:hideMark/>
          </w:tcPr>
          <w:p w14:paraId="0F3112BB" w14:textId="77777777" w:rsidR="00D532E9" w:rsidRPr="005136AC" w:rsidRDefault="00D532E9">
            <w:pPr>
              <w:jc w:val="right"/>
              <w:rPr>
                <w:sz w:val="16"/>
                <w:szCs w:val="16"/>
              </w:rPr>
            </w:pPr>
            <w:r w:rsidRPr="005136AC">
              <w:rPr>
                <w:sz w:val="16"/>
                <w:szCs w:val="16"/>
              </w:rPr>
              <w:t> </w:t>
            </w:r>
          </w:p>
        </w:tc>
      </w:tr>
      <w:tr w:rsidR="00AE7EF2" w:rsidRPr="005136AC" w14:paraId="74CA0C8A" w14:textId="77777777" w:rsidTr="00157B4B">
        <w:trPr>
          <w:trHeight w:val="158"/>
        </w:trPr>
        <w:tc>
          <w:tcPr>
            <w:tcW w:w="237" w:type="pct"/>
            <w:shd w:val="clear" w:color="000000" w:fill="E6E6E6"/>
            <w:noWrap/>
            <w:vAlign w:val="center"/>
            <w:hideMark/>
          </w:tcPr>
          <w:p w14:paraId="1C6DCAF4" w14:textId="77777777" w:rsidR="00D532E9" w:rsidRPr="005136AC" w:rsidRDefault="00D532E9">
            <w:pPr>
              <w:jc w:val="both"/>
              <w:rPr>
                <w:b/>
                <w:bCs/>
                <w:sz w:val="16"/>
                <w:szCs w:val="16"/>
              </w:rPr>
            </w:pPr>
            <w:r w:rsidRPr="005136AC">
              <w:rPr>
                <w:b/>
                <w:bCs/>
                <w:sz w:val="16"/>
                <w:szCs w:val="16"/>
              </w:rPr>
              <w:t> </w:t>
            </w:r>
          </w:p>
        </w:tc>
        <w:tc>
          <w:tcPr>
            <w:tcW w:w="3273" w:type="pct"/>
            <w:shd w:val="clear" w:color="000000" w:fill="E6E6E6"/>
            <w:noWrap/>
            <w:vAlign w:val="center"/>
            <w:hideMark/>
          </w:tcPr>
          <w:p w14:paraId="3B0FB973" w14:textId="77777777" w:rsidR="00D532E9" w:rsidRPr="005136AC" w:rsidRDefault="00D532E9">
            <w:pPr>
              <w:rPr>
                <w:b/>
                <w:bCs/>
                <w:sz w:val="16"/>
                <w:szCs w:val="16"/>
              </w:rPr>
            </w:pPr>
            <w:r w:rsidRPr="005136AC">
              <w:rPr>
                <w:b/>
                <w:bCs/>
                <w:sz w:val="16"/>
                <w:szCs w:val="16"/>
              </w:rPr>
              <w:t>Общо администрирани разходи (ІІ.+ІІІ.):</w:t>
            </w:r>
          </w:p>
        </w:tc>
        <w:tc>
          <w:tcPr>
            <w:tcW w:w="485" w:type="pct"/>
            <w:shd w:val="clear" w:color="000000" w:fill="E6E6E6"/>
            <w:noWrap/>
            <w:vAlign w:val="center"/>
            <w:hideMark/>
          </w:tcPr>
          <w:p w14:paraId="654A3D34" w14:textId="77777777" w:rsidR="00D532E9" w:rsidRPr="005136AC" w:rsidRDefault="00D532E9">
            <w:pPr>
              <w:jc w:val="right"/>
              <w:rPr>
                <w:b/>
                <w:bCs/>
                <w:sz w:val="16"/>
                <w:szCs w:val="16"/>
              </w:rPr>
            </w:pPr>
            <w:r w:rsidRPr="005136AC">
              <w:rPr>
                <w:b/>
                <w:bCs/>
                <w:sz w:val="16"/>
                <w:szCs w:val="16"/>
              </w:rPr>
              <w:t>0</w:t>
            </w:r>
          </w:p>
        </w:tc>
        <w:tc>
          <w:tcPr>
            <w:tcW w:w="485" w:type="pct"/>
            <w:shd w:val="clear" w:color="000000" w:fill="E6E6E6"/>
            <w:noWrap/>
            <w:vAlign w:val="center"/>
            <w:hideMark/>
          </w:tcPr>
          <w:p w14:paraId="6C1AD838" w14:textId="77777777" w:rsidR="00D532E9" w:rsidRPr="005136AC" w:rsidRDefault="00D532E9">
            <w:pPr>
              <w:jc w:val="right"/>
              <w:rPr>
                <w:b/>
                <w:bCs/>
                <w:sz w:val="16"/>
                <w:szCs w:val="16"/>
              </w:rPr>
            </w:pPr>
            <w:r w:rsidRPr="005136AC">
              <w:rPr>
                <w:b/>
                <w:bCs/>
                <w:sz w:val="16"/>
                <w:szCs w:val="16"/>
              </w:rPr>
              <w:t>0</w:t>
            </w:r>
          </w:p>
        </w:tc>
        <w:tc>
          <w:tcPr>
            <w:tcW w:w="520" w:type="pct"/>
            <w:shd w:val="clear" w:color="000000" w:fill="E6E6E6"/>
            <w:noWrap/>
            <w:vAlign w:val="center"/>
            <w:hideMark/>
          </w:tcPr>
          <w:p w14:paraId="5CE5BE80" w14:textId="77777777" w:rsidR="00D532E9" w:rsidRPr="005136AC" w:rsidRDefault="00D532E9">
            <w:pPr>
              <w:jc w:val="right"/>
              <w:rPr>
                <w:b/>
                <w:bCs/>
                <w:sz w:val="16"/>
                <w:szCs w:val="16"/>
              </w:rPr>
            </w:pPr>
            <w:r w:rsidRPr="005136AC">
              <w:rPr>
                <w:b/>
                <w:bCs/>
                <w:sz w:val="16"/>
                <w:szCs w:val="16"/>
              </w:rPr>
              <w:t>0</w:t>
            </w:r>
          </w:p>
        </w:tc>
      </w:tr>
      <w:tr w:rsidR="00AE7EF2" w:rsidRPr="005136AC" w14:paraId="09B7C9C7" w14:textId="77777777" w:rsidTr="001F694C">
        <w:trPr>
          <w:trHeight w:val="146"/>
        </w:trPr>
        <w:tc>
          <w:tcPr>
            <w:tcW w:w="237" w:type="pct"/>
            <w:shd w:val="clear" w:color="auto" w:fill="auto"/>
            <w:noWrap/>
            <w:vAlign w:val="center"/>
            <w:hideMark/>
          </w:tcPr>
          <w:p w14:paraId="064FF463" w14:textId="77777777" w:rsidR="00D532E9" w:rsidRPr="005136AC" w:rsidRDefault="00D532E9">
            <w:pPr>
              <w:jc w:val="both"/>
              <w:rPr>
                <w:sz w:val="16"/>
                <w:szCs w:val="16"/>
              </w:rPr>
            </w:pPr>
            <w:r w:rsidRPr="005136AC">
              <w:rPr>
                <w:sz w:val="16"/>
                <w:szCs w:val="16"/>
              </w:rPr>
              <w:t> </w:t>
            </w:r>
          </w:p>
        </w:tc>
        <w:tc>
          <w:tcPr>
            <w:tcW w:w="3273" w:type="pct"/>
            <w:shd w:val="clear" w:color="auto" w:fill="auto"/>
            <w:noWrap/>
            <w:vAlign w:val="center"/>
            <w:hideMark/>
          </w:tcPr>
          <w:p w14:paraId="445F1CF5" w14:textId="77777777" w:rsidR="00D532E9" w:rsidRPr="005136AC" w:rsidRDefault="00D532E9">
            <w:pPr>
              <w:rPr>
                <w:sz w:val="16"/>
                <w:szCs w:val="16"/>
              </w:rPr>
            </w:pPr>
            <w:r w:rsidRPr="005136AC">
              <w:rPr>
                <w:sz w:val="16"/>
                <w:szCs w:val="16"/>
              </w:rPr>
              <w:t> </w:t>
            </w:r>
          </w:p>
        </w:tc>
        <w:tc>
          <w:tcPr>
            <w:tcW w:w="485" w:type="pct"/>
            <w:shd w:val="clear" w:color="auto" w:fill="auto"/>
            <w:noWrap/>
            <w:vAlign w:val="center"/>
            <w:hideMark/>
          </w:tcPr>
          <w:p w14:paraId="0FE6B62D" w14:textId="77777777" w:rsidR="00D532E9" w:rsidRPr="005136AC" w:rsidRDefault="00D532E9">
            <w:pPr>
              <w:jc w:val="right"/>
              <w:rPr>
                <w:sz w:val="16"/>
                <w:szCs w:val="16"/>
              </w:rPr>
            </w:pPr>
            <w:r w:rsidRPr="005136AC">
              <w:rPr>
                <w:sz w:val="16"/>
                <w:szCs w:val="16"/>
              </w:rPr>
              <w:t> </w:t>
            </w:r>
          </w:p>
        </w:tc>
        <w:tc>
          <w:tcPr>
            <w:tcW w:w="485" w:type="pct"/>
            <w:shd w:val="clear" w:color="auto" w:fill="auto"/>
            <w:noWrap/>
            <w:vAlign w:val="center"/>
            <w:hideMark/>
          </w:tcPr>
          <w:p w14:paraId="20E7A7A7" w14:textId="77777777" w:rsidR="00D532E9" w:rsidRPr="005136AC" w:rsidRDefault="00D532E9">
            <w:pPr>
              <w:jc w:val="right"/>
              <w:rPr>
                <w:sz w:val="16"/>
                <w:szCs w:val="16"/>
              </w:rPr>
            </w:pPr>
            <w:r w:rsidRPr="005136AC">
              <w:rPr>
                <w:sz w:val="16"/>
                <w:szCs w:val="16"/>
              </w:rPr>
              <w:t> </w:t>
            </w:r>
          </w:p>
        </w:tc>
        <w:tc>
          <w:tcPr>
            <w:tcW w:w="520" w:type="pct"/>
            <w:shd w:val="clear" w:color="auto" w:fill="auto"/>
            <w:noWrap/>
            <w:vAlign w:val="center"/>
            <w:hideMark/>
          </w:tcPr>
          <w:p w14:paraId="72177A32" w14:textId="77777777" w:rsidR="00D532E9" w:rsidRPr="005136AC" w:rsidRDefault="00D532E9">
            <w:pPr>
              <w:jc w:val="right"/>
              <w:rPr>
                <w:sz w:val="16"/>
                <w:szCs w:val="16"/>
              </w:rPr>
            </w:pPr>
            <w:r w:rsidRPr="005136AC">
              <w:rPr>
                <w:sz w:val="16"/>
                <w:szCs w:val="16"/>
              </w:rPr>
              <w:t> </w:t>
            </w:r>
          </w:p>
        </w:tc>
      </w:tr>
      <w:tr w:rsidR="00AE7EF2" w:rsidRPr="005136AC" w14:paraId="1A2CF6BE" w14:textId="77777777" w:rsidTr="00702B59">
        <w:trPr>
          <w:trHeight w:val="60"/>
        </w:trPr>
        <w:tc>
          <w:tcPr>
            <w:tcW w:w="237" w:type="pct"/>
            <w:shd w:val="clear" w:color="000000" w:fill="E6E6E6"/>
            <w:noWrap/>
            <w:vAlign w:val="center"/>
            <w:hideMark/>
          </w:tcPr>
          <w:p w14:paraId="6AC48346" w14:textId="77777777" w:rsidR="00D532E9" w:rsidRPr="005136AC" w:rsidRDefault="00D532E9">
            <w:pPr>
              <w:jc w:val="both"/>
              <w:rPr>
                <w:b/>
                <w:bCs/>
                <w:sz w:val="16"/>
                <w:szCs w:val="16"/>
              </w:rPr>
            </w:pPr>
            <w:r w:rsidRPr="005136AC">
              <w:rPr>
                <w:b/>
                <w:bCs/>
                <w:sz w:val="16"/>
                <w:szCs w:val="16"/>
              </w:rPr>
              <w:t> </w:t>
            </w:r>
          </w:p>
        </w:tc>
        <w:tc>
          <w:tcPr>
            <w:tcW w:w="3273" w:type="pct"/>
            <w:shd w:val="clear" w:color="000000" w:fill="E6E6E6"/>
            <w:noWrap/>
            <w:vAlign w:val="center"/>
            <w:hideMark/>
          </w:tcPr>
          <w:p w14:paraId="0FED062D" w14:textId="77777777" w:rsidR="00D532E9" w:rsidRPr="005136AC" w:rsidRDefault="00D532E9">
            <w:pPr>
              <w:rPr>
                <w:b/>
                <w:bCs/>
                <w:sz w:val="16"/>
                <w:szCs w:val="16"/>
              </w:rPr>
            </w:pPr>
            <w:r w:rsidRPr="005136AC">
              <w:rPr>
                <w:b/>
                <w:bCs/>
                <w:sz w:val="16"/>
                <w:szCs w:val="16"/>
              </w:rPr>
              <w:t>Общо разходи по бюджета (І.1+ІІ.):</w:t>
            </w:r>
          </w:p>
        </w:tc>
        <w:tc>
          <w:tcPr>
            <w:tcW w:w="485" w:type="pct"/>
            <w:shd w:val="clear" w:color="000000" w:fill="E6E6E6"/>
            <w:noWrap/>
            <w:vAlign w:val="center"/>
            <w:hideMark/>
          </w:tcPr>
          <w:p w14:paraId="1312957D" w14:textId="77777777" w:rsidR="00D532E9" w:rsidRPr="005136AC" w:rsidRDefault="00D532E9">
            <w:pPr>
              <w:jc w:val="right"/>
              <w:rPr>
                <w:b/>
                <w:bCs/>
                <w:sz w:val="16"/>
                <w:szCs w:val="16"/>
              </w:rPr>
            </w:pPr>
            <w:r w:rsidRPr="005136AC">
              <w:rPr>
                <w:b/>
                <w:bCs/>
                <w:sz w:val="16"/>
                <w:szCs w:val="16"/>
              </w:rPr>
              <w:t>13 746 700</w:t>
            </w:r>
          </w:p>
        </w:tc>
        <w:tc>
          <w:tcPr>
            <w:tcW w:w="485" w:type="pct"/>
            <w:shd w:val="clear" w:color="000000" w:fill="E6E6E6"/>
            <w:noWrap/>
            <w:vAlign w:val="center"/>
            <w:hideMark/>
          </w:tcPr>
          <w:p w14:paraId="4AFD852C" w14:textId="77777777" w:rsidR="00D532E9" w:rsidRPr="005136AC" w:rsidRDefault="00D532E9">
            <w:pPr>
              <w:jc w:val="right"/>
              <w:rPr>
                <w:b/>
                <w:bCs/>
                <w:sz w:val="16"/>
                <w:szCs w:val="16"/>
              </w:rPr>
            </w:pPr>
            <w:r w:rsidRPr="005136AC">
              <w:rPr>
                <w:b/>
                <w:bCs/>
                <w:sz w:val="16"/>
                <w:szCs w:val="16"/>
              </w:rPr>
              <w:t>13 746 700</w:t>
            </w:r>
          </w:p>
        </w:tc>
        <w:tc>
          <w:tcPr>
            <w:tcW w:w="520" w:type="pct"/>
            <w:shd w:val="clear" w:color="000000" w:fill="E6E6E6"/>
            <w:noWrap/>
            <w:vAlign w:val="center"/>
            <w:hideMark/>
          </w:tcPr>
          <w:p w14:paraId="7AEABBA1" w14:textId="77777777" w:rsidR="00D532E9" w:rsidRPr="005136AC" w:rsidRDefault="00D532E9">
            <w:pPr>
              <w:jc w:val="right"/>
              <w:rPr>
                <w:b/>
                <w:bCs/>
                <w:sz w:val="16"/>
                <w:szCs w:val="16"/>
              </w:rPr>
            </w:pPr>
            <w:r w:rsidRPr="005136AC">
              <w:rPr>
                <w:b/>
                <w:bCs/>
                <w:sz w:val="16"/>
                <w:szCs w:val="16"/>
              </w:rPr>
              <w:t>6 218 270</w:t>
            </w:r>
          </w:p>
        </w:tc>
      </w:tr>
      <w:tr w:rsidR="00AE7EF2" w:rsidRPr="005136AC" w14:paraId="00BCF2FD" w14:textId="77777777" w:rsidTr="00AA6681">
        <w:trPr>
          <w:trHeight w:val="137"/>
        </w:trPr>
        <w:tc>
          <w:tcPr>
            <w:tcW w:w="237" w:type="pct"/>
            <w:shd w:val="clear" w:color="auto" w:fill="auto"/>
            <w:noWrap/>
            <w:vAlign w:val="center"/>
            <w:hideMark/>
          </w:tcPr>
          <w:p w14:paraId="4A029630" w14:textId="77777777" w:rsidR="00D532E9" w:rsidRPr="005136AC" w:rsidRDefault="00D532E9">
            <w:pPr>
              <w:jc w:val="both"/>
              <w:rPr>
                <w:sz w:val="16"/>
                <w:szCs w:val="16"/>
              </w:rPr>
            </w:pPr>
            <w:r w:rsidRPr="005136AC">
              <w:rPr>
                <w:sz w:val="16"/>
                <w:szCs w:val="16"/>
              </w:rPr>
              <w:t> </w:t>
            </w:r>
          </w:p>
        </w:tc>
        <w:tc>
          <w:tcPr>
            <w:tcW w:w="3273" w:type="pct"/>
            <w:shd w:val="clear" w:color="auto" w:fill="auto"/>
            <w:noWrap/>
            <w:vAlign w:val="center"/>
            <w:hideMark/>
          </w:tcPr>
          <w:p w14:paraId="60488DFF" w14:textId="77777777" w:rsidR="00D532E9" w:rsidRPr="005136AC" w:rsidRDefault="00D532E9">
            <w:pPr>
              <w:rPr>
                <w:sz w:val="16"/>
                <w:szCs w:val="16"/>
              </w:rPr>
            </w:pPr>
            <w:r w:rsidRPr="005136AC">
              <w:rPr>
                <w:sz w:val="16"/>
                <w:szCs w:val="16"/>
              </w:rPr>
              <w:t> </w:t>
            </w:r>
          </w:p>
        </w:tc>
        <w:tc>
          <w:tcPr>
            <w:tcW w:w="485" w:type="pct"/>
            <w:shd w:val="clear" w:color="auto" w:fill="auto"/>
            <w:noWrap/>
            <w:vAlign w:val="center"/>
            <w:hideMark/>
          </w:tcPr>
          <w:p w14:paraId="5A7C5251" w14:textId="77777777" w:rsidR="00D532E9" w:rsidRPr="005136AC" w:rsidRDefault="00D532E9">
            <w:pPr>
              <w:jc w:val="right"/>
              <w:rPr>
                <w:sz w:val="16"/>
                <w:szCs w:val="16"/>
              </w:rPr>
            </w:pPr>
            <w:r w:rsidRPr="005136AC">
              <w:rPr>
                <w:sz w:val="16"/>
                <w:szCs w:val="16"/>
              </w:rPr>
              <w:t> </w:t>
            </w:r>
          </w:p>
        </w:tc>
        <w:tc>
          <w:tcPr>
            <w:tcW w:w="485" w:type="pct"/>
            <w:shd w:val="clear" w:color="auto" w:fill="auto"/>
            <w:noWrap/>
            <w:vAlign w:val="center"/>
            <w:hideMark/>
          </w:tcPr>
          <w:p w14:paraId="6E6ECFBB" w14:textId="77777777" w:rsidR="00D532E9" w:rsidRPr="005136AC" w:rsidRDefault="00D532E9">
            <w:pPr>
              <w:jc w:val="right"/>
              <w:rPr>
                <w:sz w:val="16"/>
                <w:szCs w:val="16"/>
              </w:rPr>
            </w:pPr>
            <w:r w:rsidRPr="005136AC">
              <w:rPr>
                <w:sz w:val="16"/>
                <w:szCs w:val="16"/>
              </w:rPr>
              <w:t> </w:t>
            </w:r>
          </w:p>
        </w:tc>
        <w:tc>
          <w:tcPr>
            <w:tcW w:w="520" w:type="pct"/>
            <w:shd w:val="clear" w:color="auto" w:fill="auto"/>
            <w:noWrap/>
            <w:vAlign w:val="center"/>
            <w:hideMark/>
          </w:tcPr>
          <w:p w14:paraId="2C241EC3" w14:textId="77777777" w:rsidR="00D532E9" w:rsidRPr="005136AC" w:rsidRDefault="00D532E9">
            <w:pPr>
              <w:jc w:val="right"/>
              <w:rPr>
                <w:sz w:val="16"/>
                <w:szCs w:val="16"/>
              </w:rPr>
            </w:pPr>
            <w:r w:rsidRPr="005136AC">
              <w:rPr>
                <w:sz w:val="16"/>
                <w:szCs w:val="16"/>
              </w:rPr>
              <w:t> </w:t>
            </w:r>
          </w:p>
        </w:tc>
      </w:tr>
      <w:tr w:rsidR="00AE7EF2" w:rsidRPr="005136AC" w14:paraId="17C634EE" w14:textId="77777777" w:rsidTr="00702B59">
        <w:trPr>
          <w:trHeight w:val="60"/>
        </w:trPr>
        <w:tc>
          <w:tcPr>
            <w:tcW w:w="237" w:type="pct"/>
            <w:shd w:val="clear" w:color="000000" w:fill="E6E6E6"/>
            <w:noWrap/>
            <w:vAlign w:val="center"/>
            <w:hideMark/>
          </w:tcPr>
          <w:p w14:paraId="6BC286B6" w14:textId="77777777" w:rsidR="00D532E9" w:rsidRPr="005136AC" w:rsidRDefault="00D532E9">
            <w:pPr>
              <w:jc w:val="both"/>
              <w:rPr>
                <w:b/>
                <w:bCs/>
                <w:sz w:val="16"/>
                <w:szCs w:val="16"/>
              </w:rPr>
            </w:pPr>
            <w:r w:rsidRPr="005136AC">
              <w:rPr>
                <w:b/>
                <w:bCs/>
                <w:sz w:val="16"/>
                <w:szCs w:val="16"/>
              </w:rPr>
              <w:t> </w:t>
            </w:r>
          </w:p>
        </w:tc>
        <w:tc>
          <w:tcPr>
            <w:tcW w:w="3273" w:type="pct"/>
            <w:shd w:val="clear" w:color="000000" w:fill="E6E6E6"/>
            <w:noWrap/>
            <w:vAlign w:val="center"/>
            <w:hideMark/>
          </w:tcPr>
          <w:p w14:paraId="20B6D3CE" w14:textId="77777777" w:rsidR="00D532E9" w:rsidRPr="005136AC" w:rsidRDefault="00D532E9">
            <w:pPr>
              <w:rPr>
                <w:b/>
                <w:bCs/>
                <w:sz w:val="16"/>
                <w:szCs w:val="16"/>
              </w:rPr>
            </w:pPr>
            <w:r w:rsidRPr="005136AC">
              <w:rPr>
                <w:b/>
                <w:bCs/>
                <w:sz w:val="16"/>
                <w:szCs w:val="16"/>
              </w:rPr>
              <w:t>Общо разходи (І.+ІІ.+ІІІ.):</w:t>
            </w:r>
          </w:p>
        </w:tc>
        <w:tc>
          <w:tcPr>
            <w:tcW w:w="485" w:type="pct"/>
            <w:shd w:val="clear" w:color="000000" w:fill="E6E6E6"/>
            <w:noWrap/>
            <w:vAlign w:val="center"/>
            <w:hideMark/>
          </w:tcPr>
          <w:p w14:paraId="20E84334" w14:textId="77777777" w:rsidR="00D532E9" w:rsidRPr="005136AC" w:rsidRDefault="00D532E9">
            <w:pPr>
              <w:jc w:val="right"/>
              <w:rPr>
                <w:b/>
                <w:bCs/>
                <w:sz w:val="16"/>
                <w:szCs w:val="16"/>
              </w:rPr>
            </w:pPr>
            <w:r w:rsidRPr="005136AC">
              <w:rPr>
                <w:b/>
                <w:bCs/>
                <w:sz w:val="16"/>
                <w:szCs w:val="16"/>
              </w:rPr>
              <w:t>13 746 700</w:t>
            </w:r>
          </w:p>
        </w:tc>
        <w:tc>
          <w:tcPr>
            <w:tcW w:w="485" w:type="pct"/>
            <w:shd w:val="clear" w:color="000000" w:fill="E6E6E6"/>
            <w:noWrap/>
            <w:vAlign w:val="center"/>
            <w:hideMark/>
          </w:tcPr>
          <w:p w14:paraId="0966F2AB" w14:textId="77777777" w:rsidR="00D532E9" w:rsidRPr="005136AC" w:rsidRDefault="00D532E9">
            <w:pPr>
              <w:jc w:val="right"/>
              <w:rPr>
                <w:b/>
                <w:bCs/>
                <w:sz w:val="16"/>
                <w:szCs w:val="16"/>
              </w:rPr>
            </w:pPr>
            <w:r w:rsidRPr="005136AC">
              <w:rPr>
                <w:b/>
                <w:bCs/>
                <w:sz w:val="16"/>
                <w:szCs w:val="16"/>
              </w:rPr>
              <w:t>13 746 700</w:t>
            </w:r>
          </w:p>
        </w:tc>
        <w:tc>
          <w:tcPr>
            <w:tcW w:w="520" w:type="pct"/>
            <w:shd w:val="clear" w:color="000000" w:fill="E6E6E6"/>
            <w:noWrap/>
            <w:vAlign w:val="center"/>
            <w:hideMark/>
          </w:tcPr>
          <w:p w14:paraId="4D783641" w14:textId="77777777" w:rsidR="00D532E9" w:rsidRPr="005136AC" w:rsidRDefault="00D532E9">
            <w:pPr>
              <w:jc w:val="right"/>
              <w:rPr>
                <w:b/>
                <w:bCs/>
                <w:sz w:val="16"/>
                <w:szCs w:val="16"/>
              </w:rPr>
            </w:pPr>
            <w:r w:rsidRPr="005136AC">
              <w:rPr>
                <w:b/>
                <w:bCs/>
                <w:sz w:val="16"/>
                <w:szCs w:val="16"/>
              </w:rPr>
              <w:t>6 233 374</w:t>
            </w:r>
          </w:p>
        </w:tc>
      </w:tr>
      <w:tr w:rsidR="00AE7EF2" w:rsidRPr="005136AC" w14:paraId="4F95A962" w14:textId="77777777" w:rsidTr="00AA6681">
        <w:trPr>
          <w:trHeight w:val="129"/>
        </w:trPr>
        <w:tc>
          <w:tcPr>
            <w:tcW w:w="237" w:type="pct"/>
            <w:shd w:val="clear" w:color="auto" w:fill="auto"/>
            <w:noWrap/>
            <w:vAlign w:val="center"/>
            <w:hideMark/>
          </w:tcPr>
          <w:p w14:paraId="29E955B8" w14:textId="77777777" w:rsidR="00D532E9" w:rsidRPr="005136AC" w:rsidRDefault="00D532E9">
            <w:pPr>
              <w:jc w:val="both"/>
              <w:rPr>
                <w:sz w:val="16"/>
                <w:szCs w:val="16"/>
              </w:rPr>
            </w:pPr>
            <w:r w:rsidRPr="005136AC">
              <w:rPr>
                <w:sz w:val="16"/>
                <w:szCs w:val="16"/>
              </w:rPr>
              <w:t> </w:t>
            </w:r>
          </w:p>
        </w:tc>
        <w:tc>
          <w:tcPr>
            <w:tcW w:w="3273" w:type="pct"/>
            <w:shd w:val="clear" w:color="auto" w:fill="auto"/>
            <w:noWrap/>
            <w:vAlign w:val="center"/>
            <w:hideMark/>
          </w:tcPr>
          <w:p w14:paraId="778A43B7" w14:textId="77777777" w:rsidR="00D532E9" w:rsidRPr="005136AC" w:rsidRDefault="00D532E9">
            <w:pPr>
              <w:rPr>
                <w:sz w:val="16"/>
                <w:szCs w:val="16"/>
              </w:rPr>
            </w:pPr>
            <w:r w:rsidRPr="005136AC">
              <w:rPr>
                <w:sz w:val="16"/>
                <w:szCs w:val="16"/>
              </w:rPr>
              <w:t>Численост на щатния персонал</w:t>
            </w:r>
          </w:p>
        </w:tc>
        <w:tc>
          <w:tcPr>
            <w:tcW w:w="485" w:type="pct"/>
            <w:shd w:val="clear" w:color="auto" w:fill="auto"/>
            <w:noWrap/>
            <w:vAlign w:val="center"/>
            <w:hideMark/>
          </w:tcPr>
          <w:p w14:paraId="0E54B573" w14:textId="77777777" w:rsidR="00D532E9" w:rsidRPr="005136AC" w:rsidRDefault="00D532E9">
            <w:pPr>
              <w:jc w:val="right"/>
              <w:rPr>
                <w:sz w:val="16"/>
                <w:szCs w:val="16"/>
              </w:rPr>
            </w:pPr>
            <w:r w:rsidRPr="005136AC">
              <w:rPr>
                <w:sz w:val="16"/>
                <w:szCs w:val="16"/>
              </w:rPr>
              <w:t>371</w:t>
            </w:r>
          </w:p>
        </w:tc>
        <w:tc>
          <w:tcPr>
            <w:tcW w:w="485" w:type="pct"/>
            <w:shd w:val="clear" w:color="auto" w:fill="auto"/>
            <w:noWrap/>
            <w:vAlign w:val="center"/>
            <w:hideMark/>
          </w:tcPr>
          <w:p w14:paraId="62C1BAE4" w14:textId="77777777" w:rsidR="00D532E9" w:rsidRPr="005136AC" w:rsidRDefault="00D532E9">
            <w:pPr>
              <w:jc w:val="right"/>
              <w:rPr>
                <w:sz w:val="16"/>
                <w:szCs w:val="16"/>
              </w:rPr>
            </w:pPr>
            <w:r w:rsidRPr="005136AC">
              <w:rPr>
                <w:sz w:val="16"/>
                <w:szCs w:val="16"/>
              </w:rPr>
              <w:t>371</w:t>
            </w:r>
          </w:p>
        </w:tc>
        <w:tc>
          <w:tcPr>
            <w:tcW w:w="520" w:type="pct"/>
            <w:shd w:val="clear" w:color="auto" w:fill="auto"/>
            <w:noWrap/>
            <w:vAlign w:val="center"/>
            <w:hideMark/>
          </w:tcPr>
          <w:p w14:paraId="3D2BACEC" w14:textId="77777777" w:rsidR="00D532E9" w:rsidRPr="005136AC" w:rsidRDefault="00D532E9">
            <w:pPr>
              <w:jc w:val="right"/>
              <w:rPr>
                <w:sz w:val="16"/>
                <w:szCs w:val="16"/>
              </w:rPr>
            </w:pPr>
            <w:r w:rsidRPr="005136AC">
              <w:rPr>
                <w:sz w:val="16"/>
                <w:szCs w:val="16"/>
              </w:rPr>
              <w:t>315</w:t>
            </w:r>
          </w:p>
        </w:tc>
      </w:tr>
    </w:tbl>
    <w:p w14:paraId="33771E40" w14:textId="77777777" w:rsidR="009D6603" w:rsidRPr="00537151" w:rsidRDefault="009D6603" w:rsidP="00537151">
      <w:pPr>
        <w:shd w:val="clear" w:color="auto" w:fill="FFFFFF" w:themeFill="background1"/>
        <w:spacing w:before="120" w:line="276" w:lineRule="auto"/>
        <w:ind w:firstLine="425"/>
        <w:jc w:val="both"/>
        <w:rPr>
          <w:b/>
          <w:color w:val="215E99" w:themeColor="text2" w:themeTint="BF"/>
          <w:sz w:val="22"/>
          <w:szCs w:val="22"/>
        </w:rPr>
      </w:pPr>
      <w:r w:rsidRPr="00537151">
        <w:rPr>
          <w:b/>
          <w:color w:val="215E99" w:themeColor="text2" w:themeTint="BF"/>
          <w:sz w:val="22"/>
          <w:szCs w:val="22"/>
        </w:rPr>
        <w:t>Отговорност за изпълнението на програмата</w:t>
      </w:r>
    </w:p>
    <w:p w14:paraId="7BD04B19" w14:textId="77777777" w:rsidR="009D6603" w:rsidRPr="00537151" w:rsidRDefault="009D4802" w:rsidP="00537151">
      <w:pPr>
        <w:shd w:val="clear" w:color="auto" w:fill="FFFFFF" w:themeFill="background1"/>
        <w:spacing w:after="120" w:line="276" w:lineRule="auto"/>
        <w:ind w:firstLine="425"/>
        <w:jc w:val="both"/>
        <w:rPr>
          <w:sz w:val="22"/>
          <w:szCs w:val="22"/>
        </w:rPr>
      </w:pPr>
      <w:r w:rsidRPr="00537151">
        <w:rPr>
          <w:sz w:val="22"/>
          <w:szCs w:val="22"/>
        </w:rPr>
        <w:t>Отговорността е на п</w:t>
      </w:r>
      <w:r w:rsidR="002A16B0" w:rsidRPr="00537151">
        <w:rPr>
          <w:sz w:val="22"/>
          <w:szCs w:val="22"/>
        </w:rPr>
        <w:t xml:space="preserve">редседателя на </w:t>
      </w:r>
      <w:r w:rsidR="009D6603" w:rsidRPr="00537151">
        <w:rPr>
          <w:sz w:val="22"/>
          <w:szCs w:val="22"/>
        </w:rPr>
        <w:t>Държавна агенция „Архиви”</w:t>
      </w:r>
      <w:r w:rsidR="00D7667E" w:rsidRPr="00537151">
        <w:rPr>
          <w:sz w:val="22"/>
          <w:szCs w:val="22"/>
        </w:rPr>
        <w:t>.</w:t>
      </w:r>
    </w:p>
    <w:p w14:paraId="51918659" w14:textId="77777777" w:rsidR="00936E35" w:rsidRPr="00667B09" w:rsidRDefault="005D571E" w:rsidP="00FE5CDF">
      <w:pPr>
        <w:pStyle w:val="Heading1"/>
      </w:pPr>
      <w:r w:rsidRPr="00667B09">
        <w:t>9</w:t>
      </w:r>
      <w:r w:rsidR="00936E35" w:rsidRPr="00667B09">
        <w:t xml:space="preserve">.7 </w:t>
      </w:r>
      <w:r w:rsidR="00F44D89" w:rsidRPr="00667B09">
        <w:t>Бюджетна програма</w:t>
      </w:r>
      <w:r w:rsidR="00936E35" w:rsidRPr="00667B09">
        <w:t xml:space="preserve"> </w:t>
      </w:r>
      <w:r w:rsidR="002D0C96" w:rsidRPr="00667B09">
        <w:t>0300.0</w:t>
      </w:r>
      <w:r w:rsidR="001F4E61" w:rsidRPr="00667B09">
        <w:t>6</w:t>
      </w:r>
      <w:r w:rsidR="002D0C96" w:rsidRPr="00667B09">
        <w:t xml:space="preserve">.00 </w:t>
      </w:r>
      <w:r w:rsidR="00936E35" w:rsidRPr="00667B09">
        <w:t>“</w:t>
      </w:r>
      <w:r w:rsidR="00F44D89" w:rsidRPr="00667B09">
        <w:t>Администрация</w:t>
      </w:r>
      <w:r w:rsidR="00936E35" w:rsidRPr="00667B09">
        <w:t>”</w:t>
      </w:r>
    </w:p>
    <w:p w14:paraId="56DBEDAE" w14:textId="77777777" w:rsidR="00F44D89" w:rsidRPr="009B1D18" w:rsidRDefault="00F44D89" w:rsidP="00537151">
      <w:pPr>
        <w:widowControl w:val="0"/>
        <w:shd w:val="clear" w:color="auto" w:fill="FFFFFF" w:themeFill="background1"/>
        <w:tabs>
          <w:tab w:val="left" w:pos="426"/>
        </w:tabs>
        <w:ind w:firstLine="425"/>
        <w:jc w:val="both"/>
        <w:outlineLvl w:val="3"/>
        <w:rPr>
          <w:b/>
          <w:bCs/>
          <w:iCs/>
          <w:color w:val="215E99" w:themeColor="text2" w:themeTint="BF"/>
          <w:sz w:val="22"/>
          <w:szCs w:val="22"/>
          <w:lang w:eastAsia="en-US"/>
        </w:rPr>
      </w:pPr>
      <w:r w:rsidRPr="009B1D18">
        <w:rPr>
          <w:b/>
          <w:bCs/>
          <w:iCs/>
          <w:color w:val="215E99" w:themeColor="text2" w:themeTint="BF"/>
          <w:sz w:val="22"/>
          <w:szCs w:val="22"/>
          <w:lang w:eastAsia="en-US"/>
        </w:rPr>
        <w:t>Описание на степента на изпълнение на заложените в програмата цели</w:t>
      </w:r>
    </w:p>
    <w:p w14:paraId="5FCD174D" w14:textId="33EDBDF9" w:rsidR="00373C15" w:rsidRPr="00F53CFC" w:rsidRDefault="00373C15" w:rsidP="00537151">
      <w:pPr>
        <w:shd w:val="clear" w:color="auto" w:fill="FFFFFF" w:themeFill="background1"/>
        <w:spacing w:after="120" w:line="276" w:lineRule="auto"/>
        <w:ind w:firstLine="425"/>
        <w:jc w:val="both"/>
        <w:rPr>
          <w:sz w:val="22"/>
          <w:szCs w:val="22"/>
        </w:rPr>
      </w:pPr>
      <w:r w:rsidRPr="00F53CFC">
        <w:rPr>
          <w:sz w:val="22"/>
          <w:szCs w:val="22"/>
        </w:rPr>
        <w:t>Подобряване условията за работа на правителството и администрацията на Министерския съвет.</w:t>
      </w:r>
      <w:r>
        <w:rPr>
          <w:sz w:val="22"/>
          <w:szCs w:val="22"/>
          <w:lang w:val="en-US"/>
        </w:rPr>
        <w:t xml:space="preserve"> </w:t>
      </w:r>
      <w:r w:rsidRPr="00F53CFC">
        <w:rPr>
          <w:sz w:val="22"/>
          <w:szCs w:val="22"/>
        </w:rPr>
        <w:t>Подпомагане осъществяването на правомощията на министър-председател</w:t>
      </w:r>
      <w:r w:rsidRPr="00373C15">
        <w:rPr>
          <w:sz w:val="22"/>
          <w:szCs w:val="22"/>
        </w:rPr>
        <w:t xml:space="preserve">я </w:t>
      </w:r>
      <w:r w:rsidRPr="00F53CFC">
        <w:rPr>
          <w:sz w:val="22"/>
          <w:szCs w:val="22"/>
        </w:rPr>
        <w:t>или главният секретар на Министерския съвет в случай на упълномощаване, като първостепенен разпоредител с бюджет по бюджета на Министерския съвет.</w:t>
      </w:r>
    </w:p>
    <w:p w14:paraId="254018CA" w14:textId="77777777" w:rsidR="00F44D89" w:rsidRPr="009B1D18" w:rsidRDefault="00F44D89" w:rsidP="00E81662">
      <w:pPr>
        <w:widowControl w:val="0"/>
        <w:shd w:val="clear" w:color="auto" w:fill="FFFFFF" w:themeFill="background1"/>
        <w:tabs>
          <w:tab w:val="left" w:pos="426"/>
        </w:tabs>
        <w:ind w:firstLine="425"/>
        <w:jc w:val="both"/>
        <w:outlineLvl w:val="3"/>
        <w:rPr>
          <w:b/>
          <w:i/>
          <w:color w:val="215E99" w:themeColor="text2" w:themeTint="BF"/>
          <w:sz w:val="22"/>
          <w:szCs w:val="22"/>
        </w:rPr>
      </w:pPr>
      <w:r w:rsidRPr="009B1D18">
        <w:rPr>
          <w:b/>
          <w:i/>
          <w:color w:val="215E99" w:themeColor="text2" w:themeTint="BF"/>
          <w:sz w:val="22"/>
          <w:szCs w:val="22"/>
        </w:rPr>
        <w:t xml:space="preserve">Продукти/услуги, предоставяне по програмата – описание на постигнатите резултати и изпълнение на дейностите за тяхното предоставяне </w:t>
      </w:r>
    </w:p>
    <w:p w14:paraId="57C68A00" w14:textId="77777777" w:rsidR="00F44D89" w:rsidRPr="00E81662" w:rsidRDefault="00F44D89" w:rsidP="00E81662">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E81662">
        <w:rPr>
          <w:b/>
          <w:bCs/>
          <w:i/>
          <w:iCs/>
          <w:color w:val="215E99" w:themeColor="text2" w:themeTint="BF"/>
          <w:sz w:val="22"/>
          <w:szCs w:val="22"/>
        </w:rPr>
        <w:t>Управление на човешките ресурси</w:t>
      </w:r>
    </w:p>
    <w:p w14:paraId="76A90D5F" w14:textId="77777777" w:rsidR="00F44D89" w:rsidRPr="00667B09" w:rsidRDefault="00F44D89" w:rsidP="00E81662">
      <w:pPr>
        <w:shd w:val="clear" w:color="auto" w:fill="FFFFFF" w:themeFill="background1"/>
        <w:ind w:left="426"/>
        <w:jc w:val="both"/>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3C7A96B3" w14:textId="60451148" w:rsidR="00373C15" w:rsidRPr="00373C15" w:rsidRDefault="00373C15" w:rsidP="00E81662">
      <w:pPr>
        <w:shd w:val="clear" w:color="auto" w:fill="FFFFFF" w:themeFill="background1"/>
        <w:tabs>
          <w:tab w:val="left" w:pos="0"/>
        </w:tabs>
        <w:ind w:firstLine="426"/>
        <w:jc w:val="both"/>
        <w:rPr>
          <w:sz w:val="22"/>
          <w:szCs w:val="22"/>
        </w:rPr>
      </w:pPr>
      <w:r w:rsidRPr="00373C15">
        <w:rPr>
          <w:sz w:val="22"/>
          <w:szCs w:val="22"/>
        </w:rPr>
        <w:t xml:space="preserve">Относно функциите на отдела по набирането и подбора на персонала, както и процеса по </w:t>
      </w:r>
      <w:r w:rsidR="00513563">
        <w:rPr>
          <w:sz w:val="22"/>
          <w:szCs w:val="22"/>
        </w:rPr>
        <w:t xml:space="preserve">назначаването </w:t>
      </w:r>
      <w:r w:rsidRPr="00373C15">
        <w:rPr>
          <w:sz w:val="22"/>
          <w:szCs w:val="22"/>
        </w:rPr>
        <w:t xml:space="preserve">на служителите в администрацията на Министерския съвет (АМС) всички поставени </w:t>
      </w:r>
      <w:r w:rsidRPr="00373C15">
        <w:rPr>
          <w:sz w:val="22"/>
          <w:szCs w:val="22"/>
        </w:rPr>
        <w:lastRenderedPageBreak/>
        <w:t>задачи са изпълнени в срок, като са изготвени актове за назначаване и преназначаване на персонала, съгласно нормативните изисквания.</w:t>
      </w:r>
    </w:p>
    <w:p w14:paraId="45F43129" w14:textId="6A1A296C" w:rsidR="00373C15" w:rsidRPr="00373C15" w:rsidRDefault="00373C15" w:rsidP="00E81662">
      <w:pPr>
        <w:numPr>
          <w:ilvl w:val="0"/>
          <w:numId w:val="5"/>
        </w:numPr>
        <w:shd w:val="clear" w:color="auto" w:fill="FFFFFF" w:themeFill="background1"/>
        <w:tabs>
          <w:tab w:val="clear" w:pos="360"/>
        </w:tabs>
        <w:ind w:left="0" w:firstLine="426"/>
        <w:jc w:val="both"/>
        <w:rPr>
          <w:sz w:val="22"/>
          <w:szCs w:val="22"/>
        </w:rPr>
      </w:pPr>
      <w:r w:rsidRPr="00373C15">
        <w:rPr>
          <w:sz w:val="22"/>
          <w:szCs w:val="22"/>
        </w:rPr>
        <w:t>По повод функциите за подготовка и съхраняване на всички актове, свързани с възникването, изменението и прекратяването на служебните и трудовите правоотношения в отдела се води регистър, а копия от актовете, подписани от министър-председателя на Република България и тези от главния секретар на Министерския съвет, се класират в служебните и трудови досиета на служителите, в досиетата на първостепенните и второстепенните разпоредители с бюджет по бюджета на Министерския съвет и други структури.</w:t>
      </w:r>
    </w:p>
    <w:p w14:paraId="440ECD75" w14:textId="77777777" w:rsidR="00373C15" w:rsidRPr="00373C15" w:rsidRDefault="00373C15" w:rsidP="00E81662">
      <w:pPr>
        <w:numPr>
          <w:ilvl w:val="0"/>
          <w:numId w:val="5"/>
        </w:numPr>
        <w:shd w:val="clear" w:color="auto" w:fill="FFFFFF" w:themeFill="background1"/>
        <w:tabs>
          <w:tab w:val="clear" w:pos="360"/>
        </w:tabs>
        <w:ind w:left="0" w:firstLine="426"/>
        <w:jc w:val="both"/>
        <w:rPr>
          <w:sz w:val="22"/>
          <w:szCs w:val="22"/>
        </w:rPr>
      </w:pPr>
      <w:r w:rsidRPr="00373C15">
        <w:rPr>
          <w:sz w:val="22"/>
          <w:szCs w:val="22"/>
        </w:rPr>
        <w:t xml:space="preserve">В съответните срокове в ТД на НАП са подавани уведомления при сключване и прекратяване на трудови договори със служители в АМС. Своевременно са попълвани служебните книжки на държавните служители и трудовите книжки на служителите по ТПО, както и съответните регистри за издадени трудови книжки и за издадени и съхранявани служебни книжки. Своевременно са предоставяни и извеждани заявления за отпуски, копия от които се предоставят на дирекция „Бюджет и финанси“. </w:t>
      </w:r>
    </w:p>
    <w:p w14:paraId="06ECD9FF" w14:textId="77777777" w:rsidR="00373C15" w:rsidRPr="00373C15" w:rsidRDefault="00373C15" w:rsidP="00E81662">
      <w:pPr>
        <w:numPr>
          <w:ilvl w:val="0"/>
          <w:numId w:val="5"/>
        </w:numPr>
        <w:shd w:val="clear" w:color="auto" w:fill="FFFFFF" w:themeFill="background1"/>
        <w:tabs>
          <w:tab w:val="clear" w:pos="360"/>
        </w:tabs>
        <w:ind w:left="0" w:firstLine="426"/>
        <w:jc w:val="both"/>
        <w:rPr>
          <w:sz w:val="22"/>
          <w:szCs w:val="22"/>
        </w:rPr>
      </w:pPr>
      <w:r w:rsidRPr="00373C15">
        <w:rPr>
          <w:sz w:val="22"/>
          <w:szCs w:val="22"/>
        </w:rPr>
        <w:t>По повод упълномощаването на служители от отдела да представлява МС и АМС пред всички съдебни органи във връзка с дейността на отдела, същите са осъществили процесуално представителство по 6 дела, включващо изготвяне на съответните съдебни документи (писмени отговори на жалби и искови молби, становища, писмени защити и др.) и съдопроизводствени действия с оглед защита интересите на АМС.</w:t>
      </w:r>
    </w:p>
    <w:p w14:paraId="4773D2F8" w14:textId="77777777" w:rsidR="00373C15" w:rsidRPr="00373C15" w:rsidRDefault="00373C15" w:rsidP="00E81662">
      <w:pPr>
        <w:numPr>
          <w:ilvl w:val="0"/>
          <w:numId w:val="5"/>
        </w:numPr>
        <w:shd w:val="clear" w:color="auto" w:fill="FFFFFF" w:themeFill="background1"/>
        <w:tabs>
          <w:tab w:val="clear" w:pos="360"/>
        </w:tabs>
        <w:ind w:left="0" w:firstLine="426"/>
        <w:jc w:val="both"/>
        <w:rPr>
          <w:sz w:val="22"/>
          <w:szCs w:val="22"/>
        </w:rPr>
      </w:pPr>
      <w:r w:rsidRPr="00373C15">
        <w:rPr>
          <w:sz w:val="22"/>
          <w:szCs w:val="22"/>
        </w:rPr>
        <w:t>По повод функциите на отдела за изготвяне и актуализиране на длъжностните и поименните разписания на длъжностите, същите се изготвят своевременно при промяна на Устройствения правилник на МС и на неговата администрация и при вътрешни трансформации, предложени от ръководителите на съответните звена и одобрени от главния секретар на МС. Длъжностните разписания са утвърдени от министър-председателя.</w:t>
      </w:r>
    </w:p>
    <w:p w14:paraId="41714AF0" w14:textId="77777777" w:rsidR="00373C15" w:rsidRPr="00373C15" w:rsidRDefault="00373C15" w:rsidP="00E81662">
      <w:pPr>
        <w:numPr>
          <w:ilvl w:val="0"/>
          <w:numId w:val="5"/>
        </w:numPr>
        <w:shd w:val="clear" w:color="auto" w:fill="FFFFFF" w:themeFill="background1"/>
        <w:tabs>
          <w:tab w:val="clear" w:pos="360"/>
        </w:tabs>
        <w:ind w:left="0" w:firstLine="426"/>
        <w:jc w:val="both"/>
        <w:rPr>
          <w:sz w:val="22"/>
          <w:szCs w:val="22"/>
        </w:rPr>
      </w:pPr>
      <w:r w:rsidRPr="00373C15">
        <w:rPr>
          <w:sz w:val="22"/>
          <w:szCs w:val="22"/>
        </w:rPr>
        <w:t xml:space="preserve">През месец февруари 2025 г. беше утвърден Годишен план за задължително обучение и за професионално развитие на служителите, изготвен на базата на заявени лични планове за обучение. Всички заявени обучения бяха въведени в електронната система на Института по публична администрация. </w:t>
      </w:r>
    </w:p>
    <w:p w14:paraId="3254A0AC" w14:textId="77777777" w:rsidR="00373C15" w:rsidRPr="00373C15" w:rsidRDefault="00373C15" w:rsidP="00E81662">
      <w:pPr>
        <w:numPr>
          <w:ilvl w:val="0"/>
          <w:numId w:val="5"/>
        </w:numPr>
        <w:shd w:val="clear" w:color="auto" w:fill="FFFFFF" w:themeFill="background1"/>
        <w:tabs>
          <w:tab w:val="clear" w:pos="360"/>
        </w:tabs>
        <w:ind w:left="0" w:firstLine="426"/>
        <w:jc w:val="both"/>
        <w:rPr>
          <w:sz w:val="22"/>
          <w:szCs w:val="22"/>
        </w:rPr>
      </w:pPr>
      <w:r w:rsidRPr="00373C15">
        <w:rPr>
          <w:sz w:val="22"/>
          <w:szCs w:val="22"/>
        </w:rPr>
        <w:t xml:space="preserve">Изготвени са индивидуални административни актове и документи за назначаване, освобождаване и определяне на възнаграждения на заместник-министри, заместник областни управители и органи на изпълнителната власт и техните заместници, които се назначават от министър-председателя по специални закони. </w:t>
      </w:r>
    </w:p>
    <w:p w14:paraId="73A4A4E6" w14:textId="77777777" w:rsidR="00373C15" w:rsidRPr="00373C15" w:rsidRDefault="00373C15" w:rsidP="00E81662">
      <w:pPr>
        <w:numPr>
          <w:ilvl w:val="0"/>
          <w:numId w:val="5"/>
        </w:numPr>
        <w:shd w:val="clear" w:color="auto" w:fill="FFFFFF" w:themeFill="background1"/>
        <w:tabs>
          <w:tab w:val="clear" w:pos="360"/>
        </w:tabs>
        <w:ind w:left="0" w:firstLine="426"/>
        <w:jc w:val="both"/>
        <w:rPr>
          <w:sz w:val="22"/>
          <w:szCs w:val="22"/>
        </w:rPr>
      </w:pPr>
      <w:r w:rsidRPr="00373C15">
        <w:rPr>
          <w:sz w:val="22"/>
          <w:szCs w:val="22"/>
        </w:rPr>
        <w:t>На всички служители са изпратени съобщения по електронен път по повод приключване на процеса по оценяване изпълнението на длъжността за 2024 г. – заключителна среща и поставяне на обща оценка, изготвяне на работни планове за 2025 г. и провеждането на междинна среща съгласно Наредбата за условията и реда за оценяване изпълнението на служителите в държавната администрация. В досиетата на служителите от АМС са приложени предадените от ръководителите на административни звена формуляри за оценка изпълнението на длъжността за 2024 г.</w:t>
      </w:r>
    </w:p>
    <w:p w14:paraId="0E56F129" w14:textId="77777777" w:rsidR="00373C15" w:rsidRPr="00373C15" w:rsidRDefault="00373C15" w:rsidP="00E81662">
      <w:pPr>
        <w:numPr>
          <w:ilvl w:val="0"/>
          <w:numId w:val="5"/>
        </w:numPr>
        <w:shd w:val="clear" w:color="auto" w:fill="FFFFFF" w:themeFill="background1"/>
        <w:tabs>
          <w:tab w:val="clear" w:pos="360"/>
        </w:tabs>
        <w:ind w:left="0" w:firstLine="426"/>
        <w:jc w:val="both"/>
        <w:rPr>
          <w:sz w:val="22"/>
          <w:szCs w:val="22"/>
        </w:rPr>
      </w:pPr>
      <w:r w:rsidRPr="00373C15">
        <w:rPr>
          <w:sz w:val="22"/>
          <w:szCs w:val="22"/>
        </w:rPr>
        <w:t>До 30.06.2025 г. са проведени 8 процедури за повишаване в длъжност чрез конкурентен подбор в АМС.</w:t>
      </w:r>
    </w:p>
    <w:p w14:paraId="386E710F" w14:textId="0DC24EE0" w:rsidR="00373C15" w:rsidRPr="00373C15" w:rsidRDefault="00373C15" w:rsidP="00E81662">
      <w:pPr>
        <w:numPr>
          <w:ilvl w:val="0"/>
          <w:numId w:val="5"/>
        </w:numPr>
        <w:shd w:val="clear" w:color="auto" w:fill="FFFFFF" w:themeFill="background1"/>
        <w:tabs>
          <w:tab w:val="clear" w:pos="360"/>
        </w:tabs>
        <w:ind w:left="0" w:firstLine="426"/>
        <w:jc w:val="both"/>
        <w:rPr>
          <w:sz w:val="22"/>
          <w:szCs w:val="22"/>
        </w:rPr>
      </w:pPr>
      <w:r w:rsidRPr="00373C15">
        <w:rPr>
          <w:sz w:val="22"/>
          <w:szCs w:val="22"/>
        </w:rPr>
        <w:t>До 30.06.2025 г. са проведени 53 процедури за преназначаване на друга длъжност, на основание чл.</w:t>
      </w:r>
      <w:r w:rsidR="00DB41B0">
        <w:rPr>
          <w:sz w:val="22"/>
          <w:szCs w:val="22"/>
        </w:rPr>
        <w:t xml:space="preserve"> </w:t>
      </w:r>
      <w:r w:rsidRPr="00373C15">
        <w:rPr>
          <w:sz w:val="22"/>
          <w:szCs w:val="22"/>
        </w:rPr>
        <w:t>82, ал.</w:t>
      </w:r>
      <w:r w:rsidR="00DB41B0">
        <w:rPr>
          <w:sz w:val="22"/>
          <w:szCs w:val="22"/>
        </w:rPr>
        <w:t xml:space="preserve"> </w:t>
      </w:r>
      <w:r w:rsidRPr="00373C15">
        <w:rPr>
          <w:sz w:val="22"/>
          <w:szCs w:val="22"/>
        </w:rPr>
        <w:t>1 от ЗДСл.</w:t>
      </w:r>
    </w:p>
    <w:p w14:paraId="7FF42B01" w14:textId="77777777" w:rsidR="00373C15" w:rsidRPr="00373C15" w:rsidRDefault="00373C15" w:rsidP="00E81662">
      <w:pPr>
        <w:numPr>
          <w:ilvl w:val="0"/>
          <w:numId w:val="5"/>
        </w:numPr>
        <w:shd w:val="clear" w:color="auto" w:fill="FFFFFF" w:themeFill="background1"/>
        <w:tabs>
          <w:tab w:val="clear" w:pos="360"/>
        </w:tabs>
        <w:ind w:left="0" w:firstLine="426"/>
        <w:jc w:val="both"/>
        <w:rPr>
          <w:sz w:val="22"/>
          <w:szCs w:val="22"/>
        </w:rPr>
      </w:pPr>
      <w:r w:rsidRPr="00373C15">
        <w:rPr>
          <w:sz w:val="22"/>
          <w:szCs w:val="22"/>
        </w:rPr>
        <w:t>До 30.06.2025 г. са проведени 5 процедури за временно преместване от друга администрация в АМС.</w:t>
      </w:r>
    </w:p>
    <w:p w14:paraId="5522CE68" w14:textId="698C45F6" w:rsidR="00373C15" w:rsidRPr="00373C15" w:rsidRDefault="00373C15" w:rsidP="00E81662">
      <w:pPr>
        <w:numPr>
          <w:ilvl w:val="0"/>
          <w:numId w:val="5"/>
        </w:numPr>
        <w:shd w:val="clear" w:color="auto" w:fill="FFFFFF" w:themeFill="background1"/>
        <w:tabs>
          <w:tab w:val="clear" w:pos="360"/>
        </w:tabs>
        <w:ind w:left="0" w:firstLine="426"/>
        <w:jc w:val="both"/>
        <w:rPr>
          <w:sz w:val="22"/>
          <w:szCs w:val="22"/>
        </w:rPr>
      </w:pPr>
      <w:r w:rsidRPr="00373C15">
        <w:rPr>
          <w:sz w:val="22"/>
          <w:szCs w:val="22"/>
        </w:rPr>
        <w:t>До 30.06.2025 г. са проведени 4 процедури за преминаване държавни служители на държавна служба от друга администрация.</w:t>
      </w:r>
    </w:p>
    <w:p w14:paraId="33554E2A" w14:textId="46C8E645" w:rsidR="00373C15" w:rsidRPr="00373C15" w:rsidRDefault="00373C15" w:rsidP="00E81662">
      <w:pPr>
        <w:numPr>
          <w:ilvl w:val="0"/>
          <w:numId w:val="5"/>
        </w:numPr>
        <w:shd w:val="clear" w:color="auto" w:fill="FFFFFF" w:themeFill="background1"/>
        <w:tabs>
          <w:tab w:val="clear" w:pos="360"/>
        </w:tabs>
        <w:ind w:left="0" w:firstLine="426"/>
        <w:jc w:val="both"/>
        <w:rPr>
          <w:sz w:val="22"/>
          <w:szCs w:val="22"/>
        </w:rPr>
      </w:pPr>
      <w:r w:rsidRPr="00373C15">
        <w:rPr>
          <w:sz w:val="22"/>
          <w:szCs w:val="22"/>
        </w:rPr>
        <w:t>До 30.06.2025 г. са проведени 2 конкурсни процедури за назначаване на държавни служители в АМС.</w:t>
      </w:r>
    </w:p>
    <w:p w14:paraId="6AA467B0" w14:textId="77777777" w:rsidR="00373C15" w:rsidRPr="00373C15" w:rsidRDefault="00373C15" w:rsidP="00E81662">
      <w:pPr>
        <w:numPr>
          <w:ilvl w:val="0"/>
          <w:numId w:val="5"/>
        </w:numPr>
        <w:shd w:val="clear" w:color="auto" w:fill="FFFFFF" w:themeFill="background1"/>
        <w:tabs>
          <w:tab w:val="clear" w:pos="360"/>
        </w:tabs>
        <w:ind w:left="0" w:firstLine="426"/>
        <w:jc w:val="both"/>
        <w:rPr>
          <w:sz w:val="22"/>
          <w:szCs w:val="22"/>
        </w:rPr>
      </w:pPr>
      <w:r w:rsidRPr="00373C15">
        <w:rPr>
          <w:sz w:val="22"/>
          <w:szCs w:val="22"/>
        </w:rPr>
        <w:t>Във връзка с извършване на промени в числеността в АМС, своевременно бяха извършени всички административни действия – утвърждаване и изменение на длъжностното разписание, изготвяне на заповеди и др.</w:t>
      </w:r>
    </w:p>
    <w:p w14:paraId="402AC140" w14:textId="77777777" w:rsidR="00373C15" w:rsidRPr="00373C15" w:rsidRDefault="00373C15" w:rsidP="00E81662">
      <w:pPr>
        <w:numPr>
          <w:ilvl w:val="0"/>
          <w:numId w:val="5"/>
        </w:numPr>
        <w:shd w:val="clear" w:color="auto" w:fill="FFFFFF" w:themeFill="background1"/>
        <w:tabs>
          <w:tab w:val="clear" w:pos="360"/>
        </w:tabs>
        <w:ind w:left="0" w:firstLine="426"/>
        <w:jc w:val="both"/>
        <w:rPr>
          <w:sz w:val="22"/>
          <w:szCs w:val="22"/>
        </w:rPr>
      </w:pPr>
      <w:r w:rsidRPr="00373C15">
        <w:rPr>
          <w:sz w:val="22"/>
          <w:szCs w:val="22"/>
        </w:rPr>
        <w:t xml:space="preserve">Консултирани са както ръководители и служители от АМС, така и звена по „Човешки ресурси“ във второстепенни разпоредители с бюджет по бюджета на МС, в министерства и в </w:t>
      </w:r>
      <w:r w:rsidRPr="00373C15">
        <w:rPr>
          <w:sz w:val="22"/>
          <w:szCs w:val="22"/>
        </w:rPr>
        <w:lastRenderedPageBreak/>
        <w:t>първостепенни разпоредители с бюджет към МС по прилагането на процедурите и проблеми, свързани с управление на човешките ресурси.</w:t>
      </w:r>
    </w:p>
    <w:p w14:paraId="434486D2" w14:textId="77777777" w:rsidR="00373C15" w:rsidRPr="00373C15" w:rsidRDefault="00373C15" w:rsidP="00E81662">
      <w:pPr>
        <w:numPr>
          <w:ilvl w:val="0"/>
          <w:numId w:val="5"/>
        </w:numPr>
        <w:shd w:val="clear" w:color="auto" w:fill="FFFFFF" w:themeFill="background1"/>
        <w:tabs>
          <w:tab w:val="clear" w:pos="360"/>
        </w:tabs>
        <w:ind w:left="0" w:firstLine="426"/>
        <w:jc w:val="both"/>
        <w:rPr>
          <w:sz w:val="22"/>
          <w:szCs w:val="22"/>
        </w:rPr>
      </w:pPr>
      <w:r w:rsidRPr="00373C15">
        <w:rPr>
          <w:sz w:val="22"/>
          <w:szCs w:val="22"/>
        </w:rPr>
        <w:t xml:space="preserve">При назначаване на служители са им предоставяни за попълване декларации, изискващи се по Закона за противодействие на корупцията, по Закона за администрацията, по Закона за държавния служител и по Кодекса на труда. След попълване, същите се съхраняват по нормативно определения ред и по вътрешния ред за АМС. </w:t>
      </w:r>
    </w:p>
    <w:p w14:paraId="36F50693" w14:textId="77777777" w:rsidR="00373C15" w:rsidRPr="00373C15" w:rsidRDefault="00373C15" w:rsidP="00E81662">
      <w:pPr>
        <w:numPr>
          <w:ilvl w:val="0"/>
          <w:numId w:val="5"/>
        </w:numPr>
        <w:shd w:val="clear" w:color="auto" w:fill="FFFFFF" w:themeFill="background1"/>
        <w:tabs>
          <w:tab w:val="clear" w:pos="360"/>
        </w:tabs>
        <w:ind w:left="0" w:firstLine="426"/>
        <w:jc w:val="both"/>
        <w:rPr>
          <w:sz w:val="22"/>
          <w:szCs w:val="22"/>
        </w:rPr>
      </w:pPr>
      <w:r w:rsidRPr="00373C15">
        <w:rPr>
          <w:sz w:val="22"/>
          <w:szCs w:val="22"/>
        </w:rPr>
        <w:t xml:space="preserve">Във връзка със системата за контрол на достъпа до сградата на Министерския съвет са издадени персонални магнитни карти на всички новоназначени служители, които са им предоставени срещу подпис. </w:t>
      </w:r>
    </w:p>
    <w:p w14:paraId="7109F889" w14:textId="77777777" w:rsidR="00373C15" w:rsidRPr="00373C15" w:rsidRDefault="00373C15" w:rsidP="00E81662">
      <w:pPr>
        <w:numPr>
          <w:ilvl w:val="0"/>
          <w:numId w:val="5"/>
        </w:numPr>
        <w:shd w:val="clear" w:color="auto" w:fill="FFFFFF" w:themeFill="background1"/>
        <w:tabs>
          <w:tab w:val="clear" w:pos="360"/>
        </w:tabs>
        <w:ind w:left="0" w:firstLine="426"/>
        <w:jc w:val="both"/>
        <w:rPr>
          <w:sz w:val="22"/>
          <w:szCs w:val="22"/>
        </w:rPr>
      </w:pPr>
      <w:r w:rsidRPr="00373C15">
        <w:rPr>
          <w:sz w:val="22"/>
          <w:szCs w:val="22"/>
        </w:rPr>
        <w:t>Чрез системата за контрол на достъпа бяха изготвяни справки за отработено време от служители, положили извънреден труд и своевременно бяха изготвяни заповеди.</w:t>
      </w:r>
    </w:p>
    <w:p w14:paraId="26909662" w14:textId="77777777" w:rsidR="00373C15" w:rsidRPr="00373C15" w:rsidRDefault="00373C15" w:rsidP="00E81662">
      <w:pPr>
        <w:numPr>
          <w:ilvl w:val="0"/>
          <w:numId w:val="5"/>
        </w:numPr>
        <w:shd w:val="clear" w:color="auto" w:fill="FFFFFF" w:themeFill="background1"/>
        <w:tabs>
          <w:tab w:val="clear" w:pos="360"/>
        </w:tabs>
        <w:ind w:left="0" w:firstLine="426"/>
        <w:jc w:val="both"/>
        <w:rPr>
          <w:sz w:val="22"/>
          <w:szCs w:val="22"/>
        </w:rPr>
      </w:pPr>
      <w:r w:rsidRPr="00373C15">
        <w:rPr>
          <w:sz w:val="22"/>
          <w:szCs w:val="22"/>
        </w:rPr>
        <w:t>Предоставените в отдела болнични листове ежемесечно са обработвани и предоставяни в НОИ. През отчетния период са обработени 428 болнични листове на служители от АМС;</w:t>
      </w:r>
    </w:p>
    <w:p w14:paraId="13E5F5C3" w14:textId="77777777" w:rsidR="00373C15" w:rsidRPr="00373C15" w:rsidRDefault="00373C15" w:rsidP="00E81662">
      <w:pPr>
        <w:numPr>
          <w:ilvl w:val="0"/>
          <w:numId w:val="5"/>
        </w:numPr>
        <w:shd w:val="clear" w:color="auto" w:fill="FFFFFF" w:themeFill="background1"/>
        <w:tabs>
          <w:tab w:val="clear" w:pos="360"/>
        </w:tabs>
        <w:ind w:left="0" w:firstLine="426"/>
        <w:jc w:val="both"/>
        <w:rPr>
          <w:sz w:val="22"/>
          <w:szCs w:val="22"/>
        </w:rPr>
      </w:pPr>
      <w:r w:rsidRPr="00373C15">
        <w:rPr>
          <w:sz w:val="22"/>
          <w:szCs w:val="22"/>
        </w:rPr>
        <w:t xml:space="preserve">От отдела са изготвени всички справки, изискани от вътрешни и външни за АМС контролни органи, съдилища, както и от ръководители на звена от АМС и други ведомства; </w:t>
      </w:r>
    </w:p>
    <w:p w14:paraId="7811EA3E" w14:textId="0C59497A" w:rsidR="00373C15" w:rsidRPr="00373C15" w:rsidRDefault="00373C15" w:rsidP="00E81662">
      <w:pPr>
        <w:numPr>
          <w:ilvl w:val="0"/>
          <w:numId w:val="5"/>
        </w:numPr>
        <w:shd w:val="clear" w:color="auto" w:fill="FFFFFF" w:themeFill="background1"/>
        <w:tabs>
          <w:tab w:val="clear" w:pos="360"/>
        </w:tabs>
        <w:ind w:left="0" w:firstLine="426"/>
        <w:jc w:val="both"/>
        <w:rPr>
          <w:sz w:val="22"/>
          <w:szCs w:val="22"/>
        </w:rPr>
      </w:pPr>
      <w:r w:rsidRPr="00373C15">
        <w:rPr>
          <w:sz w:val="22"/>
          <w:szCs w:val="22"/>
        </w:rPr>
        <w:t xml:space="preserve">Издадени са 85 броя временни пропуски за достъп в сградата на МС, 43 служебни карти на органи на изпълнителната власт и техни заместници, назначени от министър-председателя </w:t>
      </w:r>
      <w:r w:rsidR="00DB41B0">
        <w:rPr>
          <w:sz w:val="22"/>
          <w:szCs w:val="22"/>
        </w:rPr>
        <w:br/>
      </w:r>
      <w:r w:rsidRPr="00373C15">
        <w:rPr>
          <w:sz w:val="22"/>
          <w:szCs w:val="22"/>
        </w:rPr>
        <w:t>на РБ, 49 служебни карти на държавни служители и 7 пропуска на служители по трудово правоотношение.</w:t>
      </w:r>
    </w:p>
    <w:p w14:paraId="3EF010AE" w14:textId="77777777" w:rsidR="009E632D" w:rsidRPr="00E81662" w:rsidRDefault="009E632D" w:rsidP="00E81662">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E81662">
        <w:rPr>
          <w:b/>
          <w:bCs/>
          <w:i/>
          <w:iCs/>
          <w:color w:val="215E99" w:themeColor="text2" w:themeTint="BF"/>
          <w:sz w:val="22"/>
          <w:szCs w:val="22"/>
        </w:rPr>
        <w:t>Деловодство и архив</w:t>
      </w:r>
    </w:p>
    <w:p w14:paraId="1ABCBF73" w14:textId="77777777" w:rsidR="009E632D" w:rsidRPr="009E632D" w:rsidRDefault="009E632D" w:rsidP="00E81662">
      <w:pPr>
        <w:shd w:val="clear" w:color="auto" w:fill="FFFFFF" w:themeFill="background1"/>
        <w:ind w:left="426"/>
        <w:jc w:val="both"/>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1230E559" w14:textId="28553E2B" w:rsidR="001F7017" w:rsidRDefault="001F7017" w:rsidP="00E81662">
      <w:pPr>
        <w:numPr>
          <w:ilvl w:val="0"/>
          <w:numId w:val="5"/>
        </w:numPr>
        <w:shd w:val="clear" w:color="auto" w:fill="FFFFFF" w:themeFill="background1"/>
        <w:tabs>
          <w:tab w:val="clear" w:pos="360"/>
          <w:tab w:val="num" w:pos="142"/>
        </w:tabs>
        <w:ind w:left="0" w:firstLine="426"/>
        <w:jc w:val="both"/>
        <w:rPr>
          <w:sz w:val="22"/>
          <w:szCs w:val="22"/>
        </w:rPr>
      </w:pPr>
      <w:r w:rsidRPr="001F7017">
        <w:rPr>
          <w:sz w:val="22"/>
          <w:szCs w:val="22"/>
        </w:rPr>
        <w:t xml:space="preserve">Организацията на деловодната дейност, като съвкупност от дейности по </w:t>
      </w:r>
      <w:bookmarkStart w:id="73" w:name="_Hlk205914071"/>
      <w:r w:rsidRPr="001F7017">
        <w:rPr>
          <w:sz w:val="22"/>
          <w:szCs w:val="22"/>
        </w:rPr>
        <w:t xml:space="preserve">приемане, техническа обработка, регистриране и насочване в АИСМС и текущо съхранение на електронни документи и документи на хартиен носител </w:t>
      </w:r>
      <w:bookmarkEnd w:id="73"/>
      <w:r w:rsidRPr="001F7017">
        <w:rPr>
          <w:sz w:val="22"/>
          <w:szCs w:val="22"/>
        </w:rPr>
        <w:t>от оторизирани служители в отдела:</w:t>
      </w:r>
    </w:p>
    <w:p w14:paraId="78DB4897" w14:textId="05F4EAFA" w:rsidR="001F7017" w:rsidRPr="00040D63" w:rsidRDefault="001F7017" w:rsidP="00E81662">
      <w:pPr>
        <w:pStyle w:val="ListParagraph"/>
        <w:numPr>
          <w:ilvl w:val="0"/>
          <w:numId w:val="49"/>
        </w:numPr>
        <w:shd w:val="clear" w:color="auto" w:fill="FFFFFF" w:themeFill="background1"/>
        <w:ind w:left="709" w:hanging="283"/>
        <w:jc w:val="both"/>
        <w:rPr>
          <w:sz w:val="22"/>
          <w:szCs w:val="22"/>
        </w:rPr>
      </w:pPr>
      <w:r w:rsidRPr="00040D63">
        <w:rPr>
          <w:sz w:val="22"/>
          <w:szCs w:val="22"/>
        </w:rPr>
        <w:t>За периода 01.01.2025 г. – 30.06.2025 г. са регистрирани в АИСМС и насочени 29 593 бр. документи</w:t>
      </w:r>
      <w:r w:rsidR="00F2333F" w:rsidRPr="00040D63">
        <w:rPr>
          <w:sz w:val="22"/>
          <w:szCs w:val="22"/>
          <w:lang w:val="bg-BG"/>
        </w:rPr>
        <w:t>;</w:t>
      </w:r>
    </w:p>
    <w:p w14:paraId="0F7CD114" w14:textId="2749D88B" w:rsidR="001F7017" w:rsidRPr="00F2333F" w:rsidRDefault="001F7017" w:rsidP="00E81662">
      <w:pPr>
        <w:pStyle w:val="ListParagraph"/>
        <w:numPr>
          <w:ilvl w:val="0"/>
          <w:numId w:val="49"/>
        </w:numPr>
        <w:shd w:val="clear" w:color="auto" w:fill="FFFFFF" w:themeFill="background1"/>
        <w:ind w:left="709" w:hanging="283"/>
        <w:jc w:val="both"/>
        <w:rPr>
          <w:sz w:val="22"/>
          <w:szCs w:val="22"/>
        </w:rPr>
      </w:pPr>
      <w:r w:rsidRPr="00F2333F">
        <w:rPr>
          <w:sz w:val="22"/>
          <w:szCs w:val="22"/>
        </w:rPr>
        <w:t>Ежедневно са извършвани справки на служителите от Министерския съвет, министерствата, ведомствата и гражданите за движението на преписките, регистрирани в деловодството на Министерския съвет.</w:t>
      </w:r>
    </w:p>
    <w:p w14:paraId="426DA86F" w14:textId="38C0C2DB" w:rsidR="001F7017" w:rsidRPr="001F7017" w:rsidRDefault="001F7017" w:rsidP="00E81662">
      <w:pPr>
        <w:numPr>
          <w:ilvl w:val="0"/>
          <w:numId w:val="5"/>
        </w:numPr>
        <w:shd w:val="clear" w:color="auto" w:fill="FFFFFF" w:themeFill="background1"/>
        <w:tabs>
          <w:tab w:val="clear" w:pos="360"/>
          <w:tab w:val="num" w:pos="142"/>
        </w:tabs>
        <w:ind w:left="0" w:firstLine="426"/>
        <w:jc w:val="both"/>
        <w:rPr>
          <w:sz w:val="22"/>
          <w:szCs w:val="22"/>
        </w:rPr>
      </w:pPr>
      <w:r w:rsidRPr="001F7017">
        <w:rPr>
          <w:sz w:val="22"/>
          <w:szCs w:val="22"/>
        </w:rPr>
        <w:t>Приключване, експертиза, текущо и архивно запазване на документите:</w:t>
      </w:r>
    </w:p>
    <w:p w14:paraId="03E37EB3" w14:textId="04D3A40E" w:rsidR="001F7017" w:rsidRPr="008306EF" w:rsidRDefault="001F7017" w:rsidP="00E81662">
      <w:pPr>
        <w:pStyle w:val="ListParagraph"/>
        <w:numPr>
          <w:ilvl w:val="0"/>
          <w:numId w:val="49"/>
        </w:numPr>
        <w:shd w:val="clear" w:color="auto" w:fill="FFFFFF" w:themeFill="background1"/>
        <w:ind w:left="709" w:hanging="283"/>
        <w:jc w:val="both"/>
        <w:rPr>
          <w:sz w:val="22"/>
          <w:szCs w:val="22"/>
        </w:rPr>
      </w:pPr>
      <w:r w:rsidRPr="008306EF">
        <w:rPr>
          <w:sz w:val="22"/>
          <w:szCs w:val="22"/>
        </w:rPr>
        <w:t>организирано е текущото съхранение на 29 593 бр. преписки;</w:t>
      </w:r>
    </w:p>
    <w:p w14:paraId="49803A5F" w14:textId="5747AB26" w:rsidR="001F7017" w:rsidRPr="008306EF" w:rsidRDefault="001F7017" w:rsidP="00E81662">
      <w:pPr>
        <w:pStyle w:val="ListParagraph"/>
        <w:numPr>
          <w:ilvl w:val="0"/>
          <w:numId w:val="49"/>
        </w:numPr>
        <w:shd w:val="clear" w:color="auto" w:fill="FFFFFF" w:themeFill="background1"/>
        <w:ind w:left="709" w:hanging="283"/>
        <w:jc w:val="both"/>
        <w:rPr>
          <w:sz w:val="22"/>
          <w:szCs w:val="22"/>
        </w:rPr>
      </w:pPr>
      <w:r w:rsidRPr="008306EF">
        <w:rPr>
          <w:sz w:val="22"/>
          <w:szCs w:val="22"/>
        </w:rPr>
        <w:t>комплектувани и предадени са 120 тома преписки за архивно запазване в учрежденския архив на Министерския съвет;</w:t>
      </w:r>
    </w:p>
    <w:p w14:paraId="574C21D5" w14:textId="507C79A7" w:rsidR="001F7017" w:rsidRPr="008306EF" w:rsidRDefault="001F7017" w:rsidP="00E81662">
      <w:pPr>
        <w:pStyle w:val="ListParagraph"/>
        <w:numPr>
          <w:ilvl w:val="0"/>
          <w:numId w:val="49"/>
        </w:numPr>
        <w:shd w:val="clear" w:color="auto" w:fill="FFFFFF" w:themeFill="background1"/>
        <w:ind w:left="709" w:hanging="283"/>
        <w:jc w:val="both"/>
        <w:rPr>
          <w:sz w:val="22"/>
          <w:szCs w:val="22"/>
        </w:rPr>
      </w:pPr>
      <w:r w:rsidRPr="008306EF">
        <w:rPr>
          <w:sz w:val="22"/>
          <w:szCs w:val="22"/>
        </w:rPr>
        <w:t>за съхранение в учрежденския архив са приети досиетата на 362 акта</w:t>
      </w:r>
      <w:r w:rsidR="00C057FF">
        <w:rPr>
          <w:sz w:val="22"/>
          <w:szCs w:val="22"/>
          <w:lang w:val="bg-BG"/>
        </w:rPr>
        <w:t>;</w:t>
      </w:r>
    </w:p>
    <w:p w14:paraId="1EBAC19F" w14:textId="7854A9D0" w:rsidR="001F7017" w:rsidRPr="008306EF" w:rsidRDefault="001F7017" w:rsidP="00E81662">
      <w:pPr>
        <w:pStyle w:val="ListParagraph"/>
        <w:numPr>
          <w:ilvl w:val="0"/>
          <w:numId w:val="49"/>
        </w:numPr>
        <w:shd w:val="clear" w:color="auto" w:fill="FFFFFF" w:themeFill="background1"/>
        <w:ind w:left="709" w:hanging="283"/>
        <w:jc w:val="both"/>
        <w:rPr>
          <w:sz w:val="22"/>
          <w:szCs w:val="22"/>
        </w:rPr>
      </w:pPr>
      <w:r w:rsidRPr="008306EF">
        <w:rPr>
          <w:sz w:val="22"/>
          <w:szCs w:val="22"/>
        </w:rPr>
        <w:t>извършени са справки на служители от Министерския съвет, министерства, ведомства и граждани по документите, съхранявани в учрежденския архив</w:t>
      </w:r>
      <w:r w:rsidR="00C057FF">
        <w:rPr>
          <w:sz w:val="22"/>
          <w:szCs w:val="22"/>
          <w:lang w:val="bg-BG"/>
        </w:rPr>
        <w:t>;</w:t>
      </w:r>
    </w:p>
    <w:p w14:paraId="7DA2B10C" w14:textId="184B3443" w:rsidR="001F7017" w:rsidRPr="001F7017" w:rsidRDefault="001F7017" w:rsidP="00E81662">
      <w:pPr>
        <w:numPr>
          <w:ilvl w:val="0"/>
          <w:numId w:val="5"/>
        </w:numPr>
        <w:shd w:val="clear" w:color="auto" w:fill="FFFFFF" w:themeFill="background1"/>
        <w:tabs>
          <w:tab w:val="clear" w:pos="360"/>
          <w:tab w:val="num" w:pos="142"/>
        </w:tabs>
        <w:ind w:left="0" w:firstLine="426"/>
        <w:jc w:val="both"/>
        <w:rPr>
          <w:sz w:val="22"/>
          <w:szCs w:val="22"/>
        </w:rPr>
      </w:pPr>
      <w:r w:rsidRPr="001F7017">
        <w:rPr>
          <w:sz w:val="22"/>
          <w:szCs w:val="22"/>
        </w:rPr>
        <w:t>Компютърно въвеждане и сканиране на документите:</w:t>
      </w:r>
    </w:p>
    <w:p w14:paraId="656F13B7" w14:textId="389EAD12" w:rsidR="001F7017" w:rsidRPr="001F7017" w:rsidRDefault="001F7017" w:rsidP="00E81662">
      <w:pPr>
        <w:numPr>
          <w:ilvl w:val="0"/>
          <w:numId w:val="5"/>
        </w:numPr>
        <w:shd w:val="clear" w:color="auto" w:fill="FFFFFF" w:themeFill="background1"/>
        <w:tabs>
          <w:tab w:val="clear" w:pos="360"/>
          <w:tab w:val="num" w:pos="142"/>
        </w:tabs>
        <w:ind w:left="0" w:firstLine="426"/>
        <w:jc w:val="both"/>
        <w:rPr>
          <w:sz w:val="22"/>
          <w:szCs w:val="22"/>
        </w:rPr>
      </w:pPr>
      <w:r w:rsidRPr="001F7017">
        <w:rPr>
          <w:sz w:val="22"/>
          <w:szCs w:val="22"/>
        </w:rPr>
        <w:t xml:space="preserve">Извършено е компютърно въвеждане и сканиране на 1 066 акта и 179 заповеди; </w:t>
      </w:r>
    </w:p>
    <w:p w14:paraId="71544525" w14:textId="7EA15E47" w:rsidR="001F7017" w:rsidRPr="00C057FF" w:rsidRDefault="001F7017" w:rsidP="00E81662">
      <w:pPr>
        <w:pStyle w:val="ListParagraph"/>
        <w:numPr>
          <w:ilvl w:val="0"/>
          <w:numId w:val="49"/>
        </w:numPr>
        <w:shd w:val="clear" w:color="auto" w:fill="FFFFFF" w:themeFill="background1"/>
        <w:ind w:left="709" w:hanging="283"/>
        <w:jc w:val="both"/>
        <w:rPr>
          <w:sz w:val="22"/>
          <w:szCs w:val="22"/>
        </w:rPr>
      </w:pPr>
      <w:r w:rsidRPr="00C057FF">
        <w:rPr>
          <w:sz w:val="22"/>
          <w:szCs w:val="22"/>
        </w:rPr>
        <w:t>Въвеждане на документи в правно-информационна система (PRIS) – електронно са обработени и въведени в системата 544 акта, 186 протоколни решения, 582 заповеди, 26 стенограми;</w:t>
      </w:r>
    </w:p>
    <w:p w14:paraId="48ED8B56" w14:textId="22AA34B3" w:rsidR="001F7017" w:rsidRPr="00C057FF" w:rsidRDefault="001F7017" w:rsidP="00E81662">
      <w:pPr>
        <w:pStyle w:val="ListParagraph"/>
        <w:numPr>
          <w:ilvl w:val="0"/>
          <w:numId w:val="49"/>
        </w:numPr>
        <w:shd w:val="clear" w:color="auto" w:fill="FFFFFF" w:themeFill="background1"/>
        <w:ind w:left="709" w:hanging="283"/>
        <w:jc w:val="both"/>
        <w:rPr>
          <w:sz w:val="22"/>
          <w:szCs w:val="22"/>
        </w:rPr>
      </w:pPr>
      <w:r w:rsidRPr="00C057FF">
        <w:rPr>
          <w:sz w:val="22"/>
          <w:szCs w:val="22"/>
        </w:rPr>
        <w:t>извършени справки на служителите от администрацията на МС, държавните и обществени организации и граждани.</w:t>
      </w:r>
    </w:p>
    <w:p w14:paraId="5C07357C" w14:textId="10F5E282" w:rsidR="001F7017" w:rsidRPr="001F7017" w:rsidRDefault="001F7017" w:rsidP="00E81662">
      <w:pPr>
        <w:numPr>
          <w:ilvl w:val="0"/>
          <w:numId w:val="5"/>
        </w:numPr>
        <w:shd w:val="clear" w:color="auto" w:fill="FFFFFF" w:themeFill="background1"/>
        <w:tabs>
          <w:tab w:val="clear" w:pos="360"/>
          <w:tab w:val="num" w:pos="142"/>
        </w:tabs>
        <w:ind w:left="0" w:firstLine="426"/>
        <w:jc w:val="both"/>
        <w:rPr>
          <w:sz w:val="22"/>
          <w:szCs w:val="22"/>
        </w:rPr>
      </w:pPr>
      <w:bookmarkStart w:id="74" w:name="_Hlk205914224"/>
      <w:r w:rsidRPr="001F7017">
        <w:rPr>
          <w:sz w:val="22"/>
          <w:szCs w:val="22"/>
        </w:rPr>
        <w:t>Организация по използването и съхранението на библиотечните фондове на Министерския съвет</w:t>
      </w:r>
      <w:bookmarkEnd w:id="74"/>
      <w:r w:rsidRPr="001F7017">
        <w:rPr>
          <w:sz w:val="22"/>
          <w:szCs w:val="22"/>
        </w:rPr>
        <w:t>:</w:t>
      </w:r>
    </w:p>
    <w:p w14:paraId="5D51464E" w14:textId="7BF5E219" w:rsidR="00373C15" w:rsidRPr="00C057FF" w:rsidRDefault="001F7017" w:rsidP="00E81662">
      <w:pPr>
        <w:pStyle w:val="ListParagraph"/>
        <w:numPr>
          <w:ilvl w:val="0"/>
          <w:numId w:val="49"/>
        </w:numPr>
        <w:shd w:val="clear" w:color="auto" w:fill="FFFFFF" w:themeFill="background1"/>
        <w:ind w:left="709" w:hanging="283"/>
        <w:jc w:val="both"/>
        <w:rPr>
          <w:sz w:val="22"/>
          <w:szCs w:val="22"/>
        </w:rPr>
      </w:pPr>
      <w:r w:rsidRPr="00C057FF">
        <w:rPr>
          <w:sz w:val="22"/>
          <w:szCs w:val="22"/>
        </w:rPr>
        <w:t>поддържа се системата от каталози и картотеки.</w:t>
      </w:r>
    </w:p>
    <w:p w14:paraId="51B04706" w14:textId="77777777" w:rsidR="00FE5CDF" w:rsidRDefault="00FE5CDF">
      <w:pPr>
        <w:rPr>
          <w:rFonts w:eastAsia="Batang"/>
          <w:b/>
          <w:bCs/>
          <w:i/>
          <w:iCs/>
          <w:color w:val="215E99" w:themeColor="text2" w:themeTint="BF"/>
          <w:sz w:val="22"/>
          <w:szCs w:val="22"/>
          <w:lang w:val="x-none" w:eastAsia="ko-KR"/>
        </w:rPr>
      </w:pPr>
      <w:bookmarkStart w:id="75" w:name="_Toc244570224"/>
      <w:r>
        <w:rPr>
          <w:b/>
          <w:bCs/>
          <w:i/>
          <w:iCs/>
          <w:color w:val="215E99" w:themeColor="text2" w:themeTint="BF"/>
          <w:sz w:val="22"/>
          <w:szCs w:val="22"/>
        </w:rPr>
        <w:br w:type="page"/>
      </w:r>
    </w:p>
    <w:p w14:paraId="60777C4B" w14:textId="0A614C14" w:rsidR="009D0057" w:rsidRPr="00E81662" w:rsidRDefault="009D0057" w:rsidP="00E81662">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E81662">
        <w:rPr>
          <w:b/>
          <w:bCs/>
          <w:i/>
          <w:iCs/>
          <w:color w:val="215E99" w:themeColor="text2" w:themeTint="BF"/>
          <w:sz w:val="22"/>
          <w:szCs w:val="22"/>
        </w:rPr>
        <w:lastRenderedPageBreak/>
        <w:t>Прием на граждани</w:t>
      </w:r>
      <w:bookmarkEnd w:id="75"/>
    </w:p>
    <w:p w14:paraId="62E820E9" w14:textId="77777777" w:rsidR="009D0057" w:rsidRPr="00667B09" w:rsidRDefault="009D0057" w:rsidP="00E81662">
      <w:pPr>
        <w:shd w:val="clear" w:color="auto" w:fill="FFFFFF" w:themeFill="background1"/>
        <w:ind w:left="426"/>
        <w:jc w:val="both"/>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7A886189" w14:textId="21DE75F7" w:rsidR="00C36F64" w:rsidRPr="00C36F64" w:rsidRDefault="00C36F64" w:rsidP="00E81662">
      <w:pPr>
        <w:numPr>
          <w:ilvl w:val="0"/>
          <w:numId w:val="5"/>
        </w:numPr>
        <w:shd w:val="clear" w:color="auto" w:fill="FFFFFF" w:themeFill="background1"/>
        <w:tabs>
          <w:tab w:val="clear" w:pos="360"/>
          <w:tab w:val="num" w:pos="142"/>
        </w:tabs>
        <w:ind w:left="0" w:firstLine="426"/>
        <w:jc w:val="both"/>
        <w:rPr>
          <w:sz w:val="22"/>
          <w:szCs w:val="22"/>
        </w:rPr>
      </w:pPr>
      <w:r w:rsidRPr="00C36F64">
        <w:rPr>
          <w:sz w:val="22"/>
          <w:szCs w:val="22"/>
        </w:rPr>
        <w:t>Приемането на сигнали и предложения на физически и юридически лица се осъществява съобразно разпоредбите на Глава осма „Предложения и сигнали</w:t>
      </w:r>
      <w:r w:rsidR="00EA70CD">
        <w:rPr>
          <w:sz w:val="22"/>
          <w:szCs w:val="22"/>
        </w:rPr>
        <w:t>“</w:t>
      </w:r>
      <w:r w:rsidRPr="00C36F64">
        <w:rPr>
          <w:sz w:val="22"/>
          <w:szCs w:val="22"/>
        </w:rPr>
        <w:t xml:space="preserve"> от Административнопроцесуалния кодекс.</w:t>
      </w:r>
    </w:p>
    <w:p w14:paraId="5D12B72F" w14:textId="451DAF1D" w:rsidR="00C36F64" w:rsidRPr="00C36F64" w:rsidRDefault="00C36F64" w:rsidP="00E81662">
      <w:pPr>
        <w:numPr>
          <w:ilvl w:val="0"/>
          <w:numId w:val="5"/>
        </w:numPr>
        <w:shd w:val="clear" w:color="auto" w:fill="FFFFFF" w:themeFill="background1"/>
        <w:tabs>
          <w:tab w:val="clear" w:pos="360"/>
          <w:tab w:val="num" w:pos="142"/>
        </w:tabs>
        <w:ind w:left="0" w:firstLine="426"/>
        <w:jc w:val="both"/>
        <w:rPr>
          <w:sz w:val="22"/>
          <w:szCs w:val="22"/>
        </w:rPr>
      </w:pPr>
      <w:r w:rsidRPr="00C36F64">
        <w:rPr>
          <w:sz w:val="22"/>
          <w:szCs w:val="22"/>
        </w:rPr>
        <w:t>Въз основа на регистрираните сигнали и предложения се образуват преписки с цифров индекс от 01, в рамките на календарната година.</w:t>
      </w:r>
    </w:p>
    <w:p w14:paraId="320A6E00" w14:textId="7838E7F6" w:rsidR="00C36F64" w:rsidRPr="00C36F64" w:rsidRDefault="00C36F64" w:rsidP="00E81662">
      <w:pPr>
        <w:pStyle w:val="ListParagraph"/>
        <w:numPr>
          <w:ilvl w:val="0"/>
          <w:numId w:val="49"/>
        </w:numPr>
        <w:shd w:val="clear" w:color="auto" w:fill="FFFFFF" w:themeFill="background1"/>
        <w:ind w:left="709" w:hanging="283"/>
        <w:jc w:val="both"/>
        <w:rPr>
          <w:sz w:val="22"/>
          <w:szCs w:val="22"/>
        </w:rPr>
      </w:pPr>
      <w:r w:rsidRPr="00C36F64">
        <w:rPr>
          <w:sz w:val="22"/>
          <w:szCs w:val="22"/>
        </w:rPr>
        <w:t>За периода 01.01.2025 г. – 30.06.2025 г. са постъпили общо 1 954 сигнали и предложения, от които 1 161 по електронната поща; 271 чрез Системата за сигурно електронно връчване; останалите 522 – на хартиен носител. Прави впечатление значително нарасналия брой на документи, получени по електронен път, в сравнение с предходния отчетен период.</w:t>
      </w:r>
    </w:p>
    <w:p w14:paraId="552ACD5E" w14:textId="1AB0B1B0" w:rsidR="00C36F64" w:rsidRPr="00C36F64" w:rsidRDefault="00C36F64" w:rsidP="00E81662">
      <w:pPr>
        <w:numPr>
          <w:ilvl w:val="0"/>
          <w:numId w:val="5"/>
        </w:numPr>
        <w:shd w:val="clear" w:color="auto" w:fill="FFFFFF" w:themeFill="background1"/>
        <w:tabs>
          <w:tab w:val="clear" w:pos="360"/>
          <w:tab w:val="num" w:pos="142"/>
        </w:tabs>
        <w:ind w:left="0" w:firstLine="426"/>
        <w:jc w:val="both"/>
        <w:rPr>
          <w:sz w:val="22"/>
          <w:szCs w:val="22"/>
        </w:rPr>
      </w:pPr>
      <w:r w:rsidRPr="00C36F64">
        <w:rPr>
          <w:sz w:val="22"/>
          <w:szCs w:val="22"/>
        </w:rPr>
        <w:t xml:space="preserve">Осъществяване на личен прием на граждани, поискали това </w:t>
      </w:r>
      <w:r w:rsidR="00BD03F7">
        <w:rPr>
          <w:sz w:val="22"/>
          <w:szCs w:val="22"/>
        </w:rPr>
        <w:t>–</w:t>
      </w:r>
      <w:r w:rsidRPr="00C36F64">
        <w:rPr>
          <w:sz w:val="22"/>
          <w:szCs w:val="22"/>
        </w:rPr>
        <w:t xml:space="preserve"> извършва се всеки работен ден от 9:30 до 12:30 ч., без предварително записване, в специален за това кабинет. Данните се отразяват в електронен регистър и в регистрационен дневник. В периода 01.01.2025 г. – 30.06.2025 г. са приети 23 граждани, предоставени им са конкретни указания.</w:t>
      </w:r>
    </w:p>
    <w:p w14:paraId="6615610B" w14:textId="44232559" w:rsidR="00C36F64" w:rsidRPr="00C36F64" w:rsidRDefault="00C36F64" w:rsidP="00E81662">
      <w:pPr>
        <w:numPr>
          <w:ilvl w:val="0"/>
          <w:numId w:val="5"/>
        </w:numPr>
        <w:shd w:val="clear" w:color="auto" w:fill="FFFFFF" w:themeFill="background1"/>
        <w:tabs>
          <w:tab w:val="clear" w:pos="360"/>
          <w:tab w:val="num" w:pos="142"/>
        </w:tabs>
        <w:ind w:left="0" w:firstLine="426"/>
        <w:jc w:val="both"/>
        <w:rPr>
          <w:sz w:val="22"/>
          <w:szCs w:val="22"/>
        </w:rPr>
      </w:pPr>
      <w:r w:rsidRPr="00C36F64">
        <w:rPr>
          <w:sz w:val="22"/>
          <w:szCs w:val="22"/>
        </w:rPr>
        <w:t>Изпратени писма, изходящи от отдел „Приемна</w:t>
      </w:r>
      <w:r w:rsidR="007D104F">
        <w:rPr>
          <w:sz w:val="22"/>
          <w:szCs w:val="22"/>
        </w:rPr>
        <w:t>“</w:t>
      </w:r>
      <w:r w:rsidRPr="00C36F64">
        <w:rPr>
          <w:sz w:val="22"/>
          <w:szCs w:val="22"/>
        </w:rPr>
        <w:t xml:space="preserve"> до различни институции с искане за предприемане на действия по компетентност, получени са отговори от същите.</w:t>
      </w:r>
    </w:p>
    <w:p w14:paraId="5D38D14A" w14:textId="6EB5C6EE" w:rsidR="00C36F64" w:rsidRPr="00C36F64" w:rsidRDefault="00C36F64" w:rsidP="00E81662">
      <w:pPr>
        <w:pStyle w:val="ListParagraph"/>
        <w:numPr>
          <w:ilvl w:val="0"/>
          <w:numId w:val="49"/>
        </w:numPr>
        <w:shd w:val="clear" w:color="auto" w:fill="FFFFFF" w:themeFill="background1"/>
        <w:ind w:left="709" w:hanging="283"/>
        <w:jc w:val="both"/>
        <w:rPr>
          <w:sz w:val="22"/>
          <w:szCs w:val="22"/>
        </w:rPr>
      </w:pPr>
      <w:r w:rsidRPr="00C36F64">
        <w:rPr>
          <w:sz w:val="22"/>
          <w:szCs w:val="22"/>
        </w:rPr>
        <w:t>За посочения период са изпратени 1 398 наши писма до имащите отношение администрации, по компетентност или с искане за предоставяне на отговори.</w:t>
      </w:r>
    </w:p>
    <w:p w14:paraId="67C1EC1B" w14:textId="7CEFB66E" w:rsidR="00C36F64" w:rsidRPr="00C36F64" w:rsidRDefault="00C36F64" w:rsidP="00E81662">
      <w:pPr>
        <w:pStyle w:val="ListParagraph"/>
        <w:numPr>
          <w:ilvl w:val="0"/>
          <w:numId w:val="49"/>
        </w:numPr>
        <w:shd w:val="clear" w:color="auto" w:fill="FFFFFF" w:themeFill="background1"/>
        <w:ind w:left="709" w:hanging="283"/>
        <w:jc w:val="both"/>
        <w:rPr>
          <w:sz w:val="22"/>
          <w:szCs w:val="22"/>
        </w:rPr>
      </w:pPr>
      <w:r w:rsidRPr="00C36F64">
        <w:rPr>
          <w:sz w:val="22"/>
          <w:szCs w:val="22"/>
        </w:rPr>
        <w:t xml:space="preserve">Получени отговори от институции за цитирания период </w:t>
      </w:r>
      <w:r>
        <w:rPr>
          <w:sz w:val="22"/>
          <w:szCs w:val="22"/>
        </w:rPr>
        <w:t>–</w:t>
      </w:r>
      <w:r w:rsidRPr="00C36F64">
        <w:rPr>
          <w:sz w:val="22"/>
          <w:szCs w:val="22"/>
        </w:rPr>
        <w:t xml:space="preserve"> 885.</w:t>
      </w:r>
    </w:p>
    <w:p w14:paraId="158BBB0D" w14:textId="50B72B22" w:rsidR="00C36F64" w:rsidRPr="00C36F64" w:rsidRDefault="00C36F64" w:rsidP="00E81662">
      <w:pPr>
        <w:numPr>
          <w:ilvl w:val="0"/>
          <w:numId w:val="5"/>
        </w:numPr>
        <w:shd w:val="clear" w:color="auto" w:fill="FFFFFF" w:themeFill="background1"/>
        <w:tabs>
          <w:tab w:val="clear" w:pos="360"/>
          <w:tab w:val="num" w:pos="142"/>
        </w:tabs>
        <w:ind w:left="0" w:firstLine="426"/>
        <w:jc w:val="both"/>
        <w:rPr>
          <w:sz w:val="22"/>
          <w:szCs w:val="22"/>
        </w:rPr>
      </w:pPr>
      <w:r w:rsidRPr="00C36F64">
        <w:rPr>
          <w:sz w:val="22"/>
          <w:szCs w:val="22"/>
        </w:rPr>
        <w:t>Изготвяне и предоставяне на отговори, изходящи от отдел „Приемна", до обърналите се за съдействие към нас граждани, по различни проблеми, които не изискват предприемане на действия от други институции.</w:t>
      </w:r>
    </w:p>
    <w:p w14:paraId="2C93A323" w14:textId="5DD8B3A8" w:rsidR="00C36F64" w:rsidRPr="00C36F64" w:rsidRDefault="00C36F64" w:rsidP="00E81662">
      <w:pPr>
        <w:pStyle w:val="ListParagraph"/>
        <w:numPr>
          <w:ilvl w:val="0"/>
          <w:numId w:val="49"/>
        </w:numPr>
        <w:shd w:val="clear" w:color="auto" w:fill="FFFFFF" w:themeFill="background1"/>
        <w:ind w:left="709" w:hanging="283"/>
        <w:jc w:val="both"/>
        <w:rPr>
          <w:sz w:val="22"/>
          <w:szCs w:val="22"/>
        </w:rPr>
      </w:pPr>
      <w:r w:rsidRPr="00C36F64">
        <w:rPr>
          <w:sz w:val="22"/>
          <w:szCs w:val="22"/>
        </w:rPr>
        <w:t>За периода 01.01.2025 г. – 30.06.2025 г. са изготвени и изпратени 348 отговори до граждани.</w:t>
      </w:r>
    </w:p>
    <w:p w14:paraId="36E63F25" w14:textId="7A8148B4" w:rsidR="00C36F64" w:rsidRPr="00C36F64" w:rsidRDefault="00C36F64" w:rsidP="00E81662">
      <w:pPr>
        <w:numPr>
          <w:ilvl w:val="0"/>
          <w:numId w:val="5"/>
        </w:numPr>
        <w:shd w:val="clear" w:color="auto" w:fill="FFFFFF" w:themeFill="background1"/>
        <w:tabs>
          <w:tab w:val="clear" w:pos="360"/>
          <w:tab w:val="num" w:pos="142"/>
        </w:tabs>
        <w:ind w:left="0" w:firstLine="426"/>
        <w:jc w:val="both"/>
        <w:rPr>
          <w:sz w:val="22"/>
          <w:szCs w:val="22"/>
        </w:rPr>
      </w:pPr>
      <w:r w:rsidRPr="00C36F64">
        <w:rPr>
          <w:sz w:val="22"/>
          <w:szCs w:val="22"/>
        </w:rPr>
        <w:t>Дадена информация за процедирането по преписките на двата телефона за граждани.</w:t>
      </w:r>
    </w:p>
    <w:p w14:paraId="3A114895" w14:textId="4D481D54" w:rsidR="00C36F64" w:rsidRPr="00C36F64" w:rsidRDefault="00C36F64" w:rsidP="00E81662">
      <w:pPr>
        <w:pStyle w:val="ListParagraph"/>
        <w:numPr>
          <w:ilvl w:val="0"/>
          <w:numId w:val="49"/>
        </w:numPr>
        <w:shd w:val="clear" w:color="auto" w:fill="FFFFFF" w:themeFill="background1"/>
        <w:ind w:left="709" w:hanging="283"/>
        <w:jc w:val="both"/>
        <w:rPr>
          <w:sz w:val="22"/>
          <w:szCs w:val="22"/>
        </w:rPr>
      </w:pPr>
      <w:r w:rsidRPr="00C36F64">
        <w:rPr>
          <w:sz w:val="22"/>
          <w:szCs w:val="22"/>
        </w:rPr>
        <w:t>За периода са предоставени 3 228 справки по телефон (средно по 26 всеки работен ден).</w:t>
      </w:r>
    </w:p>
    <w:p w14:paraId="441A4350" w14:textId="13BBD506" w:rsidR="00C36F64" w:rsidRPr="00C36F64" w:rsidRDefault="00C36F64" w:rsidP="00E81662">
      <w:pPr>
        <w:numPr>
          <w:ilvl w:val="0"/>
          <w:numId w:val="5"/>
        </w:numPr>
        <w:shd w:val="clear" w:color="auto" w:fill="FFFFFF" w:themeFill="background1"/>
        <w:tabs>
          <w:tab w:val="clear" w:pos="360"/>
          <w:tab w:val="num" w:pos="142"/>
        </w:tabs>
        <w:ind w:left="0" w:firstLine="426"/>
        <w:jc w:val="both"/>
        <w:rPr>
          <w:sz w:val="22"/>
          <w:szCs w:val="22"/>
        </w:rPr>
      </w:pPr>
      <w:r w:rsidRPr="00C36F64">
        <w:rPr>
          <w:sz w:val="22"/>
          <w:szCs w:val="22"/>
        </w:rPr>
        <w:t>Предоставени справки и консултации на граждани, директно на гишето на отдел „Приемна</w:t>
      </w:r>
      <w:r w:rsidR="00174EF8">
        <w:rPr>
          <w:sz w:val="22"/>
          <w:szCs w:val="22"/>
        </w:rPr>
        <w:t>“</w:t>
      </w:r>
      <w:r w:rsidRPr="00C36F64">
        <w:rPr>
          <w:sz w:val="22"/>
          <w:szCs w:val="22"/>
        </w:rPr>
        <w:t>.</w:t>
      </w:r>
    </w:p>
    <w:p w14:paraId="3E951CF8" w14:textId="16E71854" w:rsidR="00C36F64" w:rsidRPr="00C36F64" w:rsidRDefault="00C36F64" w:rsidP="00E81662">
      <w:pPr>
        <w:pStyle w:val="ListParagraph"/>
        <w:numPr>
          <w:ilvl w:val="0"/>
          <w:numId w:val="49"/>
        </w:numPr>
        <w:shd w:val="clear" w:color="auto" w:fill="FFFFFF" w:themeFill="background1"/>
        <w:ind w:left="709" w:hanging="283"/>
        <w:jc w:val="both"/>
        <w:rPr>
          <w:sz w:val="22"/>
          <w:szCs w:val="22"/>
        </w:rPr>
      </w:pPr>
      <w:r w:rsidRPr="00C36F64">
        <w:rPr>
          <w:sz w:val="22"/>
          <w:szCs w:val="22"/>
        </w:rPr>
        <w:t>За периода са предоставени 1 142 справки и консултации (средно по 9 всеки работен ден).</w:t>
      </w:r>
    </w:p>
    <w:p w14:paraId="798525D0" w14:textId="355238B4" w:rsidR="00C36F64" w:rsidRPr="00C36F64" w:rsidRDefault="00C36F64" w:rsidP="00E81662">
      <w:pPr>
        <w:numPr>
          <w:ilvl w:val="0"/>
          <w:numId w:val="5"/>
        </w:numPr>
        <w:shd w:val="clear" w:color="auto" w:fill="FFFFFF" w:themeFill="background1"/>
        <w:tabs>
          <w:tab w:val="clear" w:pos="360"/>
          <w:tab w:val="num" w:pos="142"/>
        </w:tabs>
        <w:ind w:left="0" w:firstLine="426"/>
        <w:jc w:val="both"/>
        <w:rPr>
          <w:sz w:val="22"/>
          <w:szCs w:val="22"/>
        </w:rPr>
      </w:pPr>
      <w:r w:rsidRPr="00C36F64">
        <w:rPr>
          <w:sz w:val="22"/>
          <w:szCs w:val="22"/>
        </w:rPr>
        <w:t>Приети за посочения период от началника на отдел „Приемна” 18 декларации, обръщения, подписки и петиции, отправени до Министерския съвет и до министър-председателя, връчени от представители на неправителствени организации, синдикални и браншови сдружения, инициативни комитети на граждани.</w:t>
      </w:r>
    </w:p>
    <w:p w14:paraId="0408A6F6" w14:textId="762ABAA5" w:rsidR="00C36F64" w:rsidRPr="00C36F64" w:rsidRDefault="00C36F64" w:rsidP="00E81662">
      <w:pPr>
        <w:numPr>
          <w:ilvl w:val="0"/>
          <w:numId w:val="5"/>
        </w:numPr>
        <w:shd w:val="clear" w:color="auto" w:fill="FFFFFF" w:themeFill="background1"/>
        <w:tabs>
          <w:tab w:val="clear" w:pos="360"/>
          <w:tab w:val="num" w:pos="142"/>
        </w:tabs>
        <w:ind w:left="0" w:firstLine="426"/>
        <w:jc w:val="both"/>
        <w:rPr>
          <w:sz w:val="22"/>
          <w:szCs w:val="22"/>
        </w:rPr>
      </w:pPr>
      <w:r w:rsidRPr="00C36F64">
        <w:rPr>
          <w:sz w:val="22"/>
          <w:szCs w:val="22"/>
        </w:rPr>
        <w:t xml:space="preserve">Анализиране и обобщаване на дейността на отдел „Приемна" в писмени ежемесечни доклади до прекия административен ръководител – директора на дирекция „Правителствена канцелария“, с цел предоставяне на статистически данни за дейността; систематизиране на </w:t>
      </w:r>
      <w:proofErr w:type="spellStart"/>
      <w:r w:rsidRPr="00C36F64">
        <w:rPr>
          <w:sz w:val="22"/>
          <w:szCs w:val="22"/>
        </w:rPr>
        <w:t>обществено</w:t>
      </w:r>
      <w:r w:rsidR="00E81662">
        <w:rPr>
          <w:sz w:val="22"/>
          <w:szCs w:val="22"/>
        </w:rPr>
        <w:t>значими</w:t>
      </w:r>
      <w:proofErr w:type="spellEnd"/>
      <w:r w:rsidR="00E81662">
        <w:rPr>
          <w:sz w:val="22"/>
          <w:szCs w:val="22"/>
        </w:rPr>
        <w:t xml:space="preserve"> проблеми; посочване на </w:t>
      </w:r>
      <w:r w:rsidRPr="00C36F64">
        <w:rPr>
          <w:sz w:val="22"/>
          <w:szCs w:val="22"/>
        </w:rPr>
        <w:t>положително разрешените случаи; отразяване на благодарствените писма от граждани. Прави впечатление нарасналия брой на положително разрешените случаи със съдействието на отдел „Приемна“.</w:t>
      </w:r>
    </w:p>
    <w:p w14:paraId="16CC89F6" w14:textId="175508AA" w:rsidR="00373C15" w:rsidRPr="00560695" w:rsidRDefault="00C36F64" w:rsidP="00E81662">
      <w:pPr>
        <w:pStyle w:val="ListParagraph"/>
        <w:numPr>
          <w:ilvl w:val="0"/>
          <w:numId w:val="49"/>
        </w:numPr>
        <w:shd w:val="clear" w:color="auto" w:fill="FFFFFF" w:themeFill="background1"/>
        <w:ind w:left="709" w:hanging="283"/>
        <w:jc w:val="both"/>
        <w:rPr>
          <w:sz w:val="22"/>
          <w:szCs w:val="22"/>
        </w:rPr>
      </w:pPr>
      <w:r w:rsidRPr="00C36F64">
        <w:rPr>
          <w:sz w:val="22"/>
          <w:szCs w:val="22"/>
        </w:rPr>
        <w:t>За периода 01.01.2025 г. – 30.06.2025 г. са предоставени 6 броя доклади.</w:t>
      </w:r>
    </w:p>
    <w:p w14:paraId="61C4391E" w14:textId="77777777" w:rsidR="00F44D89" w:rsidRPr="00E81662" w:rsidRDefault="00F44D89" w:rsidP="00E81662">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E81662">
        <w:rPr>
          <w:b/>
          <w:bCs/>
          <w:i/>
          <w:iCs/>
          <w:color w:val="215E99" w:themeColor="text2" w:themeTint="BF"/>
          <w:sz w:val="22"/>
          <w:szCs w:val="22"/>
        </w:rPr>
        <w:t>Бюджет и счетоводство</w:t>
      </w:r>
    </w:p>
    <w:p w14:paraId="3FD0136F" w14:textId="77777777" w:rsidR="00AA436E" w:rsidRPr="004F405A" w:rsidRDefault="00AA436E" w:rsidP="00E81662">
      <w:pPr>
        <w:shd w:val="clear" w:color="auto" w:fill="FFFFFF" w:themeFill="background1"/>
        <w:ind w:left="426"/>
        <w:jc w:val="both"/>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4A1C866A" w14:textId="77777777" w:rsidR="00E81662" w:rsidRPr="00E81662" w:rsidRDefault="00E81662" w:rsidP="00E81662">
      <w:pPr>
        <w:numPr>
          <w:ilvl w:val="0"/>
          <w:numId w:val="2"/>
        </w:numPr>
        <w:shd w:val="clear" w:color="auto" w:fill="FFFFFF"/>
        <w:jc w:val="both"/>
        <w:rPr>
          <w:sz w:val="22"/>
          <w:szCs w:val="22"/>
          <w:lang w:eastAsia="en-US"/>
        </w:rPr>
      </w:pPr>
      <w:r w:rsidRPr="00E81662">
        <w:rPr>
          <w:sz w:val="22"/>
          <w:szCs w:val="22"/>
          <w:lang w:eastAsia="en-US"/>
        </w:rPr>
        <w:t>Разпределен е утвърдения със Закона за държавния бюджет за 2025 г. бюджет на Администрацията на Министерския съвет и второстепенните разпоредители с бюджет. Утвърдени са индивидуални бюджети на второстепенните разпоредители.</w:t>
      </w:r>
    </w:p>
    <w:p w14:paraId="435D7031" w14:textId="77777777" w:rsidR="00E81662" w:rsidRPr="00E81662" w:rsidRDefault="00E81662" w:rsidP="00E81662">
      <w:pPr>
        <w:numPr>
          <w:ilvl w:val="0"/>
          <w:numId w:val="2"/>
        </w:numPr>
        <w:shd w:val="clear" w:color="auto" w:fill="FFFFFF"/>
        <w:jc w:val="both"/>
        <w:rPr>
          <w:sz w:val="22"/>
          <w:szCs w:val="22"/>
          <w:lang w:eastAsia="en-US"/>
        </w:rPr>
      </w:pPr>
      <w:r w:rsidRPr="00E81662">
        <w:rPr>
          <w:sz w:val="22"/>
          <w:szCs w:val="22"/>
          <w:lang w:eastAsia="en-US"/>
        </w:rPr>
        <w:t>Изготвено е месечно разпределение на бюджета за 2025 г. на Министерския съвет, при спазване указанията на МФ, разпоредбите на ЗДБРБ за 2025 г. и ПМС № 28/16.04.2025 г. за изпълнението на държавния бюджет на Република България за 2025 г.</w:t>
      </w:r>
    </w:p>
    <w:p w14:paraId="72A5DFEA" w14:textId="77777777" w:rsidR="00E81662" w:rsidRPr="00E81662" w:rsidRDefault="00E81662" w:rsidP="00E81662">
      <w:pPr>
        <w:numPr>
          <w:ilvl w:val="0"/>
          <w:numId w:val="2"/>
        </w:numPr>
        <w:shd w:val="clear" w:color="auto" w:fill="FFFFFF"/>
        <w:jc w:val="both"/>
        <w:rPr>
          <w:sz w:val="22"/>
          <w:szCs w:val="22"/>
          <w:lang w:eastAsia="en-US"/>
        </w:rPr>
      </w:pPr>
      <w:r w:rsidRPr="00E81662">
        <w:rPr>
          <w:sz w:val="22"/>
          <w:szCs w:val="22"/>
          <w:lang w:eastAsia="en-US"/>
        </w:rPr>
        <w:t>Изготвено и представено в МФ актуализираното очакваното изпълнение на бюджета съобразно изискванията, сроковете и формата, определени от МФ.</w:t>
      </w:r>
    </w:p>
    <w:p w14:paraId="608C0539" w14:textId="77777777" w:rsidR="00E81662" w:rsidRPr="00E81662" w:rsidRDefault="00E81662" w:rsidP="00E81662">
      <w:pPr>
        <w:numPr>
          <w:ilvl w:val="0"/>
          <w:numId w:val="2"/>
        </w:numPr>
        <w:shd w:val="clear" w:color="auto" w:fill="FFFFFF"/>
        <w:jc w:val="both"/>
        <w:rPr>
          <w:sz w:val="22"/>
          <w:szCs w:val="22"/>
          <w:lang w:eastAsia="en-US"/>
        </w:rPr>
      </w:pPr>
      <w:r w:rsidRPr="00E81662">
        <w:rPr>
          <w:sz w:val="22"/>
          <w:szCs w:val="22"/>
          <w:lang w:eastAsia="en-US"/>
        </w:rPr>
        <w:t>Извършени са 11 промени по бюджета за осигуряване на средства за дейности на АМС и ВРБ.</w:t>
      </w:r>
    </w:p>
    <w:p w14:paraId="76B1473A" w14:textId="77777777" w:rsidR="00E81662" w:rsidRPr="00E81662" w:rsidRDefault="00E81662" w:rsidP="00E81662">
      <w:pPr>
        <w:numPr>
          <w:ilvl w:val="0"/>
          <w:numId w:val="2"/>
        </w:numPr>
        <w:shd w:val="clear" w:color="auto" w:fill="FFFFFF"/>
        <w:jc w:val="both"/>
        <w:rPr>
          <w:sz w:val="22"/>
          <w:szCs w:val="22"/>
          <w:lang w:eastAsia="en-US"/>
        </w:rPr>
      </w:pPr>
      <w:r w:rsidRPr="00E81662">
        <w:rPr>
          <w:sz w:val="22"/>
          <w:szCs w:val="22"/>
          <w:lang w:eastAsia="en-US"/>
        </w:rPr>
        <w:t>Ежедневно се осъществява контрол по извършването на бюджетните разходи чрез СЕБРА.</w:t>
      </w:r>
    </w:p>
    <w:p w14:paraId="0A066F04" w14:textId="406B549A" w:rsidR="00E81662" w:rsidRPr="00E81662" w:rsidRDefault="00E81662" w:rsidP="00E81662">
      <w:pPr>
        <w:numPr>
          <w:ilvl w:val="0"/>
          <w:numId w:val="2"/>
        </w:numPr>
        <w:shd w:val="clear" w:color="auto" w:fill="FFFFFF"/>
        <w:jc w:val="both"/>
        <w:rPr>
          <w:sz w:val="22"/>
          <w:szCs w:val="22"/>
          <w:lang w:eastAsia="en-US"/>
        </w:rPr>
      </w:pPr>
      <w:r w:rsidRPr="00E81662">
        <w:rPr>
          <w:sz w:val="22"/>
          <w:szCs w:val="22"/>
          <w:lang w:eastAsia="en-US"/>
        </w:rPr>
        <w:lastRenderedPageBreak/>
        <w:t>Изготвени и изпратени в</w:t>
      </w:r>
      <w:r>
        <w:rPr>
          <w:sz w:val="22"/>
          <w:szCs w:val="22"/>
          <w:lang w:eastAsia="en-US"/>
        </w:rPr>
        <w:t xml:space="preserve"> МФ са заявките за лимит за м.</w:t>
      </w:r>
      <w:r w:rsidRPr="00E81662">
        <w:rPr>
          <w:sz w:val="22"/>
          <w:szCs w:val="22"/>
          <w:lang w:eastAsia="en-US"/>
        </w:rPr>
        <w:t xml:space="preserve"> януари – юли 2025 г.</w:t>
      </w:r>
    </w:p>
    <w:p w14:paraId="33DD9225" w14:textId="582604BA" w:rsidR="00E81662" w:rsidRPr="005B3DD9" w:rsidRDefault="00E81662" w:rsidP="00E81662">
      <w:pPr>
        <w:numPr>
          <w:ilvl w:val="0"/>
          <w:numId w:val="2"/>
        </w:numPr>
        <w:shd w:val="clear" w:color="auto" w:fill="FFFFFF"/>
        <w:jc w:val="both"/>
        <w:rPr>
          <w:sz w:val="22"/>
          <w:szCs w:val="22"/>
          <w:lang w:eastAsia="en-US"/>
        </w:rPr>
      </w:pPr>
      <w:r w:rsidRPr="005B3DD9">
        <w:rPr>
          <w:sz w:val="22"/>
          <w:szCs w:val="22"/>
          <w:lang w:eastAsia="en-US"/>
        </w:rPr>
        <w:t xml:space="preserve">Изготвени са и представени в МФ и Сметната палата в срок годишния финансов отчет за </w:t>
      </w:r>
      <w:r w:rsidRPr="005B3DD9">
        <w:rPr>
          <w:sz w:val="22"/>
          <w:szCs w:val="22"/>
          <w:lang w:eastAsia="en-US"/>
        </w:rPr>
        <w:br/>
        <w:t xml:space="preserve">2024 г., включващ годишния баланс и приложенията към него, годишния касов отчет за изпълнението на бюджета, на сметките за средствата от Европейския съюз и на сметките за чужди средства към 31.12.2024 г. на Министерския съвет, заедно с всички </w:t>
      </w:r>
      <w:proofErr w:type="spellStart"/>
      <w:r w:rsidRPr="005B3DD9">
        <w:rPr>
          <w:sz w:val="22"/>
          <w:szCs w:val="22"/>
          <w:lang w:eastAsia="en-US"/>
        </w:rPr>
        <w:t>разшифровки</w:t>
      </w:r>
      <w:proofErr w:type="spellEnd"/>
      <w:r w:rsidRPr="005B3DD9">
        <w:rPr>
          <w:sz w:val="22"/>
          <w:szCs w:val="22"/>
          <w:lang w:eastAsia="en-US"/>
        </w:rPr>
        <w:t xml:space="preserve"> и приложения.</w:t>
      </w:r>
    </w:p>
    <w:p w14:paraId="563C56ED" w14:textId="77777777" w:rsidR="00E81662" w:rsidRPr="005B3DD9" w:rsidRDefault="00E81662" w:rsidP="00E81662">
      <w:pPr>
        <w:numPr>
          <w:ilvl w:val="0"/>
          <w:numId w:val="2"/>
        </w:numPr>
        <w:shd w:val="clear" w:color="auto" w:fill="FFFFFF"/>
        <w:jc w:val="both"/>
        <w:rPr>
          <w:sz w:val="22"/>
          <w:szCs w:val="22"/>
          <w:lang w:eastAsia="en-US"/>
        </w:rPr>
      </w:pPr>
      <w:r w:rsidRPr="005B3DD9">
        <w:rPr>
          <w:sz w:val="22"/>
          <w:szCs w:val="22"/>
          <w:lang w:eastAsia="en-US"/>
        </w:rPr>
        <w:t xml:space="preserve">Изготвени са годишния баланс и приложенията към него за 2024 г., годишния касов отчет за изпълнението на бюджета, на сметките за средствата от Европейския съюз и на сметките за чужди средства към 31.12.2024 г. на Администрацията на Министерския съвет, заедно с всички </w:t>
      </w:r>
      <w:proofErr w:type="spellStart"/>
      <w:r w:rsidRPr="005B3DD9">
        <w:rPr>
          <w:sz w:val="22"/>
          <w:szCs w:val="22"/>
          <w:lang w:eastAsia="en-US"/>
        </w:rPr>
        <w:t>разшифровки</w:t>
      </w:r>
      <w:proofErr w:type="spellEnd"/>
      <w:r w:rsidRPr="005B3DD9">
        <w:rPr>
          <w:sz w:val="22"/>
          <w:szCs w:val="22"/>
          <w:lang w:eastAsia="en-US"/>
        </w:rPr>
        <w:t xml:space="preserve"> и приложения.</w:t>
      </w:r>
    </w:p>
    <w:p w14:paraId="63DFB8DB" w14:textId="77777777" w:rsidR="00E81662" w:rsidRPr="005B3DD9" w:rsidRDefault="00E81662" w:rsidP="00E81662">
      <w:pPr>
        <w:numPr>
          <w:ilvl w:val="0"/>
          <w:numId w:val="2"/>
        </w:numPr>
        <w:shd w:val="clear" w:color="auto" w:fill="FFFFFF"/>
        <w:jc w:val="both"/>
        <w:rPr>
          <w:sz w:val="22"/>
          <w:szCs w:val="22"/>
          <w:lang w:eastAsia="en-US"/>
        </w:rPr>
      </w:pPr>
      <w:r w:rsidRPr="005B3DD9">
        <w:rPr>
          <w:sz w:val="22"/>
          <w:szCs w:val="22"/>
          <w:lang w:eastAsia="en-US"/>
        </w:rPr>
        <w:t>Изготвен и представен в МФ отчет на капиталовите разходи за 2024 г. по формата на приложение № 8 „Списък на предложения за финансиране на капиталови разходи, включително за капиталови разходи, подпомагащи административната дейност“.</w:t>
      </w:r>
    </w:p>
    <w:p w14:paraId="18C3A5F1" w14:textId="78601CD0" w:rsidR="00E81662" w:rsidRPr="005B3DD9" w:rsidRDefault="00E81662" w:rsidP="00E81662">
      <w:pPr>
        <w:numPr>
          <w:ilvl w:val="0"/>
          <w:numId w:val="2"/>
        </w:numPr>
        <w:shd w:val="clear" w:color="auto" w:fill="FFFFFF"/>
        <w:jc w:val="both"/>
        <w:rPr>
          <w:sz w:val="22"/>
          <w:szCs w:val="22"/>
          <w:lang w:eastAsia="en-US"/>
        </w:rPr>
      </w:pPr>
      <w:r w:rsidRPr="005B3DD9">
        <w:rPr>
          <w:sz w:val="22"/>
          <w:szCs w:val="22"/>
          <w:lang w:eastAsia="en-US"/>
        </w:rPr>
        <w:t>Изготвена е тримесечна информация за разходите по бюджетни програми на МС към 31.12.</w:t>
      </w:r>
      <w:r w:rsidRPr="005B3DD9">
        <w:rPr>
          <w:sz w:val="22"/>
          <w:szCs w:val="22"/>
          <w:lang w:eastAsia="en-US"/>
        </w:rPr>
        <w:br/>
        <w:t>2024 г. и 31.03.2025 г. съобразно изискванията, сроковете и формата, определени от МФ.</w:t>
      </w:r>
    </w:p>
    <w:p w14:paraId="24C1D61C" w14:textId="77777777" w:rsidR="00E81662" w:rsidRPr="005B3DD9" w:rsidRDefault="00E81662" w:rsidP="00E81662">
      <w:pPr>
        <w:numPr>
          <w:ilvl w:val="0"/>
          <w:numId w:val="2"/>
        </w:numPr>
        <w:shd w:val="clear" w:color="auto" w:fill="FFFFFF"/>
        <w:jc w:val="both"/>
        <w:rPr>
          <w:sz w:val="22"/>
          <w:szCs w:val="22"/>
          <w:lang w:eastAsia="en-US"/>
        </w:rPr>
      </w:pPr>
      <w:r w:rsidRPr="005B3DD9">
        <w:rPr>
          <w:sz w:val="22"/>
          <w:szCs w:val="22"/>
          <w:lang w:eastAsia="en-US"/>
        </w:rPr>
        <w:t>Изготвен и представен в МФ, СП и НС подробния отчет за изпълнението на програмния бюджет на МС за 2024 г.</w:t>
      </w:r>
    </w:p>
    <w:p w14:paraId="3B3FB58E" w14:textId="77777777" w:rsidR="00E81662" w:rsidRPr="005B3DD9" w:rsidRDefault="00E81662" w:rsidP="00E81662">
      <w:pPr>
        <w:numPr>
          <w:ilvl w:val="0"/>
          <w:numId w:val="2"/>
        </w:numPr>
        <w:shd w:val="clear" w:color="auto" w:fill="FFFFFF"/>
        <w:jc w:val="both"/>
        <w:rPr>
          <w:sz w:val="22"/>
          <w:szCs w:val="22"/>
          <w:lang w:eastAsia="en-US"/>
        </w:rPr>
      </w:pPr>
      <w:r w:rsidRPr="005B3DD9">
        <w:rPr>
          <w:sz w:val="22"/>
          <w:szCs w:val="22"/>
          <w:lang w:eastAsia="en-US"/>
        </w:rPr>
        <w:t>Обобщени и изпратени в Министерство на отбраната с писмо № 04.05-47/02.04.2025 г. заявки (в таблична форма) на областните администрации за финансиране с бюджетни субсидии от държавния бюджет за изпълнение на военновременните задачи по отбраната на страната и на дейностите и задачите по отбранително-мобилизационната подготовка за 2026 г. и отчет за изразходваните средства за 2024 г., придружени с кратко пояснение.</w:t>
      </w:r>
    </w:p>
    <w:p w14:paraId="1624EA12" w14:textId="77777777" w:rsidR="00E81662" w:rsidRPr="005B3DD9" w:rsidRDefault="00E81662" w:rsidP="00E81662">
      <w:pPr>
        <w:numPr>
          <w:ilvl w:val="0"/>
          <w:numId w:val="2"/>
        </w:numPr>
        <w:shd w:val="clear" w:color="auto" w:fill="FFFFFF"/>
        <w:jc w:val="both"/>
        <w:rPr>
          <w:sz w:val="22"/>
          <w:szCs w:val="22"/>
          <w:lang w:eastAsia="en-US"/>
        </w:rPr>
      </w:pPr>
      <w:r w:rsidRPr="005B3DD9">
        <w:rPr>
          <w:sz w:val="22"/>
          <w:szCs w:val="22"/>
          <w:lang w:eastAsia="en-US"/>
        </w:rPr>
        <w:t>Изготвени са и представени в МФ в срок месечните касови отчети за периода от м. декември 2024 г. до м. май 2025 г. на МС, включващи АМС и ВРБ към МС.</w:t>
      </w:r>
    </w:p>
    <w:p w14:paraId="21347415" w14:textId="77777777" w:rsidR="00E81662" w:rsidRPr="00E81662" w:rsidRDefault="00E81662" w:rsidP="00E81662">
      <w:pPr>
        <w:numPr>
          <w:ilvl w:val="0"/>
          <w:numId w:val="2"/>
        </w:numPr>
        <w:shd w:val="clear" w:color="auto" w:fill="FFFFFF"/>
        <w:jc w:val="both"/>
        <w:rPr>
          <w:sz w:val="22"/>
          <w:szCs w:val="22"/>
          <w:lang w:eastAsia="en-US"/>
        </w:rPr>
      </w:pPr>
      <w:r w:rsidRPr="00E81662">
        <w:rPr>
          <w:sz w:val="22"/>
          <w:szCs w:val="22"/>
          <w:lang w:eastAsia="en-US"/>
        </w:rPr>
        <w:t>В изпълнение на писмо № 91-00-75/07.02.2025 г. на министъра на финансите относно наблюдение на изпълнението на инвестиционни проекти, финансирани със средства от държавния бюджет през 2025 г. е представена в дирекция „Стратегическо планиране и управление на капиталовите инвестиции, държавно участие и концесии“ към МФ информация, съдържаща отчетни данни за извършените разходи по инвестиционни проекти, финансирани със средства от държавния бюджет към 31.01.2025 г., 28.02.2025 г. и 31.03.2025 г. в системата на Министерския съвет.</w:t>
      </w:r>
    </w:p>
    <w:p w14:paraId="7455FE4D" w14:textId="77777777" w:rsidR="00E81662" w:rsidRPr="00E81662" w:rsidRDefault="00E81662" w:rsidP="00E81662">
      <w:pPr>
        <w:numPr>
          <w:ilvl w:val="0"/>
          <w:numId w:val="2"/>
        </w:numPr>
        <w:shd w:val="clear" w:color="auto" w:fill="FFFFFF"/>
        <w:jc w:val="both"/>
        <w:rPr>
          <w:sz w:val="22"/>
          <w:szCs w:val="22"/>
          <w:lang w:eastAsia="en-US"/>
        </w:rPr>
      </w:pPr>
      <w:r w:rsidRPr="00E81662">
        <w:rPr>
          <w:sz w:val="22"/>
          <w:szCs w:val="22"/>
          <w:lang w:eastAsia="en-US"/>
        </w:rPr>
        <w:t>В изпълнение на писмо № 91-00-205/08.05.2025 г. на министъра на финансите относно СП-1 Мониторинг на финансовото изпълнение на инвестиционни проекти, финансирани със средства от държавния бюджет е представена в дирекция „Стратегическо планиране и управление на капиталовите инвестиции, държавно участие и концесии“ към МФ информация, съдържаща отчетни данни за извършените разходи по инвестиционни проекти, финансирани със средства от държавния бюджет за първото тримесечие на 2025 г. в системата на Министерския съвет, придружена с обяснителна записка.</w:t>
      </w:r>
    </w:p>
    <w:p w14:paraId="2209C46A" w14:textId="77777777" w:rsidR="00E81662" w:rsidRPr="005B3DD9" w:rsidRDefault="00E81662" w:rsidP="00E81662">
      <w:pPr>
        <w:numPr>
          <w:ilvl w:val="0"/>
          <w:numId w:val="2"/>
        </w:numPr>
        <w:shd w:val="clear" w:color="auto" w:fill="FFFFFF"/>
        <w:jc w:val="both"/>
        <w:rPr>
          <w:sz w:val="22"/>
          <w:szCs w:val="22"/>
          <w:lang w:eastAsia="en-US"/>
        </w:rPr>
      </w:pPr>
      <w:r w:rsidRPr="005B3DD9">
        <w:rPr>
          <w:sz w:val="22"/>
          <w:szCs w:val="22"/>
          <w:lang w:eastAsia="en-US"/>
        </w:rPr>
        <w:t>Изготвени са и представени в МФ и Сметната палата в срок тримесечните отчети за касовото изпълнение на бюджета, на сметките за средствата от ЕС и на сметките за чужди средства и оборотните ведомости на Министерския съвет към 31.03.2025 г.</w:t>
      </w:r>
    </w:p>
    <w:p w14:paraId="6BC0D479" w14:textId="77777777" w:rsidR="00E81662" w:rsidRPr="005B3DD9" w:rsidRDefault="00E81662" w:rsidP="00E81662">
      <w:pPr>
        <w:numPr>
          <w:ilvl w:val="0"/>
          <w:numId w:val="2"/>
        </w:numPr>
        <w:shd w:val="clear" w:color="auto" w:fill="FFFFFF"/>
        <w:jc w:val="both"/>
        <w:rPr>
          <w:sz w:val="22"/>
          <w:szCs w:val="22"/>
          <w:lang w:eastAsia="en-US"/>
        </w:rPr>
      </w:pPr>
      <w:r w:rsidRPr="005B3DD9">
        <w:rPr>
          <w:sz w:val="22"/>
          <w:szCs w:val="22"/>
          <w:lang w:eastAsia="en-US"/>
        </w:rPr>
        <w:t>Изготвени са в срок тримесечните отчети за касовото изпълнение на бюджета, на сметките за средствата от ЕС и на сметките за чужди средства и оборотните ведомости на Администрацията на Министерския съвет към 31.03.2025 г.</w:t>
      </w:r>
    </w:p>
    <w:p w14:paraId="5FA4081D" w14:textId="77777777" w:rsidR="00E81662" w:rsidRPr="00E81662" w:rsidRDefault="00E81662" w:rsidP="00E81662">
      <w:pPr>
        <w:numPr>
          <w:ilvl w:val="0"/>
          <w:numId w:val="2"/>
        </w:numPr>
        <w:shd w:val="clear" w:color="auto" w:fill="FFFFFF"/>
        <w:jc w:val="both"/>
        <w:rPr>
          <w:sz w:val="22"/>
          <w:szCs w:val="22"/>
          <w:lang w:eastAsia="en-US"/>
        </w:rPr>
      </w:pPr>
      <w:r w:rsidRPr="00E81662">
        <w:rPr>
          <w:sz w:val="22"/>
          <w:szCs w:val="22"/>
          <w:lang w:eastAsia="en-US"/>
        </w:rPr>
        <w:t>Обобщаването на месечните/тримесечните отчети за касовото изпълнение на бюджетите, на сметките за средства от Европейския съюз и на сметките за чужди средства на АМС и второстепенните разпоредели с бюджет по бюджета на МС е извършено чрез модул „Бюджет“ в ИФИС SAP S/4HANA.</w:t>
      </w:r>
    </w:p>
    <w:p w14:paraId="32D81894" w14:textId="4D1D000F" w:rsidR="00E81662" w:rsidRPr="00E81662" w:rsidRDefault="00E81662" w:rsidP="00E81662">
      <w:pPr>
        <w:numPr>
          <w:ilvl w:val="0"/>
          <w:numId w:val="2"/>
        </w:numPr>
        <w:shd w:val="clear" w:color="auto" w:fill="FFFFFF"/>
        <w:jc w:val="both"/>
        <w:rPr>
          <w:sz w:val="22"/>
          <w:szCs w:val="22"/>
          <w:lang w:eastAsia="en-US"/>
        </w:rPr>
      </w:pPr>
      <w:r w:rsidRPr="00E81662">
        <w:rPr>
          <w:sz w:val="22"/>
          <w:szCs w:val="22"/>
          <w:lang w:eastAsia="en-US"/>
        </w:rPr>
        <w:t xml:space="preserve">В изпълнение на изискванията на чл. 7 г., ал. 2 от Закона за електронно управление и „Правилата за предварително съгласуване на разходите на административните органи в областта на електронното управление и за използваните от тях информационни и комуникационни технологии в рамките на бюджетния процес“, утвърдени от министъра на електронно управление е изготвена и представена чрез Информационната система за извършване на </w:t>
      </w:r>
      <w:r w:rsidRPr="00E81662">
        <w:rPr>
          <w:sz w:val="22"/>
          <w:szCs w:val="22"/>
          <w:lang w:eastAsia="en-US"/>
        </w:rPr>
        <w:lastRenderedPageBreak/>
        <w:t>предварителен, текущ и последващ контрол по целесъобразност в областта на електронното управление и използването на информационните и комуникационните технологии (ИСБК) в срок обобщена информация (включваща АМС и ВРБ към МС) за предварително съгласуване на утвърдения бюджет за разходите в областта на електронното управление и за използваните информационни и комуникационни технологии за 2025 г. изпратена с писмо наш № 04.01-103/</w:t>
      </w:r>
      <w:r w:rsidR="007A7249">
        <w:rPr>
          <w:sz w:val="22"/>
          <w:szCs w:val="22"/>
          <w:lang w:eastAsia="en-US"/>
        </w:rPr>
        <w:t xml:space="preserve"> </w:t>
      </w:r>
      <w:r w:rsidRPr="00E81662">
        <w:rPr>
          <w:sz w:val="22"/>
          <w:szCs w:val="22"/>
          <w:lang w:eastAsia="en-US"/>
        </w:rPr>
        <w:t>22.05.2025 г. и допълнена с писмо наш № 04.01-103/09.06.2025 г.</w:t>
      </w:r>
    </w:p>
    <w:p w14:paraId="2733A9A7" w14:textId="77777777" w:rsidR="00E81662" w:rsidRPr="00E81662" w:rsidRDefault="00E81662" w:rsidP="00E81662">
      <w:pPr>
        <w:numPr>
          <w:ilvl w:val="0"/>
          <w:numId w:val="2"/>
        </w:numPr>
        <w:shd w:val="clear" w:color="auto" w:fill="FFFFFF"/>
        <w:jc w:val="both"/>
        <w:rPr>
          <w:sz w:val="22"/>
          <w:szCs w:val="22"/>
          <w:lang w:eastAsia="en-US"/>
        </w:rPr>
      </w:pPr>
      <w:r w:rsidRPr="00E81662">
        <w:rPr>
          <w:sz w:val="22"/>
          <w:szCs w:val="22"/>
          <w:lang w:eastAsia="en-US"/>
        </w:rPr>
        <w:t>Изготвена и изпратена с писмо наш № 02.04-2/27.02.2025 г. обобщена тримесечна информация до МЕУ чрез ИСБК за предварително съгласуване на отчета на утвърдените целеви текущи и капиталови разходи за ЕУ и ИКТ на МС към 31.12.2024 г.</w:t>
      </w:r>
    </w:p>
    <w:p w14:paraId="040034E0" w14:textId="77777777" w:rsidR="00E81662" w:rsidRPr="00E81662" w:rsidRDefault="00E81662" w:rsidP="00E81662">
      <w:pPr>
        <w:numPr>
          <w:ilvl w:val="0"/>
          <w:numId w:val="2"/>
        </w:numPr>
        <w:shd w:val="clear" w:color="auto" w:fill="FFFFFF"/>
        <w:jc w:val="both"/>
        <w:rPr>
          <w:sz w:val="22"/>
          <w:szCs w:val="22"/>
          <w:lang w:eastAsia="en-US"/>
        </w:rPr>
      </w:pPr>
      <w:r w:rsidRPr="00E81662">
        <w:rPr>
          <w:sz w:val="22"/>
          <w:szCs w:val="22"/>
          <w:lang w:eastAsia="en-US"/>
        </w:rPr>
        <w:t>Изготвена и изпратена с писмо наш № 02.04-129/29.04.2025 г. обобщена информация до МЕУ чрез ИСБК за предварително съгласуване на отчета на целевите текущи и капиталови разходи за ЕУ и ИКТ на МС към 31.03.2025 г.</w:t>
      </w:r>
    </w:p>
    <w:p w14:paraId="16F93A9D" w14:textId="77777777" w:rsidR="00E81662" w:rsidRPr="00E81662" w:rsidRDefault="00E81662" w:rsidP="00E81662">
      <w:pPr>
        <w:numPr>
          <w:ilvl w:val="0"/>
          <w:numId w:val="2"/>
        </w:numPr>
        <w:shd w:val="clear" w:color="auto" w:fill="FFFFFF"/>
        <w:jc w:val="both"/>
        <w:rPr>
          <w:sz w:val="22"/>
          <w:szCs w:val="22"/>
          <w:lang w:eastAsia="en-US"/>
        </w:rPr>
      </w:pPr>
      <w:r w:rsidRPr="00E81662">
        <w:rPr>
          <w:sz w:val="22"/>
          <w:szCs w:val="22"/>
          <w:lang w:eastAsia="en-US"/>
        </w:rPr>
        <w:t>Осъществявана е кореспонденция с ВРБ по повод постъпили запитвания по възникнали въпроси и казуси, свързани с дейността и/или изпълнението на утвърдените им бюджети за текущата година.</w:t>
      </w:r>
    </w:p>
    <w:p w14:paraId="724A4637" w14:textId="77777777" w:rsidR="00E81662" w:rsidRPr="00E81662" w:rsidRDefault="00E81662" w:rsidP="00E81662">
      <w:pPr>
        <w:numPr>
          <w:ilvl w:val="0"/>
          <w:numId w:val="2"/>
        </w:numPr>
        <w:shd w:val="clear" w:color="auto" w:fill="FFFFFF"/>
        <w:jc w:val="both"/>
        <w:rPr>
          <w:sz w:val="22"/>
          <w:szCs w:val="22"/>
          <w:lang w:eastAsia="en-US"/>
        </w:rPr>
      </w:pPr>
      <w:r w:rsidRPr="00E81662">
        <w:rPr>
          <w:sz w:val="22"/>
          <w:szCs w:val="22"/>
          <w:lang w:eastAsia="en-US"/>
        </w:rPr>
        <w:t>Разглеждани са за съответствие с указанията на МФ, дадени с ДДС № 4/07.02.2020 г. „Насоки за подпомагане процеса по изготвяне на финансови обосновки към проектите на актове на Министерския съвет“, инициирани в АМС материали по съгласуване на финансови обосновки към проекти на актове на МС.</w:t>
      </w:r>
    </w:p>
    <w:p w14:paraId="26749A21" w14:textId="77777777" w:rsidR="00E81662" w:rsidRDefault="00E81662" w:rsidP="00E81662">
      <w:pPr>
        <w:numPr>
          <w:ilvl w:val="0"/>
          <w:numId w:val="2"/>
        </w:numPr>
        <w:shd w:val="clear" w:color="auto" w:fill="FFFFFF"/>
        <w:jc w:val="both"/>
        <w:rPr>
          <w:sz w:val="22"/>
          <w:szCs w:val="22"/>
          <w:lang w:eastAsia="en-US"/>
        </w:rPr>
      </w:pPr>
      <w:r w:rsidRPr="00E81662">
        <w:rPr>
          <w:sz w:val="22"/>
          <w:szCs w:val="22"/>
          <w:lang w:eastAsia="en-US"/>
        </w:rPr>
        <w:t>Утвърдени са със Заповед № Р-80/01.04.2025 г. на министър-председателя правила за съставянето, изпълнението и отчитането на бюджета на Министерския съвет.</w:t>
      </w:r>
    </w:p>
    <w:p w14:paraId="60DB1133" w14:textId="77777777" w:rsidR="008F0B56" w:rsidRPr="00396C9E" w:rsidRDefault="008F0B56" w:rsidP="008F0B56">
      <w:pPr>
        <w:numPr>
          <w:ilvl w:val="0"/>
          <w:numId w:val="2"/>
        </w:numPr>
        <w:shd w:val="clear" w:color="auto" w:fill="FFFFFF"/>
        <w:jc w:val="both"/>
        <w:rPr>
          <w:sz w:val="22"/>
          <w:szCs w:val="22"/>
          <w:lang w:eastAsia="en-US"/>
        </w:rPr>
      </w:pPr>
      <w:r w:rsidRPr="00396C9E">
        <w:rPr>
          <w:sz w:val="22"/>
          <w:szCs w:val="22"/>
          <w:lang w:eastAsia="en-US"/>
        </w:rPr>
        <w:t>Утвърдени са със Заповед № В-121/01.04.2025 г. на министър-председателя Вътрешни правила за счетоводния документооборот в администрацията на Министерския съвет и в обектите с представителна и социална дейност към Министерския съвет.</w:t>
      </w:r>
    </w:p>
    <w:p w14:paraId="4F2FAC31" w14:textId="77777777" w:rsidR="008F0B56" w:rsidRPr="00396C9E" w:rsidRDefault="008F0B56" w:rsidP="008F0B56">
      <w:pPr>
        <w:numPr>
          <w:ilvl w:val="0"/>
          <w:numId w:val="2"/>
        </w:numPr>
        <w:shd w:val="clear" w:color="auto" w:fill="FFFFFF"/>
        <w:jc w:val="both"/>
        <w:rPr>
          <w:sz w:val="22"/>
          <w:szCs w:val="22"/>
          <w:lang w:eastAsia="en-US"/>
        </w:rPr>
      </w:pPr>
      <w:r w:rsidRPr="00396C9E">
        <w:rPr>
          <w:sz w:val="22"/>
          <w:szCs w:val="22"/>
          <w:lang w:eastAsia="en-US"/>
        </w:rPr>
        <w:t>Съставени, оформени и окомплектовани са, съгласно нормативните изисквания, разходни и приходни касови ордери, платежни нареждания и мемориални ордери.</w:t>
      </w:r>
    </w:p>
    <w:p w14:paraId="72EDA565" w14:textId="70BD118E" w:rsidR="008F0B56" w:rsidRPr="005B3DD9" w:rsidRDefault="008F0B56" w:rsidP="008F0B56">
      <w:pPr>
        <w:numPr>
          <w:ilvl w:val="0"/>
          <w:numId w:val="2"/>
        </w:numPr>
        <w:shd w:val="clear" w:color="auto" w:fill="FFFFFF"/>
        <w:jc w:val="both"/>
        <w:rPr>
          <w:sz w:val="22"/>
          <w:szCs w:val="22"/>
          <w:lang w:eastAsia="en-US"/>
        </w:rPr>
      </w:pPr>
      <w:r w:rsidRPr="005B3DD9">
        <w:rPr>
          <w:sz w:val="22"/>
          <w:szCs w:val="22"/>
          <w:lang w:eastAsia="en-US"/>
        </w:rPr>
        <w:t>Съставени са счетоводни записвания за отразяване на възникналите стопански операции в АМС, въз основа на създадени или постъпили в дирекцията документи със счетоводна информация, при спазване на задължителните основни принципи, определени от Закона за счетоводството; указанията на Министерство на финансите; Счетоводната политика и Индивидуалния сметкоплан на Министерския съвет и Амортизационната политика на МС.</w:t>
      </w:r>
    </w:p>
    <w:p w14:paraId="21EF0C7A" w14:textId="77777777" w:rsidR="008F0B56" w:rsidRPr="005B3DD9" w:rsidRDefault="008F0B56" w:rsidP="008F0B56">
      <w:pPr>
        <w:numPr>
          <w:ilvl w:val="0"/>
          <w:numId w:val="2"/>
        </w:numPr>
        <w:shd w:val="clear" w:color="auto" w:fill="FFFFFF"/>
        <w:jc w:val="both"/>
        <w:rPr>
          <w:sz w:val="22"/>
          <w:szCs w:val="22"/>
          <w:lang w:eastAsia="en-US"/>
        </w:rPr>
      </w:pPr>
      <w:r w:rsidRPr="005B3DD9">
        <w:rPr>
          <w:sz w:val="22"/>
          <w:szCs w:val="22"/>
          <w:lang w:eastAsia="en-US"/>
        </w:rPr>
        <w:t>Изготвени са разплащателни ведомости за възнагражденията на служителите в АМС по трудови и служебни правоотношения, както и на лицата по извънтрудови правоотношения, получили доход, облаган по реда на ЗДДФЛ.</w:t>
      </w:r>
    </w:p>
    <w:p w14:paraId="6ABE76AA" w14:textId="77777777" w:rsidR="008F0B56" w:rsidRPr="005B3DD9" w:rsidRDefault="008F0B56" w:rsidP="008F0B56">
      <w:pPr>
        <w:numPr>
          <w:ilvl w:val="0"/>
          <w:numId w:val="2"/>
        </w:numPr>
        <w:shd w:val="clear" w:color="auto" w:fill="FFFFFF"/>
        <w:jc w:val="both"/>
        <w:rPr>
          <w:sz w:val="22"/>
          <w:szCs w:val="22"/>
          <w:lang w:eastAsia="en-US"/>
        </w:rPr>
      </w:pPr>
      <w:r w:rsidRPr="005B3DD9">
        <w:rPr>
          <w:sz w:val="22"/>
          <w:szCs w:val="22"/>
          <w:lang w:eastAsia="en-US"/>
        </w:rPr>
        <w:t>Изготвени са констативни протоколи от работните комисии и обобщен доклад за резултатите от извършената инвентаризация на активите и разчетите на администрацията на Министерския съвет към 31.12.2024 г. в изпълнение на Заповед № Р-220/05.12.2024 г. на министър-председателя.</w:t>
      </w:r>
    </w:p>
    <w:p w14:paraId="27DB4980" w14:textId="77777777" w:rsidR="008F0B56" w:rsidRPr="00067D67" w:rsidRDefault="008F0B56" w:rsidP="00067D67">
      <w:pPr>
        <w:numPr>
          <w:ilvl w:val="0"/>
          <w:numId w:val="2"/>
        </w:numPr>
        <w:jc w:val="both"/>
        <w:rPr>
          <w:sz w:val="22"/>
          <w:szCs w:val="22"/>
          <w:lang w:eastAsia="en-US"/>
        </w:rPr>
      </w:pPr>
      <w:r w:rsidRPr="00067D67">
        <w:rPr>
          <w:sz w:val="22"/>
          <w:szCs w:val="22"/>
          <w:lang w:eastAsia="en-US"/>
        </w:rPr>
        <w:t>Изготвен е обобщен доклад, в изпълнение на т. 4 от Заповед № Р-17/21.01.2025 г. на главния секретар, за извършения преглед на оценката за полезния срок на годност и остатъчната стойност на амортизируемите дълготрайни материални и нематериални активи, налични по балансите на администрацията на Министерския съвет, Комплекс „Бояна“, Стопанство „Евксиноград“ и Обект „Шабла“ към 31.12.2024 г.</w:t>
      </w:r>
    </w:p>
    <w:p w14:paraId="229F8300" w14:textId="77777777" w:rsidR="008F0B56" w:rsidRPr="00067D67" w:rsidRDefault="008F0B56" w:rsidP="00067D67">
      <w:pPr>
        <w:numPr>
          <w:ilvl w:val="0"/>
          <w:numId w:val="2"/>
        </w:numPr>
        <w:jc w:val="both"/>
        <w:rPr>
          <w:sz w:val="22"/>
          <w:szCs w:val="22"/>
          <w:lang w:eastAsia="en-US"/>
        </w:rPr>
      </w:pPr>
      <w:r w:rsidRPr="00067D67">
        <w:rPr>
          <w:sz w:val="22"/>
          <w:szCs w:val="22"/>
          <w:lang w:eastAsia="en-US"/>
        </w:rPr>
        <w:t>Изготвена Заповед № Р-128/17.06.2025 г. за утвърждаване на протоколи за брак, съставени в изпълнение на Заповед № Р-220/05.12.2024 г. на министър-председателя.</w:t>
      </w:r>
    </w:p>
    <w:p w14:paraId="5C71661F" w14:textId="77777777" w:rsidR="008F0B56" w:rsidRPr="00067D67" w:rsidRDefault="008F0B56" w:rsidP="008F0B56">
      <w:pPr>
        <w:numPr>
          <w:ilvl w:val="0"/>
          <w:numId w:val="2"/>
        </w:numPr>
        <w:shd w:val="clear" w:color="auto" w:fill="FFFFFF"/>
        <w:jc w:val="both"/>
        <w:rPr>
          <w:sz w:val="22"/>
          <w:szCs w:val="22"/>
          <w:lang w:eastAsia="en-US"/>
        </w:rPr>
      </w:pPr>
      <w:r w:rsidRPr="00067D67">
        <w:rPr>
          <w:sz w:val="22"/>
          <w:szCs w:val="22"/>
          <w:lang w:eastAsia="en-US"/>
        </w:rPr>
        <w:t>Попълнен е въпросник за самооценка на системите за финансово управление и контрол в дирекция „Бюджет и финанси“ за 2024 г.</w:t>
      </w:r>
    </w:p>
    <w:p w14:paraId="0567AC46" w14:textId="77777777" w:rsidR="008F0B56" w:rsidRPr="00067D67" w:rsidRDefault="008F0B56" w:rsidP="008F0B56">
      <w:pPr>
        <w:numPr>
          <w:ilvl w:val="0"/>
          <w:numId w:val="2"/>
        </w:numPr>
        <w:shd w:val="clear" w:color="auto" w:fill="FFFFFF"/>
        <w:jc w:val="both"/>
        <w:rPr>
          <w:sz w:val="22"/>
          <w:szCs w:val="22"/>
          <w:lang w:eastAsia="en-US"/>
        </w:rPr>
      </w:pPr>
      <w:r w:rsidRPr="00067D67">
        <w:rPr>
          <w:sz w:val="22"/>
          <w:szCs w:val="22"/>
          <w:lang w:eastAsia="en-US"/>
        </w:rPr>
        <w:t>Вписана е информация за администрацията на Министерския съвет от компетентността на дирекция „Бюджет и финанси“ в Интегрираната информационна система на държавната администрация, модул „Годишен отчет“, главен раздел „Доклад за състоянието на администрацията“ за 2024 г.</w:t>
      </w:r>
    </w:p>
    <w:p w14:paraId="7548BA51" w14:textId="77777777" w:rsidR="008F0B56" w:rsidRPr="00067D67" w:rsidRDefault="008F0B56" w:rsidP="008F0B56">
      <w:pPr>
        <w:numPr>
          <w:ilvl w:val="0"/>
          <w:numId w:val="2"/>
        </w:numPr>
        <w:shd w:val="clear" w:color="auto" w:fill="FFFFFF"/>
        <w:jc w:val="both"/>
        <w:rPr>
          <w:sz w:val="22"/>
          <w:szCs w:val="22"/>
          <w:lang w:eastAsia="en-US"/>
        </w:rPr>
      </w:pPr>
      <w:r w:rsidRPr="00067D67">
        <w:rPr>
          <w:sz w:val="22"/>
          <w:szCs w:val="22"/>
          <w:lang w:eastAsia="en-US"/>
        </w:rPr>
        <w:t xml:space="preserve">Утвърдени са със Заповед № Р-81/01.04.2025 г. на министър-председателя за 2025 г.: Счетоводна политика на администрация на Министерския съвет и на обектите с представителна и социална </w:t>
      </w:r>
      <w:r w:rsidRPr="00067D67">
        <w:rPr>
          <w:sz w:val="22"/>
          <w:szCs w:val="22"/>
          <w:lang w:eastAsia="en-US"/>
        </w:rPr>
        <w:lastRenderedPageBreak/>
        <w:t>дейност, стопанисвани и управлявани от Министерския съвет; Индивидуален сметкоплан на Министерски съвет като първостепенен разпоредител с бюджет; Амортизационна политика на Министерски съвет като първостепенен разпоредител с бюджет и План-график за провеждане на годишна инвентаризация и преглед за обезценка на нефинансовите активи в Министерски съвет за периода от 2025 г. до 2029 г.</w:t>
      </w:r>
    </w:p>
    <w:p w14:paraId="02209ACF" w14:textId="77777777" w:rsidR="008F0B56" w:rsidRPr="00067D67" w:rsidRDefault="008F0B56" w:rsidP="008F0B56">
      <w:pPr>
        <w:numPr>
          <w:ilvl w:val="0"/>
          <w:numId w:val="2"/>
        </w:numPr>
        <w:shd w:val="clear" w:color="auto" w:fill="FFFFFF"/>
        <w:jc w:val="both"/>
        <w:rPr>
          <w:sz w:val="22"/>
          <w:szCs w:val="22"/>
          <w:lang w:eastAsia="en-US"/>
        </w:rPr>
      </w:pPr>
      <w:r w:rsidRPr="00067D67">
        <w:rPr>
          <w:sz w:val="22"/>
          <w:szCs w:val="22"/>
          <w:lang w:eastAsia="en-US"/>
        </w:rPr>
        <w:t>Изготвена е обобщена информация от Регистъра за поетите задължения, извършените разходи и/или на сключените договори, и/или на откритите процедури за възлагане на обществени поръчки през 2024 г. и предоставена на дирекция АПОУС, съгласно чл. 32, ал.4 от Вътрешните правила за управление на цикъла на обществените поръчки в администрацията на Министерския съвет.</w:t>
      </w:r>
    </w:p>
    <w:p w14:paraId="37DFA189" w14:textId="77777777" w:rsidR="008F0B56" w:rsidRPr="00067D67" w:rsidRDefault="008F0B56" w:rsidP="008F0B56">
      <w:pPr>
        <w:numPr>
          <w:ilvl w:val="0"/>
          <w:numId w:val="2"/>
        </w:numPr>
        <w:shd w:val="clear" w:color="auto" w:fill="FFFFFF"/>
        <w:jc w:val="both"/>
        <w:rPr>
          <w:sz w:val="22"/>
          <w:szCs w:val="22"/>
          <w:lang w:eastAsia="en-US"/>
        </w:rPr>
      </w:pPr>
      <w:r w:rsidRPr="00067D67">
        <w:rPr>
          <w:sz w:val="22"/>
          <w:szCs w:val="22"/>
          <w:lang w:eastAsia="en-US"/>
        </w:rPr>
        <w:t>Изготвена е обобщена декларация по чл. 47, ал. 1 от Наредбата за служебните командировки и специализации в чужбина за четвърто тримесечие на 2024 г. и първото тримесечие на 2025 г. и предоставена в дирекция „Икономическа и финансова политика“ на Министерство на финансите.</w:t>
      </w:r>
    </w:p>
    <w:p w14:paraId="1944D04D" w14:textId="77777777" w:rsidR="008F0B56" w:rsidRPr="002448E9" w:rsidRDefault="008F0B56" w:rsidP="008F0B56">
      <w:pPr>
        <w:numPr>
          <w:ilvl w:val="0"/>
          <w:numId w:val="2"/>
        </w:numPr>
        <w:shd w:val="clear" w:color="auto" w:fill="FFFFFF"/>
        <w:jc w:val="both"/>
        <w:rPr>
          <w:sz w:val="22"/>
          <w:szCs w:val="22"/>
          <w:lang w:eastAsia="en-US"/>
        </w:rPr>
      </w:pPr>
      <w:r w:rsidRPr="002448E9">
        <w:rPr>
          <w:sz w:val="22"/>
          <w:szCs w:val="22"/>
          <w:lang w:eastAsia="en-US"/>
        </w:rPr>
        <w:t>Представени са документи и информация на одитния екип от Сметна палата, в т.ч. изготвени от АМС и предоставени от второстепенните разпоредители с бюджет по бюджета на МС, във връзка с извършване на финансов одит на Годишния финансов отчет на Министерски съвет за 2024 г.</w:t>
      </w:r>
    </w:p>
    <w:p w14:paraId="7FF7E80B" w14:textId="77777777" w:rsidR="008F0B56" w:rsidRPr="002448E9" w:rsidRDefault="008F0B56" w:rsidP="008F0B56">
      <w:pPr>
        <w:numPr>
          <w:ilvl w:val="0"/>
          <w:numId w:val="2"/>
        </w:numPr>
        <w:shd w:val="clear" w:color="auto" w:fill="FFFFFF"/>
        <w:jc w:val="both"/>
        <w:rPr>
          <w:sz w:val="22"/>
          <w:szCs w:val="22"/>
          <w:lang w:eastAsia="en-US"/>
        </w:rPr>
      </w:pPr>
      <w:r w:rsidRPr="002448E9">
        <w:rPr>
          <w:sz w:val="22"/>
          <w:szCs w:val="22"/>
          <w:lang w:eastAsia="en-US"/>
        </w:rPr>
        <w:t xml:space="preserve">Изготвени са и представени в НАП и НСИ декларации, справки и информация за МС като юридическо лице, съгласно действащата нормативна уредба – в т.ч. справка по чл. 73 от ЗДДФЛ за 2024 г., месечни справки декларации по ЗДДС, месечни декларации образец № 1 „Данни за осигуреното лице“, статистически отчети за 2024 г. и за първо тримесечие на 2025 г. </w:t>
      </w:r>
    </w:p>
    <w:p w14:paraId="648DF889" w14:textId="77777777" w:rsidR="008F0B56" w:rsidRPr="002448E9" w:rsidRDefault="008F0B56" w:rsidP="008F0B56">
      <w:pPr>
        <w:numPr>
          <w:ilvl w:val="0"/>
          <w:numId w:val="2"/>
        </w:numPr>
        <w:shd w:val="clear" w:color="auto" w:fill="FFFFFF"/>
        <w:jc w:val="both"/>
        <w:rPr>
          <w:sz w:val="22"/>
          <w:szCs w:val="22"/>
          <w:lang w:eastAsia="en-US"/>
        </w:rPr>
      </w:pPr>
      <w:r w:rsidRPr="002448E9">
        <w:rPr>
          <w:sz w:val="22"/>
          <w:szCs w:val="22"/>
          <w:lang w:eastAsia="en-US"/>
        </w:rPr>
        <w:t>Съгласувани са вътрешноведомствени актове и правила, съобразно компетентността на дирекция „Бюджет и финанси“.</w:t>
      </w:r>
    </w:p>
    <w:p w14:paraId="35849A6E" w14:textId="77777777" w:rsidR="008F0B56" w:rsidRPr="002448E9" w:rsidRDefault="008F0B56" w:rsidP="008F0B56">
      <w:pPr>
        <w:numPr>
          <w:ilvl w:val="0"/>
          <w:numId w:val="2"/>
        </w:numPr>
        <w:shd w:val="clear" w:color="auto" w:fill="FFFFFF"/>
        <w:jc w:val="both"/>
        <w:rPr>
          <w:sz w:val="22"/>
          <w:szCs w:val="22"/>
          <w:lang w:eastAsia="en-US"/>
        </w:rPr>
      </w:pPr>
      <w:r w:rsidRPr="002448E9">
        <w:rPr>
          <w:sz w:val="22"/>
          <w:szCs w:val="22"/>
          <w:lang w:eastAsia="en-US"/>
        </w:rPr>
        <w:t>Съгласувани са договори, по които страна е АМС. Положен е втори подпис от директора на дирекция „Бюджет и финанси“.</w:t>
      </w:r>
    </w:p>
    <w:p w14:paraId="3B252EB3" w14:textId="77777777" w:rsidR="008F0B56" w:rsidRPr="002448E9" w:rsidRDefault="008F0B56" w:rsidP="008F0B56">
      <w:pPr>
        <w:numPr>
          <w:ilvl w:val="0"/>
          <w:numId w:val="2"/>
        </w:numPr>
        <w:shd w:val="clear" w:color="auto" w:fill="FFFFFF"/>
        <w:jc w:val="both"/>
        <w:rPr>
          <w:sz w:val="22"/>
          <w:szCs w:val="22"/>
          <w:lang w:eastAsia="en-US"/>
        </w:rPr>
      </w:pPr>
      <w:r w:rsidRPr="002448E9">
        <w:rPr>
          <w:sz w:val="22"/>
          <w:szCs w:val="22"/>
          <w:lang w:eastAsia="en-US"/>
        </w:rPr>
        <w:t>Съгласувани са докладни записки/мотивирани предложения до първостепенния разпоредител с бюджет, относно наличието на финансов ресурс, във връзка с необходимостта от поемането на ангажимент или възникването на задължения за разход.</w:t>
      </w:r>
    </w:p>
    <w:p w14:paraId="1C7D6079" w14:textId="77777777" w:rsidR="008F0B56" w:rsidRPr="002448E9" w:rsidRDefault="008F0B56" w:rsidP="008F0B56">
      <w:pPr>
        <w:numPr>
          <w:ilvl w:val="0"/>
          <w:numId w:val="2"/>
        </w:numPr>
        <w:shd w:val="clear" w:color="auto" w:fill="FFFFFF"/>
        <w:jc w:val="both"/>
        <w:rPr>
          <w:sz w:val="22"/>
          <w:szCs w:val="22"/>
          <w:lang w:eastAsia="en-US"/>
        </w:rPr>
      </w:pPr>
      <w:r w:rsidRPr="002448E9">
        <w:rPr>
          <w:sz w:val="22"/>
          <w:szCs w:val="22"/>
          <w:lang w:eastAsia="en-US"/>
        </w:rPr>
        <w:t>Осигурено е финансиране и разплащане на сключени договори от АМС.</w:t>
      </w:r>
    </w:p>
    <w:p w14:paraId="10EAB476" w14:textId="77777777" w:rsidR="008F0B56" w:rsidRPr="002448E9" w:rsidRDefault="008F0B56" w:rsidP="008F0B56">
      <w:pPr>
        <w:numPr>
          <w:ilvl w:val="0"/>
          <w:numId w:val="2"/>
        </w:numPr>
        <w:shd w:val="clear" w:color="auto" w:fill="FFFFFF"/>
        <w:jc w:val="both"/>
        <w:rPr>
          <w:sz w:val="22"/>
          <w:szCs w:val="22"/>
          <w:lang w:eastAsia="en-US"/>
        </w:rPr>
      </w:pPr>
      <w:r w:rsidRPr="002448E9">
        <w:rPr>
          <w:sz w:val="22"/>
          <w:szCs w:val="22"/>
          <w:lang w:eastAsia="en-US"/>
        </w:rPr>
        <w:t>Осъществен е предварителен контрол за законосъобразност преди поемане на задължения и извършване на разходи.</w:t>
      </w:r>
    </w:p>
    <w:p w14:paraId="2E2A5CB1" w14:textId="77777777" w:rsidR="00396C9E" w:rsidRDefault="00396C9E" w:rsidP="00396C9E">
      <w:pPr>
        <w:numPr>
          <w:ilvl w:val="0"/>
          <w:numId w:val="2"/>
        </w:numPr>
        <w:shd w:val="clear" w:color="auto" w:fill="FFFFFF"/>
        <w:ind w:left="357" w:hanging="357"/>
        <w:jc w:val="both"/>
        <w:rPr>
          <w:sz w:val="22"/>
          <w:szCs w:val="22"/>
          <w:lang w:eastAsia="en-US"/>
        </w:rPr>
      </w:pPr>
      <w:r w:rsidRPr="003C6741">
        <w:rPr>
          <w:sz w:val="22"/>
          <w:szCs w:val="22"/>
          <w:lang w:eastAsia="en-US"/>
        </w:rPr>
        <w:t>Осъществявана е кореспонденция с ВРБ по повод постъпили запитвания във връзка с възникнали въпроси и казуси, свързани с изпълнение на споразуменията за изпълнение на дейностите по текущо счетоводно отчитане от дирекция „Бюджет и финанси“ като споделени счетоводни услуги.</w:t>
      </w:r>
    </w:p>
    <w:p w14:paraId="2A32ABD9" w14:textId="77777777" w:rsidR="00396C9E" w:rsidRPr="003C6741" w:rsidRDefault="00396C9E" w:rsidP="00396C9E">
      <w:pPr>
        <w:numPr>
          <w:ilvl w:val="0"/>
          <w:numId w:val="2"/>
        </w:numPr>
        <w:shd w:val="clear" w:color="auto" w:fill="FFFFFF"/>
        <w:ind w:left="357" w:hanging="357"/>
        <w:jc w:val="both"/>
        <w:rPr>
          <w:sz w:val="22"/>
          <w:szCs w:val="22"/>
          <w:lang w:eastAsia="en-US"/>
        </w:rPr>
      </w:pPr>
      <w:r w:rsidRPr="006D7BA2">
        <w:rPr>
          <w:sz w:val="22"/>
          <w:szCs w:val="22"/>
          <w:lang w:eastAsia="en-US"/>
        </w:rPr>
        <w:t>Осъществявана е кореспонденция с Министерство на финансите във връзка с възникнали въпроси и казуси, свързани с</w:t>
      </w:r>
      <w:r w:rsidRPr="006D7BA2">
        <w:t xml:space="preserve"> </w:t>
      </w:r>
      <w:r w:rsidRPr="006D7BA2">
        <w:rPr>
          <w:sz w:val="22"/>
          <w:szCs w:val="22"/>
          <w:lang w:eastAsia="en-US"/>
        </w:rPr>
        <w:t>дейностите по текущо счетоводно отчитане</w:t>
      </w:r>
      <w:r>
        <w:rPr>
          <w:sz w:val="22"/>
          <w:szCs w:val="22"/>
          <w:lang w:eastAsia="en-US"/>
        </w:rPr>
        <w:t>.</w:t>
      </w:r>
    </w:p>
    <w:p w14:paraId="74F76A7D" w14:textId="77777777" w:rsidR="00396C9E" w:rsidRPr="003C6741" w:rsidRDefault="00396C9E" w:rsidP="00396C9E">
      <w:pPr>
        <w:numPr>
          <w:ilvl w:val="0"/>
          <w:numId w:val="2"/>
        </w:numPr>
        <w:shd w:val="clear" w:color="auto" w:fill="FFFFFF"/>
        <w:ind w:left="357" w:hanging="357"/>
        <w:jc w:val="both"/>
        <w:rPr>
          <w:sz w:val="22"/>
          <w:szCs w:val="22"/>
          <w:lang w:eastAsia="en-US"/>
        </w:rPr>
      </w:pPr>
      <w:r w:rsidRPr="003C6741">
        <w:rPr>
          <w:sz w:val="22"/>
          <w:szCs w:val="22"/>
          <w:lang w:eastAsia="en-US"/>
        </w:rPr>
        <w:t xml:space="preserve">Осъществявана е кореспонденция с Министерство на финансите </w:t>
      </w:r>
      <w:r w:rsidRPr="003C6741">
        <w:rPr>
          <w:sz w:val="22"/>
          <w:szCs w:val="22"/>
        </w:rPr>
        <w:t xml:space="preserve">във връзка с актуализирана и утвърдена със Заповед № ЗМФ-151 от 15.02.2023 г. на главния секретар на Министерството на финансите „Процедура за управление на потребителските профили в SAP системата на Министерството на финансите – версия 7.0“, съгласно която за подаване на искане за създаване, промяна или изтриване на потребителски </w:t>
      </w:r>
      <w:r w:rsidRPr="003C6741">
        <w:rPr>
          <w:rFonts w:cs="Arial"/>
          <w:sz w:val="22"/>
          <w:szCs w:val="22"/>
        </w:rPr>
        <w:t xml:space="preserve">профил в SAP </w:t>
      </w:r>
      <w:r w:rsidRPr="003C6741">
        <w:rPr>
          <w:sz w:val="22"/>
          <w:szCs w:val="22"/>
          <w:lang w:eastAsia="en-US"/>
        </w:rPr>
        <w:t>на потребителите от първостепенната система на Министерския съвет</w:t>
      </w:r>
      <w:r w:rsidRPr="003C6741">
        <w:rPr>
          <w:sz w:val="22"/>
          <w:szCs w:val="22"/>
        </w:rPr>
        <w:t xml:space="preserve"> е необходимо да се изпрати писмо </w:t>
      </w:r>
      <w:r w:rsidRPr="003C6741">
        <w:rPr>
          <w:sz w:val="22"/>
          <w:szCs w:val="22"/>
          <w:lang w:val="en-US"/>
        </w:rPr>
        <w:t>c</w:t>
      </w:r>
      <w:r w:rsidRPr="003C6741">
        <w:rPr>
          <w:sz w:val="22"/>
          <w:szCs w:val="22"/>
        </w:rPr>
        <w:t xml:space="preserve"> приложена попълнена и подписана формата на образец за искане</w:t>
      </w:r>
      <w:r w:rsidRPr="003C6741">
        <w:rPr>
          <w:sz w:val="22"/>
          <w:szCs w:val="22"/>
          <w:lang w:eastAsia="en-US"/>
        </w:rPr>
        <w:t xml:space="preserve"> на достъп.</w:t>
      </w:r>
    </w:p>
    <w:p w14:paraId="52BD2243" w14:textId="77777777" w:rsidR="00396C9E" w:rsidRPr="003C6741" w:rsidRDefault="00396C9E" w:rsidP="00396C9E">
      <w:pPr>
        <w:numPr>
          <w:ilvl w:val="0"/>
          <w:numId w:val="2"/>
        </w:numPr>
        <w:shd w:val="clear" w:color="auto" w:fill="FFFFFF"/>
        <w:ind w:left="357" w:hanging="357"/>
        <w:jc w:val="both"/>
        <w:rPr>
          <w:sz w:val="22"/>
          <w:szCs w:val="22"/>
          <w:lang w:eastAsia="en-US"/>
        </w:rPr>
      </w:pPr>
      <w:r w:rsidRPr="003C6741">
        <w:rPr>
          <w:sz w:val="22"/>
          <w:szCs w:val="22"/>
          <w:lang w:eastAsia="en-US"/>
        </w:rPr>
        <w:t xml:space="preserve">Съставени са счетоводни записвания за отразяване на възникналите стопански операции  във ВРБ, чието текущо счетоводно отчитане се осъществява като споделена услуга от АМС, въз основа на постъпили документи, чрез </w:t>
      </w:r>
      <w:proofErr w:type="spellStart"/>
      <w:r w:rsidRPr="003C6741">
        <w:rPr>
          <w:sz w:val="22"/>
          <w:szCs w:val="22"/>
          <w:lang w:eastAsia="en-US"/>
        </w:rPr>
        <w:t>Web</w:t>
      </w:r>
      <w:proofErr w:type="spellEnd"/>
      <w:r w:rsidRPr="003C6741">
        <w:rPr>
          <w:sz w:val="22"/>
          <w:szCs w:val="22"/>
          <w:lang w:eastAsia="en-US"/>
        </w:rPr>
        <w:t xml:space="preserve"> базирана Платформа за обмен и съхранение на документи (Платформата), при спазване на задължителните основни принципи, определени от Закона за счетоводството; указанията на Министерство на финансите; Счетоводната политика и Индивидуалния сметкоплан на Министерския съвет, и Амортизационната политика на МС.</w:t>
      </w:r>
    </w:p>
    <w:p w14:paraId="3CD85110" w14:textId="77777777" w:rsidR="00396C9E" w:rsidRPr="003C6741" w:rsidRDefault="00396C9E" w:rsidP="00396C9E">
      <w:pPr>
        <w:numPr>
          <w:ilvl w:val="0"/>
          <w:numId w:val="2"/>
        </w:numPr>
        <w:shd w:val="clear" w:color="auto" w:fill="FFFFFF"/>
        <w:ind w:left="357" w:hanging="357"/>
        <w:jc w:val="both"/>
        <w:rPr>
          <w:sz w:val="22"/>
          <w:szCs w:val="22"/>
          <w:lang w:eastAsia="en-US"/>
        </w:rPr>
      </w:pPr>
      <w:r w:rsidRPr="003C6741">
        <w:rPr>
          <w:sz w:val="22"/>
          <w:szCs w:val="22"/>
          <w:lang w:eastAsia="en-US"/>
        </w:rPr>
        <w:lastRenderedPageBreak/>
        <w:t>Обработени са постъпващите чрез Платформата документи, относно изчисляването на месечното възнаграждение на служителите на ВРБ, чието текущо счетоводно отчитане се осъществява като споделена услуга от АМС.</w:t>
      </w:r>
    </w:p>
    <w:p w14:paraId="51AA9BCB" w14:textId="77777777" w:rsidR="00396C9E" w:rsidRPr="003C6741" w:rsidRDefault="00396C9E" w:rsidP="00396C9E">
      <w:pPr>
        <w:numPr>
          <w:ilvl w:val="0"/>
          <w:numId w:val="2"/>
        </w:numPr>
        <w:shd w:val="clear" w:color="auto" w:fill="FFFFFF"/>
        <w:ind w:left="357" w:hanging="357"/>
        <w:jc w:val="both"/>
        <w:rPr>
          <w:sz w:val="22"/>
          <w:szCs w:val="22"/>
          <w:lang w:eastAsia="en-US"/>
        </w:rPr>
      </w:pPr>
      <w:r w:rsidRPr="003C6741">
        <w:rPr>
          <w:sz w:val="22"/>
          <w:szCs w:val="22"/>
          <w:lang w:eastAsia="en-US"/>
        </w:rPr>
        <w:t>Изготвени са разплащателни ведомости и рекапитулации за работна заплата на служителите, както и на лицата по извънтрудови правоотношения, получили доход, облаган по реда на ЗДДФЛ за ВРБ, чието текущо счетоводно отчитане се осъществява като споделена услуга от АМС.</w:t>
      </w:r>
    </w:p>
    <w:p w14:paraId="1408C262" w14:textId="765DD78D" w:rsidR="00D55D25" w:rsidRPr="00C13736" w:rsidRDefault="00D55D25" w:rsidP="00C13736">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C13736">
        <w:rPr>
          <w:b/>
          <w:bCs/>
          <w:i/>
          <w:iCs/>
          <w:color w:val="215E99" w:themeColor="text2" w:themeTint="BF"/>
          <w:sz w:val="22"/>
          <w:szCs w:val="22"/>
        </w:rPr>
        <w:t>Организационно-техническа подготовка на общи избори за държавни и местни органи на власт</w:t>
      </w:r>
    </w:p>
    <w:p w14:paraId="2F15D6A3" w14:textId="77777777" w:rsidR="00D55D25" w:rsidRPr="00667B09" w:rsidRDefault="00D55D25" w:rsidP="00534F2B">
      <w:pPr>
        <w:shd w:val="clear" w:color="auto" w:fill="FFFFFF" w:themeFill="background1"/>
        <w:ind w:firstLine="426"/>
        <w:jc w:val="both"/>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31DF75DC" w14:textId="77777777" w:rsidR="00354DAC" w:rsidRPr="00354DAC" w:rsidRDefault="00354DAC" w:rsidP="00C13736">
      <w:pPr>
        <w:shd w:val="clear" w:color="auto" w:fill="FFFFFF" w:themeFill="background1"/>
        <w:ind w:firstLine="426"/>
        <w:jc w:val="both"/>
        <w:rPr>
          <w:bCs/>
          <w:sz w:val="22"/>
          <w:szCs w:val="22"/>
        </w:rPr>
      </w:pPr>
      <w:r w:rsidRPr="00354DAC">
        <w:rPr>
          <w:bCs/>
          <w:sz w:val="22"/>
          <w:szCs w:val="22"/>
        </w:rPr>
        <w:t>Крайният резултат от предоставяния продукт/услуга е финансово осигурени дейности и мероприятия за подготовката и произвеждането на избори.</w:t>
      </w:r>
    </w:p>
    <w:p w14:paraId="64B942F3" w14:textId="77777777" w:rsidR="00354DAC" w:rsidRPr="00354DAC" w:rsidRDefault="00354DAC" w:rsidP="00C13736">
      <w:pPr>
        <w:shd w:val="clear" w:color="auto" w:fill="FFFFFF" w:themeFill="background1"/>
        <w:ind w:firstLine="426"/>
        <w:jc w:val="both"/>
        <w:rPr>
          <w:bCs/>
          <w:sz w:val="22"/>
          <w:szCs w:val="22"/>
        </w:rPr>
      </w:pPr>
      <w:r w:rsidRPr="00354DAC">
        <w:rPr>
          <w:bCs/>
          <w:sz w:val="22"/>
          <w:szCs w:val="22"/>
        </w:rPr>
        <w:t>Съгласно Изборния кодекс, по утвърдена от МС план-сметка, за организационно-техническа подготовка на общи избори за държавни и местни органи на власт по бюджета на МС се финансират разходи за:</w:t>
      </w:r>
    </w:p>
    <w:p w14:paraId="324A4FCD" w14:textId="4593F8ED" w:rsidR="00354DAC" w:rsidRPr="00EF32C3" w:rsidRDefault="00354DAC" w:rsidP="00C13736">
      <w:pPr>
        <w:pStyle w:val="ListParagraph"/>
        <w:numPr>
          <w:ilvl w:val="0"/>
          <w:numId w:val="65"/>
        </w:numPr>
        <w:shd w:val="clear" w:color="auto" w:fill="FFFFFF" w:themeFill="background1"/>
        <w:ind w:left="0" w:firstLine="426"/>
        <w:jc w:val="both"/>
        <w:rPr>
          <w:bCs/>
          <w:sz w:val="22"/>
          <w:szCs w:val="22"/>
        </w:rPr>
      </w:pPr>
      <w:r w:rsidRPr="00EF32C3">
        <w:rPr>
          <w:bCs/>
          <w:sz w:val="22"/>
          <w:szCs w:val="22"/>
        </w:rPr>
        <w:t>За изработка и доставка на изборни книжа и материали, техника и др. (логистично осигуряване на изборите);</w:t>
      </w:r>
    </w:p>
    <w:p w14:paraId="67E4380C" w14:textId="211909F9" w:rsidR="00354DAC" w:rsidRPr="00354DAC" w:rsidRDefault="00354DAC" w:rsidP="00C13736">
      <w:pPr>
        <w:pStyle w:val="ListParagraph"/>
        <w:numPr>
          <w:ilvl w:val="0"/>
          <w:numId w:val="65"/>
        </w:numPr>
        <w:shd w:val="clear" w:color="auto" w:fill="FFFFFF" w:themeFill="background1"/>
        <w:ind w:left="0" w:firstLine="426"/>
        <w:jc w:val="both"/>
        <w:rPr>
          <w:bCs/>
          <w:sz w:val="22"/>
          <w:szCs w:val="22"/>
        </w:rPr>
      </w:pPr>
      <w:r w:rsidRPr="00354DAC">
        <w:rPr>
          <w:bCs/>
          <w:sz w:val="22"/>
          <w:szCs w:val="22"/>
        </w:rPr>
        <w:t>За областните администрации за организационно-техническа подготовка (логистично осигуряване на изборите);</w:t>
      </w:r>
    </w:p>
    <w:p w14:paraId="35AF3897" w14:textId="773BD209" w:rsidR="00AB46BA" w:rsidRDefault="00354DAC" w:rsidP="00C13736">
      <w:pPr>
        <w:shd w:val="clear" w:color="auto" w:fill="FFFFFF" w:themeFill="background1"/>
        <w:ind w:firstLine="426"/>
        <w:jc w:val="both"/>
        <w:rPr>
          <w:bCs/>
          <w:sz w:val="22"/>
          <w:szCs w:val="22"/>
        </w:rPr>
      </w:pPr>
      <w:r w:rsidRPr="00354DAC">
        <w:rPr>
          <w:bCs/>
          <w:sz w:val="22"/>
          <w:szCs w:val="22"/>
        </w:rPr>
        <w:t>През отчетния период не са провеждани избори за държавни и местни органи на власт.</w:t>
      </w:r>
    </w:p>
    <w:p w14:paraId="0B6B3B55" w14:textId="77777777" w:rsidR="00F44D89" w:rsidRPr="00C13736" w:rsidRDefault="00F44D89" w:rsidP="00C13736">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C13736">
        <w:rPr>
          <w:b/>
          <w:bCs/>
          <w:i/>
          <w:iCs/>
          <w:color w:val="215E99" w:themeColor="text2" w:themeTint="BF"/>
          <w:sz w:val="22"/>
          <w:szCs w:val="22"/>
        </w:rPr>
        <w:t>Вътрешен одит</w:t>
      </w:r>
    </w:p>
    <w:p w14:paraId="2BCFE041" w14:textId="77777777" w:rsidR="00AA436E" w:rsidRPr="00667B09" w:rsidRDefault="00AA436E" w:rsidP="00534F2B">
      <w:pPr>
        <w:shd w:val="clear" w:color="auto" w:fill="FFFFFF" w:themeFill="background1"/>
        <w:ind w:firstLine="426"/>
        <w:jc w:val="both"/>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589F677F" w14:textId="77777777" w:rsidR="00BF4032" w:rsidRPr="00BF4032" w:rsidRDefault="00BF4032" w:rsidP="00534F2B">
      <w:pPr>
        <w:shd w:val="clear" w:color="auto" w:fill="FFFFFF" w:themeFill="background1"/>
        <w:ind w:firstLine="426"/>
        <w:jc w:val="both"/>
        <w:rPr>
          <w:sz w:val="22"/>
          <w:szCs w:val="22"/>
          <w:lang w:eastAsia="en-US"/>
        </w:rPr>
      </w:pPr>
      <w:r w:rsidRPr="00BF4032">
        <w:rPr>
          <w:sz w:val="22"/>
          <w:szCs w:val="22"/>
          <w:lang w:eastAsia="en-US"/>
        </w:rPr>
        <w:t xml:space="preserve">Дейността на Звеното за вътрешен одит в администрацията на Министерския съвет се извършва на основание чл. 61 от Устройствения правилник на Министерския съвет и на неговата администрация, приет с Постановление № 229 на Министерския съвет от 2009 г. и се осъществява съгласно изискванията на Закона за вътрешния одит в публичния сектор, Стандарти за вътрешен одит, Етичния кодекс на вътрешните одитори и Статута на Звеното за вътрешен одит. </w:t>
      </w:r>
    </w:p>
    <w:p w14:paraId="765265B3" w14:textId="77777777" w:rsidR="00BF4032" w:rsidRPr="00D7313E" w:rsidRDefault="00BF4032" w:rsidP="00534F2B">
      <w:pPr>
        <w:shd w:val="clear" w:color="auto" w:fill="FFFFFF" w:themeFill="background1"/>
        <w:ind w:firstLine="426"/>
        <w:jc w:val="both"/>
        <w:rPr>
          <w:i/>
          <w:iCs/>
          <w:sz w:val="22"/>
          <w:szCs w:val="22"/>
          <w:lang w:eastAsia="en-US"/>
        </w:rPr>
      </w:pPr>
      <w:r w:rsidRPr="00D7313E">
        <w:rPr>
          <w:i/>
          <w:iCs/>
          <w:sz w:val="22"/>
          <w:szCs w:val="22"/>
          <w:lang w:eastAsia="en-US"/>
        </w:rPr>
        <w:t>От Звеното за вътрешен одит са изпълнени следните дейности за предоставяне на продукта/услугата за периода от 01.01.2025 г. до 30.06.2025 г.:</w:t>
      </w:r>
    </w:p>
    <w:p w14:paraId="521479D0" w14:textId="732074B6" w:rsidR="00BF4032" w:rsidRPr="00CC006C" w:rsidRDefault="00BF4032" w:rsidP="00534F2B">
      <w:pPr>
        <w:numPr>
          <w:ilvl w:val="0"/>
          <w:numId w:val="5"/>
        </w:numPr>
        <w:shd w:val="clear" w:color="auto" w:fill="FFFFFF" w:themeFill="background1"/>
        <w:tabs>
          <w:tab w:val="clear" w:pos="360"/>
          <w:tab w:val="num" w:pos="142"/>
        </w:tabs>
        <w:ind w:left="0" w:firstLine="426"/>
        <w:jc w:val="both"/>
        <w:rPr>
          <w:sz w:val="22"/>
          <w:szCs w:val="22"/>
        </w:rPr>
      </w:pPr>
      <w:r w:rsidRPr="00CC006C">
        <w:rPr>
          <w:sz w:val="22"/>
          <w:szCs w:val="22"/>
        </w:rPr>
        <w:t xml:space="preserve">Съгласно разпоредбите на чл. 40 от Закона за вътрешния одит в публичния сектор от ръководителят на Звеното за вътрешен одит е изготвен Годишен доклад за дейността на Звеното за вътрешен одит в администрацията на Министерския съвет за 2024 г. Същият е утвърден от </w:t>
      </w:r>
      <w:r w:rsidR="00A369AC">
        <w:rPr>
          <w:sz w:val="22"/>
          <w:szCs w:val="22"/>
        </w:rPr>
        <w:br/>
      </w:r>
      <w:r w:rsidRPr="00CC006C">
        <w:rPr>
          <w:sz w:val="22"/>
          <w:szCs w:val="22"/>
        </w:rPr>
        <w:t>министър-председателя. Доклада съдържа: изпълнените одитни ангажименти; основните изводи за функционирането на системите за финансово управление и контрол в организацията и дадените препоръки за подобряване на дейността на организацията; действията, предприети за изпълнение на препоръките; случаите на нарушения на нормативни актове, наличието на индикатори за измама и предприетите действия от ръководителя на вътрешния одит; предложения за развитие на дейността по вътрешен одит. Годишният доклад е изпратен на министъра на финансите в законоустановения срок, съгласно разпоредбите на чл. 40, ал. 5 от Закона за вътрешния одит в публичния сектор.</w:t>
      </w:r>
    </w:p>
    <w:p w14:paraId="76920F14" w14:textId="592DACEA" w:rsidR="00BF4032" w:rsidRPr="00BF4032" w:rsidRDefault="00BF4032" w:rsidP="00534F2B">
      <w:pPr>
        <w:numPr>
          <w:ilvl w:val="0"/>
          <w:numId w:val="5"/>
        </w:numPr>
        <w:shd w:val="clear" w:color="auto" w:fill="FFFFFF" w:themeFill="background1"/>
        <w:tabs>
          <w:tab w:val="clear" w:pos="360"/>
          <w:tab w:val="num" w:pos="142"/>
        </w:tabs>
        <w:ind w:left="0" w:firstLine="426"/>
        <w:jc w:val="both"/>
        <w:rPr>
          <w:sz w:val="22"/>
          <w:szCs w:val="22"/>
        </w:rPr>
      </w:pPr>
      <w:r w:rsidRPr="00BF4032">
        <w:rPr>
          <w:sz w:val="22"/>
          <w:szCs w:val="22"/>
        </w:rPr>
        <w:t xml:space="preserve">Изготвено е становище от ръководителят на Звеното за вътрешен одит, относно съответствието на годишния доклад за състоянието на системите за финансово управление и контрол и въпросника за самооценка на системите за финансово управление и контрол в Министерския съвет за 2024 г. с резултатите от извършената одитна дейност през 2024 г., съгласно изискванията на чл. 9, ал. 8 от Наредбата за формата, съдържанието, сроковете, реда и начина за представяне на информация по чл. 8, ал. 1 от Закона за финансовото управление и контрол в публичния сектор. </w:t>
      </w:r>
    </w:p>
    <w:p w14:paraId="5C596F65" w14:textId="781D8142" w:rsidR="00BF4032" w:rsidRPr="00BF4032" w:rsidRDefault="00BF4032" w:rsidP="00534F2B">
      <w:pPr>
        <w:numPr>
          <w:ilvl w:val="0"/>
          <w:numId w:val="5"/>
        </w:numPr>
        <w:shd w:val="clear" w:color="auto" w:fill="FFFFFF" w:themeFill="background1"/>
        <w:tabs>
          <w:tab w:val="clear" w:pos="360"/>
          <w:tab w:val="num" w:pos="142"/>
        </w:tabs>
        <w:ind w:left="0" w:firstLine="426"/>
        <w:jc w:val="both"/>
        <w:rPr>
          <w:sz w:val="22"/>
          <w:szCs w:val="22"/>
        </w:rPr>
      </w:pPr>
      <w:r w:rsidRPr="00BF4032">
        <w:rPr>
          <w:sz w:val="22"/>
          <w:szCs w:val="22"/>
        </w:rPr>
        <w:t xml:space="preserve">Извършени са дейности по консултиране на административните звена в администрацията на Министерския съвет при изготвяне на риск-регистрите им за 2025 г., отчетите за управление на </w:t>
      </w:r>
      <w:r w:rsidRPr="00BF4032">
        <w:rPr>
          <w:sz w:val="22"/>
          <w:szCs w:val="22"/>
        </w:rPr>
        <w:lastRenderedPageBreak/>
        <w:t xml:space="preserve">рисковете през 2024 г., както и изготвянето на риск-регистър на значимите рискове в администрацията на Министерския съвет през 2025 г. </w:t>
      </w:r>
    </w:p>
    <w:p w14:paraId="6E135CB7" w14:textId="0F4673CD" w:rsidR="00BF4032" w:rsidRPr="00BF4032" w:rsidRDefault="00BF4032" w:rsidP="00534F2B">
      <w:pPr>
        <w:numPr>
          <w:ilvl w:val="0"/>
          <w:numId w:val="5"/>
        </w:numPr>
        <w:shd w:val="clear" w:color="auto" w:fill="FFFFFF" w:themeFill="background1"/>
        <w:tabs>
          <w:tab w:val="clear" w:pos="360"/>
          <w:tab w:val="num" w:pos="142"/>
        </w:tabs>
        <w:ind w:left="0" w:firstLine="426"/>
        <w:jc w:val="both"/>
        <w:rPr>
          <w:sz w:val="22"/>
          <w:szCs w:val="22"/>
        </w:rPr>
      </w:pPr>
      <w:r w:rsidRPr="00BF4032">
        <w:rPr>
          <w:sz w:val="22"/>
          <w:szCs w:val="22"/>
        </w:rPr>
        <w:t xml:space="preserve">Изпълнен е одитен ангажимент за увереност в областна администрация на област Ямбол </w:t>
      </w:r>
      <w:r w:rsidR="00080CE6">
        <w:rPr>
          <w:sz w:val="22"/>
          <w:szCs w:val="22"/>
        </w:rPr>
        <w:t>–</w:t>
      </w:r>
      <w:r w:rsidRPr="00BF4032">
        <w:rPr>
          <w:sz w:val="22"/>
          <w:szCs w:val="22"/>
        </w:rPr>
        <w:t xml:space="preserve"> второстепенен разпоредител с бюджет по бюджета на Министерския съвет, възложен със Заповед № Р-196 от 22.10.2024 г. на министър-председателя. За одитния ангажимент е изготвен доклад съдържащ резултати от проверките </w:t>
      </w:r>
      <w:r w:rsidR="00080CE6">
        <w:rPr>
          <w:sz w:val="22"/>
          <w:szCs w:val="22"/>
        </w:rPr>
        <w:t>–</w:t>
      </w:r>
      <w:r w:rsidRPr="00BF4032">
        <w:rPr>
          <w:sz w:val="22"/>
          <w:szCs w:val="22"/>
        </w:rPr>
        <w:t xml:space="preserve"> констатации, изводи и препоръки и същият е одобрен от министър-председателя.</w:t>
      </w:r>
    </w:p>
    <w:p w14:paraId="77D8CF50" w14:textId="183E1BDC" w:rsidR="00BF4032" w:rsidRPr="00BF4032" w:rsidRDefault="00BF4032" w:rsidP="00534F2B">
      <w:pPr>
        <w:numPr>
          <w:ilvl w:val="0"/>
          <w:numId w:val="5"/>
        </w:numPr>
        <w:shd w:val="clear" w:color="auto" w:fill="FFFFFF" w:themeFill="background1"/>
        <w:tabs>
          <w:tab w:val="clear" w:pos="360"/>
          <w:tab w:val="num" w:pos="142"/>
        </w:tabs>
        <w:ind w:left="0" w:firstLine="426"/>
        <w:jc w:val="both"/>
        <w:rPr>
          <w:sz w:val="22"/>
          <w:szCs w:val="22"/>
        </w:rPr>
      </w:pPr>
      <w:r w:rsidRPr="00BF4032">
        <w:rPr>
          <w:sz w:val="22"/>
          <w:szCs w:val="22"/>
        </w:rPr>
        <w:t xml:space="preserve">Изпълнен е одитен ангажимент за увереност в областна администрация на област Враца </w:t>
      </w:r>
      <w:r w:rsidR="00080CE6">
        <w:rPr>
          <w:sz w:val="22"/>
          <w:szCs w:val="22"/>
        </w:rPr>
        <w:t>–</w:t>
      </w:r>
      <w:r w:rsidRPr="00BF4032">
        <w:rPr>
          <w:sz w:val="22"/>
          <w:szCs w:val="22"/>
        </w:rPr>
        <w:t xml:space="preserve"> второстепенен разпоредител с бюджет по бюджета на Министерския съвет, възложен със Заповед № Р-197 от 22.10.2024 г. на министър-председателя. За одитния ангажимент е изготвен доклад съдържащ резултати от проверките </w:t>
      </w:r>
      <w:r w:rsidR="00080CE6">
        <w:rPr>
          <w:sz w:val="22"/>
          <w:szCs w:val="22"/>
        </w:rPr>
        <w:t>–</w:t>
      </w:r>
      <w:r w:rsidRPr="00BF4032">
        <w:rPr>
          <w:sz w:val="22"/>
          <w:szCs w:val="22"/>
        </w:rPr>
        <w:t xml:space="preserve"> констатации, изводи и препоръки и същият е одобрен от министър-председателя.</w:t>
      </w:r>
    </w:p>
    <w:p w14:paraId="53963390" w14:textId="3F4C5B3D" w:rsidR="00BF4032" w:rsidRPr="00BF4032" w:rsidRDefault="00BF4032" w:rsidP="00534F2B">
      <w:pPr>
        <w:numPr>
          <w:ilvl w:val="0"/>
          <w:numId w:val="5"/>
        </w:numPr>
        <w:shd w:val="clear" w:color="auto" w:fill="FFFFFF" w:themeFill="background1"/>
        <w:tabs>
          <w:tab w:val="clear" w:pos="360"/>
          <w:tab w:val="num" w:pos="142"/>
        </w:tabs>
        <w:ind w:left="0" w:firstLine="426"/>
        <w:jc w:val="both"/>
        <w:rPr>
          <w:sz w:val="22"/>
          <w:szCs w:val="22"/>
        </w:rPr>
      </w:pPr>
      <w:r w:rsidRPr="00BF4032">
        <w:rPr>
          <w:sz w:val="22"/>
          <w:szCs w:val="22"/>
        </w:rPr>
        <w:t xml:space="preserve">Изпълнен е одитен ангажимент за увереност в областна администрация на област Русе </w:t>
      </w:r>
      <w:r w:rsidR="00080CE6">
        <w:rPr>
          <w:sz w:val="22"/>
          <w:szCs w:val="22"/>
        </w:rPr>
        <w:t>–</w:t>
      </w:r>
      <w:r w:rsidRPr="00BF4032">
        <w:rPr>
          <w:sz w:val="22"/>
          <w:szCs w:val="22"/>
        </w:rPr>
        <w:t xml:space="preserve"> второстепенен разпоредител с бюджет по бюджета на Министерския съвет, възложен със Заповед № Р-20 от 31.01.2025 г. на министър-председателя. За одитния ангажимент е изготвен доклад съдържащ резултати от проверките </w:t>
      </w:r>
      <w:r w:rsidR="00080CE6">
        <w:rPr>
          <w:sz w:val="22"/>
          <w:szCs w:val="22"/>
        </w:rPr>
        <w:t>–</w:t>
      </w:r>
      <w:r w:rsidRPr="00BF4032">
        <w:rPr>
          <w:sz w:val="22"/>
          <w:szCs w:val="22"/>
        </w:rPr>
        <w:t xml:space="preserve"> констатации, изводи и препоръки и същият е одобрен от министър-председателя.</w:t>
      </w:r>
    </w:p>
    <w:p w14:paraId="4444ECC2" w14:textId="24DEB569" w:rsidR="00BF4032" w:rsidRPr="00BF4032" w:rsidRDefault="00BF4032" w:rsidP="00534F2B">
      <w:pPr>
        <w:numPr>
          <w:ilvl w:val="0"/>
          <w:numId w:val="5"/>
        </w:numPr>
        <w:shd w:val="clear" w:color="auto" w:fill="FFFFFF" w:themeFill="background1"/>
        <w:tabs>
          <w:tab w:val="clear" w:pos="360"/>
          <w:tab w:val="num" w:pos="142"/>
        </w:tabs>
        <w:ind w:left="0" w:firstLine="426"/>
        <w:jc w:val="both"/>
        <w:rPr>
          <w:sz w:val="22"/>
          <w:szCs w:val="22"/>
        </w:rPr>
      </w:pPr>
      <w:r w:rsidRPr="00BF4032">
        <w:rPr>
          <w:sz w:val="22"/>
          <w:szCs w:val="22"/>
        </w:rPr>
        <w:t>Изпълнен е извънпланов одитен ангажимент за консултиране в Държавна агенция за бежанците при Министерския съвет, възложен със Заповед № Р-30 от 17.02.2025 г. За одитния ангажимент е изготвен доклад съдържащ изразеното одиторско мнение и същият е одобрен от министър-председателя.</w:t>
      </w:r>
    </w:p>
    <w:p w14:paraId="233BB954" w14:textId="1B441DD3" w:rsidR="00BF4032" w:rsidRPr="00BF4032" w:rsidRDefault="00BF4032" w:rsidP="00534F2B">
      <w:pPr>
        <w:numPr>
          <w:ilvl w:val="0"/>
          <w:numId w:val="5"/>
        </w:numPr>
        <w:shd w:val="clear" w:color="auto" w:fill="FFFFFF" w:themeFill="background1"/>
        <w:tabs>
          <w:tab w:val="clear" w:pos="360"/>
          <w:tab w:val="num" w:pos="142"/>
        </w:tabs>
        <w:ind w:left="0" w:firstLine="426"/>
        <w:jc w:val="both"/>
        <w:rPr>
          <w:sz w:val="22"/>
          <w:szCs w:val="22"/>
        </w:rPr>
      </w:pPr>
      <w:r w:rsidRPr="00BF4032">
        <w:rPr>
          <w:sz w:val="22"/>
          <w:szCs w:val="22"/>
        </w:rPr>
        <w:t>Изпълнен е извънпланов одитен ангажимент за консултиране в дирекция „Координация и модернизация на администрацията“ в администрацията на Министерския съвет, възложен със Заповед № Р-54 от 13.03.2025 г. За одитния ангажимент е изготвен доклад съдържащ изразеното одиторско мнение и същият е одобрен от министър-председателя.</w:t>
      </w:r>
    </w:p>
    <w:p w14:paraId="32E94290" w14:textId="5B90D8E2" w:rsidR="00121CB4" w:rsidRDefault="00BF4032" w:rsidP="00534F2B">
      <w:pPr>
        <w:numPr>
          <w:ilvl w:val="0"/>
          <w:numId w:val="5"/>
        </w:numPr>
        <w:shd w:val="clear" w:color="auto" w:fill="FFFFFF" w:themeFill="background1"/>
        <w:tabs>
          <w:tab w:val="clear" w:pos="360"/>
          <w:tab w:val="num" w:pos="142"/>
        </w:tabs>
        <w:ind w:left="0" w:firstLine="426"/>
        <w:jc w:val="both"/>
        <w:rPr>
          <w:sz w:val="22"/>
          <w:szCs w:val="22"/>
        </w:rPr>
      </w:pPr>
      <w:r w:rsidRPr="00BF4032">
        <w:rPr>
          <w:sz w:val="22"/>
          <w:szCs w:val="22"/>
        </w:rPr>
        <w:t xml:space="preserve">Изпълнен е одитен ангажимент за увереност в областна администрация на област Сливен </w:t>
      </w:r>
      <w:r w:rsidR="00D7313E">
        <w:rPr>
          <w:sz w:val="22"/>
          <w:szCs w:val="22"/>
        </w:rPr>
        <w:t>–</w:t>
      </w:r>
      <w:r w:rsidRPr="00BF4032">
        <w:rPr>
          <w:sz w:val="22"/>
          <w:szCs w:val="22"/>
        </w:rPr>
        <w:t xml:space="preserve"> второстепенен разпоредител с бюджет по бюджета на Министерския съвет, възложен със Заповед № Р-92 от 25.04. 2025 г. на министър-председателя. За одитния ангажимент е изготвен доклад съдържащ резултати от проверките </w:t>
      </w:r>
      <w:r w:rsidR="00D7313E">
        <w:rPr>
          <w:sz w:val="22"/>
          <w:szCs w:val="22"/>
        </w:rPr>
        <w:t>–</w:t>
      </w:r>
      <w:r w:rsidRPr="00BF4032">
        <w:rPr>
          <w:sz w:val="22"/>
          <w:szCs w:val="22"/>
        </w:rPr>
        <w:t xml:space="preserve"> констатации, изводи и препоръки и същият е одобрен от министър-председателя.</w:t>
      </w:r>
    </w:p>
    <w:p w14:paraId="3E998220" w14:textId="77777777" w:rsidR="002A3C9B" w:rsidRPr="00534F2B" w:rsidRDefault="002A3C9B" w:rsidP="00534F2B">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534F2B">
        <w:rPr>
          <w:b/>
          <w:bCs/>
          <w:i/>
          <w:iCs/>
          <w:color w:val="215E99" w:themeColor="text2" w:themeTint="BF"/>
          <w:sz w:val="22"/>
          <w:szCs w:val="22"/>
        </w:rPr>
        <w:t>Административно-правно обслужване</w:t>
      </w:r>
    </w:p>
    <w:p w14:paraId="2221CD09" w14:textId="77777777" w:rsidR="002A3C9B" w:rsidRPr="00667B09" w:rsidRDefault="002A3C9B" w:rsidP="00534F2B">
      <w:pPr>
        <w:shd w:val="clear" w:color="auto" w:fill="FFFFFF" w:themeFill="background1"/>
        <w:ind w:firstLine="426"/>
        <w:jc w:val="both"/>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695498DF" w14:textId="62B783A5"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Изготвени становища по мотивирани предложения, проекти на договори и допълнителни споразумения на съществуващи договори, споразумения и протоколи, проекти на заповеди, представяни са многобройни докладни записки, правни становища, проекти на нормативни и вътрешни административни актове, писма, консултации и мнения по правни въпроси, писмени и устни, свързани с дейността на дирекцията, както и с дейността на общата и специализираната АМС, в това число:</w:t>
      </w:r>
    </w:p>
    <w:p w14:paraId="6D79A41C" w14:textId="54C7F376" w:rsidR="00367B5D" w:rsidRPr="00323DF3" w:rsidRDefault="00367B5D" w:rsidP="00534F2B">
      <w:pPr>
        <w:pStyle w:val="ListParagraph"/>
        <w:numPr>
          <w:ilvl w:val="0"/>
          <w:numId w:val="49"/>
        </w:numPr>
        <w:shd w:val="clear" w:color="auto" w:fill="FFFFFF" w:themeFill="background1"/>
        <w:ind w:left="709" w:hanging="283"/>
        <w:jc w:val="both"/>
        <w:rPr>
          <w:sz w:val="22"/>
          <w:szCs w:val="22"/>
        </w:rPr>
      </w:pPr>
      <w:r w:rsidRPr="00323DF3">
        <w:rPr>
          <w:sz w:val="22"/>
          <w:szCs w:val="22"/>
        </w:rPr>
        <w:t>Заповед за определяне на длъжностно лице по безопасност и здраве при работа;</w:t>
      </w:r>
    </w:p>
    <w:p w14:paraId="6E99C519" w14:textId="5C89DB5F" w:rsidR="00367B5D" w:rsidRPr="00323DF3" w:rsidRDefault="00367B5D" w:rsidP="00534F2B">
      <w:pPr>
        <w:pStyle w:val="ListParagraph"/>
        <w:numPr>
          <w:ilvl w:val="0"/>
          <w:numId w:val="49"/>
        </w:numPr>
        <w:shd w:val="clear" w:color="auto" w:fill="FFFFFF" w:themeFill="background1"/>
        <w:ind w:left="0" w:firstLine="426"/>
        <w:jc w:val="both"/>
        <w:rPr>
          <w:sz w:val="22"/>
          <w:szCs w:val="22"/>
        </w:rPr>
      </w:pPr>
      <w:r w:rsidRPr="00323DF3">
        <w:rPr>
          <w:sz w:val="22"/>
          <w:szCs w:val="22"/>
        </w:rPr>
        <w:t>Заповед за определяне видовете инструктаж, които да се извършват в АМС, както и длъжностните лица, които да ги провеждат;</w:t>
      </w:r>
    </w:p>
    <w:p w14:paraId="1C2B44E6" w14:textId="1DAA6DBD" w:rsidR="00367B5D" w:rsidRPr="00323DF3" w:rsidRDefault="00367B5D" w:rsidP="00534F2B">
      <w:pPr>
        <w:pStyle w:val="ListParagraph"/>
        <w:numPr>
          <w:ilvl w:val="0"/>
          <w:numId w:val="49"/>
        </w:numPr>
        <w:shd w:val="clear" w:color="auto" w:fill="FFFFFF" w:themeFill="background1"/>
        <w:ind w:left="0" w:firstLine="426"/>
        <w:jc w:val="both"/>
        <w:rPr>
          <w:sz w:val="22"/>
          <w:szCs w:val="22"/>
        </w:rPr>
      </w:pPr>
      <w:r w:rsidRPr="00323DF3">
        <w:rPr>
          <w:sz w:val="22"/>
          <w:szCs w:val="22"/>
        </w:rPr>
        <w:t>Заповеди за упълномощаване на главния секретар (заповед за упълномощаване по ЗОП, заповед за сключване на договори извън ЗОП, заповед за ползване на комплекс „Бояна“, стопанство „Евксиноград“ и обект „Шабла“, заповед за назначаване на жилищната комисия за разпределяне на свободните жилища от ведомствения фонд на АМС, заповед за упълномощаване по програми или инструменти, финансирани/съфинансирани със средства от бюджета на Европейския съюз, заповед за упълномощаване пред институции и дружества и заповед за определяне на индивидуалните основни месечни заплати на директорите на Почивна база „Слънчев бряг“ и на Почивна база „Орлица“ – Пампорово) – 15 бр.;</w:t>
      </w:r>
    </w:p>
    <w:p w14:paraId="42FEE5ED" w14:textId="6D577995" w:rsidR="00367B5D" w:rsidRPr="00323DF3" w:rsidRDefault="00367B5D" w:rsidP="00534F2B">
      <w:pPr>
        <w:pStyle w:val="ListParagraph"/>
        <w:numPr>
          <w:ilvl w:val="0"/>
          <w:numId w:val="49"/>
        </w:numPr>
        <w:shd w:val="clear" w:color="auto" w:fill="FFFFFF" w:themeFill="background1"/>
        <w:ind w:left="709" w:hanging="283"/>
        <w:jc w:val="both"/>
        <w:rPr>
          <w:sz w:val="22"/>
          <w:szCs w:val="22"/>
        </w:rPr>
      </w:pPr>
      <w:r w:rsidRPr="00323DF3">
        <w:rPr>
          <w:sz w:val="22"/>
          <w:szCs w:val="22"/>
        </w:rPr>
        <w:t>Заповеди за упълномощаване  на служители от отдел „Строителство и поддръжка“ – 3 бр.;</w:t>
      </w:r>
    </w:p>
    <w:p w14:paraId="47C77BAE" w14:textId="3E43B45E" w:rsidR="00367B5D" w:rsidRPr="00323DF3" w:rsidRDefault="00367B5D" w:rsidP="00534F2B">
      <w:pPr>
        <w:pStyle w:val="ListParagraph"/>
        <w:numPr>
          <w:ilvl w:val="0"/>
          <w:numId w:val="49"/>
        </w:numPr>
        <w:shd w:val="clear" w:color="auto" w:fill="FFFFFF" w:themeFill="background1"/>
        <w:ind w:left="709" w:hanging="283"/>
        <w:jc w:val="both"/>
        <w:rPr>
          <w:sz w:val="22"/>
          <w:szCs w:val="22"/>
        </w:rPr>
      </w:pPr>
      <w:r w:rsidRPr="00323DF3">
        <w:rPr>
          <w:sz w:val="22"/>
          <w:szCs w:val="22"/>
        </w:rPr>
        <w:t>Заповед за упълномощаване по чл. 14 от ЗДС – 3 бр.;</w:t>
      </w:r>
    </w:p>
    <w:p w14:paraId="4AE0A019" w14:textId="6F95F451" w:rsidR="00367B5D" w:rsidRPr="00323DF3" w:rsidRDefault="00367B5D" w:rsidP="00534F2B">
      <w:pPr>
        <w:pStyle w:val="ListParagraph"/>
        <w:numPr>
          <w:ilvl w:val="0"/>
          <w:numId w:val="49"/>
        </w:numPr>
        <w:shd w:val="clear" w:color="auto" w:fill="FFFFFF" w:themeFill="background1"/>
        <w:ind w:left="0" w:firstLine="426"/>
        <w:jc w:val="both"/>
        <w:rPr>
          <w:sz w:val="22"/>
          <w:szCs w:val="22"/>
        </w:rPr>
      </w:pPr>
      <w:r w:rsidRPr="00323DF3">
        <w:rPr>
          <w:sz w:val="22"/>
          <w:szCs w:val="22"/>
        </w:rPr>
        <w:lastRenderedPageBreak/>
        <w:t>Заповед за упълномощаване на управителите на комплекс „Бояна“, стопанство „Евксиноград“ и обект „Шабла“ – 3 бр.;</w:t>
      </w:r>
    </w:p>
    <w:p w14:paraId="266AA96A" w14:textId="6A6FA0AB" w:rsidR="00367B5D" w:rsidRPr="00323DF3" w:rsidRDefault="00367B5D" w:rsidP="00534F2B">
      <w:pPr>
        <w:pStyle w:val="ListParagraph"/>
        <w:numPr>
          <w:ilvl w:val="0"/>
          <w:numId w:val="49"/>
        </w:numPr>
        <w:shd w:val="clear" w:color="auto" w:fill="FFFFFF" w:themeFill="background1"/>
        <w:ind w:left="0" w:firstLine="426"/>
        <w:jc w:val="both"/>
        <w:rPr>
          <w:sz w:val="22"/>
          <w:szCs w:val="22"/>
        </w:rPr>
      </w:pPr>
      <w:r w:rsidRPr="00323DF3">
        <w:rPr>
          <w:sz w:val="22"/>
          <w:szCs w:val="22"/>
        </w:rPr>
        <w:t xml:space="preserve">Заповед за определяне на длъжностно лице по Закона за достъп до обществена </w:t>
      </w:r>
      <w:r w:rsidR="00F767B5" w:rsidRPr="00323DF3">
        <w:rPr>
          <w:sz w:val="22"/>
          <w:szCs w:val="22"/>
        </w:rPr>
        <w:br/>
      </w:r>
      <w:r w:rsidRPr="00323DF3">
        <w:rPr>
          <w:sz w:val="22"/>
          <w:szCs w:val="22"/>
        </w:rPr>
        <w:t>информация – 1 бр.;</w:t>
      </w:r>
    </w:p>
    <w:p w14:paraId="64F2022D" w14:textId="01C40DE0" w:rsidR="00367B5D" w:rsidRPr="00323DF3" w:rsidRDefault="00367B5D" w:rsidP="00534F2B">
      <w:pPr>
        <w:pStyle w:val="ListParagraph"/>
        <w:numPr>
          <w:ilvl w:val="0"/>
          <w:numId w:val="49"/>
        </w:numPr>
        <w:shd w:val="clear" w:color="auto" w:fill="FFFFFF" w:themeFill="background1"/>
        <w:ind w:left="0" w:firstLine="426"/>
        <w:jc w:val="both"/>
        <w:rPr>
          <w:sz w:val="22"/>
          <w:szCs w:val="22"/>
        </w:rPr>
      </w:pPr>
      <w:r w:rsidRPr="00323DF3">
        <w:rPr>
          <w:sz w:val="22"/>
          <w:szCs w:val="22"/>
        </w:rPr>
        <w:t>Заповед за определяне на длъжностно лице, което да води регистър „Ведомствен жилищен фонд“;</w:t>
      </w:r>
    </w:p>
    <w:p w14:paraId="334A5ACE" w14:textId="2A93ADD3" w:rsidR="00367B5D" w:rsidRPr="00323DF3" w:rsidRDefault="00367B5D" w:rsidP="00534F2B">
      <w:pPr>
        <w:pStyle w:val="ListParagraph"/>
        <w:numPr>
          <w:ilvl w:val="0"/>
          <w:numId w:val="49"/>
        </w:numPr>
        <w:shd w:val="clear" w:color="auto" w:fill="FFFFFF" w:themeFill="background1"/>
        <w:ind w:left="0" w:firstLine="426"/>
        <w:jc w:val="both"/>
        <w:rPr>
          <w:sz w:val="22"/>
          <w:szCs w:val="22"/>
        </w:rPr>
      </w:pPr>
      <w:r w:rsidRPr="00323DF3">
        <w:rPr>
          <w:sz w:val="22"/>
          <w:szCs w:val="22"/>
        </w:rPr>
        <w:t xml:space="preserve">Заповед за определяне на длъжностните лица, които да водят регистър „Представителни обекти“ в АМС, в комплекс „Бояна“, в стопанство „Евксиноград“ и в обект „Шабла“; </w:t>
      </w:r>
    </w:p>
    <w:p w14:paraId="468A5E3D" w14:textId="431F22C2" w:rsidR="00367B5D" w:rsidRPr="00323DF3" w:rsidRDefault="00367B5D" w:rsidP="00534F2B">
      <w:pPr>
        <w:pStyle w:val="ListParagraph"/>
        <w:numPr>
          <w:ilvl w:val="0"/>
          <w:numId w:val="49"/>
        </w:numPr>
        <w:shd w:val="clear" w:color="auto" w:fill="FFFFFF" w:themeFill="background1"/>
        <w:ind w:left="0" w:firstLine="426"/>
        <w:jc w:val="both"/>
        <w:rPr>
          <w:sz w:val="22"/>
          <w:szCs w:val="22"/>
        </w:rPr>
      </w:pPr>
      <w:r w:rsidRPr="00323DF3">
        <w:rPr>
          <w:sz w:val="22"/>
          <w:szCs w:val="22"/>
        </w:rPr>
        <w:t xml:space="preserve">Заповед за утвърждаване на ценоразписи за нощувки, провеждане на мероприятия и надценки за храни и напитки </w:t>
      </w:r>
      <w:r w:rsidR="00003A99" w:rsidRPr="00323DF3">
        <w:rPr>
          <w:sz w:val="22"/>
          <w:szCs w:val="22"/>
        </w:rPr>
        <w:t>–</w:t>
      </w:r>
      <w:r w:rsidRPr="00323DF3">
        <w:rPr>
          <w:sz w:val="22"/>
          <w:szCs w:val="22"/>
        </w:rPr>
        <w:t xml:space="preserve"> стопанство „Евксиноград“;</w:t>
      </w:r>
    </w:p>
    <w:p w14:paraId="454E15FD" w14:textId="51175ED9" w:rsidR="00367B5D" w:rsidRPr="00323DF3" w:rsidRDefault="00367B5D" w:rsidP="00534F2B">
      <w:pPr>
        <w:pStyle w:val="ListParagraph"/>
        <w:numPr>
          <w:ilvl w:val="0"/>
          <w:numId w:val="49"/>
        </w:numPr>
        <w:shd w:val="clear" w:color="auto" w:fill="FFFFFF" w:themeFill="background1"/>
        <w:ind w:left="0" w:firstLine="426"/>
        <w:jc w:val="both"/>
        <w:rPr>
          <w:sz w:val="22"/>
          <w:szCs w:val="22"/>
        </w:rPr>
      </w:pPr>
      <w:r w:rsidRPr="00323DF3">
        <w:rPr>
          <w:sz w:val="22"/>
          <w:szCs w:val="22"/>
        </w:rPr>
        <w:t>Изготвени заповеди във връзка с промяна на длъжностната характеристика на служител в отдел „Административни дейности и собственост“ – 3 бр.</w:t>
      </w:r>
      <w:r w:rsidR="00C50D88" w:rsidRPr="00323DF3">
        <w:rPr>
          <w:sz w:val="22"/>
          <w:szCs w:val="22"/>
          <w:lang w:val="bg-BG"/>
        </w:rPr>
        <w:t>;</w:t>
      </w:r>
    </w:p>
    <w:p w14:paraId="5FAE5DDB" w14:textId="44E165D2" w:rsidR="00367B5D" w:rsidRPr="00323DF3" w:rsidRDefault="00367B5D" w:rsidP="00534F2B">
      <w:pPr>
        <w:pStyle w:val="ListParagraph"/>
        <w:numPr>
          <w:ilvl w:val="0"/>
          <w:numId w:val="49"/>
        </w:numPr>
        <w:shd w:val="clear" w:color="auto" w:fill="FFFFFF" w:themeFill="background1"/>
        <w:ind w:left="0" w:firstLine="426"/>
        <w:jc w:val="both"/>
        <w:rPr>
          <w:sz w:val="22"/>
          <w:szCs w:val="22"/>
        </w:rPr>
      </w:pPr>
      <w:r w:rsidRPr="00323DF3">
        <w:rPr>
          <w:sz w:val="22"/>
          <w:szCs w:val="22"/>
        </w:rPr>
        <w:t>Заповед за формиране на работна група относно вземане на решение за стопанисване и управление на парк Врана</w:t>
      </w:r>
      <w:r w:rsidR="00C50D88" w:rsidRPr="00323DF3">
        <w:rPr>
          <w:sz w:val="22"/>
          <w:szCs w:val="22"/>
          <w:lang w:val="bg-BG"/>
        </w:rPr>
        <w:t>;</w:t>
      </w:r>
    </w:p>
    <w:p w14:paraId="3F537752" w14:textId="644B8CE5" w:rsidR="00367B5D" w:rsidRPr="00323DF3" w:rsidRDefault="00367B5D" w:rsidP="00534F2B">
      <w:pPr>
        <w:pStyle w:val="ListParagraph"/>
        <w:numPr>
          <w:ilvl w:val="0"/>
          <w:numId w:val="49"/>
        </w:numPr>
        <w:shd w:val="clear" w:color="auto" w:fill="FFFFFF" w:themeFill="background1"/>
        <w:ind w:left="0" w:firstLine="426"/>
        <w:jc w:val="both"/>
        <w:rPr>
          <w:sz w:val="22"/>
          <w:szCs w:val="22"/>
        </w:rPr>
      </w:pPr>
      <w:r w:rsidRPr="00323DF3">
        <w:rPr>
          <w:sz w:val="22"/>
          <w:szCs w:val="22"/>
        </w:rPr>
        <w:t>Заповеди за изменение във връзка с параграф 2, 3 и 4 от Постановление № 381 от 2024 г. за изменение и допълнение на Устройствения правилник на Министерския съвет и неговата администрация</w:t>
      </w:r>
      <w:r w:rsidR="00C50D88" w:rsidRPr="00323DF3">
        <w:rPr>
          <w:sz w:val="22"/>
          <w:szCs w:val="22"/>
          <w:lang w:val="bg-BG"/>
        </w:rPr>
        <w:t>;</w:t>
      </w:r>
    </w:p>
    <w:p w14:paraId="001559B0" w14:textId="7605E6A7" w:rsidR="00367B5D" w:rsidRPr="00323DF3" w:rsidRDefault="00367B5D" w:rsidP="00534F2B">
      <w:pPr>
        <w:pStyle w:val="ListParagraph"/>
        <w:numPr>
          <w:ilvl w:val="0"/>
          <w:numId w:val="49"/>
        </w:numPr>
        <w:shd w:val="clear" w:color="auto" w:fill="FFFFFF" w:themeFill="background1"/>
        <w:ind w:left="0" w:firstLine="426"/>
        <w:jc w:val="both"/>
        <w:rPr>
          <w:sz w:val="22"/>
          <w:szCs w:val="22"/>
        </w:rPr>
      </w:pPr>
      <w:r w:rsidRPr="00323DF3">
        <w:rPr>
          <w:sz w:val="22"/>
          <w:szCs w:val="22"/>
        </w:rPr>
        <w:t>Заповед за определяне на администратори и на администратори-модератори на Платформата за достъп до обществена информация</w:t>
      </w:r>
      <w:r w:rsidR="00C50D88" w:rsidRPr="00323DF3">
        <w:rPr>
          <w:sz w:val="22"/>
          <w:szCs w:val="22"/>
          <w:lang w:val="bg-BG"/>
        </w:rPr>
        <w:t>;</w:t>
      </w:r>
    </w:p>
    <w:p w14:paraId="4E1E60B2" w14:textId="39E23CE6" w:rsidR="00367B5D" w:rsidRPr="00323DF3" w:rsidRDefault="00367B5D" w:rsidP="00534F2B">
      <w:pPr>
        <w:pStyle w:val="ListParagraph"/>
        <w:numPr>
          <w:ilvl w:val="0"/>
          <w:numId w:val="49"/>
        </w:numPr>
        <w:shd w:val="clear" w:color="auto" w:fill="FFFFFF" w:themeFill="background1"/>
        <w:ind w:left="0" w:firstLine="426"/>
        <w:jc w:val="both"/>
        <w:rPr>
          <w:sz w:val="22"/>
          <w:szCs w:val="22"/>
        </w:rPr>
      </w:pPr>
      <w:r w:rsidRPr="00323DF3">
        <w:rPr>
          <w:sz w:val="22"/>
          <w:szCs w:val="22"/>
        </w:rPr>
        <w:t>Заповед за назначаване на комисия, която да осъществява контрол, проследяване и проверка на изпълнението на изискванията, заложени в Заявката и техническите параметри към нея по ред „Адаптиране на ИИСДА във връзка с изменение на нормативна уредба и заповед за изменение и допълнение на заповедта</w:t>
      </w:r>
      <w:r w:rsidR="00C50D88" w:rsidRPr="00323DF3">
        <w:rPr>
          <w:sz w:val="22"/>
          <w:szCs w:val="22"/>
          <w:lang w:val="bg-BG"/>
        </w:rPr>
        <w:t>;</w:t>
      </w:r>
    </w:p>
    <w:p w14:paraId="7E706980" w14:textId="3C4E33BD" w:rsidR="00367B5D" w:rsidRPr="00323DF3" w:rsidRDefault="00367B5D" w:rsidP="00534F2B">
      <w:pPr>
        <w:pStyle w:val="ListParagraph"/>
        <w:numPr>
          <w:ilvl w:val="0"/>
          <w:numId w:val="49"/>
        </w:numPr>
        <w:shd w:val="clear" w:color="auto" w:fill="FFFFFF" w:themeFill="background1"/>
        <w:ind w:left="0" w:firstLine="426"/>
        <w:jc w:val="both"/>
        <w:rPr>
          <w:sz w:val="22"/>
          <w:szCs w:val="22"/>
        </w:rPr>
      </w:pPr>
      <w:r w:rsidRPr="00323DF3">
        <w:rPr>
          <w:sz w:val="22"/>
          <w:szCs w:val="22"/>
        </w:rPr>
        <w:t>Заповед за оправомощаване на длъжностно лице, което да съставя актове за установяване на административни нарушения по чл. 42, ал. 1 и ал. 2 от ЗДОИ</w:t>
      </w:r>
      <w:r w:rsidR="00C50D88" w:rsidRPr="00323DF3">
        <w:rPr>
          <w:sz w:val="22"/>
          <w:szCs w:val="22"/>
          <w:lang w:val="bg-BG"/>
        </w:rPr>
        <w:t>;</w:t>
      </w:r>
    </w:p>
    <w:p w14:paraId="398C3D00" w14:textId="3534837F" w:rsidR="00367B5D" w:rsidRPr="00323DF3" w:rsidRDefault="00367B5D" w:rsidP="00534F2B">
      <w:pPr>
        <w:pStyle w:val="ListParagraph"/>
        <w:numPr>
          <w:ilvl w:val="0"/>
          <w:numId w:val="49"/>
        </w:numPr>
        <w:shd w:val="clear" w:color="auto" w:fill="FFFFFF" w:themeFill="background1"/>
        <w:ind w:left="0" w:firstLine="426"/>
        <w:jc w:val="both"/>
        <w:rPr>
          <w:sz w:val="22"/>
          <w:szCs w:val="22"/>
        </w:rPr>
      </w:pPr>
      <w:r w:rsidRPr="00323DF3">
        <w:rPr>
          <w:sz w:val="22"/>
          <w:szCs w:val="22"/>
        </w:rPr>
        <w:t>Заповед за определяне на длъжностни лица, на които да бъде предоставен специален достъп до имотния регистър чрез Единния портал за заявяване на електронни административни услуги към Агенция по вписванията</w:t>
      </w:r>
      <w:r w:rsidR="00C50D88" w:rsidRPr="00323DF3">
        <w:rPr>
          <w:sz w:val="22"/>
          <w:szCs w:val="22"/>
          <w:lang w:val="bg-BG"/>
        </w:rPr>
        <w:t>;</w:t>
      </w:r>
    </w:p>
    <w:p w14:paraId="540CF93F" w14:textId="7F4F2C59" w:rsidR="00367B5D" w:rsidRPr="00323DF3" w:rsidRDefault="00367B5D" w:rsidP="00534F2B">
      <w:pPr>
        <w:pStyle w:val="ListParagraph"/>
        <w:numPr>
          <w:ilvl w:val="0"/>
          <w:numId w:val="49"/>
        </w:numPr>
        <w:shd w:val="clear" w:color="auto" w:fill="FFFFFF" w:themeFill="background1"/>
        <w:ind w:left="0" w:firstLine="426"/>
        <w:jc w:val="both"/>
        <w:rPr>
          <w:sz w:val="22"/>
          <w:szCs w:val="22"/>
        </w:rPr>
      </w:pPr>
      <w:r w:rsidRPr="00323DF3">
        <w:rPr>
          <w:sz w:val="22"/>
          <w:szCs w:val="22"/>
        </w:rPr>
        <w:t>Съгласуване на заповеди за предоставяне на леки автомобили на служители на администрацията на Министерския съвет – 10 бр.</w:t>
      </w:r>
    </w:p>
    <w:p w14:paraId="10C2D456" w14:textId="058DB83E"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Работа по разработване и съгласуване на проекти на вътрешни правила в АМС.</w:t>
      </w:r>
    </w:p>
    <w:p w14:paraId="1D5890AE" w14:textId="622E7DF6"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Изготвени допълнителни споразумения за ползване на част от имот за нуждите на АМС с „ЖМБ-1“ АД към договори с № МС-64/2021 г. и № МС-38/2022 г.</w:t>
      </w:r>
    </w:p>
    <w:p w14:paraId="69B327D8" w14:textId="3D18BEF6"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 xml:space="preserve">Преписка по предоставяне на правото на управление на Националния исторически музей на прилежащи площи от около общо 35 дка, находящи се в комплекс „Бояна“. Покани за геодезическо заснемане. Сключен договор за геодезическо заснемане. </w:t>
      </w:r>
    </w:p>
    <w:p w14:paraId="190C71FF" w14:textId="381D4A98"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 xml:space="preserve">Подготовка на нови договори за наем по изтекли такива между АМС, БТК ЕАД („Юнайтед Тауърс България“ ЕООД), „Цетин България“ ЕАД и А1 България ЕООД, проучване на правоприемника на БТК ЕАД (писма, оценки от независими оценители, мотивирани предложения, протоколи, декларации, осигуряване на плащания за ползване на терени без правно основание, проекти на договори, в това число и тристранни и др.). Сключени два договора за наем с „А1 Тауърс България“ ЕООД за стопанство „Евксиноград“. Проведени два търга за отдаване под наем на част от имот </w:t>
      </w:r>
      <w:r w:rsidR="00631F12" w:rsidRPr="00323DF3">
        <w:rPr>
          <w:sz w:val="22"/>
          <w:szCs w:val="22"/>
        </w:rPr>
        <w:t>–</w:t>
      </w:r>
      <w:r w:rsidRPr="00323DF3">
        <w:rPr>
          <w:sz w:val="22"/>
          <w:szCs w:val="22"/>
        </w:rPr>
        <w:t xml:space="preserve"> сграда в комплекс „Бояна“ за поставяне на телекомуникационни съоръжения. Първият търг не е проведен, поради липса на подадени документи за участие. На втория пореден търг (февруари 2025 г.) е определен изпълнител по едната обособена позиция – А1 Тауърс България ЕООД. Подписан договор. Дължимите суми събрани от А1 Тауърс България ЕООД. Подготвени договори с „Юнайтед Тауърс България“ ЕООД), „Цетин България“ ЕАД за отдаване под наем на част от площи в обектите, предстои подписване.</w:t>
      </w:r>
    </w:p>
    <w:p w14:paraId="0D7E0607" w14:textId="741F9848"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Процедиране на преписка съгласно писмо от ДАБДП за „Регионална среща на ръководителите на агенции за пътна безопасност през 2025 г.“, организирана от Световното здравна организация. Изготвяне на доклад до министър-председателя относно провеждане на регионалната среща.</w:t>
      </w:r>
    </w:p>
    <w:p w14:paraId="36B9EB79" w14:textId="23668299"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lastRenderedPageBreak/>
        <w:t>Изготвен договор за предоставяне за безвъзмездно ползване на лек автомобил от „Булгартрансгаз“ ЕАД на АМС.</w:t>
      </w:r>
    </w:p>
    <w:p w14:paraId="158B4BE3" w14:textId="2E43C29F"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Изготвяне на становище относно „Плащане на задължения от 2023 г. за юридически консултации по договор № ДГ-14/17.10.2022 г. сключен от Националната комисия за борба с трафика на хора.</w:t>
      </w:r>
    </w:p>
    <w:p w14:paraId="1BEB0F85" w14:textId="01CF29AB"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Становища, докладни записки, писма и др. свързани с въпроси поставени от областните управители (Шумен, Видин, Велико Търново, Плевен, Смолян, Перник, Пловдив, Благоевград и др.)</w:t>
      </w:r>
    </w:p>
    <w:p w14:paraId="23BF22CE" w14:textId="1C22F933"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Становище относно възлагане на извършване на ремонт на язовирната стена на язовир „Бели Искър“.</w:t>
      </w:r>
    </w:p>
    <w:p w14:paraId="76A7093B" w14:textId="27F047DF"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 xml:space="preserve">Становища и писма относно последващи правни действия във връзка със сигнали подадени от кмета на район Кремиковци свързани с проверка на място, както и относно имот, който обхваща част от крайречното корито на р. Искър. </w:t>
      </w:r>
    </w:p>
    <w:p w14:paraId="011A18D2" w14:textId="4121C0C3"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Работа по осигуряването на процесуално представителство на МС по търговско дело пред Софийски градски съд, образувано по искова молба, предявена от „ЛУКОЙЛ Нефтохим Бургас“ АД срещу Република България (търговско дело № 2024110090002). Изготвени документации за приемане на ПМС – 2 бр., договор, заповеди, протоколи, пълномощни, докладни записки, молби до съда и др. Получаване на информация от адвокатското дружество, ангажирано с процесуалното представителство на АМС по делото и оказване на съдействие.</w:t>
      </w:r>
    </w:p>
    <w:p w14:paraId="6136D17B" w14:textId="070DF98E"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Даване на писмено съгласие за продължаване на археологическите разкопки в късноантична и средновековна крепост Кастрици през 2024 г. в стопанство „Евксиноград“.</w:t>
      </w:r>
    </w:p>
    <w:p w14:paraId="0F0F476F" w14:textId="590D17AC"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Работа с Адвокатско дружество „Попов, Арнаудов и партньори“, представляващи АМС по искове от „АКТ СОФТ“ АД и „РИАНА ЕООД“ ЕООД пред Софийски градски съд, САС и ВКС. Оказване на съдействие на адвокатското дружество.</w:t>
      </w:r>
    </w:p>
    <w:p w14:paraId="583433E8" w14:textId="25053D95"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 xml:space="preserve">Работа по ползването на така наречен „обособен тупиков паркинг“, разположен на </w:t>
      </w:r>
      <w:r w:rsidR="009D0009" w:rsidRPr="00323DF3">
        <w:rPr>
          <w:sz w:val="22"/>
          <w:szCs w:val="22"/>
          <w:lang w:val="bg-BG"/>
        </w:rPr>
        <w:br/>
      </w:r>
      <w:r w:rsidRPr="00323DF3">
        <w:rPr>
          <w:sz w:val="22"/>
          <w:szCs w:val="22"/>
        </w:rPr>
        <w:t>ул. „Триадица“ северно от п. I, кв. 4 и южно от п. I, кв. 7б, м. „ЗОНА Г-14“, по плана на гр. София.</w:t>
      </w:r>
    </w:p>
    <w:p w14:paraId="65B8292A" w14:textId="068F9053"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Работа по предложение от Университета за национално и световно стопанство, Националната спортна академия „Васил Левски“ и Лесотехническия университет, подкрепено от кмета на район Банкя – Столична община да им бъде предоставена за стопанисване резиденция „Банкя“. Предложение на областния управител на София за изготвяне на правен анализ на имота в гр. Банкя за последващо процедиране.</w:t>
      </w:r>
    </w:p>
    <w:p w14:paraId="651020F3" w14:textId="4124E8CF"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Работа по предоставяне на имоти част от стопанство „Евксиноград“ на НСО (РМС). Шест сгради в комплекс „Сандрово“ са предадени на НСО, на основание Решение № 553/31.07.2024 г. на МС. Сключен е договор с геодезическа фирма, която да обособи терена, върху който се намират същите сгради за предоставяне на НСО, както и обособени обекти от гаражите на стопанство „Евксиноград“ – за предоставяне на НСО.</w:t>
      </w:r>
    </w:p>
    <w:p w14:paraId="36CCEB4F" w14:textId="1FBBA87B"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Процедиране на преписка свързана с регламентиране на ползването на минералната вода в стопанство „Евксиноград“</w:t>
      </w:r>
    </w:p>
    <w:p w14:paraId="6E6C1827" w14:textId="44295E73"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Изготвяне на Споразумение № МС-13/13.02.2025 г. за предоставяне на базата данни от търговския регистър и на регистъра на юридическите лица с нестопанска цел с Агенция по вписванията.</w:t>
      </w:r>
    </w:p>
    <w:p w14:paraId="43E783EF" w14:textId="1D2ACCE9"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Процедиране на преписки (докладни записки, заповеди и други документи), относно стратегически зони в стратегически обекти комплекс „Бояна“ и стопанство „Евксиноград“.</w:t>
      </w:r>
    </w:p>
    <w:p w14:paraId="23BD33BB" w14:textId="4027BE84"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Процедиране на преписка относно проект на Решение на Министерския съвет за одобряване на проекта на Меморандум за разбирателство между Европейския съюз и Министерския съвет на Република България относно изискванията за качество за сигурност, свързани с връзката към мрежата TESTA (Tрансевропейската мрежа за телематични услуги) EuroDomain, създадена по Програмата “Цифрова Европа“.</w:t>
      </w:r>
    </w:p>
    <w:p w14:paraId="2C76407C" w14:textId="5EE8DA2A"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Процедиране на преписка относно проект на протоколни Решения на Министерския съвет за одобряване на разходите за командировки на тримесечия.</w:t>
      </w:r>
    </w:p>
    <w:p w14:paraId="4F94ADB0" w14:textId="613EB297"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Процедиране на преписка относно получен сигнал № 03.07-103/03.06.2025 г. от Мариана Бориславова Иванова относно неизпълнение на задължение по чл. 15, ал. 1, т. 2 от Закона за достъп до обществена информация (ЗДОИ) от Община Русе.</w:t>
      </w:r>
    </w:p>
    <w:p w14:paraId="15D80E35" w14:textId="6D599B32"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lastRenderedPageBreak/>
        <w:t>Изготвяне на становище относно Система за управление на човешките ресурси в държавната администрация (ЕИСУЧРДА).</w:t>
      </w:r>
    </w:p>
    <w:p w14:paraId="1CA5D5DB" w14:textId="2027CDA5"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Изготвяне на множество писма за предоставяне на разрешения за заснемане на рекламни клипове, филми и др., на локации, попадащи в зоната за сигурност на стратегически обект – МС.</w:t>
      </w:r>
    </w:p>
    <w:p w14:paraId="2109FACB" w14:textId="1C6DB22C"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Участие в кръгла маса на тема: Развитие на дигиталните производства в административния процес, проведена в гр. Правец.</w:t>
      </w:r>
    </w:p>
    <w:p w14:paraId="16E6F51F" w14:textId="6D2086C4"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Участие в изготвянето на ежегодните цели на администрацията за 2025 г. на дирекция АПО.</w:t>
      </w:r>
    </w:p>
    <w:p w14:paraId="355662A8" w14:textId="6DA510E0"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 xml:space="preserve">Осъществено процесуално представителство и правна защита по възникнали спорове по над 50 дела, висящи и приключили пред различни съдилища в страната (София, Варна, Търговище и др.), различни съдебни инстанции – районни и окръжни съдилища: Софийски районен съд, Софийски градски съд, Апелативен съд София, Върховен касационен съд, едно наказателно дело от общ характер пред СГС, административен съд – София град и други административни съдилища в страната (Пловдив, Бургас, Благоевград, Пазарджик, Търговище), Върховен административен съд, в това число 16 изпълнителни дела. </w:t>
      </w:r>
    </w:p>
    <w:p w14:paraId="4E1389F1" w14:textId="77777777" w:rsidR="00367B5D" w:rsidRPr="00323DF3" w:rsidRDefault="00367B5D" w:rsidP="00534F2B">
      <w:pPr>
        <w:pStyle w:val="ListParagraph"/>
        <w:shd w:val="clear" w:color="auto" w:fill="FFFFFF" w:themeFill="background1"/>
        <w:ind w:left="0" w:firstLine="426"/>
        <w:jc w:val="both"/>
        <w:rPr>
          <w:sz w:val="22"/>
          <w:szCs w:val="22"/>
        </w:rPr>
      </w:pPr>
      <w:r w:rsidRPr="00323DF3">
        <w:rPr>
          <w:i/>
          <w:iCs/>
          <w:sz w:val="22"/>
          <w:szCs w:val="22"/>
        </w:rPr>
        <w:t>Забележка:</w:t>
      </w:r>
      <w:r w:rsidRPr="00323DF3">
        <w:rPr>
          <w:sz w:val="22"/>
          <w:szCs w:val="22"/>
        </w:rPr>
        <w:t xml:space="preserve"> Работата по едно дело включва изготвянето на множество документи и извършването на поредица от процесуални действия през различните инстанции.</w:t>
      </w:r>
    </w:p>
    <w:p w14:paraId="5E9FC441" w14:textId="35D3D460"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Извършени са процесуални действия по подготовка за образуване на 9 бр. изпълнителни дела за присъдени суми в полза на АМС и издаване на изпълнителни листове, както и за събиране на присъдени суми чрез покана.</w:t>
      </w:r>
    </w:p>
    <w:p w14:paraId="3238EC6C" w14:textId="13BB72EE"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Изготвени докладни записки относно заплащане на присъдени срещу АМС суми по изпълнителни листове.</w:t>
      </w:r>
    </w:p>
    <w:p w14:paraId="4CD2B9E9" w14:textId="2B907883"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Изготвени писма по отношение на събиране на присъдени в полза на АМС суми по приключили дела на дирекции „Правна“, „Добро управление“ и АПО.</w:t>
      </w:r>
    </w:p>
    <w:p w14:paraId="4B32EED8" w14:textId="2DADCF13"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Изготвяне на обяснителна записка с информация за ангажименти и/или задължения на администрацията на Министерския съвет (АМС), които може да възникнат в тригодишния бюджетен период, както и информация за съдебни производства с голям материален интерес, по които МС или АМС е страна, включително етап на производство и материален интерес.</w:t>
      </w:r>
    </w:p>
    <w:p w14:paraId="7C01AE14" w14:textId="60F30577"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Изготвено мотивирано предложение за провеждане на медицински прегледи на работниците и служителите на АМС. Участие в комисия по избор на изпълнител.</w:t>
      </w:r>
    </w:p>
    <w:p w14:paraId="67803EC2" w14:textId="4BA2D6B0"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Участие в комисии по избор на изпълнител в процедура за изработка и доставка на средства за корекция на зрението на работниците и служителите на АМС.</w:t>
      </w:r>
    </w:p>
    <w:p w14:paraId="3DF47E4E" w14:textId="69BE0D44" w:rsidR="00367B5D" w:rsidRPr="00323DF3" w:rsidRDefault="00367B5D" w:rsidP="00534F2B">
      <w:pPr>
        <w:pStyle w:val="ListParagraph"/>
        <w:numPr>
          <w:ilvl w:val="0"/>
          <w:numId w:val="46"/>
        </w:numPr>
        <w:shd w:val="clear" w:color="auto" w:fill="FFFFFF" w:themeFill="background1"/>
        <w:ind w:left="0" w:firstLine="426"/>
        <w:jc w:val="both"/>
        <w:rPr>
          <w:sz w:val="22"/>
          <w:szCs w:val="22"/>
        </w:rPr>
      </w:pPr>
      <w:r w:rsidRPr="00323DF3">
        <w:rPr>
          <w:sz w:val="22"/>
          <w:szCs w:val="22"/>
        </w:rPr>
        <w:t xml:space="preserve">Изготвени отговори по питания на народни представители </w:t>
      </w:r>
      <w:r w:rsidR="00171830" w:rsidRPr="00323DF3">
        <w:rPr>
          <w:sz w:val="22"/>
          <w:szCs w:val="22"/>
        </w:rPr>
        <w:t>–</w:t>
      </w:r>
      <w:r w:rsidR="00171830" w:rsidRPr="00323DF3">
        <w:rPr>
          <w:sz w:val="22"/>
          <w:szCs w:val="22"/>
          <w:lang w:val="bg-BG"/>
        </w:rPr>
        <w:t xml:space="preserve"> </w:t>
      </w:r>
      <w:r w:rsidRPr="00323DF3">
        <w:rPr>
          <w:sz w:val="22"/>
          <w:szCs w:val="22"/>
        </w:rPr>
        <w:t>3 бр.</w:t>
      </w:r>
    </w:p>
    <w:p w14:paraId="679E4A67" w14:textId="459E8B95" w:rsidR="00367B5D" w:rsidRPr="00323DF3" w:rsidRDefault="00367B5D" w:rsidP="00534F2B">
      <w:pPr>
        <w:pStyle w:val="ListParagraph"/>
        <w:numPr>
          <w:ilvl w:val="0"/>
          <w:numId w:val="46"/>
        </w:numPr>
        <w:shd w:val="clear" w:color="auto" w:fill="FFFFFF" w:themeFill="background1"/>
        <w:spacing w:after="120"/>
        <w:ind w:left="0" w:firstLine="425"/>
        <w:jc w:val="both"/>
        <w:rPr>
          <w:sz w:val="22"/>
          <w:szCs w:val="22"/>
        </w:rPr>
      </w:pPr>
      <w:r w:rsidRPr="00323DF3">
        <w:rPr>
          <w:sz w:val="22"/>
          <w:szCs w:val="22"/>
        </w:rPr>
        <w:t>Изготвени отговори по питания на граждани – 2 бр.</w:t>
      </w:r>
    </w:p>
    <w:p w14:paraId="19B7DFA1" w14:textId="77777777" w:rsidR="00367B5D" w:rsidRPr="00323DF3" w:rsidRDefault="00367B5D" w:rsidP="00534F2B">
      <w:pPr>
        <w:shd w:val="clear" w:color="auto" w:fill="FFFFFF" w:themeFill="background1"/>
        <w:tabs>
          <w:tab w:val="left" w:pos="1134"/>
        </w:tabs>
        <w:ind w:left="357" w:firstLine="68"/>
        <w:jc w:val="both"/>
        <w:rPr>
          <w:b/>
          <w:bCs/>
          <w:sz w:val="22"/>
          <w:szCs w:val="22"/>
          <w:lang w:eastAsia="en-US"/>
        </w:rPr>
      </w:pPr>
      <w:r w:rsidRPr="00323DF3">
        <w:rPr>
          <w:b/>
          <w:bCs/>
          <w:sz w:val="22"/>
          <w:szCs w:val="22"/>
          <w:lang w:eastAsia="en-US"/>
        </w:rPr>
        <w:t xml:space="preserve">В резултат на извършените дейности се постигнаха следните резултати: </w:t>
      </w:r>
    </w:p>
    <w:p w14:paraId="3E0AD4DE" w14:textId="244A4FD1" w:rsidR="00367B5D" w:rsidRPr="00323DF3" w:rsidRDefault="00367B5D" w:rsidP="00534F2B">
      <w:pPr>
        <w:numPr>
          <w:ilvl w:val="0"/>
          <w:numId w:val="5"/>
        </w:numPr>
        <w:shd w:val="clear" w:color="auto" w:fill="FFFFFF" w:themeFill="background1"/>
        <w:tabs>
          <w:tab w:val="clear" w:pos="360"/>
          <w:tab w:val="num" w:pos="142"/>
        </w:tabs>
        <w:ind w:left="0" w:firstLine="426"/>
        <w:jc w:val="both"/>
        <w:rPr>
          <w:sz w:val="22"/>
          <w:szCs w:val="22"/>
        </w:rPr>
      </w:pPr>
      <w:r w:rsidRPr="00323DF3">
        <w:rPr>
          <w:sz w:val="22"/>
          <w:szCs w:val="22"/>
        </w:rPr>
        <w:t>Законосъобразно осъществяване на дейностите по подготвяне на проекти на договори, сключвани от името на АМС, на проекти на нормативни и вътрешни административни актове, становища, писма, докладни записки и други</w:t>
      </w:r>
      <w:r w:rsidR="00737975" w:rsidRPr="00323DF3">
        <w:rPr>
          <w:sz w:val="22"/>
          <w:szCs w:val="22"/>
        </w:rPr>
        <w:t>;</w:t>
      </w:r>
    </w:p>
    <w:p w14:paraId="40951706" w14:textId="6A4B73C9" w:rsidR="00367B5D" w:rsidRPr="00323DF3" w:rsidRDefault="00367B5D" w:rsidP="00534F2B">
      <w:pPr>
        <w:numPr>
          <w:ilvl w:val="0"/>
          <w:numId w:val="5"/>
        </w:numPr>
        <w:shd w:val="clear" w:color="auto" w:fill="FFFFFF" w:themeFill="background1"/>
        <w:tabs>
          <w:tab w:val="clear" w:pos="360"/>
          <w:tab w:val="num" w:pos="142"/>
        </w:tabs>
        <w:ind w:left="0" w:firstLine="426"/>
        <w:jc w:val="both"/>
        <w:rPr>
          <w:sz w:val="22"/>
          <w:szCs w:val="22"/>
        </w:rPr>
      </w:pPr>
      <w:r w:rsidRPr="00323DF3">
        <w:rPr>
          <w:sz w:val="22"/>
          <w:szCs w:val="22"/>
        </w:rPr>
        <w:t>Ефективна организация, координация и контрол при осъществяване на дейностите по административно-правно обслужване в АМС</w:t>
      </w:r>
      <w:r w:rsidR="00737975" w:rsidRPr="00323DF3">
        <w:rPr>
          <w:sz w:val="22"/>
          <w:szCs w:val="22"/>
        </w:rPr>
        <w:t>;</w:t>
      </w:r>
    </w:p>
    <w:p w14:paraId="5B732E5B" w14:textId="544D6399" w:rsidR="00367B5D" w:rsidRPr="00323DF3" w:rsidRDefault="00367B5D" w:rsidP="00534F2B">
      <w:pPr>
        <w:numPr>
          <w:ilvl w:val="0"/>
          <w:numId w:val="5"/>
        </w:numPr>
        <w:shd w:val="clear" w:color="auto" w:fill="FFFFFF" w:themeFill="background1"/>
        <w:tabs>
          <w:tab w:val="clear" w:pos="360"/>
          <w:tab w:val="num" w:pos="142"/>
        </w:tabs>
        <w:ind w:left="0" w:firstLine="426"/>
        <w:jc w:val="both"/>
        <w:rPr>
          <w:sz w:val="22"/>
          <w:szCs w:val="22"/>
        </w:rPr>
      </w:pPr>
      <w:r w:rsidRPr="00323DF3">
        <w:rPr>
          <w:sz w:val="22"/>
          <w:szCs w:val="22"/>
        </w:rPr>
        <w:t>Ефективно осигуряване на процесуално представителство по съдебни производства.</w:t>
      </w:r>
    </w:p>
    <w:p w14:paraId="02C4B00D" w14:textId="77777777" w:rsidR="00A937D8" w:rsidRPr="00323DF3" w:rsidRDefault="00A937D8" w:rsidP="00323DF3">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323DF3">
        <w:rPr>
          <w:b/>
          <w:bCs/>
          <w:i/>
          <w:iCs/>
          <w:color w:val="215E99" w:themeColor="text2" w:themeTint="BF"/>
          <w:sz w:val="22"/>
          <w:szCs w:val="22"/>
        </w:rPr>
        <w:t>Предоставяне на обществена информация</w:t>
      </w:r>
    </w:p>
    <w:p w14:paraId="4EA29107" w14:textId="77777777" w:rsidR="00A937D8" w:rsidRDefault="00A937D8" w:rsidP="00323DF3">
      <w:pPr>
        <w:shd w:val="clear" w:color="auto" w:fill="FFFFFF" w:themeFill="background1"/>
        <w:ind w:firstLine="426"/>
        <w:jc w:val="both"/>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4DA29D20" w14:textId="77777777" w:rsidR="00A937D8" w:rsidRPr="006E030E" w:rsidRDefault="00A937D8" w:rsidP="00323DF3">
      <w:pPr>
        <w:pStyle w:val="ListParagraph"/>
        <w:numPr>
          <w:ilvl w:val="0"/>
          <w:numId w:val="46"/>
        </w:numPr>
        <w:shd w:val="clear" w:color="auto" w:fill="FFFFFF" w:themeFill="background1"/>
        <w:ind w:left="0" w:firstLine="426"/>
        <w:jc w:val="both"/>
        <w:rPr>
          <w:sz w:val="22"/>
          <w:szCs w:val="22"/>
        </w:rPr>
      </w:pPr>
      <w:r w:rsidRPr="006E030E">
        <w:rPr>
          <w:sz w:val="22"/>
          <w:szCs w:val="22"/>
        </w:rPr>
        <w:t>Изготвяне на годишен отчет за дейността по ЗДОИ, попълване на информацията в модул „Годишен отчет“, Доклад за състоянието на администрацията за 2024 г. Предоставяне на информация на дирекция ПИС с цел публикуване на сайта на МС.</w:t>
      </w:r>
    </w:p>
    <w:p w14:paraId="7272AE76" w14:textId="77777777" w:rsidR="00A937D8" w:rsidRPr="006E030E" w:rsidRDefault="00A937D8" w:rsidP="00323DF3">
      <w:pPr>
        <w:pStyle w:val="ListParagraph"/>
        <w:numPr>
          <w:ilvl w:val="0"/>
          <w:numId w:val="46"/>
        </w:numPr>
        <w:shd w:val="clear" w:color="auto" w:fill="FFFFFF" w:themeFill="background1"/>
        <w:ind w:left="0" w:firstLine="426"/>
        <w:jc w:val="both"/>
        <w:rPr>
          <w:sz w:val="22"/>
          <w:szCs w:val="22"/>
        </w:rPr>
      </w:pPr>
      <w:r w:rsidRPr="006E030E">
        <w:rPr>
          <w:sz w:val="22"/>
          <w:szCs w:val="22"/>
        </w:rPr>
        <w:t>Вземане на решения за предоставяне или за отказ за предоставяне на достъп до искана обществена информация по реда на ЗДОИ и уведомяване писмено заявителя в предвидените в закона срокове.</w:t>
      </w:r>
    </w:p>
    <w:p w14:paraId="349BDCE7" w14:textId="77777777" w:rsidR="00A937D8" w:rsidRPr="006E030E" w:rsidRDefault="00A937D8" w:rsidP="00323DF3">
      <w:pPr>
        <w:pStyle w:val="ListParagraph"/>
        <w:numPr>
          <w:ilvl w:val="0"/>
          <w:numId w:val="46"/>
        </w:numPr>
        <w:shd w:val="clear" w:color="auto" w:fill="FFFFFF" w:themeFill="background1"/>
        <w:ind w:left="0" w:firstLine="426"/>
        <w:jc w:val="both"/>
        <w:rPr>
          <w:sz w:val="22"/>
          <w:szCs w:val="22"/>
        </w:rPr>
      </w:pPr>
      <w:r w:rsidRPr="006E030E">
        <w:rPr>
          <w:sz w:val="22"/>
          <w:szCs w:val="22"/>
        </w:rPr>
        <w:t>Подпомагане от ръководителите на административните звена в АМС в съответствие с предмета на заявлението, които предоставят писмени становища за допустимостта или за отказа за достъп до обществена информация.</w:t>
      </w:r>
    </w:p>
    <w:p w14:paraId="5A766375" w14:textId="77777777" w:rsidR="00A937D8" w:rsidRPr="006E030E" w:rsidRDefault="00A937D8" w:rsidP="00323DF3">
      <w:pPr>
        <w:pStyle w:val="ListParagraph"/>
        <w:numPr>
          <w:ilvl w:val="0"/>
          <w:numId w:val="46"/>
        </w:numPr>
        <w:shd w:val="clear" w:color="auto" w:fill="FFFFFF" w:themeFill="background1"/>
        <w:ind w:left="0" w:firstLine="426"/>
        <w:jc w:val="both"/>
        <w:rPr>
          <w:sz w:val="22"/>
          <w:szCs w:val="22"/>
        </w:rPr>
      </w:pPr>
      <w:r w:rsidRPr="006E030E">
        <w:rPr>
          <w:sz w:val="22"/>
          <w:szCs w:val="22"/>
        </w:rPr>
        <w:lastRenderedPageBreak/>
        <w:t xml:space="preserve">Процедури за предоставяне на достъп до обществена информация по реда на ЗДОИ в </w:t>
      </w:r>
      <w:r>
        <w:rPr>
          <w:sz w:val="22"/>
          <w:szCs w:val="22"/>
          <w:lang w:val="bg-BG"/>
        </w:rPr>
        <w:br/>
      </w:r>
      <w:r w:rsidRPr="006E030E">
        <w:rPr>
          <w:sz w:val="22"/>
          <w:szCs w:val="22"/>
        </w:rPr>
        <w:t>АМС</w:t>
      </w:r>
      <w:r>
        <w:rPr>
          <w:sz w:val="22"/>
          <w:szCs w:val="22"/>
          <w:lang w:val="bg-BG"/>
        </w:rPr>
        <w:t xml:space="preserve"> </w:t>
      </w:r>
      <w:r w:rsidRPr="006E030E">
        <w:rPr>
          <w:sz w:val="22"/>
          <w:szCs w:val="22"/>
        </w:rPr>
        <w:t>– 128 бр.</w:t>
      </w:r>
    </w:p>
    <w:p w14:paraId="0AD25BAB" w14:textId="77777777" w:rsidR="00A937D8" w:rsidRPr="006E030E" w:rsidRDefault="00A937D8" w:rsidP="00323DF3">
      <w:pPr>
        <w:pStyle w:val="ListParagraph"/>
        <w:numPr>
          <w:ilvl w:val="0"/>
          <w:numId w:val="46"/>
        </w:numPr>
        <w:shd w:val="clear" w:color="auto" w:fill="FFFFFF" w:themeFill="background1"/>
        <w:ind w:left="0" w:firstLine="426"/>
        <w:jc w:val="both"/>
        <w:rPr>
          <w:sz w:val="22"/>
          <w:szCs w:val="22"/>
        </w:rPr>
      </w:pPr>
      <w:r w:rsidRPr="006E030E">
        <w:rPr>
          <w:sz w:val="22"/>
          <w:szCs w:val="22"/>
        </w:rPr>
        <w:t>Осъществено процесуално представителство и правна защита по възникнали спорове във връзка с вземане на решения по реда на ЗДОИ – 3 бр.</w:t>
      </w:r>
    </w:p>
    <w:p w14:paraId="431372A2" w14:textId="77777777" w:rsidR="00A937D8" w:rsidRPr="00C44E3C" w:rsidRDefault="00A937D8" w:rsidP="00323DF3">
      <w:pPr>
        <w:shd w:val="clear" w:color="auto" w:fill="FFFFFF" w:themeFill="background1"/>
        <w:ind w:firstLine="426"/>
        <w:jc w:val="both"/>
        <w:rPr>
          <w:b/>
          <w:iCs/>
          <w:sz w:val="22"/>
          <w:szCs w:val="22"/>
        </w:rPr>
      </w:pPr>
      <w:r w:rsidRPr="00C44E3C">
        <w:rPr>
          <w:b/>
          <w:iCs/>
          <w:sz w:val="22"/>
          <w:szCs w:val="22"/>
        </w:rPr>
        <w:t xml:space="preserve">Общ брой </w:t>
      </w:r>
      <w:r>
        <w:rPr>
          <w:b/>
          <w:iCs/>
          <w:sz w:val="22"/>
          <w:szCs w:val="22"/>
        </w:rPr>
        <w:t xml:space="preserve">на </w:t>
      </w:r>
      <w:r w:rsidRPr="00C44E3C">
        <w:rPr>
          <w:b/>
          <w:iCs/>
          <w:sz w:val="22"/>
          <w:szCs w:val="22"/>
        </w:rPr>
        <w:t xml:space="preserve">постъпилите заявления за достъп до обществена информация за периода от 01.01 </w:t>
      </w:r>
      <w:r>
        <w:rPr>
          <w:b/>
          <w:iCs/>
          <w:sz w:val="22"/>
          <w:szCs w:val="22"/>
        </w:rPr>
        <w:t>–</w:t>
      </w:r>
      <w:r w:rsidRPr="00C44E3C">
        <w:rPr>
          <w:b/>
          <w:iCs/>
          <w:sz w:val="22"/>
          <w:szCs w:val="22"/>
        </w:rPr>
        <w:t xml:space="preserve"> 30.06.2025 г. – 128 бр., от тях:</w:t>
      </w:r>
    </w:p>
    <w:p w14:paraId="5C217D94" w14:textId="77777777" w:rsidR="00A937D8" w:rsidRPr="00C44E3C" w:rsidRDefault="00A937D8" w:rsidP="00323DF3">
      <w:pPr>
        <w:pStyle w:val="ListParagraph"/>
        <w:numPr>
          <w:ilvl w:val="0"/>
          <w:numId w:val="49"/>
        </w:numPr>
        <w:shd w:val="clear" w:color="auto" w:fill="FFFFFF" w:themeFill="background1"/>
        <w:ind w:left="0" w:firstLine="426"/>
        <w:jc w:val="both"/>
        <w:rPr>
          <w:sz w:val="22"/>
          <w:szCs w:val="22"/>
        </w:rPr>
      </w:pPr>
      <w:r w:rsidRPr="00C44E3C">
        <w:rPr>
          <w:sz w:val="22"/>
          <w:szCs w:val="22"/>
        </w:rPr>
        <w:t>от физически лица – 93 бр.</w:t>
      </w:r>
    </w:p>
    <w:p w14:paraId="0BDB709C" w14:textId="77777777" w:rsidR="00A937D8" w:rsidRPr="00C44E3C" w:rsidRDefault="00A937D8" w:rsidP="00323DF3">
      <w:pPr>
        <w:pStyle w:val="ListParagraph"/>
        <w:numPr>
          <w:ilvl w:val="0"/>
          <w:numId w:val="49"/>
        </w:numPr>
        <w:shd w:val="clear" w:color="auto" w:fill="FFFFFF" w:themeFill="background1"/>
        <w:ind w:left="0" w:firstLine="426"/>
        <w:jc w:val="both"/>
        <w:rPr>
          <w:sz w:val="22"/>
          <w:szCs w:val="22"/>
        </w:rPr>
      </w:pPr>
      <w:r w:rsidRPr="00C44E3C">
        <w:rPr>
          <w:sz w:val="22"/>
          <w:szCs w:val="22"/>
        </w:rPr>
        <w:t>от юридически лица – 0 бр.</w:t>
      </w:r>
    </w:p>
    <w:p w14:paraId="7C7BBBFA" w14:textId="77777777" w:rsidR="00A937D8" w:rsidRPr="00C44E3C" w:rsidRDefault="00A937D8" w:rsidP="00323DF3">
      <w:pPr>
        <w:pStyle w:val="ListParagraph"/>
        <w:numPr>
          <w:ilvl w:val="0"/>
          <w:numId w:val="49"/>
        </w:numPr>
        <w:shd w:val="clear" w:color="auto" w:fill="FFFFFF" w:themeFill="background1"/>
        <w:ind w:left="0" w:firstLine="426"/>
        <w:jc w:val="both"/>
        <w:rPr>
          <w:sz w:val="22"/>
          <w:szCs w:val="22"/>
        </w:rPr>
      </w:pPr>
      <w:r w:rsidRPr="00C44E3C">
        <w:rPr>
          <w:sz w:val="22"/>
          <w:szCs w:val="22"/>
        </w:rPr>
        <w:t>от журналисти – 6 бр.</w:t>
      </w:r>
    </w:p>
    <w:p w14:paraId="31E76593" w14:textId="77777777" w:rsidR="00A937D8" w:rsidRPr="00C44E3C" w:rsidRDefault="00A937D8" w:rsidP="00323DF3">
      <w:pPr>
        <w:pStyle w:val="ListParagraph"/>
        <w:numPr>
          <w:ilvl w:val="0"/>
          <w:numId w:val="49"/>
        </w:numPr>
        <w:shd w:val="clear" w:color="auto" w:fill="FFFFFF" w:themeFill="background1"/>
        <w:ind w:left="0" w:firstLine="426"/>
        <w:jc w:val="both"/>
        <w:rPr>
          <w:sz w:val="22"/>
          <w:szCs w:val="22"/>
        </w:rPr>
      </w:pPr>
      <w:r w:rsidRPr="00C44E3C">
        <w:rPr>
          <w:sz w:val="22"/>
          <w:szCs w:val="22"/>
        </w:rPr>
        <w:t>от НПО – 29 бр.</w:t>
      </w:r>
    </w:p>
    <w:p w14:paraId="153086B5" w14:textId="77777777" w:rsidR="00A937D8" w:rsidRPr="006E4AC6" w:rsidRDefault="00A937D8" w:rsidP="00323DF3">
      <w:pPr>
        <w:shd w:val="clear" w:color="auto" w:fill="FFFFFF" w:themeFill="background1"/>
        <w:ind w:firstLine="426"/>
        <w:jc w:val="both"/>
        <w:rPr>
          <w:bCs/>
          <w:iCs/>
          <w:sz w:val="22"/>
          <w:szCs w:val="22"/>
        </w:rPr>
      </w:pPr>
      <w:r w:rsidRPr="006E4AC6">
        <w:rPr>
          <w:bCs/>
          <w:iCs/>
          <w:sz w:val="22"/>
          <w:szCs w:val="22"/>
        </w:rPr>
        <w:t>Постъпили заявления за ДОИ по начин на поискване за отчетния период:</w:t>
      </w:r>
    </w:p>
    <w:p w14:paraId="01AC7A1E" w14:textId="77777777" w:rsidR="00A937D8" w:rsidRPr="00B648E8" w:rsidRDefault="00A937D8" w:rsidP="00323DF3">
      <w:pPr>
        <w:pStyle w:val="ListParagraph"/>
        <w:numPr>
          <w:ilvl w:val="0"/>
          <w:numId w:val="49"/>
        </w:numPr>
        <w:shd w:val="clear" w:color="auto" w:fill="FFFFFF" w:themeFill="background1"/>
        <w:ind w:left="0" w:firstLine="426"/>
        <w:jc w:val="both"/>
        <w:rPr>
          <w:sz w:val="22"/>
          <w:szCs w:val="22"/>
        </w:rPr>
      </w:pPr>
      <w:r w:rsidRPr="00B648E8">
        <w:rPr>
          <w:sz w:val="22"/>
          <w:szCs w:val="22"/>
        </w:rPr>
        <w:t>по поща на хартия – 10 бр.</w:t>
      </w:r>
    </w:p>
    <w:p w14:paraId="50D57264" w14:textId="77777777" w:rsidR="00A937D8" w:rsidRPr="00B648E8" w:rsidRDefault="00A937D8" w:rsidP="00323DF3">
      <w:pPr>
        <w:pStyle w:val="ListParagraph"/>
        <w:numPr>
          <w:ilvl w:val="0"/>
          <w:numId w:val="49"/>
        </w:numPr>
        <w:shd w:val="clear" w:color="auto" w:fill="FFFFFF" w:themeFill="background1"/>
        <w:ind w:left="0" w:firstLine="426"/>
        <w:jc w:val="both"/>
        <w:rPr>
          <w:sz w:val="22"/>
          <w:szCs w:val="22"/>
        </w:rPr>
      </w:pPr>
      <w:r w:rsidRPr="00B648E8">
        <w:rPr>
          <w:sz w:val="22"/>
          <w:szCs w:val="22"/>
        </w:rPr>
        <w:t>по ел. поща – 46 бр.</w:t>
      </w:r>
    </w:p>
    <w:p w14:paraId="27924797" w14:textId="77777777" w:rsidR="00A937D8" w:rsidRPr="00B648E8" w:rsidRDefault="00A937D8" w:rsidP="00323DF3">
      <w:pPr>
        <w:pStyle w:val="ListParagraph"/>
        <w:numPr>
          <w:ilvl w:val="0"/>
          <w:numId w:val="49"/>
        </w:numPr>
        <w:shd w:val="clear" w:color="auto" w:fill="FFFFFF" w:themeFill="background1"/>
        <w:ind w:left="0" w:firstLine="426"/>
        <w:jc w:val="both"/>
        <w:rPr>
          <w:sz w:val="22"/>
          <w:szCs w:val="22"/>
        </w:rPr>
      </w:pPr>
      <w:r w:rsidRPr="00B648E8">
        <w:rPr>
          <w:sz w:val="22"/>
          <w:szCs w:val="22"/>
        </w:rPr>
        <w:t>чрез Платформа за ДОИ – 32 бр.</w:t>
      </w:r>
    </w:p>
    <w:p w14:paraId="31D12D7E" w14:textId="77777777" w:rsidR="00A937D8" w:rsidRPr="00B648E8" w:rsidRDefault="00A937D8" w:rsidP="00323DF3">
      <w:pPr>
        <w:pStyle w:val="ListParagraph"/>
        <w:numPr>
          <w:ilvl w:val="0"/>
          <w:numId w:val="49"/>
        </w:numPr>
        <w:shd w:val="clear" w:color="auto" w:fill="FFFFFF" w:themeFill="background1"/>
        <w:ind w:left="0" w:firstLine="426"/>
        <w:jc w:val="both"/>
        <w:rPr>
          <w:sz w:val="22"/>
          <w:szCs w:val="22"/>
        </w:rPr>
      </w:pPr>
      <w:r w:rsidRPr="00B648E8">
        <w:rPr>
          <w:sz w:val="22"/>
          <w:szCs w:val="22"/>
        </w:rPr>
        <w:t>чрез ССЕВ – 37 бр.</w:t>
      </w:r>
    </w:p>
    <w:p w14:paraId="40CB191C" w14:textId="77777777" w:rsidR="00A937D8" w:rsidRPr="00B648E8" w:rsidRDefault="00A937D8" w:rsidP="00323DF3">
      <w:pPr>
        <w:pStyle w:val="ListParagraph"/>
        <w:numPr>
          <w:ilvl w:val="0"/>
          <w:numId w:val="49"/>
        </w:numPr>
        <w:shd w:val="clear" w:color="auto" w:fill="FFFFFF" w:themeFill="background1"/>
        <w:ind w:left="0" w:firstLine="426"/>
        <w:jc w:val="both"/>
        <w:rPr>
          <w:sz w:val="22"/>
          <w:szCs w:val="22"/>
        </w:rPr>
      </w:pPr>
      <w:r w:rsidRPr="00B648E8">
        <w:rPr>
          <w:sz w:val="22"/>
          <w:szCs w:val="22"/>
        </w:rPr>
        <w:t>чрез СЕОС – 3 бр.</w:t>
      </w:r>
    </w:p>
    <w:p w14:paraId="4A8F14F2" w14:textId="77777777" w:rsidR="00A937D8" w:rsidRPr="006E4AC6" w:rsidRDefault="00A937D8" w:rsidP="00323DF3">
      <w:pPr>
        <w:shd w:val="clear" w:color="auto" w:fill="FFFFFF" w:themeFill="background1"/>
        <w:ind w:firstLine="426"/>
        <w:jc w:val="both"/>
        <w:rPr>
          <w:bCs/>
          <w:iCs/>
          <w:sz w:val="22"/>
          <w:szCs w:val="22"/>
        </w:rPr>
      </w:pPr>
      <w:r w:rsidRPr="006E4AC6">
        <w:rPr>
          <w:bCs/>
          <w:iCs/>
          <w:sz w:val="22"/>
          <w:szCs w:val="22"/>
        </w:rPr>
        <w:t>Разглеждане на заявленията и предоставяне на ДОИ за отчетния период:</w:t>
      </w:r>
    </w:p>
    <w:p w14:paraId="6E237695" w14:textId="77777777" w:rsidR="00A937D8" w:rsidRPr="004E03AB" w:rsidRDefault="00A937D8" w:rsidP="00323DF3">
      <w:pPr>
        <w:pStyle w:val="ListParagraph"/>
        <w:numPr>
          <w:ilvl w:val="0"/>
          <w:numId w:val="49"/>
        </w:numPr>
        <w:shd w:val="clear" w:color="auto" w:fill="FFFFFF" w:themeFill="background1"/>
        <w:ind w:left="0" w:firstLine="426"/>
        <w:jc w:val="both"/>
        <w:rPr>
          <w:sz w:val="22"/>
          <w:szCs w:val="22"/>
        </w:rPr>
      </w:pPr>
      <w:r w:rsidRPr="004E03AB">
        <w:rPr>
          <w:sz w:val="22"/>
          <w:szCs w:val="22"/>
        </w:rPr>
        <w:t>Предоставяне на свободен достъп до обществена информация – 25 бр.</w:t>
      </w:r>
    </w:p>
    <w:p w14:paraId="618916D5" w14:textId="77777777" w:rsidR="00A937D8" w:rsidRPr="004E03AB" w:rsidRDefault="00A937D8" w:rsidP="00323DF3">
      <w:pPr>
        <w:pStyle w:val="ListParagraph"/>
        <w:numPr>
          <w:ilvl w:val="0"/>
          <w:numId w:val="49"/>
        </w:numPr>
        <w:shd w:val="clear" w:color="auto" w:fill="FFFFFF" w:themeFill="background1"/>
        <w:ind w:left="0" w:firstLine="426"/>
        <w:jc w:val="both"/>
        <w:rPr>
          <w:sz w:val="22"/>
          <w:szCs w:val="22"/>
        </w:rPr>
      </w:pPr>
      <w:r w:rsidRPr="004E03AB">
        <w:rPr>
          <w:sz w:val="22"/>
          <w:szCs w:val="22"/>
        </w:rPr>
        <w:t>Предоставяне на частичен достъп до обществена информация – 10 бр.</w:t>
      </w:r>
    </w:p>
    <w:p w14:paraId="633DC803" w14:textId="77777777" w:rsidR="00A937D8" w:rsidRPr="004E03AB" w:rsidRDefault="00A937D8" w:rsidP="00323DF3">
      <w:pPr>
        <w:pStyle w:val="ListParagraph"/>
        <w:numPr>
          <w:ilvl w:val="0"/>
          <w:numId w:val="49"/>
        </w:numPr>
        <w:shd w:val="clear" w:color="auto" w:fill="FFFFFF" w:themeFill="background1"/>
        <w:ind w:left="0" w:firstLine="426"/>
        <w:jc w:val="both"/>
        <w:rPr>
          <w:sz w:val="22"/>
          <w:szCs w:val="22"/>
        </w:rPr>
      </w:pPr>
      <w:r w:rsidRPr="004E03AB">
        <w:rPr>
          <w:sz w:val="22"/>
          <w:szCs w:val="22"/>
        </w:rPr>
        <w:t xml:space="preserve">Отказ за предоставяне на достъп до обществена информация – 3 бр. </w:t>
      </w:r>
    </w:p>
    <w:p w14:paraId="542F04BD" w14:textId="77777777" w:rsidR="00A937D8" w:rsidRPr="004E03AB" w:rsidRDefault="00A937D8" w:rsidP="00323DF3">
      <w:pPr>
        <w:pStyle w:val="ListParagraph"/>
        <w:numPr>
          <w:ilvl w:val="0"/>
          <w:numId w:val="49"/>
        </w:numPr>
        <w:shd w:val="clear" w:color="auto" w:fill="FFFFFF" w:themeFill="background1"/>
        <w:ind w:left="0" w:firstLine="426"/>
        <w:jc w:val="both"/>
        <w:rPr>
          <w:sz w:val="22"/>
          <w:szCs w:val="22"/>
        </w:rPr>
      </w:pPr>
      <w:r w:rsidRPr="004E03AB">
        <w:rPr>
          <w:sz w:val="22"/>
          <w:szCs w:val="22"/>
        </w:rPr>
        <w:t>Уведомление за липса на исканата информация – 8 бр.</w:t>
      </w:r>
    </w:p>
    <w:p w14:paraId="2AD5A4D9" w14:textId="77777777" w:rsidR="00A937D8" w:rsidRPr="004E03AB" w:rsidRDefault="00A937D8" w:rsidP="00323DF3">
      <w:pPr>
        <w:pStyle w:val="ListParagraph"/>
        <w:numPr>
          <w:ilvl w:val="0"/>
          <w:numId w:val="49"/>
        </w:numPr>
        <w:shd w:val="clear" w:color="auto" w:fill="FFFFFF" w:themeFill="background1"/>
        <w:ind w:left="0" w:firstLine="426"/>
        <w:jc w:val="both"/>
        <w:rPr>
          <w:sz w:val="22"/>
          <w:szCs w:val="22"/>
        </w:rPr>
      </w:pPr>
      <w:r w:rsidRPr="004E03AB">
        <w:rPr>
          <w:sz w:val="22"/>
          <w:szCs w:val="22"/>
        </w:rPr>
        <w:t>Препращане на заявлението, когато държавният орган не разполага с исканата информация, но знае за нейното местонахождение – 72 бр.</w:t>
      </w:r>
    </w:p>
    <w:p w14:paraId="6121D8AB" w14:textId="77777777" w:rsidR="00A937D8" w:rsidRPr="004E03AB" w:rsidRDefault="00A937D8" w:rsidP="00323DF3">
      <w:pPr>
        <w:pStyle w:val="ListParagraph"/>
        <w:numPr>
          <w:ilvl w:val="0"/>
          <w:numId w:val="49"/>
        </w:numPr>
        <w:shd w:val="clear" w:color="auto" w:fill="FFFFFF" w:themeFill="background1"/>
        <w:spacing w:after="120"/>
        <w:ind w:left="0" w:firstLine="426"/>
        <w:jc w:val="both"/>
        <w:rPr>
          <w:sz w:val="22"/>
          <w:szCs w:val="22"/>
        </w:rPr>
      </w:pPr>
      <w:r w:rsidRPr="004E03AB">
        <w:rPr>
          <w:sz w:val="22"/>
          <w:szCs w:val="22"/>
        </w:rPr>
        <w:t>Други – 10 бр.</w:t>
      </w:r>
    </w:p>
    <w:p w14:paraId="6A820F08" w14:textId="77777777" w:rsidR="00A937D8" w:rsidRPr="00C33757" w:rsidRDefault="00A937D8" w:rsidP="00323DF3">
      <w:pPr>
        <w:shd w:val="clear" w:color="auto" w:fill="FFFFFF" w:themeFill="background1"/>
        <w:ind w:firstLine="426"/>
        <w:jc w:val="both"/>
        <w:rPr>
          <w:b/>
          <w:iCs/>
          <w:sz w:val="22"/>
          <w:szCs w:val="22"/>
        </w:rPr>
      </w:pPr>
      <w:r w:rsidRPr="00C33757">
        <w:rPr>
          <w:b/>
          <w:iCs/>
          <w:sz w:val="22"/>
          <w:szCs w:val="22"/>
        </w:rPr>
        <w:t xml:space="preserve">В резултат на извършените дейности се постигнаха следните резултати: </w:t>
      </w:r>
    </w:p>
    <w:p w14:paraId="1A8789DD" w14:textId="77777777" w:rsidR="00A937D8" w:rsidRPr="00C33757" w:rsidRDefault="00A937D8" w:rsidP="00323DF3">
      <w:pPr>
        <w:pStyle w:val="ListParagraph"/>
        <w:numPr>
          <w:ilvl w:val="0"/>
          <w:numId w:val="50"/>
        </w:numPr>
        <w:shd w:val="clear" w:color="auto" w:fill="FFFFFF" w:themeFill="background1"/>
        <w:tabs>
          <w:tab w:val="left" w:pos="709"/>
        </w:tabs>
        <w:ind w:left="0" w:firstLine="426"/>
        <w:jc w:val="both"/>
        <w:rPr>
          <w:sz w:val="22"/>
          <w:szCs w:val="22"/>
        </w:rPr>
      </w:pPr>
      <w:r w:rsidRPr="00C33757">
        <w:rPr>
          <w:sz w:val="22"/>
          <w:szCs w:val="22"/>
        </w:rPr>
        <w:t>Законосъобразно осъществяване на дейностите по предоставяне и процесуалното представителство по дела, свързани с предоставянето на достъп до обществена информация</w:t>
      </w:r>
    </w:p>
    <w:p w14:paraId="7A4D055E" w14:textId="77777777" w:rsidR="002A3C9B" w:rsidRPr="00312A09" w:rsidRDefault="002A3C9B" w:rsidP="00312A09">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312A09">
        <w:rPr>
          <w:b/>
          <w:bCs/>
          <w:i/>
          <w:iCs/>
          <w:color w:val="215E99" w:themeColor="text2" w:themeTint="BF"/>
          <w:sz w:val="22"/>
          <w:szCs w:val="22"/>
        </w:rPr>
        <w:t>Обществени поръчки</w:t>
      </w:r>
    </w:p>
    <w:p w14:paraId="77D3F103" w14:textId="77777777" w:rsidR="0009578B" w:rsidRPr="00667B09" w:rsidRDefault="002A3C9B" w:rsidP="00312A09">
      <w:pPr>
        <w:shd w:val="clear" w:color="auto" w:fill="FFFFFF" w:themeFill="background1"/>
        <w:ind w:firstLine="426"/>
        <w:jc w:val="both"/>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129FE8FA" w14:textId="359BDB62" w:rsidR="000A6390" w:rsidRPr="002D022A" w:rsidRDefault="000A6390" w:rsidP="00312A09">
      <w:pPr>
        <w:numPr>
          <w:ilvl w:val="0"/>
          <w:numId w:val="5"/>
        </w:numPr>
        <w:shd w:val="clear" w:color="auto" w:fill="FFFFFF" w:themeFill="background1"/>
        <w:tabs>
          <w:tab w:val="clear" w:pos="360"/>
          <w:tab w:val="num" w:pos="142"/>
        </w:tabs>
        <w:ind w:left="0" w:firstLine="426"/>
        <w:jc w:val="both"/>
        <w:rPr>
          <w:sz w:val="22"/>
          <w:szCs w:val="22"/>
        </w:rPr>
      </w:pPr>
      <w:r w:rsidRPr="002D022A">
        <w:rPr>
          <w:sz w:val="22"/>
          <w:szCs w:val="22"/>
        </w:rPr>
        <w:t>Ежедневна подготовка и осъществяване на процесите и процедурните правила във връзка с прилагането на ЗОП и Правилника за прилагане на ЗОП (ППЗОП) (изготвяне на докладни записки за определяне на CPV код/кодове, относно Общия терминологичен речник, свързан с обществените поръчки и изготвяне на становища за приложим ред за възлагане на обществена поръчка по реда на ЗОП.</w:t>
      </w:r>
    </w:p>
    <w:p w14:paraId="1BB98003" w14:textId="53726AA3" w:rsidR="000A6390" w:rsidRPr="001E2240" w:rsidRDefault="000A6390" w:rsidP="00312A09">
      <w:pPr>
        <w:numPr>
          <w:ilvl w:val="0"/>
          <w:numId w:val="5"/>
        </w:numPr>
        <w:shd w:val="clear" w:color="auto" w:fill="FFFFFF" w:themeFill="background1"/>
        <w:tabs>
          <w:tab w:val="clear" w:pos="360"/>
          <w:tab w:val="num" w:pos="142"/>
        </w:tabs>
        <w:ind w:left="0" w:firstLine="426"/>
        <w:jc w:val="both"/>
        <w:rPr>
          <w:sz w:val="22"/>
          <w:szCs w:val="22"/>
        </w:rPr>
      </w:pPr>
      <w:r w:rsidRPr="001E2240">
        <w:rPr>
          <w:sz w:val="22"/>
          <w:szCs w:val="22"/>
        </w:rPr>
        <w:t>Проведени процедури за възлагане на обществени поръчки по реда на ЗОП в администрацията на Министерския съвет (АМС) през отчетния период и приключили със сключен договор –</w:t>
      </w:r>
      <w:r w:rsidR="001E2240">
        <w:rPr>
          <w:sz w:val="22"/>
          <w:szCs w:val="22"/>
        </w:rPr>
        <w:t xml:space="preserve"> </w:t>
      </w:r>
      <w:r w:rsidRPr="001E2240">
        <w:rPr>
          <w:sz w:val="22"/>
          <w:szCs w:val="22"/>
        </w:rPr>
        <w:t>1 бр., а именно:</w:t>
      </w:r>
    </w:p>
    <w:p w14:paraId="3670A79E" w14:textId="331B474B" w:rsidR="000A6390" w:rsidRPr="000A6390" w:rsidRDefault="000A6390" w:rsidP="00312A09">
      <w:pPr>
        <w:shd w:val="clear" w:color="auto" w:fill="FFFFFF" w:themeFill="background1"/>
        <w:ind w:firstLine="426"/>
        <w:jc w:val="both"/>
        <w:rPr>
          <w:bCs/>
          <w:iCs/>
          <w:sz w:val="22"/>
          <w:szCs w:val="22"/>
        </w:rPr>
      </w:pPr>
      <w:r w:rsidRPr="000A6390">
        <w:rPr>
          <w:bCs/>
          <w:iCs/>
          <w:sz w:val="22"/>
          <w:szCs w:val="22"/>
        </w:rPr>
        <w:t>„Оценка на изпълнението на програми, финансирани по Финансовия механизъм на Европейското икономическо пространство и Норвежкия финансов механизъм (ФМ на ЕИП и НФМ) 2014</w:t>
      </w:r>
      <w:r w:rsidR="00F3371A">
        <w:rPr>
          <w:bCs/>
          <w:iCs/>
          <w:sz w:val="22"/>
          <w:szCs w:val="22"/>
        </w:rPr>
        <w:t xml:space="preserve"> – </w:t>
      </w:r>
      <w:r w:rsidRPr="000A6390">
        <w:rPr>
          <w:bCs/>
          <w:iCs/>
          <w:sz w:val="22"/>
          <w:szCs w:val="22"/>
        </w:rPr>
        <w:t>2021 г.“, № 00270-2025-0001</w:t>
      </w:r>
    </w:p>
    <w:p w14:paraId="1ADB188A" w14:textId="7C04629F" w:rsidR="000A6390" w:rsidRPr="00490FCD" w:rsidRDefault="000A6390" w:rsidP="00312A09">
      <w:pPr>
        <w:pStyle w:val="ListParagraph"/>
        <w:numPr>
          <w:ilvl w:val="0"/>
          <w:numId w:val="46"/>
        </w:numPr>
        <w:shd w:val="clear" w:color="auto" w:fill="FFFFFF" w:themeFill="background1"/>
        <w:ind w:left="0" w:firstLine="426"/>
        <w:jc w:val="both"/>
        <w:rPr>
          <w:sz w:val="22"/>
          <w:szCs w:val="22"/>
        </w:rPr>
      </w:pPr>
      <w:r w:rsidRPr="00490FCD">
        <w:rPr>
          <w:sz w:val="22"/>
          <w:szCs w:val="22"/>
        </w:rPr>
        <w:t>Процедури „публично състезание“ проведени през отчетния период и приключили със сключен договор – 0 бр.</w:t>
      </w:r>
    </w:p>
    <w:p w14:paraId="62492C30" w14:textId="1F745E75" w:rsidR="000A6390" w:rsidRPr="00490FCD" w:rsidRDefault="000A6390" w:rsidP="00312A09">
      <w:pPr>
        <w:pStyle w:val="ListParagraph"/>
        <w:numPr>
          <w:ilvl w:val="0"/>
          <w:numId w:val="46"/>
        </w:numPr>
        <w:shd w:val="clear" w:color="auto" w:fill="FFFFFF" w:themeFill="background1"/>
        <w:ind w:left="0" w:firstLine="426"/>
        <w:jc w:val="both"/>
        <w:rPr>
          <w:sz w:val="22"/>
          <w:szCs w:val="22"/>
        </w:rPr>
      </w:pPr>
      <w:r w:rsidRPr="00490FCD">
        <w:rPr>
          <w:sz w:val="22"/>
          <w:szCs w:val="22"/>
        </w:rPr>
        <w:t>Събиране на оферти с обява проведени през отчетния период приключили със сключен договор – 0 бр.</w:t>
      </w:r>
    </w:p>
    <w:p w14:paraId="2C312746" w14:textId="32AA89B7" w:rsidR="000A6390" w:rsidRPr="00490FCD" w:rsidRDefault="000A6390" w:rsidP="00312A09">
      <w:pPr>
        <w:pStyle w:val="ListParagraph"/>
        <w:numPr>
          <w:ilvl w:val="0"/>
          <w:numId w:val="46"/>
        </w:numPr>
        <w:shd w:val="clear" w:color="auto" w:fill="FFFFFF" w:themeFill="background1"/>
        <w:ind w:left="0" w:firstLine="426"/>
        <w:jc w:val="both"/>
        <w:rPr>
          <w:sz w:val="22"/>
          <w:szCs w:val="22"/>
        </w:rPr>
      </w:pPr>
      <w:r w:rsidRPr="00490FCD">
        <w:rPr>
          <w:sz w:val="22"/>
          <w:szCs w:val="22"/>
        </w:rPr>
        <w:t>Договаряния без предварително обявление  проведени през отчетния период приключили със сключен договор – 0 бр.</w:t>
      </w:r>
    </w:p>
    <w:p w14:paraId="74BC693D" w14:textId="7C664A55" w:rsidR="000A6390" w:rsidRPr="00490FCD" w:rsidRDefault="000A6390" w:rsidP="00312A09">
      <w:pPr>
        <w:numPr>
          <w:ilvl w:val="0"/>
          <w:numId w:val="5"/>
        </w:numPr>
        <w:shd w:val="clear" w:color="auto" w:fill="FFFFFF" w:themeFill="background1"/>
        <w:tabs>
          <w:tab w:val="clear" w:pos="360"/>
          <w:tab w:val="num" w:pos="142"/>
        </w:tabs>
        <w:ind w:left="0" w:firstLine="426"/>
        <w:jc w:val="both"/>
        <w:rPr>
          <w:sz w:val="22"/>
          <w:szCs w:val="22"/>
        </w:rPr>
      </w:pPr>
      <w:r w:rsidRPr="00490FCD">
        <w:rPr>
          <w:sz w:val="22"/>
          <w:szCs w:val="22"/>
        </w:rPr>
        <w:t>Проведени процедури за възлагане на обществени поръчки по чл. 82 от ЗОП, открити през отчетния период и приключили със сключен договор – 3 бр.</w:t>
      </w:r>
    </w:p>
    <w:p w14:paraId="7B1E4DEE" w14:textId="77777777" w:rsidR="000A6390" w:rsidRPr="000A6390" w:rsidRDefault="000A6390" w:rsidP="00312A09">
      <w:pPr>
        <w:shd w:val="clear" w:color="auto" w:fill="FFFFFF" w:themeFill="background1"/>
        <w:ind w:firstLine="426"/>
        <w:jc w:val="both"/>
        <w:rPr>
          <w:bCs/>
          <w:iCs/>
          <w:sz w:val="22"/>
          <w:szCs w:val="22"/>
        </w:rPr>
      </w:pPr>
      <w:r w:rsidRPr="000A6390">
        <w:rPr>
          <w:bCs/>
          <w:iCs/>
          <w:sz w:val="22"/>
          <w:szCs w:val="22"/>
        </w:rPr>
        <w:t xml:space="preserve">1. „Доставка на различни видове хартия за офиса, вкл. безконечна хартия, картони, факс хартия, </w:t>
      </w:r>
      <w:proofErr w:type="spellStart"/>
      <w:r w:rsidRPr="000A6390">
        <w:rPr>
          <w:bCs/>
          <w:iCs/>
          <w:sz w:val="22"/>
          <w:szCs w:val="22"/>
        </w:rPr>
        <w:t>терморолки</w:t>
      </w:r>
      <w:proofErr w:type="spellEnd"/>
      <w:r w:rsidRPr="000A6390">
        <w:rPr>
          <w:bCs/>
          <w:iCs/>
          <w:sz w:val="22"/>
          <w:szCs w:val="22"/>
        </w:rPr>
        <w:t xml:space="preserve"> за нуждите на АМС“, № T452717;</w:t>
      </w:r>
    </w:p>
    <w:p w14:paraId="54A09E91" w14:textId="77777777" w:rsidR="000A6390" w:rsidRPr="000A6390" w:rsidRDefault="000A6390" w:rsidP="00312A09">
      <w:pPr>
        <w:shd w:val="clear" w:color="auto" w:fill="FFFFFF" w:themeFill="background1"/>
        <w:ind w:firstLine="426"/>
        <w:jc w:val="both"/>
        <w:rPr>
          <w:bCs/>
          <w:iCs/>
          <w:sz w:val="22"/>
          <w:szCs w:val="22"/>
        </w:rPr>
      </w:pPr>
      <w:r w:rsidRPr="000A6390">
        <w:rPr>
          <w:bCs/>
          <w:iCs/>
          <w:sz w:val="22"/>
          <w:szCs w:val="22"/>
        </w:rPr>
        <w:t>2. „Осигуряване на устни преводи за нуждите на АМС“, № T423794;</w:t>
      </w:r>
    </w:p>
    <w:p w14:paraId="30F00B4D" w14:textId="77777777" w:rsidR="000A6390" w:rsidRPr="000A6390" w:rsidRDefault="000A6390" w:rsidP="00312A09">
      <w:pPr>
        <w:shd w:val="clear" w:color="auto" w:fill="FFFFFF" w:themeFill="background1"/>
        <w:ind w:firstLine="426"/>
        <w:jc w:val="both"/>
        <w:rPr>
          <w:bCs/>
          <w:iCs/>
          <w:sz w:val="22"/>
          <w:szCs w:val="22"/>
        </w:rPr>
      </w:pPr>
      <w:r w:rsidRPr="000A6390">
        <w:rPr>
          <w:bCs/>
          <w:iCs/>
          <w:sz w:val="22"/>
          <w:szCs w:val="22"/>
        </w:rPr>
        <w:lastRenderedPageBreak/>
        <w:t>3. „Доставка на автомобилни горива за нуждите на АМС“, № T495780.</w:t>
      </w:r>
    </w:p>
    <w:p w14:paraId="03EE4EA9" w14:textId="2020D29E" w:rsidR="000A6390" w:rsidRPr="007F0061" w:rsidRDefault="000A6390" w:rsidP="00312A09">
      <w:pPr>
        <w:numPr>
          <w:ilvl w:val="0"/>
          <w:numId w:val="5"/>
        </w:numPr>
        <w:shd w:val="clear" w:color="auto" w:fill="FFFFFF" w:themeFill="background1"/>
        <w:tabs>
          <w:tab w:val="clear" w:pos="360"/>
          <w:tab w:val="num" w:pos="142"/>
        </w:tabs>
        <w:ind w:left="0" w:firstLine="426"/>
        <w:jc w:val="both"/>
        <w:rPr>
          <w:sz w:val="22"/>
          <w:szCs w:val="22"/>
        </w:rPr>
      </w:pPr>
      <w:r w:rsidRPr="007F0061">
        <w:rPr>
          <w:sz w:val="22"/>
          <w:szCs w:val="22"/>
        </w:rPr>
        <w:t>Сключени договори за изпълнение след проведени процедури по ЗОП и други договори през отчетния период – 40 бр., включително сключени граждански договори – 3 бр.</w:t>
      </w:r>
    </w:p>
    <w:p w14:paraId="684C5A05" w14:textId="6C4CF2BF" w:rsidR="000A6390" w:rsidRPr="00932612" w:rsidRDefault="000A6390" w:rsidP="00312A09">
      <w:pPr>
        <w:numPr>
          <w:ilvl w:val="0"/>
          <w:numId w:val="5"/>
        </w:numPr>
        <w:shd w:val="clear" w:color="auto" w:fill="FFFFFF" w:themeFill="background1"/>
        <w:tabs>
          <w:tab w:val="clear" w:pos="360"/>
          <w:tab w:val="num" w:pos="142"/>
        </w:tabs>
        <w:ind w:left="0" w:firstLine="426"/>
        <w:jc w:val="both"/>
        <w:rPr>
          <w:sz w:val="22"/>
          <w:szCs w:val="22"/>
        </w:rPr>
      </w:pPr>
      <w:r w:rsidRPr="00932612">
        <w:rPr>
          <w:sz w:val="22"/>
          <w:szCs w:val="22"/>
        </w:rPr>
        <w:t>Прекратени обществени поръчки за периода – 1 бр.</w:t>
      </w:r>
    </w:p>
    <w:p w14:paraId="54266D99" w14:textId="77777777" w:rsidR="000A6390" w:rsidRPr="000A6390" w:rsidRDefault="000A6390" w:rsidP="00312A09">
      <w:pPr>
        <w:shd w:val="clear" w:color="auto" w:fill="FFFFFF" w:themeFill="background1"/>
        <w:ind w:firstLine="426"/>
        <w:jc w:val="both"/>
        <w:rPr>
          <w:bCs/>
          <w:iCs/>
          <w:sz w:val="22"/>
          <w:szCs w:val="22"/>
        </w:rPr>
      </w:pPr>
      <w:r w:rsidRPr="000A6390">
        <w:rPr>
          <w:bCs/>
          <w:iCs/>
          <w:sz w:val="22"/>
          <w:szCs w:val="22"/>
        </w:rPr>
        <w:t>1.</w:t>
      </w:r>
      <w:r w:rsidRPr="000A6390">
        <w:rPr>
          <w:bCs/>
          <w:iCs/>
          <w:sz w:val="22"/>
          <w:szCs w:val="22"/>
        </w:rPr>
        <w:tab/>
        <w:t>Актуализиране на видео-обучения за работа с ИСУН 2020, № 00270-2025-0002;</w:t>
      </w:r>
    </w:p>
    <w:p w14:paraId="6147631E" w14:textId="0824798E" w:rsidR="000A6390" w:rsidRPr="0036314B" w:rsidRDefault="000A6390" w:rsidP="00312A09">
      <w:pPr>
        <w:numPr>
          <w:ilvl w:val="0"/>
          <w:numId w:val="5"/>
        </w:numPr>
        <w:shd w:val="clear" w:color="auto" w:fill="FFFFFF" w:themeFill="background1"/>
        <w:tabs>
          <w:tab w:val="clear" w:pos="360"/>
          <w:tab w:val="num" w:pos="142"/>
        </w:tabs>
        <w:ind w:left="0" w:firstLine="426"/>
        <w:jc w:val="both"/>
        <w:rPr>
          <w:sz w:val="22"/>
          <w:szCs w:val="22"/>
        </w:rPr>
      </w:pPr>
      <w:r w:rsidRPr="0036314B">
        <w:rPr>
          <w:sz w:val="22"/>
          <w:szCs w:val="22"/>
        </w:rPr>
        <w:t>Обжалвани процедури за периода – няма.</w:t>
      </w:r>
    </w:p>
    <w:p w14:paraId="0AB25C41" w14:textId="180C453B" w:rsidR="000A6390" w:rsidRPr="0036314B" w:rsidRDefault="000A6390" w:rsidP="00312A09">
      <w:pPr>
        <w:numPr>
          <w:ilvl w:val="0"/>
          <w:numId w:val="5"/>
        </w:numPr>
        <w:shd w:val="clear" w:color="auto" w:fill="FFFFFF" w:themeFill="background1"/>
        <w:tabs>
          <w:tab w:val="clear" w:pos="360"/>
          <w:tab w:val="num" w:pos="142"/>
        </w:tabs>
        <w:ind w:left="0" w:firstLine="426"/>
        <w:jc w:val="both"/>
        <w:rPr>
          <w:sz w:val="22"/>
          <w:szCs w:val="22"/>
        </w:rPr>
      </w:pPr>
      <w:r w:rsidRPr="0036314B">
        <w:rPr>
          <w:sz w:val="22"/>
          <w:szCs w:val="22"/>
        </w:rPr>
        <w:t xml:space="preserve">Вписани данни в Модул 2 „Проектни предложения и дейности“ в Информационната система за извършване на предварителен, текущ и последващ контрол по целесъобразност в областта на електронното управление и използването на информационните и комуникационните технологии - Регистъра на проектите – 5 бр. </w:t>
      </w:r>
    </w:p>
    <w:p w14:paraId="7789E1BB" w14:textId="14115D48" w:rsidR="000A6390" w:rsidRPr="0036314B" w:rsidRDefault="000A6390" w:rsidP="007E0C38">
      <w:pPr>
        <w:numPr>
          <w:ilvl w:val="0"/>
          <w:numId w:val="5"/>
        </w:numPr>
        <w:shd w:val="clear" w:color="auto" w:fill="FFFFFF" w:themeFill="background1"/>
        <w:tabs>
          <w:tab w:val="clear" w:pos="360"/>
          <w:tab w:val="num" w:pos="142"/>
        </w:tabs>
        <w:spacing w:after="120"/>
        <w:ind w:left="0" w:firstLine="426"/>
        <w:jc w:val="both"/>
        <w:rPr>
          <w:sz w:val="22"/>
          <w:szCs w:val="22"/>
        </w:rPr>
      </w:pPr>
      <w:r w:rsidRPr="0036314B">
        <w:rPr>
          <w:sz w:val="22"/>
          <w:szCs w:val="22"/>
        </w:rPr>
        <w:t>Извършен контрол за съответствие на заявки за възлагането на дейности по Рамков договор № МС-117 от 09.10.2024 г., с предмет „Изпълнение на дейности по системна интеграция, попадащи в обхвата на чл. 7с от ЗЕУ, включващи предоставянето на услуги по изграждане, поддържане, развитие и наблюдение на работоспособността на информационните и комуникационните системи, използвани от администрацията на Министерския съвет, както и дейности, които осигуряват изпълнението на тези услуги“ – 11 бр.</w:t>
      </w:r>
    </w:p>
    <w:p w14:paraId="1583C428" w14:textId="77777777" w:rsidR="000A6390" w:rsidRPr="00632A5A" w:rsidRDefault="000A6390" w:rsidP="007E0C38">
      <w:pPr>
        <w:shd w:val="clear" w:color="auto" w:fill="FFFFFF" w:themeFill="background1"/>
        <w:ind w:firstLine="425"/>
        <w:jc w:val="both"/>
        <w:rPr>
          <w:b/>
          <w:iCs/>
          <w:sz w:val="22"/>
          <w:szCs w:val="22"/>
        </w:rPr>
      </w:pPr>
      <w:r w:rsidRPr="00632A5A">
        <w:rPr>
          <w:b/>
          <w:iCs/>
          <w:sz w:val="22"/>
          <w:szCs w:val="22"/>
        </w:rPr>
        <w:t xml:space="preserve">В резултат на извършените дейности се постигнаха следните резултати: </w:t>
      </w:r>
    </w:p>
    <w:p w14:paraId="7B08F1B1" w14:textId="4477FCF1" w:rsidR="000A6390" w:rsidRPr="00632A5A" w:rsidRDefault="000A6390" w:rsidP="007E0C38">
      <w:pPr>
        <w:numPr>
          <w:ilvl w:val="0"/>
          <w:numId w:val="5"/>
        </w:numPr>
        <w:shd w:val="clear" w:color="auto" w:fill="FFFFFF" w:themeFill="background1"/>
        <w:tabs>
          <w:tab w:val="clear" w:pos="360"/>
          <w:tab w:val="num" w:pos="142"/>
        </w:tabs>
        <w:ind w:left="0" w:firstLine="425"/>
        <w:jc w:val="both"/>
        <w:rPr>
          <w:sz w:val="22"/>
          <w:szCs w:val="22"/>
        </w:rPr>
      </w:pPr>
      <w:r w:rsidRPr="00632A5A">
        <w:rPr>
          <w:sz w:val="22"/>
          <w:szCs w:val="22"/>
        </w:rPr>
        <w:t>Законосъобразно осъществяване на процедури по ЗОП и Правилника за прилагане на Закона за обществените поръчки (ППЗОП) при спазване на Вътрешните правила за управление на цикъла на обществени поръчки в АМС.</w:t>
      </w:r>
    </w:p>
    <w:p w14:paraId="3EEF0764" w14:textId="24B9EBC8" w:rsidR="000A6390" w:rsidRPr="00632A5A" w:rsidRDefault="000A6390" w:rsidP="007E0C38">
      <w:pPr>
        <w:numPr>
          <w:ilvl w:val="0"/>
          <w:numId w:val="5"/>
        </w:numPr>
        <w:shd w:val="clear" w:color="auto" w:fill="FFFFFF" w:themeFill="background1"/>
        <w:tabs>
          <w:tab w:val="clear" w:pos="360"/>
          <w:tab w:val="num" w:pos="142"/>
        </w:tabs>
        <w:ind w:left="0" w:firstLine="426"/>
        <w:jc w:val="both"/>
        <w:rPr>
          <w:sz w:val="22"/>
          <w:szCs w:val="22"/>
        </w:rPr>
      </w:pPr>
      <w:r w:rsidRPr="00632A5A">
        <w:rPr>
          <w:sz w:val="22"/>
          <w:szCs w:val="22"/>
        </w:rPr>
        <w:t>На база на утвърдени мотивирани предложения са проведени обществени поръки за възлагане и изпълнение на договори за услуги, доставки и строителство.</w:t>
      </w:r>
    </w:p>
    <w:p w14:paraId="49A90F70" w14:textId="77777777" w:rsidR="00A329A9" w:rsidRPr="007E0C38" w:rsidRDefault="00A329A9" w:rsidP="007E0C38">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7E0C38">
        <w:rPr>
          <w:b/>
          <w:bCs/>
          <w:i/>
          <w:iCs/>
          <w:color w:val="215E99" w:themeColor="text2" w:themeTint="BF"/>
          <w:sz w:val="22"/>
          <w:szCs w:val="22"/>
        </w:rPr>
        <w:t>Координиране на ползването и контрола върху управлението на обектите – публична държавна собственост и обектите – частна държавна собственост, предоставени за ползване и управление на АМС</w:t>
      </w:r>
    </w:p>
    <w:p w14:paraId="258B5169" w14:textId="77777777" w:rsidR="00505CDB" w:rsidRDefault="00505CDB" w:rsidP="008A491F">
      <w:pPr>
        <w:shd w:val="clear" w:color="auto" w:fill="FFFFFF" w:themeFill="background1"/>
        <w:ind w:firstLine="426"/>
        <w:jc w:val="both"/>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329D9296" w14:textId="762659E6" w:rsidR="00714668" w:rsidRPr="00714668" w:rsidRDefault="00714668" w:rsidP="008A491F">
      <w:pPr>
        <w:pStyle w:val="ListParagraph"/>
        <w:numPr>
          <w:ilvl w:val="4"/>
          <w:numId w:val="27"/>
        </w:numPr>
        <w:shd w:val="clear" w:color="auto" w:fill="FFFFFF" w:themeFill="background1"/>
        <w:tabs>
          <w:tab w:val="clear" w:pos="3240"/>
          <w:tab w:val="num" w:pos="426"/>
        </w:tabs>
        <w:ind w:left="426" w:firstLine="0"/>
        <w:jc w:val="both"/>
        <w:rPr>
          <w:b/>
          <w:sz w:val="22"/>
          <w:szCs w:val="22"/>
        </w:rPr>
      </w:pPr>
      <w:r w:rsidRPr="00714668">
        <w:rPr>
          <w:b/>
          <w:sz w:val="22"/>
          <w:szCs w:val="22"/>
        </w:rPr>
        <w:t>Дейности по организиране на придобиването, ползването и разпореждането с имотите, предоставени за управление на администрацията на Министерския съвет:</w:t>
      </w:r>
    </w:p>
    <w:p w14:paraId="54BEEF2F" w14:textId="0921DAAA" w:rsidR="00505CDB" w:rsidRPr="00BC776E" w:rsidRDefault="00505CDB" w:rsidP="008A491F">
      <w:pPr>
        <w:pStyle w:val="ListParagraph"/>
        <w:numPr>
          <w:ilvl w:val="0"/>
          <w:numId w:val="46"/>
        </w:numPr>
        <w:shd w:val="clear" w:color="auto" w:fill="FFFFFF" w:themeFill="background1"/>
        <w:ind w:left="0" w:firstLine="426"/>
        <w:jc w:val="both"/>
        <w:rPr>
          <w:sz w:val="22"/>
          <w:szCs w:val="22"/>
        </w:rPr>
      </w:pPr>
      <w:r w:rsidRPr="00BC776E">
        <w:rPr>
          <w:sz w:val="22"/>
          <w:szCs w:val="22"/>
        </w:rPr>
        <w:t xml:space="preserve">През отчетния период са извършени дейности с цел съставяне на акт за публична държавна собственост за поземлен имот с идентификатор 68134.402.139 на ул. „Сердика“ № 8, в резултат на което от областен управител София област е съставен Акт за публична държавна собственост </w:t>
      </w:r>
      <w:r w:rsidR="00BC776E">
        <w:rPr>
          <w:sz w:val="22"/>
          <w:szCs w:val="22"/>
          <w:lang w:val="bg-BG"/>
        </w:rPr>
        <w:br/>
      </w:r>
      <w:r w:rsidRPr="00BC776E">
        <w:rPr>
          <w:sz w:val="22"/>
          <w:szCs w:val="22"/>
        </w:rPr>
        <w:t>№ 12213/14.05.2025 г.</w:t>
      </w:r>
    </w:p>
    <w:p w14:paraId="3BEAAE9F" w14:textId="3A8E88C6" w:rsidR="00505CDB" w:rsidRPr="00BC776E" w:rsidRDefault="00505CDB" w:rsidP="008A491F">
      <w:pPr>
        <w:pStyle w:val="ListParagraph"/>
        <w:numPr>
          <w:ilvl w:val="0"/>
          <w:numId w:val="46"/>
        </w:numPr>
        <w:shd w:val="clear" w:color="auto" w:fill="FFFFFF" w:themeFill="background1"/>
        <w:ind w:left="0" w:firstLine="426"/>
        <w:jc w:val="both"/>
        <w:rPr>
          <w:sz w:val="22"/>
          <w:szCs w:val="22"/>
        </w:rPr>
      </w:pPr>
      <w:r w:rsidRPr="00BC776E">
        <w:rPr>
          <w:sz w:val="22"/>
          <w:szCs w:val="22"/>
        </w:rPr>
        <w:t>Дейности по възлагане на външен изпълнител определяне на пазарна справедлива стойност на поземлен имот с идентификатор 68134.402.139.</w:t>
      </w:r>
    </w:p>
    <w:p w14:paraId="3539EDB8" w14:textId="74DA336D" w:rsidR="00505CDB" w:rsidRPr="00BC776E" w:rsidRDefault="00505CDB" w:rsidP="008A491F">
      <w:pPr>
        <w:pStyle w:val="ListParagraph"/>
        <w:numPr>
          <w:ilvl w:val="0"/>
          <w:numId w:val="46"/>
        </w:numPr>
        <w:shd w:val="clear" w:color="auto" w:fill="FFFFFF" w:themeFill="background1"/>
        <w:ind w:left="0" w:firstLine="426"/>
        <w:jc w:val="both"/>
        <w:rPr>
          <w:sz w:val="22"/>
          <w:szCs w:val="22"/>
        </w:rPr>
      </w:pPr>
      <w:r w:rsidRPr="00BC776E">
        <w:rPr>
          <w:sz w:val="22"/>
          <w:szCs w:val="22"/>
        </w:rPr>
        <w:t>Своевременно изготвена и представена в Столична община декларация по чл. 14 от Закона за местните данъци и такси (ЗМДТ), свързана с поземлен имот с идентификатор 68134.402.139.</w:t>
      </w:r>
    </w:p>
    <w:p w14:paraId="0A616B29" w14:textId="34A0E841" w:rsidR="00505CDB" w:rsidRPr="00BC776E" w:rsidRDefault="00505CDB" w:rsidP="008A491F">
      <w:pPr>
        <w:pStyle w:val="ListParagraph"/>
        <w:numPr>
          <w:ilvl w:val="0"/>
          <w:numId w:val="46"/>
        </w:numPr>
        <w:shd w:val="clear" w:color="auto" w:fill="FFFFFF" w:themeFill="background1"/>
        <w:ind w:left="0" w:firstLine="426"/>
        <w:jc w:val="both"/>
        <w:rPr>
          <w:sz w:val="22"/>
          <w:szCs w:val="22"/>
        </w:rPr>
      </w:pPr>
      <w:r w:rsidRPr="00BC776E">
        <w:rPr>
          <w:sz w:val="22"/>
          <w:szCs w:val="22"/>
        </w:rPr>
        <w:t>Периодично актуализиране на водения в дирекция АПО регистър на имоти публична и частна държавна собственост, предоставени за ползване и управление от Министерския съвет (МС).</w:t>
      </w:r>
    </w:p>
    <w:p w14:paraId="5658CA07" w14:textId="7FE2D343" w:rsidR="00505CDB" w:rsidRPr="00BC776E" w:rsidRDefault="00505CDB" w:rsidP="008A491F">
      <w:pPr>
        <w:pStyle w:val="ListParagraph"/>
        <w:numPr>
          <w:ilvl w:val="0"/>
          <w:numId w:val="46"/>
        </w:numPr>
        <w:shd w:val="clear" w:color="auto" w:fill="FFFFFF" w:themeFill="background1"/>
        <w:ind w:left="0" w:firstLine="426"/>
        <w:jc w:val="both"/>
        <w:rPr>
          <w:sz w:val="22"/>
          <w:szCs w:val="22"/>
        </w:rPr>
      </w:pPr>
      <w:r w:rsidRPr="00BC776E">
        <w:rPr>
          <w:sz w:val="22"/>
          <w:szCs w:val="22"/>
        </w:rPr>
        <w:t>Периодично актуализиране на списъка със свободните и годни за обитаване/ползване апартаменти, ателиета за индивидуална творческа дейност, гаражи, гаражни клетки и паркоместа от ведомствения жилищен фонд на АМС.</w:t>
      </w:r>
    </w:p>
    <w:p w14:paraId="274B48FC" w14:textId="27AD4C55" w:rsidR="00505CDB" w:rsidRPr="00BC776E" w:rsidRDefault="00505CDB" w:rsidP="008A491F">
      <w:pPr>
        <w:pStyle w:val="ListParagraph"/>
        <w:numPr>
          <w:ilvl w:val="0"/>
          <w:numId w:val="46"/>
        </w:numPr>
        <w:shd w:val="clear" w:color="auto" w:fill="FFFFFF" w:themeFill="background1"/>
        <w:ind w:left="0" w:firstLine="426"/>
        <w:jc w:val="both"/>
        <w:rPr>
          <w:sz w:val="22"/>
          <w:szCs w:val="22"/>
        </w:rPr>
      </w:pPr>
      <w:r w:rsidRPr="00BC776E">
        <w:rPr>
          <w:sz w:val="22"/>
          <w:szCs w:val="22"/>
        </w:rPr>
        <w:t>Във връзка с отправени искания до областния управител за актуализиране на актове за държавна собственост на имоти, предоставени за управление на МС:</w:t>
      </w:r>
    </w:p>
    <w:p w14:paraId="0E3BA83E" w14:textId="5B1C3703" w:rsidR="00505CDB" w:rsidRPr="00ED60C8" w:rsidRDefault="00505CDB" w:rsidP="008A491F">
      <w:pPr>
        <w:pStyle w:val="ListParagraph"/>
        <w:numPr>
          <w:ilvl w:val="0"/>
          <w:numId w:val="49"/>
        </w:numPr>
        <w:shd w:val="clear" w:color="auto" w:fill="FFFFFF" w:themeFill="background1"/>
        <w:ind w:left="0" w:firstLine="426"/>
        <w:jc w:val="both"/>
        <w:rPr>
          <w:sz w:val="22"/>
          <w:szCs w:val="22"/>
        </w:rPr>
      </w:pPr>
      <w:r w:rsidRPr="00ED60C8">
        <w:rPr>
          <w:sz w:val="22"/>
          <w:szCs w:val="22"/>
        </w:rPr>
        <w:t>изготвяне и подаване на искания за удостоверения за данъчни оценки на имотите – 21 бр.;</w:t>
      </w:r>
    </w:p>
    <w:p w14:paraId="21B20AF2" w14:textId="53B55197" w:rsidR="00505CDB" w:rsidRPr="00ED60C8" w:rsidRDefault="00505CDB" w:rsidP="008A491F">
      <w:pPr>
        <w:pStyle w:val="ListParagraph"/>
        <w:numPr>
          <w:ilvl w:val="0"/>
          <w:numId w:val="49"/>
        </w:numPr>
        <w:shd w:val="clear" w:color="auto" w:fill="FFFFFF" w:themeFill="background1"/>
        <w:ind w:left="0" w:firstLine="426"/>
        <w:jc w:val="both"/>
        <w:rPr>
          <w:sz w:val="22"/>
          <w:szCs w:val="22"/>
        </w:rPr>
      </w:pPr>
      <w:r w:rsidRPr="00ED60C8">
        <w:rPr>
          <w:sz w:val="22"/>
          <w:szCs w:val="22"/>
        </w:rPr>
        <w:t>изготвяне и подаване на искания за скици на имотите от АГКК – 21 бр.</w:t>
      </w:r>
    </w:p>
    <w:p w14:paraId="465AB723" w14:textId="4196B705" w:rsidR="00505CDB" w:rsidRPr="00ED60C8" w:rsidRDefault="00505CDB" w:rsidP="008A491F">
      <w:pPr>
        <w:pStyle w:val="ListParagraph"/>
        <w:numPr>
          <w:ilvl w:val="0"/>
          <w:numId w:val="46"/>
        </w:numPr>
        <w:shd w:val="clear" w:color="auto" w:fill="FFFFFF" w:themeFill="background1"/>
        <w:ind w:left="0" w:firstLine="426"/>
        <w:jc w:val="both"/>
        <w:rPr>
          <w:sz w:val="22"/>
          <w:szCs w:val="22"/>
        </w:rPr>
      </w:pPr>
      <w:r w:rsidRPr="00ED60C8">
        <w:rPr>
          <w:sz w:val="22"/>
          <w:szCs w:val="22"/>
        </w:rPr>
        <w:t>Обработване на подадени декларации по чл. 22 от Закона за държавната собственост (ЗДС) от всички наематели на ведомствени жилища и гаражни клетки от ведомствения фонд на АМС.</w:t>
      </w:r>
    </w:p>
    <w:p w14:paraId="21308FA9" w14:textId="40FB25AE" w:rsidR="00505CDB" w:rsidRPr="00ED60C8" w:rsidRDefault="00505CDB" w:rsidP="008A491F">
      <w:pPr>
        <w:pStyle w:val="ListParagraph"/>
        <w:numPr>
          <w:ilvl w:val="0"/>
          <w:numId w:val="46"/>
        </w:numPr>
        <w:shd w:val="clear" w:color="auto" w:fill="FFFFFF" w:themeFill="background1"/>
        <w:ind w:left="0" w:firstLine="426"/>
        <w:jc w:val="both"/>
        <w:rPr>
          <w:sz w:val="22"/>
          <w:szCs w:val="22"/>
        </w:rPr>
      </w:pPr>
      <w:r w:rsidRPr="00ED60C8">
        <w:rPr>
          <w:sz w:val="22"/>
          <w:szCs w:val="22"/>
        </w:rPr>
        <w:t>Извършени други дейности свързани с изготвянето на документи относно управлението на имоти от ведомствения жилищен фонд на АМС през отчетния период:</w:t>
      </w:r>
    </w:p>
    <w:p w14:paraId="5F0406FB" w14:textId="52E41A04" w:rsidR="00505CDB" w:rsidRPr="00ED60C8" w:rsidRDefault="00505CDB" w:rsidP="008A491F">
      <w:pPr>
        <w:pStyle w:val="ListParagraph"/>
        <w:numPr>
          <w:ilvl w:val="0"/>
          <w:numId w:val="49"/>
        </w:numPr>
        <w:shd w:val="clear" w:color="auto" w:fill="FFFFFF" w:themeFill="background1"/>
        <w:ind w:left="0" w:firstLine="426"/>
        <w:jc w:val="both"/>
        <w:rPr>
          <w:sz w:val="22"/>
          <w:szCs w:val="22"/>
        </w:rPr>
      </w:pPr>
      <w:r w:rsidRPr="00ED60C8">
        <w:rPr>
          <w:sz w:val="22"/>
          <w:szCs w:val="22"/>
        </w:rPr>
        <w:t>становища по искани плащания, свързани с управлението на жилища от ведомствения фонд на МС;</w:t>
      </w:r>
    </w:p>
    <w:p w14:paraId="388CBB0D" w14:textId="516853A2" w:rsidR="00505CDB" w:rsidRPr="00ED60C8" w:rsidRDefault="00505CDB" w:rsidP="008A491F">
      <w:pPr>
        <w:pStyle w:val="ListParagraph"/>
        <w:numPr>
          <w:ilvl w:val="0"/>
          <w:numId w:val="49"/>
        </w:numPr>
        <w:shd w:val="clear" w:color="auto" w:fill="FFFFFF" w:themeFill="background1"/>
        <w:ind w:left="0" w:firstLine="426"/>
        <w:jc w:val="both"/>
        <w:rPr>
          <w:sz w:val="22"/>
          <w:szCs w:val="22"/>
        </w:rPr>
      </w:pPr>
      <w:r w:rsidRPr="00ED60C8">
        <w:rPr>
          <w:sz w:val="22"/>
          <w:szCs w:val="22"/>
        </w:rPr>
        <w:lastRenderedPageBreak/>
        <w:t>докладни записки за одобряване на разходи, свързани с такси за обслужване на общи части и вноски за ремонт на общи части към етажната собственост в сградите, където се намират ведомствени апартаменти – 18 бр.;</w:t>
      </w:r>
    </w:p>
    <w:p w14:paraId="09F0C2D5" w14:textId="56551154" w:rsidR="00505CDB" w:rsidRPr="00ED60C8" w:rsidRDefault="00505CDB" w:rsidP="008A491F">
      <w:pPr>
        <w:pStyle w:val="ListParagraph"/>
        <w:numPr>
          <w:ilvl w:val="0"/>
          <w:numId w:val="49"/>
        </w:numPr>
        <w:shd w:val="clear" w:color="auto" w:fill="FFFFFF" w:themeFill="background1"/>
        <w:ind w:left="0" w:firstLine="426"/>
        <w:jc w:val="both"/>
        <w:rPr>
          <w:sz w:val="22"/>
          <w:szCs w:val="22"/>
        </w:rPr>
      </w:pPr>
      <w:r w:rsidRPr="00ED60C8">
        <w:rPr>
          <w:sz w:val="22"/>
          <w:szCs w:val="22"/>
        </w:rPr>
        <w:t>изходяща кореспонденция по договор № МС-35/11.03.2022 г., сключен между АМС и „Софийска вода“ АД, относно промяна на титуляри (наематели) по партиди – 8 бр.;</w:t>
      </w:r>
    </w:p>
    <w:p w14:paraId="746F2870" w14:textId="7ECE238C" w:rsidR="00505CDB" w:rsidRPr="00ED60C8" w:rsidRDefault="00505CDB" w:rsidP="008A491F">
      <w:pPr>
        <w:pStyle w:val="ListParagraph"/>
        <w:numPr>
          <w:ilvl w:val="0"/>
          <w:numId w:val="49"/>
        </w:numPr>
        <w:shd w:val="clear" w:color="auto" w:fill="FFFFFF" w:themeFill="background1"/>
        <w:ind w:left="0" w:firstLine="426"/>
        <w:jc w:val="both"/>
        <w:rPr>
          <w:sz w:val="22"/>
          <w:szCs w:val="22"/>
        </w:rPr>
      </w:pPr>
      <w:r w:rsidRPr="00ED60C8">
        <w:rPr>
          <w:sz w:val="22"/>
          <w:szCs w:val="22"/>
        </w:rPr>
        <w:t>изходяща кореспонденция по договор № МС-141/29.12.2020 г., сключен между АМС и „Топлофикация София“ ЕАД, относно промяна на титуляри (наематели) по партиди – 8 бр.;</w:t>
      </w:r>
    </w:p>
    <w:p w14:paraId="676F4054" w14:textId="5D544D40" w:rsidR="00505CDB" w:rsidRPr="00ED60C8" w:rsidRDefault="00505CDB" w:rsidP="008A491F">
      <w:pPr>
        <w:pStyle w:val="ListParagraph"/>
        <w:numPr>
          <w:ilvl w:val="0"/>
          <w:numId w:val="49"/>
        </w:numPr>
        <w:shd w:val="clear" w:color="auto" w:fill="FFFFFF" w:themeFill="background1"/>
        <w:ind w:left="0" w:firstLine="426"/>
        <w:jc w:val="both"/>
        <w:rPr>
          <w:sz w:val="22"/>
          <w:szCs w:val="22"/>
        </w:rPr>
      </w:pPr>
      <w:r w:rsidRPr="00ED60C8">
        <w:rPr>
          <w:sz w:val="22"/>
          <w:szCs w:val="22"/>
        </w:rPr>
        <w:t>изходяща кореспонденция по договор № МС-150/26.10.2022 г., сключен между АМС и „Електрохолд Продажби“ ЕАД, относно закриване на партида – 1 бр.;</w:t>
      </w:r>
    </w:p>
    <w:p w14:paraId="3203C93B" w14:textId="53A7EB02" w:rsidR="00505CDB" w:rsidRPr="00ED60C8" w:rsidRDefault="00505CDB" w:rsidP="008A491F">
      <w:pPr>
        <w:pStyle w:val="ListParagraph"/>
        <w:numPr>
          <w:ilvl w:val="0"/>
          <w:numId w:val="49"/>
        </w:numPr>
        <w:shd w:val="clear" w:color="auto" w:fill="FFFFFF" w:themeFill="background1"/>
        <w:ind w:left="0" w:firstLine="426"/>
        <w:jc w:val="both"/>
        <w:rPr>
          <w:sz w:val="22"/>
          <w:szCs w:val="22"/>
        </w:rPr>
      </w:pPr>
      <w:r w:rsidRPr="00ED60C8">
        <w:rPr>
          <w:sz w:val="22"/>
          <w:szCs w:val="22"/>
        </w:rPr>
        <w:t xml:space="preserve">уведомителни писма до дирекция „Бюджет и финанси“ (БФ) свързани с дейности по сключване на нови и прекратени договори за наем с приложени документи </w:t>
      </w:r>
      <w:r w:rsidR="00ED60C8">
        <w:rPr>
          <w:sz w:val="22"/>
          <w:szCs w:val="22"/>
        </w:rPr>
        <w:t>–</w:t>
      </w:r>
      <w:r w:rsidRPr="00ED60C8">
        <w:rPr>
          <w:sz w:val="22"/>
          <w:szCs w:val="22"/>
        </w:rPr>
        <w:t xml:space="preserve"> предавателно-приемателни протоколи – 3 бр., както и за дължими обезщетения от наематели на АМС;</w:t>
      </w:r>
    </w:p>
    <w:p w14:paraId="564BB9CB" w14:textId="5E17C687" w:rsidR="00505CDB" w:rsidRPr="00ED60C8" w:rsidRDefault="00505CDB" w:rsidP="008A491F">
      <w:pPr>
        <w:pStyle w:val="ListParagraph"/>
        <w:numPr>
          <w:ilvl w:val="0"/>
          <w:numId w:val="49"/>
        </w:numPr>
        <w:shd w:val="clear" w:color="auto" w:fill="FFFFFF" w:themeFill="background1"/>
        <w:ind w:left="0" w:firstLine="426"/>
        <w:jc w:val="both"/>
        <w:rPr>
          <w:sz w:val="22"/>
          <w:szCs w:val="22"/>
        </w:rPr>
      </w:pPr>
      <w:r w:rsidRPr="00ED60C8">
        <w:rPr>
          <w:sz w:val="22"/>
          <w:szCs w:val="22"/>
        </w:rPr>
        <w:t>уведомително писмо до бивш наемател относно дължими суми към доставчика на топлоенергия;</w:t>
      </w:r>
    </w:p>
    <w:p w14:paraId="32238706" w14:textId="5046D4CA" w:rsidR="00505CDB" w:rsidRPr="00ED60C8" w:rsidRDefault="00505CDB" w:rsidP="008A491F">
      <w:pPr>
        <w:pStyle w:val="ListParagraph"/>
        <w:numPr>
          <w:ilvl w:val="0"/>
          <w:numId w:val="46"/>
        </w:numPr>
        <w:shd w:val="clear" w:color="auto" w:fill="FFFFFF" w:themeFill="background1"/>
        <w:ind w:left="0" w:firstLine="426"/>
        <w:jc w:val="both"/>
        <w:rPr>
          <w:sz w:val="22"/>
          <w:szCs w:val="22"/>
        </w:rPr>
      </w:pPr>
      <w:r w:rsidRPr="00ED60C8">
        <w:rPr>
          <w:sz w:val="22"/>
          <w:szCs w:val="22"/>
        </w:rPr>
        <w:t>Изходяща кореспонденция до други ведомства, физически и юридически лица.</w:t>
      </w:r>
    </w:p>
    <w:p w14:paraId="17FFC8B3" w14:textId="5F154C65" w:rsidR="00505CDB" w:rsidRPr="00ED60C8" w:rsidRDefault="00505CDB" w:rsidP="008A491F">
      <w:pPr>
        <w:pStyle w:val="ListParagraph"/>
        <w:numPr>
          <w:ilvl w:val="0"/>
          <w:numId w:val="46"/>
        </w:numPr>
        <w:shd w:val="clear" w:color="auto" w:fill="FFFFFF" w:themeFill="background1"/>
        <w:ind w:left="0" w:firstLine="426"/>
        <w:jc w:val="both"/>
        <w:rPr>
          <w:sz w:val="22"/>
          <w:szCs w:val="22"/>
        </w:rPr>
      </w:pPr>
      <w:r w:rsidRPr="00ED60C8">
        <w:rPr>
          <w:sz w:val="22"/>
          <w:szCs w:val="22"/>
        </w:rPr>
        <w:t>Дейности свързани със сключване на договор за отдаване под наем за срок от 5 години на част от недвижим имот – публична държавна собственост за монтиране и използване на терминално устройство АТМ (банкомат), находящ се в площадката на приземния етаж на стълбището на служебния вход на сградата на Министерския съвет, бул. „Княз Александър Дондуков“ № 1, с размер 1 (един) кв. м.</w:t>
      </w:r>
    </w:p>
    <w:p w14:paraId="4AC3347F" w14:textId="319C5EAA" w:rsidR="00505CDB" w:rsidRPr="00ED60C8" w:rsidRDefault="00505CDB" w:rsidP="008A491F">
      <w:pPr>
        <w:pStyle w:val="ListParagraph"/>
        <w:numPr>
          <w:ilvl w:val="0"/>
          <w:numId w:val="46"/>
        </w:numPr>
        <w:shd w:val="clear" w:color="auto" w:fill="FFFFFF" w:themeFill="background1"/>
        <w:ind w:left="0" w:firstLine="426"/>
        <w:jc w:val="both"/>
        <w:rPr>
          <w:sz w:val="22"/>
          <w:szCs w:val="22"/>
        </w:rPr>
      </w:pPr>
      <w:r w:rsidRPr="00ED60C8">
        <w:rPr>
          <w:sz w:val="22"/>
          <w:szCs w:val="22"/>
        </w:rPr>
        <w:t>Освобождаване на депозит за участие в търг за отдаване под наем за срок от 5 години на част от недвижим имот – публична държавна собственост за монтиране и използване на терминално устройство АТМ.</w:t>
      </w:r>
    </w:p>
    <w:p w14:paraId="3DC1D231" w14:textId="069D8F12" w:rsidR="00505CDB" w:rsidRPr="00ED60C8" w:rsidRDefault="00505CDB" w:rsidP="00F97AC5">
      <w:pPr>
        <w:pStyle w:val="ListParagraph"/>
        <w:numPr>
          <w:ilvl w:val="0"/>
          <w:numId w:val="46"/>
        </w:numPr>
        <w:shd w:val="clear" w:color="auto" w:fill="FFFFFF" w:themeFill="background1"/>
        <w:ind w:left="0" w:firstLine="425"/>
        <w:jc w:val="both"/>
        <w:rPr>
          <w:sz w:val="22"/>
          <w:szCs w:val="22"/>
        </w:rPr>
      </w:pPr>
      <w:r w:rsidRPr="00ED60C8">
        <w:rPr>
          <w:sz w:val="22"/>
          <w:szCs w:val="22"/>
        </w:rPr>
        <w:t>Освобождаване на парична гаранция за изпълнение на Договор № МС-180/20.12.2023 г. с „ОЗК-Застраховане“ АД и с предмет: „Застраховане на сгради, имущество, земеделски култури (лозови масиви и бадемова градина) и реколтата на лозовите масиви, и продукцията на винарска изба „Евксиноград“, ползвани и управлявани от администрацията на Министерския съвет“.</w:t>
      </w:r>
    </w:p>
    <w:p w14:paraId="4FA96469" w14:textId="70258832" w:rsidR="00505CDB" w:rsidRPr="00ED60C8" w:rsidRDefault="00505CDB" w:rsidP="008A491F">
      <w:pPr>
        <w:pStyle w:val="ListParagraph"/>
        <w:numPr>
          <w:ilvl w:val="0"/>
          <w:numId w:val="46"/>
        </w:numPr>
        <w:shd w:val="clear" w:color="auto" w:fill="FFFFFF" w:themeFill="background1"/>
        <w:ind w:left="0" w:firstLine="426"/>
        <w:jc w:val="both"/>
        <w:rPr>
          <w:sz w:val="22"/>
          <w:szCs w:val="22"/>
        </w:rPr>
      </w:pPr>
      <w:r w:rsidRPr="00ED60C8">
        <w:rPr>
          <w:sz w:val="22"/>
          <w:szCs w:val="22"/>
        </w:rPr>
        <w:t>Изискани копия от документи във връзка с АПДС № 10005/08.10.2018 г. за ПИ с идентификатор 68134.402.181, находящ се в г. София, район „Оборище“, бул. „Княз Александър Дондуков“ № 1 от Столична община, Район Оборище, във връзка с незастроена част от имот с идентификатор 68134.402.180, попадаща в двора на МС.</w:t>
      </w:r>
    </w:p>
    <w:p w14:paraId="307DFC58" w14:textId="37CA0E57" w:rsidR="00505CDB" w:rsidRPr="00ED60C8" w:rsidRDefault="00505CDB" w:rsidP="008A491F">
      <w:pPr>
        <w:pStyle w:val="ListParagraph"/>
        <w:numPr>
          <w:ilvl w:val="0"/>
          <w:numId w:val="46"/>
        </w:numPr>
        <w:shd w:val="clear" w:color="auto" w:fill="FFFFFF" w:themeFill="background1"/>
        <w:ind w:left="0" w:firstLine="426"/>
        <w:jc w:val="both"/>
        <w:rPr>
          <w:sz w:val="22"/>
          <w:szCs w:val="22"/>
        </w:rPr>
      </w:pPr>
      <w:r w:rsidRPr="00ED60C8">
        <w:rPr>
          <w:sz w:val="22"/>
          <w:szCs w:val="22"/>
        </w:rPr>
        <w:t>Докладна записка и подаване на заявление за документи до „Географска информационна система – София“ ЕООД (ГИС) към Столична община за поземлен имот с идентификатор 68134.402.180.</w:t>
      </w:r>
    </w:p>
    <w:p w14:paraId="302D6768" w14:textId="11F80936" w:rsidR="000A6390" w:rsidRPr="00ED60C8" w:rsidRDefault="00505CDB" w:rsidP="008A491F">
      <w:pPr>
        <w:pStyle w:val="ListParagraph"/>
        <w:numPr>
          <w:ilvl w:val="0"/>
          <w:numId w:val="46"/>
        </w:numPr>
        <w:shd w:val="clear" w:color="auto" w:fill="FFFFFF" w:themeFill="background1"/>
        <w:spacing w:after="120"/>
        <w:ind w:left="0" w:firstLine="425"/>
        <w:jc w:val="both"/>
        <w:rPr>
          <w:sz w:val="22"/>
          <w:szCs w:val="22"/>
        </w:rPr>
      </w:pPr>
      <w:r w:rsidRPr="00ED60C8">
        <w:rPr>
          <w:sz w:val="22"/>
          <w:szCs w:val="22"/>
        </w:rPr>
        <w:t>Участие в работата по провеждане на годишната инвентаризация в АМС.</w:t>
      </w:r>
    </w:p>
    <w:p w14:paraId="176C31B3" w14:textId="507B013D" w:rsidR="00714668" w:rsidRPr="00714668" w:rsidRDefault="00714668" w:rsidP="00F97AC5">
      <w:pPr>
        <w:pStyle w:val="ListParagraph"/>
        <w:numPr>
          <w:ilvl w:val="4"/>
          <w:numId w:val="27"/>
        </w:numPr>
        <w:shd w:val="clear" w:color="auto" w:fill="FFFFFF" w:themeFill="background1"/>
        <w:tabs>
          <w:tab w:val="clear" w:pos="3240"/>
          <w:tab w:val="num" w:pos="426"/>
        </w:tabs>
        <w:spacing w:after="120"/>
        <w:ind w:left="425" w:firstLine="0"/>
        <w:jc w:val="both"/>
        <w:rPr>
          <w:b/>
          <w:sz w:val="22"/>
          <w:szCs w:val="22"/>
        </w:rPr>
      </w:pPr>
      <w:r w:rsidRPr="00714668">
        <w:rPr>
          <w:b/>
          <w:sz w:val="22"/>
          <w:szCs w:val="22"/>
        </w:rPr>
        <w:t>Дейности, свързани с подпомагане на контрола върху управлението на обектите – публична държавна собственост, и на обектите – частна държавна собственост, предоставени за управление на администрацията на Министерския съвет:</w:t>
      </w:r>
    </w:p>
    <w:p w14:paraId="1A622B2C" w14:textId="22C9A77F" w:rsidR="007A57F4" w:rsidRPr="0082710C" w:rsidRDefault="007A57F4" w:rsidP="008A491F">
      <w:pPr>
        <w:pStyle w:val="ListParagraph"/>
        <w:shd w:val="clear" w:color="auto" w:fill="FFFFFF" w:themeFill="background1"/>
        <w:spacing w:before="120"/>
        <w:ind w:left="709" w:hanging="284"/>
        <w:contextualSpacing/>
        <w:jc w:val="both"/>
        <w:rPr>
          <w:rFonts w:eastAsia="Calibri"/>
          <w:b/>
          <w:sz w:val="22"/>
          <w:szCs w:val="22"/>
          <w:u w:val="single"/>
          <w:lang w:eastAsia="en-US"/>
        </w:rPr>
      </w:pPr>
      <w:r w:rsidRPr="0082710C">
        <w:rPr>
          <w:rFonts w:eastAsia="Calibri"/>
          <w:b/>
          <w:sz w:val="22"/>
          <w:szCs w:val="22"/>
          <w:u w:val="single"/>
          <w:lang w:eastAsia="en-US"/>
        </w:rPr>
        <w:t>За стопанство „Евксиноград“:</w:t>
      </w:r>
    </w:p>
    <w:p w14:paraId="431EF5D9" w14:textId="6DFC879C" w:rsidR="007A57F4" w:rsidRPr="0082710C" w:rsidRDefault="007A57F4" w:rsidP="008A491F">
      <w:pPr>
        <w:shd w:val="clear" w:color="auto" w:fill="FFFFFF" w:themeFill="background1"/>
        <w:ind w:firstLine="426"/>
        <w:jc w:val="both"/>
        <w:rPr>
          <w:bCs/>
          <w:sz w:val="22"/>
          <w:szCs w:val="22"/>
        </w:rPr>
      </w:pPr>
      <w:r w:rsidRPr="0082710C">
        <w:rPr>
          <w:rFonts w:eastAsia="Calibri"/>
          <w:sz w:val="22"/>
          <w:szCs w:val="22"/>
          <w:lang w:eastAsia="en-US"/>
        </w:rPr>
        <w:t>По повод на иницииране на документи от управителя на стопанство „Евксиноград“ са и</w:t>
      </w:r>
      <w:r w:rsidRPr="0082710C">
        <w:rPr>
          <w:sz w:val="22"/>
          <w:szCs w:val="22"/>
        </w:rPr>
        <w:t>зготвени проекти на мотивирани предложения, договори</w:t>
      </w:r>
      <w:r w:rsidRPr="0082710C">
        <w:rPr>
          <w:sz w:val="22"/>
          <w:szCs w:val="22"/>
          <w:lang w:val="ru-RU"/>
        </w:rPr>
        <w:t xml:space="preserve"> и</w:t>
      </w:r>
      <w:r w:rsidRPr="0082710C">
        <w:rPr>
          <w:sz w:val="22"/>
          <w:szCs w:val="22"/>
        </w:rPr>
        <w:t xml:space="preserve"> допълнителни споразумения на съществуващи договори, споразумения и протоколи, проекти на заповеди, представяни са докладни записки, правни становища, проекти на писма, консултации и мнения по правни въпроси, писмени и устни, свързани с дейността на обекта, като:</w:t>
      </w:r>
    </w:p>
    <w:p w14:paraId="15CA6EE2" w14:textId="38B5D2B9" w:rsidR="007A57F4" w:rsidRPr="0082710C" w:rsidRDefault="007A57F4" w:rsidP="008A491F">
      <w:pPr>
        <w:pStyle w:val="ListParagraph"/>
        <w:numPr>
          <w:ilvl w:val="0"/>
          <w:numId w:val="49"/>
        </w:numPr>
        <w:shd w:val="clear" w:color="auto" w:fill="FFFFFF" w:themeFill="background1"/>
        <w:ind w:left="0" w:firstLine="426"/>
        <w:jc w:val="both"/>
        <w:rPr>
          <w:sz w:val="22"/>
          <w:szCs w:val="22"/>
        </w:rPr>
      </w:pPr>
      <w:r w:rsidRPr="0082710C">
        <w:rPr>
          <w:sz w:val="22"/>
          <w:szCs w:val="22"/>
        </w:rPr>
        <w:t>Изготвени становища, писма и проекти на договори, свързани с дейността на стопанство „Евксиноград“ за:</w:t>
      </w:r>
    </w:p>
    <w:p w14:paraId="120CA0E8" w14:textId="2B2C36D8" w:rsidR="007A57F4" w:rsidRPr="007A57F4" w:rsidRDefault="007A57F4" w:rsidP="008A491F">
      <w:pPr>
        <w:pStyle w:val="BodyText"/>
        <w:numPr>
          <w:ilvl w:val="0"/>
          <w:numId w:val="29"/>
        </w:numPr>
        <w:shd w:val="clear" w:color="auto" w:fill="FFFFFF" w:themeFill="background1"/>
        <w:tabs>
          <w:tab w:val="left" w:pos="426"/>
          <w:tab w:val="left" w:pos="709"/>
        </w:tabs>
        <w:spacing w:line="240" w:lineRule="auto"/>
        <w:ind w:left="426" w:firstLine="0"/>
        <w:rPr>
          <w:szCs w:val="22"/>
          <w:lang w:val="bg-BG"/>
        </w:rPr>
      </w:pPr>
      <w:r w:rsidRPr="007A57F4">
        <w:rPr>
          <w:bCs/>
          <w:szCs w:val="22"/>
          <w:lang w:val="bg-BG"/>
        </w:rPr>
        <w:t>абонаментно</w:t>
      </w:r>
      <w:r w:rsidRPr="0082710C">
        <w:rPr>
          <w:bCs/>
          <w:szCs w:val="22"/>
        </w:rPr>
        <w:t xml:space="preserve"> </w:t>
      </w:r>
      <w:r w:rsidRPr="007A57F4">
        <w:rPr>
          <w:bCs/>
          <w:szCs w:val="22"/>
          <w:lang w:val="bg-BG"/>
        </w:rPr>
        <w:t xml:space="preserve">обслужване на 6 (шест) броя фискални устройства (ФУ № DT556326 – DATECS FP-2000 – ресторант „Тунела“, ФУ № DT749581 – DATECS DP-150 – Хотел „Тунела“, </w:t>
      </w:r>
      <w:r>
        <w:rPr>
          <w:bCs/>
          <w:szCs w:val="22"/>
          <w:lang w:val="bg-BG"/>
        </w:rPr>
        <w:br/>
      </w:r>
      <w:r w:rsidRPr="007A57F4">
        <w:rPr>
          <w:bCs/>
          <w:szCs w:val="22"/>
          <w:lang w:val="bg-BG"/>
        </w:rPr>
        <w:t>ФУ № DT745704 – DATECS DP-150 – Дворец „Евксиноград“, ФУ № DT745699 – DATECS DP-150, Представителен магазин – Винарска изба „Евксиноград“, ФУ № DT749579 – DATECS DP-150 – Ресторант „Барбекю“, ФУ № DT745703 – DATECS DP-150 – Спортен комплекс) – 6 бр.;</w:t>
      </w:r>
    </w:p>
    <w:p w14:paraId="09859EBB" w14:textId="77777777" w:rsidR="007A57F4" w:rsidRPr="007A57F4" w:rsidRDefault="007A57F4" w:rsidP="008A491F">
      <w:pPr>
        <w:pStyle w:val="BodyText"/>
        <w:numPr>
          <w:ilvl w:val="0"/>
          <w:numId w:val="29"/>
        </w:numPr>
        <w:shd w:val="clear" w:color="auto" w:fill="FFFFFF" w:themeFill="background1"/>
        <w:tabs>
          <w:tab w:val="left" w:pos="426"/>
          <w:tab w:val="left" w:pos="709"/>
        </w:tabs>
        <w:spacing w:line="240" w:lineRule="auto"/>
        <w:ind w:left="426" w:firstLine="0"/>
        <w:rPr>
          <w:bCs/>
          <w:szCs w:val="22"/>
          <w:lang w:val="bg-BG"/>
        </w:rPr>
      </w:pPr>
      <w:r w:rsidRPr="007A57F4">
        <w:rPr>
          <w:bCs/>
          <w:szCs w:val="22"/>
          <w:lang w:val="bg-BG"/>
        </w:rPr>
        <w:t>абонаментно поддържане на часовници;</w:t>
      </w:r>
    </w:p>
    <w:p w14:paraId="6627131E" w14:textId="77777777" w:rsidR="007A57F4" w:rsidRPr="007A57F4" w:rsidRDefault="007A57F4" w:rsidP="008A491F">
      <w:pPr>
        <w:pStyle w:val="BodyText"/>
        <w:numPr>
          <w:ilvl w:val="0"/>
          <w:numId w:val="29"/>
        </w:numPr>
        <w:shd w:val="clear" w:color="auto" w:fill="FFFFFF" w:themeFill="background1"/>
        <w:tabs>
          <w:tab w:val="left" w:pos="426"/>
          <w:tab w:val="left" w:pos="709"/>
        </w:tabs>
        <w:spacing w:line="240" w:lineRule="auto"/>
        <w:ind w:left="426" w:firstLine="0"/>
        <w:rPr>
          <w:bCs/>
          <w:szCs w:val="22"/>
          <w:lang w:val="bg-BG"/>
        </w:rPr>
      </w:pPr>
      <w:r w:rsidRPr="007A57F4">
        <w:rPr>
          <w:bCs/>
          <w:szCs w:val="22"/>
          <w:lang w:val="bg-BG"/>
        </w:rPr>
        <w:lastRenderedPageBreak/>
        <w:t>ремонт на устройство за наблюдение и контрол на винарска изба „Евксиноград“;</w:t>
      </w:r>
    </w:p>
    <w:p w14:paraId="04156608" w14:textId="77777777" w:rsidR="007A57F4" w:rsidRPr="007A57F4" w:rsidRDefault="007A57F4" w:rsidP="008A491F">
      <w:pPr>
        <w:pStyle w:val="BodyText"/>
        <w:numPr>
          <w:ilvl w:val="0"/>
          <w:numId w:val="29"/>
        </w:numPr>
        <w:shd w:val="clear" w:color="auto" w:fill="FFFFFF" w:themeFill="background1"/>
        <w:tabs>
          <w:tab w:val="left" w:pos="426"/>
          <w:tab w:val="left" w:pos="709"/>
        </w:tabs>
        <w:spacing w:line="240" w:lineRule="auto"/>
        <w:ind w:left="426" w:firstLine="0"/>
        <w:rPr>
          <w:bCs/>
          <w:szCs w:val="22"/>
          <w:lang w:val="bg-BG"/>
        </w:rPr>
      </w:pPr>
      <w:r w:rsidRPr="007A57F4">
        <w:rPr>
          <w:bCs/>
          <w:szCs w:val="22"/>
          <w:lang w:val="bg-BG"/>
        </w:rPr>
        <w:t xml:space="preserve">ремонт на култиватор, използван за подготовка и обработка на почвата; </w:t>
      </w:r>
    </w:p>
    <w:p w14:paraId="43F7E53F" w14:textId="77777777" w:rsidR="007A57F4" w:rsidRPr="007A57F4" w:rsidRDefault="007A57F4" w:rsidP="008A491F">
      <w:pPr>
        <w:pStyle w:val="BodyText"/>
        <w:numPr>
          <w:ilvl w:val="0"/>
          <w:numId w:val="29"/>
        </w:numPr>
        <w:shd w:val="clear" w:color="auto" w:fill="FFFFFF" w:themeFill="background1"/>
        <w:tabs>
          <w:tab w:val="left" w:pos="426"/>
          <w:tab w:val="left" w:pos="709"/>
        </w:tabs>
        <w:spacing w:line="240" w:lineRule="auto"/>
        <w:ind w:left="426" w:firstLine="0"/>
        <w:rPr>
          <w:bCs/>
          <w:szCs w:val="22"/>
          <w:lang w:val="bg-BG"/>
        </w:rPr>
      </w:pPr>
      <w:r w:rsidRPr="007A57F4">
        <w:rPr>
          <w:bCs/>
          <w:szCs w:val="22"/>
          <w:lang w:val="bg-BG"/>
        </w:rPr>
        <w:t xml:space="preserve">медицинско обслужване за почиващи в стопанство „Евксиноград“ през летния сезон; </w:t>
      </w:r>
    </w:p>
    <w:p w14:paraId="18227F66" w14:textId="65988E0D" w:rsidR="007A57F4" w:rsidRPr="0082710C" w:rsidRDefault="007A57F4" w:rsidP="008A491F">
      <w:pPr>
        <w:pStyle w:val="ListParagraph"/>
        <w:numPr>
          <w:ilvl w:val="0"/>
          <w:numId w:val="49"/>
        </w:numPr>
        <w:shd w:val="clear" w:color="auto" w:fill="FFFFFF" w:themeFill="background1"/>
        <w:ind w:left="0" w:firstLine="426"/>
        <w:jc w:val="both"/>
        <w:rPr>
          <w:sz w:val="22"/>
          <w:szCs w:val="22"/>
        </w:rPr>
      </w:pPr>
      <w:r>
        <w:rPr>
          <w:sz w:val="22"/>
          <w:szCs w:val="22"/>
          <w:lang w:val="bg-BG"/>
        </w:rPr>
        <w:t>П</w:t>
      </w:r>
      <w:r w:rsidRPr="0082710C">
        <w:rPr>
          <w:sz w:val="22"/>
          <w:szCs w:val="22"/>
        </w:rPr>
        <w:t>редложение за провеждане на медицински прегледи на работниците и служителите на стопанството</w:t>
      </w:r>
      <w:r>
        <w:rPr>
          <w:sz w:val="22"/>
          <w:szCs w:val="22"/>
          <w:lang w:val="bg-BG"/>
        </w:rPr>
        <w:t>;</w:t>
      </w:r>
    </w:p>
    <w:p w14:paraId="7E7E39E7" w14:textId="5C2FDEF5" w:rsidR="007A57F4" w:rsidRPr="0082710C" w:rsidRDefault="007A57F4" w:rsidP="008A491F">
      <w:pPr>
        <w:pStyle w:val="ListParagraph"/>
        <w:numPr>
          <w:ilvl w:val="0"/>
          <w:numId w:val="49"/>
        </w:numPr>
        <w:shd w:val="clear" w:color="auto" w:fill="FFFFFF" w:themeFill="background1"/>
        <w:ind w:left="0" w:firstLine="426"/>
        <w:jc w:val="both"/>
        <w:rPr>
          <w:sz w:val="22"/>
          <w:szCs w:val="22"/>
        </w:rPr>
      </w:pPr>
      <w:r w:rsidRPr="0082710C">
        <w:rPr>
          <w:sz w:val="22"/>
          <w:szCs w:val="22"/>
        </w:rPr>
        <w:t>Проверка, изготвяне на становища и съгласуване на месечни мотивирани предложения за заявки за доставки на материали и услуги</w:t>
      </w:r>
      <w:r>
        <w:rPr>
          <w:sz w:val="22"/>
          <w:szCs w:val="22"/>
          <w:lang w:val="bg-BG"/>
        </w:rPr>
        <w:t>;</w:t>
      </w:r>
    </w:p>
    <w:p w14:paraId="4B80488E" w14:textId="35B5C3DA" w:rsidR="007A57F4" w:rsidRPr="0082710C" w:rsidRDefault="007A57F4" w:rsidP="008A491F">
      <w:pPr>
        <w:pStyle w:val="ListParagraph"/>
        <w:numPr>
          <w:ilvl w:val="0"/>
          <w:numId w:val="49"/>
        </w:numPr>
        <w:shd w:val="clear" w:color="auto" w:fill="FFFFFF" w:themeFill="background1"/>
        <w:ind w:left="0" w:firstLine="426"/>
        <w:jc w:val="both"/>
        <w:rPr>
          <w:sz w:val="22"/>
          <w:szCs w:val="22"/>
        </w:rPr>
      </w:pPr>
      <w:r w:rsidRPr="0082710C">
        <w:rPr>
          <w:sz w:val="22"/>
          <w:szCs w:val="22"/>
        </w:rPr>
        <w:t>Изготвяне на докладни записки/писма за връщане на гаранции по договори</w:t>
      </w:r>
      <w:r>
        <w:rPr>
          <w:sz w:val="22"/>
          <w:szCs w:val="22"/>
          <w:lang w:val="bg-BG"/>
        </w:rPr>
        <w:t>;</w:t>
      </w:r>
    </w:p>
    <w:p w14:paraId="136C5052" w14:textId="15368020" w:rsidR="007A57F4" w:rsidRPr="0082710C" w:rsidRDefault="007A57F4" w:rsidP="008A491F">
      <w:pPr>
        <w:pStyle w:val="ListParagraph"/>
        <w:numPr>
          <w:ilvl w:val="0"/>
          <w:numId w:val="49"/>
        </w:numPr>
        <w:shd w:val="clear" w:color="auto" w:fill="FFFFFF" w:themeFill="background1"/>
        <w:ind w:left="0" w:firstLine="426"/>
        <w:jc w:val="both"/>
        <w:rPr>
          <w:sz w:val="22"/>
          <w:szCs w:val="22"/>
        </w:rPr>
      </w:pPr>
      <w:r w:rsidRPr="0082710C">
        <w:rPr>
          <w:sz w:val="22"/>
          <w:szCs w:val="22"/>
        </w:rPr>
        <w:t>Изготвяне на писма/становища във връзка с извършване на охранително обследване на стратегически обект стопанство „Евксиноград“</w:t>
      </w:r>
      <w:r>
        <w:rPr>
          <w:sz w:val="22"/>
          <w:szCs w:val="22"/>
          <w:lang w:val="bg-BG"/>
        </w:rPr>
        <w:t>;</w:t>
      </w:r>
    </w:p>
    <w:p w14:paraId="3D52205F" w14:textId="7119D160" w:rsidR="007A57F4" w:rsidRPr="0082710C" w:rsidRDefault="007A57F4" w:rsidP="008A491F">
      <w:pPr>
        <w:pStyle w:val="ListParagraph"/>
        <w:numPr>
          <w:ilvl w:val="0"/>
          <w:numId w:val="49"/>
        </w:numPr>
        <w:shd w:val="clear" w:color="auto" w:fill="FFFFFF" w:themeFill="background1"/>
        <w:ind w:left="0" w:firstLine="426"/>
        <w:jc w:val="both"/>
        <w:rPr>
          <w:sz w:val="22"/>
          <w:szCs w:val="22"/>
        </w:rPr>
      </w:pPr>
      <w:r w:rsidRPr="0082710C">
        <w:rPr>
          <w:sz w:val="22"/>
          <w:szCs w:val="22"/>
        </w:rPr>
        <w:t>Изготвяне на писма/становища във връзка с провеждане на мероприятия на територията на стопанството</w:t>
      </w:r>
      <w:r>
        <w:rPr>
          <w:sz w:val="22"/>
          <w:szCs w:val="22"/>
          <w:lang w:val="bg-BG"/>
        </w:rPr>
        <w:t>;</w:t>
      </w:r>
    </w:p>
    <w:p w14:paraId="12B0BA66" w14:textId="512436FB" w:rsidR="007A57F4" w:rsidRPr="0082710C" w:rsidRDefault="007A57F4" w:rsidP="008A491F">
      <w:pPr>
        <w:pStyle w:val="ListParagraph"/>
        <w:numPr>
          <w:ilvl w:val="0"/>
          <w:numId w:val="49"/>
        </w:numPr>
        <w:shd w:val="clear" w:color="auto" w:fill="FFFFFF" w:themeFill="background1"/>
        <w:ind w:left="0" w:firstLine="426"/>
        <w:jc w:val="both"/>
        <w:rPr>
          <w:sz w:val="22"/>
          <w:szCs w:val="22"/>
        </w:rPr>
      </w:pPr>
      <w:r w:rsidRPr="0082710C">
        <w:rPr>
          <w:sz w:val="22"/>
          <w:szCs w:val="22"/>
        </w:rPr>
        <w:t>Подготовка на документи за подписване на договор за отдаване на площи под наем за разполагане на телекомуникационни съоръжения</w:t>
      </w:r>
      <w:r>
        <w:rPr>
          <w:sz w:val="22"/>
          <w:szCs w:val="22"/>
          <w:lang w:val="bg-BG"/>
        </w:rPr>
        <w:t>;</w:t>
      </w:r>
    </w:p>
    <w:p w14:paraId="20EBA563" w14:textId="77777777" w:rsidR="007A57F4" w:rsidRPr="0082710C" w:rsidRDefault="007A57F4" w:rsidP="008A491F">
      <w:pPr>
        <w:pStyle w:val="ListParagraph"/>
        <w:numPr>
          <w:ilvl w:val="0"/>
          <w:numId w:val="49"/>
        </w:numPr>
        <w:shd w:val="clear" w:color="auto" w:fill="FFFFFF" w:themeFill="background1"/>
        <w:spacing w:after="120"/>
        <w:ind w:left="0" w:firstLine="425"/>
        <w:jc w:val="both"/>
        <w:rPr>
          <w:sz w:val="22"/>
          <w:szCs w:val="22"/>
        </w:rPr>
      </w:pPr>
      <w:r w:rsidRPr="0082710C">
        <w:rPr>
          <w:sz w:val="22"/>
          <w:szCs w:val="22"/>
        </w:rPr>
        <w:t>Изготвен правен анализ на стопанство „Евксиноград“.</w:t>
      </w:r>
    </w:p>
    <w:p w14:paraId="0B3481A3" w14:textId="12510DC6" w:rsidR="007A57F4" w:rsidRPr="00C11176" w:rsidRDefault="007A57F4" w:rsidP="008A491F">
      <w:pPr>
        <w:pStyle w:val="ListParagraph"/>
        <w:shd w:val="clear" w:color="auto" w:fill="FFFFFF" w:themeFill="background1"/>
        <w:spacing w:before="120"/>
        <w:ind w:left="709" w:hanging="284"/>
        <w:contextualSpacing/>
        <w:jc w:val="both"/>
        <w:rPr>
          <w:rFonts w:eastAsia="Calibri"/>
          <w:b/>
          <w:sz w:val="22"/>
          <w:szCs w:val="22"/>
          <w:u w:val="single"/>
          <w:lang w:eastAsia="en-US"/>
        </w:rPr>
      </w:pPr>
      <w:r w:rsidRPr="00C11176">
        <w:rPr>
          <w:rFonts w:eastAsia="Calibri"/>
          <w:b/>
          <w:sz w:val="22"/>
          <w:szCs w:val="22"/>
          <w:u w:val="single"/>
          <w:lang w:eastAsia="en-US"/>
        </w:rPr>
        <w:t>За комплекс „Бояна“:</w:t>
      </w:r>
    </w:p>
    <w:p w14:paraId="785E064E" w14:textId="1BD831F3" w:rsidR="007A57F4" w:rsidRPr="0082710C" w:rsidRDefault="007A57F4" w:rsidP="00F97AC5">
      <w:pPr>
        <w:shd w:val="clear" w:color="auto" w:fill="FFFFFF" w:themeFill="background1"/>
        <w:ind w:firstLine="425"/>
        <w:jc w:val="both"/>
        <w:rPr>
          <w:bCs/>
          <w:sz w:val="22"/>
          <w:szCs w:val="22"/>
        </w:rPr>
      </w:pPr>
      <w:r w:rsidRPr="0082710C">
        <w:rPr>
          <w:rFonts w:eastAsia="Calibri"/>
          <w:sz w:val="22"/>
          <w:szCs w:val="22"/>
          <w:lang w:eastAsia="en-US"/>
        </w:rPr>
        <w:t>По повод на иницииране на документи от управителя на  комплекс „Бояна“ са и</w:t>
      </w:r>
      <w:r w:rsidRPr="0082710C">
        <w:rPr>
          <w:sz w:val="22"/>
          <w:szCs w:val="22"/>
        </w:rPr>
        <w:t>зготвени проекти на мотивирани предложения, договори</w:t>
      </w:r>
      <w:r w:rsidRPr="0082710C">
        <w:rPr>
          <w:sz w:val="22"/>
          <w:szCs w:val="22"/>
          <w:lang w:val="ru-RU"/>
        </w:rPr>
        <w:t xml:space="preserve"> и</w:t>
      </w:r>
      <w:r w:rsidRPr="0082710C">
        <w:rPr>
          <w:sz w:val="22"/>
          <w:szCs w:val="22"/>
        </w:rPr>
        <w:t xml:space="preserve"> допълнителни споразумения на съществуващи договори, споразумения и протоколи, проекти на заповеди, представяни са докладни записки, правни становища, проекти на писма, консултации и мнения по правни въпроси, писмени и устни, свързани с дейността на обекта, като:</w:t>
      </w:r>
    </w:p>
    <w:p w14:paraId="4A24D21A" w14:textId="49B3BBD1" w:rsidR="007A57F4" w:rsidRPr="00206CC6" w:rsidRDefault="007A57F4" w:rsidP="00F97AC5">
      <w:pPr>
        <w:pStyle w:val="ListParagraph"/>
        <w:numPr>
          <w:ilvl w:val="0"/>
          <w:numId w:val="49"/>
        </w:numPr>
        <w:shd w:val="clear" w:color="auto" w:fill="FFFFFF" w:themeFill="background1"/>
        <w:ind w:left="0" w:firstLine="425"/>
        <w:jc w:val="both"/>
        <w:rPr>
          <w:sz w:val="22"/>
          <w:szCs w:val="22"/>
        </w:rPr>
      </w:pPr>
      <w:r w:rsidRPr="0082710C">
        <w:rPr>
          <w:sz w:val="22"/>
          <w:szCs w:val="22"/>
        </w:rPr>
        <w:t xml:space="preserve">Изготвени становища, писма и </w:t>
      </w:r>
      <w:r w:rsidRPr="00206CC6">
        <w:rPr>
          <w:sz w:val="22"/>
          <w:szCs w:val="22"/>
        </w:rPr>
        <w:t>проекти на договори, свързани с дейността на комплекс „Бояна“ за:</w:t>
      </w:r>
    </w:p>
    <w:p w14:paraId="019CFB5A" w14:textId="77777777" w:rsidR="007A57F4" w:rsidRPr="00206CC6" w:rsidRDefault="007A57F4" w:rsidP="008A491F">
      <w:pPr>
        <w:pStyle w:val="BodyText"/>
        <w:numPr>
          <w:ilvl w:val="0"/>
          <w:numId w:val="29"/>
        </w:numPr>
        <w:shd w:val="clear" w:color="auto" w:fill="FFFFFF" w:themeFill="background1"/>
        <w:tabs>
          <w:tab w:val="left" w:pos="426"/>
          <w:tab w:val="left" w:pos="709"/>
        </w:tabs>
        <w:spacing w:line="240" w:lineRule="auto"/>
        <w:ind w:left="426" w:firstLine="0"/>
        <w:rPr>
          <w:bCs/>
          <w:szCs w:val="22"/>
          <w:lang w:val="bg-BG"/>
        </w:rPr>
      </w:pPr>
      <w:r w:rsidRPr="00206CC6">
        <w:rPr>
          <w:bCs/>
          <w:szCs w:val="22"/>
          <w:lang w:val="bg-BG"/>
        </w:rPr>
        <w:t>абонаментно обслужване на фискално устройство, поставено в обект „Химическо чистене“ на комплекс „Бояна“ и на рецепция на Дом 2;</w:t>
      </w:r>
    </w:p>
    <w:p w14:paraId="7E635F3E" w14:textId="77777777" w:rsidR="007A57F4" w:rsidRPr="00206CC6" w:rsidRDefault="007A57F4" w:rsidP="008A491F">
      <w:pPr>
        <w:pStyle w:val="BodyText"/>
        <w:numPr>
          <w:ilvl w:val="0"/>
          <w:numId w:val="29"/>
        </w:numPr>
        <w:shd w:val="clear" w:color="auto" w:fill="FFFFFF" w:themeFill="background1"/>
        <w:tabs>
          <w:tab w:val="left" w:pos="426"/>
          <w:tab w:val="left" w:pos="709"/>
        </w:tabs>
        <w:spacing w:line="240" w:lineRule="auto"/>
        <w:ind w:left="426" w:firstLine="0"/>
        <w:rPr>
          <w:bCs/>
          <w:szCs w:val="22"/>
          <w:lang w:val="bg-BG"/>
        </w:rPr>
      </w:pPr>
      <w:r w:rsidRPr="00206CC6">
        <w:rPr>
          <w:bCs/>
          <w:szCs w:val="22"/>
          <w:lang w:val="bg-BG"/>
        </w:rPr>
        <w:t>становище/писма по повод охранително обследване на стратегически обект комплекс „Бояна“;</w:t>
      </w:r>
    </w:p>
    <w:p w14:paraId="4549CC87" w14:textId="77777777" w:rsidR="007A57F4" w:rsidRPr="00206CC6" w:rsidRDefault="007A57F4" w:rsidP="008A491F">
      <w:pPr>
        <w:pStyle w:val="BodyText"/>
        <w:numPr>
          <w:ilvl w:val="0"/>
          <w:numId w:val="29"/>
        </w:numPr>
        <w:shd w:val="clear" w:color="auto" w:fill="FFFFFF" w:themeFill="background1"/>
        <w:tabs>
          <w:tab w:val="left" w:pos="426"/>
          <w:tab w:val="left" w:pos="709"/>
        </w:tabs>
        <w:spacing w:line="240" w:lineRule="auto"/>
        <w:ind w:left="426" w:firstLine="0"/>
        <w:rPr>
          <w:bCs/>
          <w:szCs w:val="22"/>
          <w:lang w:val="bg-BG"/>
        </w:rPr>
      </w:pPr>
      <w:r w:rsidRPr="00206CC6">
        <w:rPr>
          <w:bCs/>
          <w:szCs w:val="22"/>
          <w:lang w:val="bg-BG"/>
        </w:rPr>
        <w:t>авариен ремонт на отклонение от уличен водопровод (УВ) на територията на комплекс „Бояна“; сервизна поддръжка на водогрейни котли, газови горелки и газова инсталация, находящи се в комплекс „Бояна“;</w:t>
      </w:r>
    </w:p>
    <w:p w14:paraId="3B3837ED" w14:textId="77777777" w:rsidR="007A57F4" w:rsidRPr="00206CC6" w:rsidRDefault="007A57F4" w:rsidP="008A491F">
      <w:pPr>
        <w:pStyle w:val="BodyText"/>
        <w:numPr>
          <w:ilvl w:val="0"/>
          <w:numId w:val="29"/>
        </w:numPr>
        <w:shd w:val="clear" w:color="auto" w:fill="FFFFFF" w:themeFill="background1"/>
        <w:tabs>
          <w:tab w:val="left" w:pos="426"/>
          <w:tab w:val="left" w:pos="709"/>
        </w:tabs>
        <w:spacing w:line="240" w:lineRule="auto"/>
        <w:ind w:left="426" w:firstLine="0"/>
        <w:rPr>
          <w:bCs/>
          <w:szCs w:val="22"/>
          <w:lang w:val="bg-BG"/>
        </w:rPr>
      </w:pPr>
      <w:r w:rsidRPr="00206CC6">
        <w:rPr>
          <w:bCs/>
          <w:szCs w:val="22"/>
          <w:lang w:val="bg-BG"/>
        </w:rPr>
        <w:t>изготвяне на документи, ведно с проект на допълнително споразумение във  връзка с изпълнение на договор № МС-129/04.11.2024 г. за извършване на геодезическо заснемане на част от терена на комплекс „Бояна“ за нуждите на Националния исторически музей;</w:t>
      </w:r>
    </w:p>
    <w:p w14:paraId="76C6539D" w14:textId="77777777" w:rsidR="007A57F4" w:rsidRPr="00206CC6" w:rsidRDefault="007A57F4" w:rsidP="008A491F">
      <w:pPr>
        <w:pStyle w:val="BodyText"/>
        <w:numPr>
          <w:ilvl w:val="0"/>
          <w:numId w:val="29"/>
        </w:numPr>
        <w:shd w:val="clear" w:color="auto" w:fill="FFFFFF" w:themeFill="background1"/>
        <w:tabs>
          <w:tab w:val="left" w:pos="426"/>
          <w:tab w:val="left" w:pos="709"/>
        </w:tabs>
        <w:spacing w:line="240" w:lineRule="auto"/>
        <w:ind w:left="426" w:firstLine="0"/>
        <w:rPr>
          <w:bCs/>
          <w:szCs w:val="22"/>
          <w:lang w:val="bg-BG"/>
        </w:rPr>
      </w:pPr>
      <w:r w:rsidRPr="00206CC6">
        <w:rPr>
          <w:bCs/>
          <w:szCs w:val="22"/>
          <w:lang w:val="bg-BG"/>
        </w:rPr>
        <w:t>доставка и монтаж на хладилна инсталация, находяща се в служебен стол на Министерския съвет;</w:t>
      </w:r>
    </w:p>
    <w:p w14:paraId="3182AA0B" w14:textId="77777777" w:rsidR="007A57F4" w:rsidRPr="00206CC6" w:rsidRDefault="007A57F4" w:rsidP="008A491F">
      <w:pPr>
        <w:pStyle w:val="BodyText"/>
        <w:numPr>
          <w:ilvl w:val="0"/>
          <w:numId w:val="29"/>
        </w:numPr>
        <w:shd w:val="clear" w:color="auto" w:fill="FFFFFF" w:themeFill="background1"/>
        <w:tabs>
          <w:tab w:val="left" w:pos="426"/>
          <w:tab w:val="left" w:pos="709"/>
        </w:tabs>
        <w:spacing w:line="240" w:lineRule="auto"/>
        <w:ind w:left="426" w:firstLine="0"/>
        <w:rPr>
          <w:bCs/>
          <w:szCs w:val="22"/>
          <w:lang w:val="bg-BG"/>
        </w:rPr>
      </w:pPr>
      <w:r w:rsidRPr="00206CC6">
        <w:rPr>
          <w:bCs/>
          <w:szCs w:val="22"/>
          <w:lang w:val="bg-BG"/>
        </w:rPr>
        <w:t>мотивирано предложение за провеждане на медицински прегледи на работниците и служителите на комплекса.</w:t>
      </w:r>
    </w:p>
    <w:p w14:paraId="7CC23325" w14:textId="77777777" w:rsidR="007A57F4" w:rsidRPr="0082710C" w:rsidRDefault="007A57F4" w:rsidP="008A491F">
      <w:pPr>
        <w:pStyle w:val="ListParagraph"/>
        <w:numPr>
          <w:ilvl w:val="0"/>
          <w:numId w:val="49"/>
        </w:numPr>
        <w:shd w:val="clear" w:color="auto" w:fill="FFFFFF" w:themeFill="background1"/>
        <w:ind w:left="0" w:firstLine="426"/>
        <w:jc w:val="both"/>
        <w:rPr>
          <w:sz w:val="22"/>
          <w:szCs w:val="22"/>
        </w:rPr>
      </w:pPr>
      <w:r w:rsidRPr="0082710C">
        <w:rPr>
          <w:sz w:val="22"/>
          <w:szCs w:val="22"/>
        </w:rPr>
        <w:t>Проверка, изготвяне на становища и съгласуване на месечни мотивирани предложения за заявки за доставки на материали и услуги.</w:t>
      </w:r>
    </w:p>
    <w:p w14:paraId="413119C3" w14:textId="77777777" w:rsidR="007A57F4" w:rsidRPr="0082710C" w:rsidRDefault="007A57F4" w:rsidP="008A491F">
      <w:pPr>
        <w:pStyle w:val="ListParagraph"/>
        <w:numPr>
          <w:ilvl w:val="0"/>
          <w:numId w:val="49"/>
        </w:numPr>
        <w:shd w:val="clear" w:color="auto" w:fill="FFFFFF" w:themeFill="background1"/>
        <w:ind w:left="0" w:firstLine="426"/>
        <w:jc w:val="both"/>
        <w:rPr>
          <w:sz w:val="22"/>
          <w:szCs w:val="22"/>
        </w:rPr>
      </w:pPr>
      <w:r w:rsidRPr="0082710C">
        <w:rPr>
          <w:sz w:val="22"/>
          <w:szCs w:val="22"/>
        </w:rPr>
        <w:t>Подготовка на документи за подписване на договор за отдаване на площи под наем за разполагане на телекомуникационни съоръжения.</w:t>
      </w:r>
    </w:p>
    <w:p w14:paraId="13B6297B" w14:textId="77777777" w:rsidR="007A57F4" w:rsidRPr="0082710C" w:rsidRDefault="007A57F4" w:rsidP="008A491F">
      <w:pPr>
        <w:pStyle w:val="ListParagraph"/>
        <w:numPr>
          <w:ilvl w:val="0"/>
          <w:numId w:val="49"/>
        </w:numPr>
        <w:shd w:val="clear" w:color="auto" w:fill="FFFFFF" w:themeFill="background1"/>
        <w:ind w:left="0" w:firstLine="426"/>
        <w:jc w:val="both"/>
        <w:rPr>
          <w:sz w:val="22"/>
          <w:szCs w:val="22"/>
        </w:rPr>
      </w:pPr>
      <w:r w:rsidRPr="0082710C">
        <w:rPr>
          <w:sz w:val="22"/>
          <w:szCs w:val="22"/>
        </w:rPr>
        <w:t>Изготвяне на множество писма, докладни записки и становище във връзка с преминаване на тласкателен водопровод през територията на комплекс „Бояна“.</w:t>
      </w:r>
    </w:p>
    <w:p w14:paraId="4E620CC7" w14:textId="77777777" w:rsidR="007A57F4" w:rsidRPr="0082710C" w:rsidRDefault="007A57F4" w:rsidP="008A491F">
      <w:pPr>
        <w:pStyle w:val="ListParagraph"/>
        <w:numPr>
          <w:ilvl w:val="0"/>
          <w:numId w:val="49"/>
        </w:numPr>
        <w:shd w:val="clear" w:color="auto" w:fill="FFFFFF" w:themeFill="background1"/>
        <w:ind w:left="0" w:firstLine="426"/>
        <w:jc w:val="both"/>
        <w:rPr>
          <w:sz w:val="22"/>
          <w:szCs w:val="22"/>
        </w:rPr>
      </w:pPr>
      <w:r w:rsidRPr="0082710C">
        <w:rPr>
          <w:sz w:val="22"/>
          <w:szCs w:val="22"/>
        </w:rPr>
        <w:t xml:space="preserve">Изготвяне на анализ за състоянието на комплекс „Бояна“. </w:t>
      </w:r>
    </w:p>
    <w:p w14:paraId="229117DE" w14:textId="77777777" w:rsidR="007A57F4" w:rsidRPr="0082710C" w:rsidRDefault="007A57F4" w:rsidP="008A491F">
      <w:pPr>
        <w:pStyle w:val="ListParagraph"/>
        <w:numPr>
          <w:ilvl w:val="0"/>
          <w:numId w:val="49"/>
        </w:numPr>
        <w:shd w:val="clear" w:color="auto" w:fill="FFFFFF" w:themeFill="background1"/>
        <w:ind w:left="0" w:firstLine="426"/>
        <w:jc w:val="both"/>
        <w:rPr>
          <w:sz w:val="22"/>
          <w:szCs w:val="22"/>
        </w:rPr>
      </w:pPr>
      <w:r w:rsidRPr="0082710C">
        <w:rPr>
          <w:sz w:val="22"/>
          <w:szCs w:val="22"/>
        </w:rPr>
        <w:t>Изготвяне на становище относно сформиране на работна група за обследване състоянието на парка на комплекс „Бояна“ и възможностите за неговото отваряне за обществено ползване.</w:t>
      </w:r>
    </w:p>
    <w:p w14:paraId="334D76DE" w14:textId="77777777" w:rsidR="007A57F4" w:rsidRPr="0082710C" w:rsidRDefault="007A57F4" w:rsidP="008A491F">
      <w:pPr>
        <w:pStyle w:val="ListParagraph"/>
        <w:numPr>
          <w:ilvl w:val="0"/>
          <w:numId w:val="49"/>
        </w:numPr>
        <w:shd w:val="clear" w:color="auto" w:fill="FFFFFF" w:themeFill="background1"/>
        <w:spacing w:after="120"/>
        <w:ind w:left="0" w:firstLine="425"/>
        <w:jc w:val="both"/>
        <w:rPr>
          <w:sz w:val="22"/>
          <w:szCs w:val="22"/>
        </w:rPr>
      </w:pPr>
      <w:r w:rsidRPr="0082710C">
        <w:rPr>
          <w:sz w:val="22"/>
          <w:szCs w:val="22"/>
        </w:rPr>
        <w:t>Изготвен правен анализ на комплекс „Бояна“.</w:t>
      </w:r>
    </w:p>
    <w:p w14:paraId="3DD5E69C" w14:textId="0D07FC2C" w:rsidR="007A57F4" w:rsidRPr="0082710C" w:rsidRDefault="007A57F4" w:rsidP="001F3A80">
      <w:pPr>
        <w:pStyle w:val="ListParagraph"/>
        <w:shd w:val="clear" w:color="auto" w:fill="FFFFFF" w:themeFill="background1"/>
        <w:spacing w:before="120"/>
        <w:ind w:left="709" w:hanging="284"/>
        <w:contextualSpacing/>
        <w:jc w:val="both"/>
        <w:rPr>
          <w:rFonts w:eastAsia="Calibri"/>
          <w:b/>
          <w:sz w:val="22"/>
          <w:szCs w:val="22"/>
          <w:u w:val="single"/>
          <w:lang w:eastAsia="en-US"/>
        </w:rPr>
      </w:pPr>
      <w:r w:rsidRPr="0082710C">
        <w:rPr>
          <w:rFonts w:eastAsia="Calibri"/>
          <w:b/>
          <w:sz w:val="22"/>
          <w:szCs w:val="22"/>
          <w:u w:val="single"/>
          <w:lang w:eastAsia="en-US"/>
        </w:rPr>
        <w:t>За обект „Шабла“:</w:t>
      </w:r>
    </w:p>
    <w:p w14:paraId="51FCBED8" w14:textId="7F8928C4" w:rsidR="007A57F4" w:rsidRPr="0082710C" w:rsidRDefault="007A57F4" w:rsidP="001F3A80">
      <w:pPr>
        <w:shd w:val="clear" w:color="auto" w:fill="FFFFFF" w:themeFill="background1"/>
        <w:ind w:firstLine="426"/>
        <w:jc w:val="both"/>
        <w:rPr>
          <w:sz w:val="22"/>
          <w:szCs w:val="22"/>
        </w:rPr>
      </w:pPr>
      <w:r w:rsidRPr="00206CC6">
        <w:rPr>
          <w:sz w:val="22"/>
          <w:szCs w:val="22"/>
        </w:rPr>
        <w:t>По повод на иницииране на документи</w:t>
      </w:r>
      <w:r w:rsidR="001F3A80">
        <w:rPr>
          <w:sz w:val="22"/>
          <w:szCs w:val="22"/>
        </w:rPr>
        <w:t xml:space="preserve"> от управителя на обект „Шабла“</w:t>
      </w:r>
      <w:r w:rsidRPr="00206CC6">
        <w:rPr>
          <w:sz w:val="22"/>
          <w:szCs w:val="22"/>
        </w:rPr>
        <w:t xml:space="preserve"> са и</w:t>
      </w:r>
      <w:r w:rsidRPr="0082710C">
        <w:rPr>
          <w:sz w:val="22"/>
          <w:szCs w:val="22"/>
        </w:rPr>
        <w:t>зготвени проекти на мотивирани предложения, договори</w:t>
      </w:r>
      <w:r w:rsidRPr="00206CC6">
        <w:rPr>
          <w:sz w:val="22"/>
          <w:szCs w:val="22"/>
        </w:rPr>
        <w:t xml:space="preserve"> и</w:t>
      </w:r>
      <w:r w:rsidRPr="0082710C">
        <w:rPr>
          <w:sz w:val="22"/>
          <w:szCs w:val="22"/>
        </w:rPr>
        <w:t xml:space="preserve"> допълнителни споразумения на съществ</w:t>
      </w:r>
      <w:r w:rsidR="001F3A80">
        <w:rPr>
          <w:sz w:val="22"/>
          <w:szCs w:val="22"/>
        </w:rPr>
        <w:t>уващи договори, споразумения и протоколи,</w:t>
      </w:r>
      <w:r w:rsidRPr="0082710C">
        <w:rPr>
          <w:sz w:val="22"/>
          <w:szCs w:val="22"/>
        </w:rPr>
        <w:t xml:space="preserve"> проекти на заповеди, представяни са докладни записки, правни </w:t>
      </w:r>
      <w:r w:rsidRPr="0082710C">
        <w:rPr>
          <w:sz w:val="22"/>
          <w:szCs w:val="22"/>
        </w:rPr>
        <w:lastRenderedPageBreak/>
        <w:t>становища, проекти на писма, консултации и мнения по правни въпроси, писмени и устни, свързани с дейността на обекта, като:</w:t>
      </w:r>
    </w:p>
    <w:p w14:paraId="68324BF1" w14:textId="77777777" w:rsidR="007A57F4" w:rsidRPr="00206CC6" w:rsidRDefault="007A57F4" w:rsidP="001F3A80">
      <w:pPr>
        <w:pStyle w:val="ListParagraph"/>
        <w:numPr>
          <w:ilvl w:val="0"/>
          <w:numId w:val="49"/>
        </w:numPr>
        <w:shd w:val="clear" w:color="auto" w:fill="FFFFFF" w:themeFill="background1"/>
        <w:ind w:left="0" w:firstLine="426"/>
        <w:jc w:val="both"/>
        <w:rPr>
          <w:sz w:val="22"/>
          <w:szCs w:val="22"/>
        </w:rPr>
      </w:pPr>
      <w:r w:rsidRPr="00206CC6">
        <w:rPr>
          <w:sz w:val="22"/>
          <w:szCs w:val="22"/>
        </w:rPr>
        <w:t>Изготвени становища, писма и проекти на договори, свързани с дейността на обект „Шабла“ за:</w:t>
      </w:r>
    </w:p>
    <w:p w14:paraId="6C9856D5" w14:textId="77777777" w:rsidR="007A57F4" w:rsidRPr="00206CC6" w:rsidRDefault="007A57F4" w:rsidP="001F3A80">
      <w:pPr>
        <w:pStyle w:val="BodyText"/>
        <w:numPr>
          <w:ilvl w:val="0"/>
          <w:numId w:val="29"/>
        </w:numPr>
        <w:shd w:val="clear" w:color="auto" w:fill="FFFFFF" w:themeFill="background1"/>
        <w:tabs>
          <w:tab w:val="left" w:pos="426"/>
          <w:tab w:val="left" w:pos="709"/>
        </w:tabs>
        <w:spacing w:line="240" w:lineRule="auto"/>
        <w:ind w:left="426" w:firstLine="0"/>
        <w:rPr>
          <w:bCs/>
          <w:szCs w:val="22"/>
          <w:lang w:val="bg-BG"/>
        </w:rPr>
      </w:pPr>
      <w:r w:rsidRPr="00206CC6">
        <w:rPr>
          <w:bCs/>
          <w:szCs w:val="22"/>
          <w:lang w:val="bg-BG"/>
        </w:rPr>
        <w:t>техническо обслужване и ремонт на фискално устройство за обект „Шабла“;</w:t>
      </w:r>
    </w:p>
    <w:p w14:paraId="2B481401" w14:textId="77777777" w:rsidR="007A57F4" w:rsidRPr="00206CC6" w:rsidRDefault="007A57F4" w:rsidP="001F3A80">
      <w:pPr>
        <w:pStyle w:val="BodyText"/>
        <w:numPr>
          <w:ilvl w:val="0"/>
          <w:numId w:val="29"/>
        </w:numPr>
        <w:shd w:val="clear" w:color="auto" w:fill="FFFFFF" w:themeFill="background1"/>
        <w:tabs>
          <w:tab w:val="left" w:pos="426"/>
          <w:tab w:val="left" w:pos="709"/>
        </w:tabs>
        <w:spacing w:line="240" w:lineRule="auto"/>
        <w:ind w:left="426" w:firstLine="0"/>
        <w:rPr>
          <w:bCs/>
          <w:szCs w:val="22"/>
          <w:lang w:val="bg-BG"/>
        </w:rPr>
      </w:pPr>
      <w:r w:rsidRPr="00206CC6">
        <w:rPr>
          <w:bCs/>
          <w:szCs w:val="22"/>
          <w:lang w:val="bg-BG"/>
        </w:rPr>
        <w:t xml:space="preserve">извършване на дезинфекция, дезинсекция и </w:t>
      </w:r>
      <w:proofErr w:type="spellStart"/>
      <w:r w:rsidRPr="00206CC6">
        <w:rPr>
          <w:bCs/>
          <w:szCs w:val="22"/>
          <w:lang w:val="bg-BG"/>
        </w:rPr>
        <w:t>дератизация</w:t>
      </w:r>
      <w:proofErr w:type="spellEnd"/>
      <w:r w:rsidRPr="00206CC6">
        <w:rPr>
          <w:bCs/>
          <w:szCs w:val="22"/>
          <w:lang w:val="bg-BG"/>
        </w:rPr>
        <w:t xml:space="preserve"> на сгради и площи в обект „Шабла“;</w:t>
      </w:r>
    </w:p>
    <w:p w14:paraId="07343020" w14:textId="77777777" w:rsidR="007A57F4" w:rsidRPr="00206CC6" w:rsidRDefault="007A57F4" w:rsidP="001F3A80">
      <w:pPr>
        <w:pStyle w:val="BodyText"/>
        <w:numPr>
          <w:ilvl w:val="0"/>
          <w:numId w:val="29"/>
        </w:numPr>
        <w:shd w:val="clear" w:color="auto" w:fill="FFFFFF" w:themeFill="background1"/>
        <w:tabs>
          <w:tab w:val="left" w:pos="426"/>
          <w:tab w:val="left" w:pos="709"/>
        </w:tabs>
        <w:spacing w:line="240" w:lineRule="auto"/>
        <w:ind w:left="426" w:firstLine="0"/>
        <w:rPr>
          <w:bCs/>
          <w:szCs w:val="22"/>
          <w:lang w:val="bg-BG"/>
        </w:rPr>
      </w:pPr>
      <w:r w:rsidRPr="00206CC6">
        <w:rPr>
          <w:bCs/>
          <w:szCs w:val="22"/>
          <w:lang w:val="bg-BG"/>
        </w:rPr>
        <w:t>мотивирано предложение за провеждане на медицински прегледи на работниците и служителите на комплекса.</w:t>
      </w:r>
    </w:p>
    <w:p w14:paraId="7826F338" w14:textId="77777777" w:rsidR="007A57F4" w:rsidRPr="0082710C" w:rsidRDefault="007A57F4" w:rsidP="00284F38">
      <w:pPr>
        <w:pStyle w:val="ListParagraph"/>
        <w:numPr>
          <w:ilvl w:val="0"/>
          <w:numId w:val="49"/>
        </w:numPr>
        <w:shd w:val="clear" w:color="auto" w:fill="FFFFFF" w:themeFill="background1"/>
        <w:ind w:left="0" w:firstLine="426"/>
        <w:jc w:val="both"/>
        <w:rPr>
          <w:sz w:val="22"/>
          <w:szCs w:val="22"/>
        </w:rPr>
      </w:pPr>
      <w:r w:rsidRPr="0082710C">
        <w:rPr>
          <w:sz w:val="22"/>
          <w:szCs w:val="22"/>
        </w:rPr>
        <w:t>Проверка, изготвяне на становища и съгласуване на месечни мотивирани предложения за заявки за доставки на материали и услуги.</w:t>
      </w:r>
    </w:p>
    <w:p w14:paraId="094DA302" w14:textId="77777777" w:rsidR="007A57F4" w:rsidRPr="0082710C" w:rsidRDefault="007A57F4" w:rsidP="00284F38">
      <w:pPr>
        <w:pStyle w:val="ListParagraph"/>
        <w:numPr>
          <w:ilvl w:val="0"/>
          <w:numId w:val="49"/>
        </w:numPr>
        <w:shd w:val="clear" w:color="auto" w:fill="FFFFFF" w:themeFill="background1"/>
        <w:ind w:left="0" w:firstLine="426"/>
        <w:jc w:val="both"/>
        <w:rPr>
          <w:sz w:val="22"/>
          <w:szCs w:val="22"/>
        </w:rPr>
      </w:pPr>
      <w:r w:rsidRPr="0082710C">
        <w:rPr>
          <w:sz w:val="22"/>
          <w:szCs w:val="22"/>
        </w:rPr>
        <w:t>Изготвяне на писма за освобождаване на гаранции.</w:t>
      </w:r>
    </w:p>
    <w:p w14:paraId="02733A5A" w14:textId="77777777" w:rsidR="007A57F4" w:rsidRPr="0082710C" w:rsidRDefault="007A57F4" w:rsidP="00284F38">
      <w:pPr>
        <w:pStyle w:val="ListParagraph"/>
        <w:numPr>
          <w:ilvl w:val="0"/>
          <w:numId w:val="49"/>
        </w:numPr>
        <w:shd w:val="clear" w:color="auto" w:fill="FFFFFF" w:themeFill="background1"/>
        <w:ind w:left="0" w:firstLine="426"/>
        <w:jc w:val="both"/>
        <w:rPr>
          <w:sz w:val="22"/>
          <w:szCs w:val="22"/>
        </w:rPr>
      </w:pPr>
      <w:r w:rsidRPr="0082710C">
        <w:rPr>
          <w:sz w:val="22"/>
          <w:szCs w:val="22"/>
        </w:rPr>
        <w:t xml:space="preserve">Изготвяне на докладна записка във връзка с </w:t>
      </w:r>
      <w:r w:rsidRPr="00206CC6">
        <w:rPr>
          <w:sz w:val="22"/>
          <w:szCs w:val="22"/>
        </w:rPr>
        <w:t>плащане на такса битови отпадъци за обект „Шабла“ за 2025 г.</w:t>
      </w:r>
    </w:p>
    <w:p w14:paraId="19925222" w14:textId="4A1AC8E7" w:rsidR="007A57F4" w:rsidRPr="0082710C" w:rsidRDefault="007A57F4" w:rsidP="00284F38">
      <w:pPr>
        <w:pStyle w:val="ListParagraph"/>
        <w:numPr>
          <w:ilvl w:val="0"/>
          <w:numId w:val="49"/>
        </w:numPr>
        <w:shd w:val="clear" w:color="auto" w:fill="FFFFFF" w:themeFill="background1"/>
        <w:ind w:left="0" w:firstLine="426"/>
        <w:jc w:val="both"/>
        <w:rPr>
          <w:sz w:val="22"/>
          <w:szCs w:val="22"/>
        </w:rPr>
      </w:pPr>
      <w:r w:rsidRPr="0082710C">
        <w:rPr>
          <w:sz w:val="22"/>
          <w:szCs w:val="22"/>
        </w:rPr>
        <w:t xml:space="preserve">Преписка относно собствеността на </w:t>
      </w:r>
      <w:r w:rsidRPr="00206CC6">
        <w:rPr>
          <w:sz w:val="22"/>
          <w:szCs w:val="22"/>
        </w:rPr>
        <w:t>изградено г</w:t>
      </w:r>
      <w:r w:rsidRPr="0082710C">
        <w:rPr>
          <w:sz w:val="22"/>
          <w:szCs w:val="22"/>
        </w:rPr>
        <w:t xml:space="preserve">равитачно преливно съоръжение тип широк праг на „Шабленско езеро“ и на дървена пътека с ширина 1.20 м и дължина 30 м, разположени в поземлен имот с идентификатор 83017.44.18 гр. Шабла </w:t>
      </w:r>
      <w:r w:rsidR="00206CC6">
        <w:rPr>
          <w:sz w:val="22"/>
          <w:szCs w:val="22"/>
        </w:rPr>
        <w:t>–</w:t>
      </w:r>
      <w:r w:rsidRPr="0082710C">
        <w:rPr>
          <w:sz w:val="22"/>
          <w:szCs w:val="22"/>
        </w:rPr>
        <w:t xml:space="preserve"> </w:t>
      </w:r>
      <w:r w:rsidRPr="00206CC6">
        <w:rPr>
          <w:sz w:val="22"/>
          <w:szCs w:val="22"/>
        </w:rPr>
        <w:t>публична държавна собственост, предоставен за управление на АМС.</w:t>
      </w:r>
    </w:p>
    <w:p w14:paraId="1D65A81D" w14:textId="77777777" w:rsidR="007A57F4" w:rsidRPr="0082710C" w:rsidRDefault="007A57F4" w:rsidP="00284F38">
      <w:pPr>
        <w:pStyle w:val="ListParagraph"/>
        <w:numPr>
          <w:ilvl w:val="0"/>
          <w:numId w:val="49"/>
        </w:numPr>
        <w:shd w:val="clear" w:color="auto" w:fill="FFFFFF" w:themeFill="background1"/>
        <w:spacing w:after="120"/>
        <w:ind w:left="0" w:firstLine="425"/>
        <w:jc w:val="both"/>
        <w:rPr>
          <w:sz w:val="22"/>
          <w:szCs w:val="22"/>
        </w:rPr>
      </w:pPr>
      <w:r w:rsidRPr="0082710C">
        <w:rPr>
          <w:sz w:val="22"/>
          <w:szCs w:val="22"/>
        </w:rPr>
        <w:t>Изготвен правен анализ на обект „Шабла“.</w:t>
      </w:r>
    </w:p>
    <w:p w14:paraId="5FEF2F22" w14:textId="1856B41E" w:rsidR="007A57F4" w:rsidRPr="00206CC6" w:rsidRDefault="007A57F4" w:rsidP="00284F38">
      <w:pPr>
        <w:pStyle w:val="ListParagraph"/>
        <w:shd w:val="clear" w:color="auto" w:fill="FFFFFF" w:themeFill="background1"/>
        <w:ind w:left="709" w:hanging="283"/>
        <w:contextualSpacing/>
        <w:jc w:val="both"/>
        <w:rPr>
          <w:rFonts w:eastAsia="Calibri"/>
          <w:b/>
          <w:sz w:val="22"/>
          <w:szCs w:val="22"/>
          <w:u w:val="single"/>
          <w:lang w:eastAsia="en-US"/>
        </w:rPr>
      </w:pPr>
      <w:r w:rsidRPr="00206CC6">
        <w:rPr>
          <w:rFonts w:eastAsia="Calibri"/>
          <w:b/>
          <w:sz w:val="22"/>
          <w:szCs w:val="22"/>
          <w:u w:val="single"/>
          <w:lang w:eastAsia="en-US"/>
        </w:rPr>
        <w:t xml:space="preserve">За почивна база „Орлица“ </w:t>
      </w:r>
      <w:r w:rsidR="00206CC6">
        <w:rPr>
          <w:rFonts w:eastAsia="Calibri"/>
          <w:b/>
          <w:sz w:val="22"/>
          <w:szCs w:val="22"/>
          <w:u w:val="single"/>
          <w:lang w:eastAsia="en-US"/>
        </w:rPr>
        <w:t>–</w:t>
      </w:r>
      <w:r w:rsidRPr="00206CC6">
        <w:rPr>
          <w:rFonts w:eastAsia="Calibri"/>
          <w:b/>
          <w:sz w:val="22"/>
          <w:szCs w:val="22"/>
          <w:u w:val="single"/>
          <w:lang w:eastAsia="en-US"/>
        </w:rPr>
        <w:t xml:space="preserve"> Пампорово:</w:t>
      </w:r>
    </w:p>
    <w:p w14:paraId="75F019F1" w14:textId="12BAC71C" w:rsidR="007A57F4" w:rsidRPr="0082710C" w:rsidRDefault="007A57F4" w:rsidP="00C039B9">
      <w:pPr>
        <w:shd w:val="clear" w:color="auto" w:fill="FFFFFF" w:themeFill="background1"/>
        <w:ind w:firstLine="425"/>
        <w:jc w:val="both"/>
        <w:rPr>
          <w:sz w:val="22"/>
          <w:szCs w:val="22"/>
        </w:rPr>
      </w:pPr>
      <w:r w:rsidRPr="0082710C">
        <w:rPr>
          <w:sz w:val="22"/>
          <w:szCs w:val="22"/>
        </w:rPr>
        <w:t>По повод инициирани документи от почивна база „Орлица“</w:t>
      </w:r>
      <w:r w:rsidR="00206CC6">
        <w:rPr>
          <w:sz w:val="22"/>
          <w:szCs w:val="22"/>
        </w:rPr>
        <w:t xml:space="preserve"> – </w:t>
      </w:r>
      <w:r w:rsidRPr="0082710C">
        <w:rPr>
          <w:sz w:val="22"/>
          <w:szCs w:val="22"/>
        </w:rPr>
        <w:t>Пампорово относно увеличаване на щатните им бройки със сезонен характер са изготвени писма и докладни записки.</w:t>
      </w:r>
    </w:p>
    <w:p w14:paraId="172036A7" w14:textId="77777777" w:rsidR="007A57F4" w:rsidRPr="00FB2667" w:rsidRDefault="007A57F4" w:rsidP="00C039B9">
      <w:pPr>
        <w:shd w:val="clear" w:color="auto" w:fill="FFFFFF" w:themeFill="background1"/>
        <w:ind w:firstLine="425"/>
        <w:contextualSpacing/>
        <w:jc w:val="both"/>
        <w:rPr>
          <w:b/>
          <w:sz w:val="22"/>
          <w:szCs w:val="22"/>
        </w:rPr>
      </w:pPr>
      <w:r w:rsidRPr="00FB2667">
        <w:rPr>
          <w:b/>
          <w:sz w:val="22"/>
          <w:szCs w:val="22"/>
        </w:rPr>
        <w:t>Относно ползването на обектите, предоставени за представителни и социални нужди са извършени следните дейности:</w:t>
      </w:r>
    </w:p>
    <w:p w14:paraId="49DD6123" w14:textId="51698DAB" w:rsidR="007A57F4" w:rsidRPr="0082710C" w:rsidRDefault="007A57F4" w:rsidP="00C039B9">
      <w:pPr>
        <w:numPr>
          <w:ilvl w:val="0"/>
          <w:numId w:val="5"/>
        </w:numPr>
        <w:shd w:val="clear" w:color="auto" w:fill="FFFFFF" w:themeFill="background1"/>
        <w:tabs>
          <w:tab w:val="clear" w:pos="360"/>
          <w:tab w:val="num" w:pos="142"/>
        </w:tabs>
        <w:ind w:left="0" w:firstLine="425"/>
        <w:jc w:val="both"/>
        <w:rPr>
          <w:sz w:val="22"/>
          <w:szCs w:val="22"/>
        </w:rPr>
      </w:pPr>
      <w:r w:rsidRPr="0082710C">
        <w:rPr>
          <w:sz w:val="22"/>
          <w:szCs w:val="22"/>
        </w:rPr>
        <w:t>През отчетния период е организирано провеждането на официални мероприятия, както следва:</w:t>
      </w:r>
    </w:p>
    <w:p w14:paraId="4CE44598" w14:textId="74C79D64" w:rsidR="007A57F4" w:rsidRPr="0082710C" w:rsidRDefault="007A57F4" w:rsidP="00C039B9">
      <w:pPr>
        <w:pStyle w:val="ListParagraph"/>
        <w:numPr>
          <w:ilvl w:val="0"/>
          <w:numId w:val="46"/>
        </w:numPr>
        <w:shd w:val="clear" w:color="auto" w:fill="FFFFFF" w:themeFill="background1"/>
        <w:ind w:left="0" w:firstLine="425"/>
        <w:jc w:val="both"/>
        <w:rPr>
          <w:sz w:val="22"/>
          <w:szCs w:val="22"/>
        </w:rPr>
      </w:pPr>
      <w:r w:rsidRPr="0082710C">
        <w:rPr>
          <w:sz w:val="22"/>
          <w:szCs w:val="22"/>
        </w:rPr>
        <w:t xml:space="preserve">комплекс „Бояна“ – 33 бр., от които 20 бр. на АМС, 13 бр. </w:t>
      </w:r>
      <w:r w:rsidR="00762510">
        <w:rPr>
          <w:sz w:val="22"/>
          <w:szCs w:val="22"/>
        </w:rPr>
        <w:t>–</w:t>
      </w:r>
      <w:r w:rsidRPr="0082710C">
        <w:rPr>
          <w:sz w:val="22"/>
          <w:szCs w:val="22"/>
        </w:rPr>
        <w:t xml:space="preserve"> представителни мероприятия;</w:t>
      </w:r>
    </w:p>
    <w:p w14:paraId="6C4EB5CD" w14:textId="2E730E1A" w:rsidR="007A57F4" w:rsidRPr="0082710C" w:rsidRDefault="007A57F4" w:rsidP="00C039B9">
      <w:pPr>
        <w:pStyle w:val="ListParagraph"/>
        <w:numPr>
          <w:ilvl w:val="0"/>
          <w:numId w:val="46"/>
        </w:numPr>
        <w:shd w:val="clear" w:color="auto" w:fill="FFFFFF" w:themeFill="background1"/>
        <w:ind w:left="0" w:firstLine="425"/>
        <w:jc w:val="both"/>
        <w:rPr>
          <w:sz w:val="22"/>
          <w:szCs w:val="22"/>
        </w:rPr>
      </w:pPr>
      <w:r w:rsidRPr="0082710C">
        <w:rPr>
          <w:sz w:val="22"/>
          <w:szCs w:val="22"/>
        </w:rPr>
        <w:t>стопанство „Евксиноград“</w:t>
      </w:r>
      <w:r w:rsidR="00762510">
        <w:rPr>
          <w:sz w:val="22"/>
          <w:szCs w:val="22"/>
          <w:lang w:val="bg-BG"/>
        </w:rPr>
        <w:t xml:space="preserve"> </w:t>
      </w:r>
      <w:r w:rsidR="00762510">
        <w:rPr>
          <w:sz w:val="22"/>
          <w:szCs w:val="22"/>
        </w:rPr>
        <w:t>–</w:t>
      </w:r>
      <w:r w:rsidRPr="0082710C">
        <w:rPr>
          <w:sz w:val="22"/>
          <w:szCs w:val="22"/>
        </w:rPr>
        <w:t xml:space="preserve"> 0 бр.;</w:t>
      </w:r>
    </w:p>
    <w:p w14:paraId="22A174A8" w14:textId="41155AE9" w:rsidR="007A57F4" w:rsidRPr="0082710C" w:rsidRDefault="007A57F4" w:rsidP="00C039B9">
      <w:pPr>
        <w:pStyle w:val="ListParagraph"/>
        <w:numPr>
          <w:ilvl w:val="0"/>
          <w:numId w:val="46"/>
        </w:numPr>
        <w:shd w:val="clear" w:color="auto" w:fill="FFFFFF" w:themeFill="background1"/>
        <w:ind w:left="0" w:firstLine="425"/>
        <w:jc w:val="both"/>
        <w:rPr>
          <w:sz w:val="22"/>
          <w:szCs w:val="22"/>
        </w:rPr>
      </w:pPr>
      <w:r w:rsidRPr="0082710C">
        <w:rPr>
          <w:sz w:val="22"/>
          <w:szCs w:val="22"/>
        </w:rPr>
        <w:t xml:space="preserve">обект „Шабла“ </w:t>
      </w:r>
      <w:r w:rsidR="00762510">
        <w:rPr>
          <w:sz w:val="22"/>
          <w:szCs w:val="22"/>
        </w:rPr>
        <w:t>–</w:t>
      </w:r>
      <w:r w:rsidRPr="0082710C">
        <w:rPr>
          <w:sz w:val="22"/>
          <w:szCs w:val="22"/>
        </w:rPr>
        <w:t xml:space="preserve"> 0 бр. </w:t>
      </w:r>
    </w:p>
    <w:p w14:paraId="27051C30" w14:textId="3C86FFD1" w:rsidR="007A57F4" w:rsidRPr="0082710C" w:rsidRDefault="007A57F4" w:rsidP="00C039B9">
      <w:pPr>
        <w:shd w:val="clear" w:color="auto" w:fill="FFFFFF" w:themeFill="background1"/>
        <w:ind w:firstLine="425"/>
        <w:jc w:val="both"/>
        <w:rPr>
          <w:sz w:val="22"/>
          <w:szCs w:val="22"/>
        </w:rPr>
      </w:pPr>
      <w:r w:rsidRPr="0082710C">
        <w:rPr>
          <w:sz w:val="22"/>
          <w:szCs w:val="22"/>
        </w:rPr>
        <w:t>За проведените официални мероприятия на АМС са изготвени протоколи за вътрешни разчети.</w:t>
      </w:r>
    </w:p>
    <w:p w14:paraId="0A171809" w14:textId="77777777" w:rsidR="007A57F4" w:rsidRPr="0082710C" w:rsidRDefault="007A57F4" w:rsidP="00C039B9">
      <w:pPr>
        <w:numPr>
          <w:ilvl w:val="0"/>
          <w:numId w:val="5"/>
        </w:numPr>
        <w:shd w:val="clear" w:color="auto" w:fill="FFFFFF" w:themeFill="background1"/>
        <w:tabs>
          <w:tab w:val="clear" w:pos="360"/>
          <w:tab w:val="num" w:pos="142"/>
        </w:tabs>
        <w:ind w:left="0" w:firstLine="425"/>
        <w:jc w:val="both"/>
        <w:rPr>
          <w:sz w:val="22"/>
          <w:szCs w:val="22"/>
        </w:rPr>
      </w:pPr>
      <w:r w:rsidRPr="0082710C">
        <w:rPr>
          <w:sz w:val="22"/>
          <w:szCs w:val="22"/>
        </w:rPr>
        <w:t>Проведени мероприятия на външни лица в отчетния период:</w:t>
      </w:r>
    </w:p>
    <w:p w14:paraId="3301C665" w14:textId="44FF2FDF" w:rsidR="007A57F4" w:rsidRPr="0082710C" w:rsidRDefault="007A57F4" w:rsidP="00C039B9">
      <w:pPr>
        <w:pStyle w:val="ListParagraph"/>
        <w:numPr>
          <w:ilvl w:val="0"/>
          <w:numId w:val="46"/>
        </w:numPr>
        <w:shd w:val="clear" w:color="auto" w:fill="FFFFFF" w:themeFill="background1"/>
        <w:ind w:left="0" w:firstLine="425"/>
        <w:jc w:val="both"/>
        <w:rPr>
          <w:sz w:val="22"/>
          <w:szCs w:val="22"/>
        </w:rPr>
      </w:pPr>
      <w:r w:rsidRPr="0082710C">
        <w:rPr>
          <w:sz w:val="22"/>
          <w:szCs w:val="22"/>
        </w:rPr>
        <w:t xml:space="preserve">комплекс „Бояна“ </w:t>
      </w:r>
      <w:r w:rsidR="007256CC">
        <w:rPr>
          <w:sz w:val="22"/>
          <w:szCs w:val="22"/>
        </w:rPr>
        <w:t>–</w:t>
      </w:r>
      <w:r w:rsidRPr="0082710C">
        <w:rPr>
          <w:sz w:val="22"/>
          <w:szCs w:val="22"/>
        </w:rPr>
        <w:t xml:space="preserve"> 17 бр.</w:t>
      </w:r>
    </w:p>
    <w:p w14:paraId="6624E236" w14:textId="77777777" w:rsidR="007A57F4" w:rsidRPr="0082710C" w:rsidRDefault="007A57F4" w:rsidP="00C039B9">
      <w:pPr>
        <w:pStyle w:val="ListParagraph"/>
        <w:numPr>
          <w:ilvl w:val="0"/>
          <w:numId w:val="46"/>
        </w:numPr>
        <w:shd w:val="clear" w:color="auto" w:fill="FFFFFF" w:themeFill="background1"/>
        <w:ind w:left="0" w:firstLine="425"/>
        <w:jc w:val="both"/>
        <w:rPr>
          <w:sz w:val="22"/>
          <w:szCs w:val="22"/>
        </w:rPr>
      </w:pPr>
      <w:r w:rsidRPr="0082710C">
        <w:rPr>
          <w:sz w:val="22"/>
          <w:szCs w:val="22"/>
        </w:rPr>
        <w:t>стопанство „Евксиноград“ – 1 бр.</w:t>
      </w:r>
    </w:p>
    <w:p w14:paraId="3007236F" w14:textId="77777777" w:rsidR="007A57F4" w:rsidRPr="0082710C" w:rsidRDefault="007A57F4" w:rsidP="00C039B9">
      <w:pPr>
        <w:pStyle w:val="ListParagraph"/>
        <w:numPr>
          <w:ilvl w:val="0"/>
          <w:numId w:val="46"/>
        </w:numPr>
        <w:shd w:val="clear" w:color="auto" w:fill="FFFFFF" w:themeFill="background1"/>
        <w:ind w:left="0" w:firstLine="425"/>
        <w:jc w:val="both"/>
        <w:rPr>
          <w:sz w:val="22"/>
          <w:szCs w:val="22"/>
        </w:rPr>
      </w:pPr>
      <w:r w:rsidRPr="0082710C">
        <w:rPr>
          <w:sz w:val="22"/>
          <w:szCs w:val="22"/>
        </w:rPr>
        <w:t>обект „Шабла“ – 0 бр.</w:t>
      </w:r>
    </w:p>
    <w:p w14:paraId="1CE72FCB" w14:textId="77777777" w:rsidR="007A57F4" w:rsidRPr="007256CC" w:rsidRDefault="007A57F4" w:rsidP="00C039B9">
      <w:pPr>
        <w:numPr>
          <w:ilvl w:val="0"/>
          <w:numId w:val="5"/>
        </w:numPr>
        <w:shd w:val="clear" w:color="auto" w:fill="FFFFFF" w:themeFill="background1"/>
        <w:tabs>
          <w:tab w:val="clear" w:pos="360"/>
          <w:tab w:val="num" w:pos="142"/>
        </w:tabs>
        <w:ind w:left="0" w:firstLine="425"/>
        <w:jc w:val="both"/>
        <w:rPr>
          <w:sz w:val="22"/>
          <w:szCs w:val="22"/>
        </w:rPr>
      </w:pPr>
      <w:r w:rsidRPr="0082710C">
        <w:rPr>
          <w:sz w:val="22"/>
          <w:szCs w:val="22"/>
        </w:rPr>
        <w:t>През отчетния период реализирани нощувки от мероприятия и индивидуални ползватели, както следва:</w:t>
      </w:r>
    </w:p>
    <w:p w14:paraId="6C2149BF" w14:textId="3D9B5B36" w:rsidR="007A57F4" w:rsidRPr="0082710C" w:rsidRDefault="007A57F4" w:rsidP="00C039B9">
      <w:pPr>
        <w:pStyle w:val="ListParagraph"/>
        <w:numPr>
          <w:ilvl w:val="0"/>
          <w:numId w:val="46"/>
        </w:numPr>
        <w:shd w:val="clear" w:color="auto" w:fill="FFFFFF" w:themeFill="background1"/>
        <w:ind w:left="0" w:firstLine="425"/>
        <w:jc w:val="both"/>
        <w:rPr>
          <w:sz w:val="22"/>
          <w:szCs w:val="22"/>
        </w:rPr>
      </w:pPr>
      <w:r w:rsidRPr="0082710C">
        <w:rPr>
          <w:sz w:val="22"/>
          <w:szCs w:val="22"/>
        </w:rPr>
        <w:t xml:space="preserve">комплекс „Бояна“ </w:t>
      </w:r>
      <w:r w:rsidR="00C03C31">
        <w:rPr>
          <w:sz w:val="22"/>
          <w:szCs w:val="22"/>
        </w:rPr>
        <w:t>–</w:t>
      </w:r>
      <w:r w:rsidRPr="0082710C">
        <w:rPr>
          <w:sz w:val="22"/>
          <w:szCs w:val="22"/>
        </w:rPr>
        <w:t xml:space="preserve"> 418 нощувки, реализирани </w:t>
      </w:r>
      <w:r w:rsidRPr="007256CC">
        <w:rPr>
          <w:sz w:val="22"/>
          <w:szCs w:val="22"/>
        </w:rPr>
        <w:t xml:space="preserve">нетни приходи в размер на </w:t>
      </w:r>
      <w:r w:rsidRPr="0082710C">
        <w:rPr>
          <w:sz w:val="22"/>
          <w:szCs w:val="22"/>
        </w:rPr>
        <w:t>28</w:t>
      </w:r>
      <w:r w:rsidR="00C03C31">
        <w:rPr>
          <w:sz w:val="22"/>
          <w:szCs w:val="22"/>
        </w:rPr>
        <w:t> </w:t>
      </w:r>
      <w:r w:rsidRPr="0082710C">
        <w:rPr>
          <w:sz w:val="22"/>
          <w:szCs w:val="22"/>
        </w:rPr>
        <w:t>209</w:t>
      </w:r>
      <w:r w:rsidR="00C03C31">
        <w:rPr>
          <w:sz w:val="22"/>
          <w:szCs w:val="22"/>
          <w:lang w:val="bg-BG"/>
        </w:rPr>
        <w:t>.</w:t>
      </w:r>
      <w:r w:rsidRPr="0082710C">
        <w:rPr>
          <w:sz w:val="22"/>
          <w:szCs w:val="22"/>
        </w:rPr>
        <w:t>00 лв.</w:t>
      </w:r>
    </w:p>
    <w:p w14:paraId="54171DC5" w14:textId="3290867C" w:rsidR="007A57F4" w:rsidRPr="0082710C" w:rsidRDefault="007A57F4" w:rsidP="00C039B9">
      <w:pPr>
        <w:pStyle w:val="ListParagraph"/>
        <w:numPr>
          <w:ilvl w:val="0"/>
          <w:numId w:val="46"/>
        </w:numPr>
        <w:shd w:val="clear" w:color="auto" w:fill="FFFFFF" w:themeFill="background1"/>
        <w:ind w:left="0" w:firstLine="425"/>
        <w:jc w:val="both"/>
        <w:rPr>
          <w:sz w:val="22"/>
          <w:szCs w:val="22"/>
        </w:rPr>
      </w:pPr>
      <w:r w:rsidRPr="0082710C">
        <w:rPr>
          <w:sz w:val="22"/>
          <w:szCs w:val="22"/>
        </w:rPr>
        <w:t xml:space="preserve">стопанство „Евксиноград“ – 951 нощувки, реализирани нетни приходи в размер на </w:t>
      </w:r>
      <w:r w:rsidR="00C03C31">
        <w:rPr>
          <w:sz w:val="22"/>
          <w:szCs w:val="22"/>
          <w:lang w:val="bg-BG"/>
        </w:rPr>
        <w:br/>
      </w:r>
      <w:r w:rsidRPr="0082710C">
        <w:rPr>
          <w:sz w:val="22"/>
          <w:szCs w:val="22"/>
        </w:rPr>
        <w:t>76</w:t>
      </w:r>
      <w:r w:rsidR="00C03C31">
        <w:rPr>
          <w:sz w:val="22"/>
          <w:szCs w:val="22"/>
          <w:lang w:val="bg-BG"/>
        </w:rPr>
        <w:t xml:space="preserve"> </w:t>
      </w:r>
      <w:r w:rsidRPr="0082710C">
        <w:rPr>
          <w:sz w:val="22"/>
          <w:szCs w:val="22"/>
        </w:rPr>
        <w:t>041</w:t>
      </w:r>
      <w:r w:rsidR="00C03C31">
        <w:rPr>
          <w:sz w:val="22"/>
          <w:szCs w:val="22"/>
          <w:lang w:val="bg-BG"/>
        </w:rPr>
        <w:t>.</w:t>
      </w:r>
      <w:r w:rsidRPr="0082710C">
        <w:rPr>
          <w:sz w:val="22"/>
          <w:szCs w:val="22"/>
        </w:rPr>
        <w:t>00 лв.</w:t>
      </w:r>
    </w:p>
    <w:p w14:paraId="15DDF24D" w14:textId="47E1AEDF" w:rsidR="007A57F4" w:rsidRPr="0082710C" w:rsidRDefault="007A57F4" w:rsidP="00C039B9">
      <w:pPr>
        <w:pStyle w:val="ListParagraph"/>
        <w:numPr>
          <w:ilvl w:val="0"/>
          <w:numId w:val="46"/>
        </w:numPr>
        <w:shd w:val="clear" w:color="auto" w:fill="FFFFFF" w:themeFill="background1"/>
        <w:ind w:left="0" w:firstLine="425"/>
        <w:jc w:val="both"/>
        <w:rPr>
          <w:sz w:val="22"/>
          <w:szCs w:val="22"/>
        </w:rPr>
      </w:pPr>
      <w:r w:rsidRPr="0082710C">
        <w:rPr>
          <w:sz w:val="22"/>
          <w:szCs w:val="22"/>
        </w:rPr>
        <w:t>обект „Шабла“ – 75 нощувки, реализирани нетни приходи в размер на 2</w:t>
      </w:r>
      <w:r w:rsidR="00C03C31">
        <w:rPr>
          <w:sz w:val="22"/>
          <w:szCs w:val="22"/>
        </w:rPr>
        <w:t> </w:t>
      </w:r>
      <w:r w:rsidRPr="0082710C">
        <w:rPr>
          <w:sz w:val="22"/>
          <w:szCs w:val="22"/>
        </w:rPr>
        <w:t>250</w:t>
      </w:r>
      <w:r w:rsidR="00C03C31">
        <w:rPr>
          <w:sz w:val="22"/>
          <w:szCs w:val="22"/>
          <w:lang w:val="bg-BG"/>
        </w:rPr>
        <w:t>.</w:t>
      </w:r>
      <w:r w:rsidRPr="0082710C">
        <w:rPr>
          <w:sz w:val="22"/>
          <w:szCs w:val="22"/>
        </w:rPr>
        <w:t xml:space="preserve">00 лв. </w:t>
      </w:r>
    </w:p>
    <w:p w14:paraId="7EA51E61" w14:textId="77777777" w:rsidR="007A57F4" w:rsidRPr="0082710C" w:rsidRDefault="007A57F4" w:rsidP="00C039B9">
      <w:pPr>
        <w:pStyle w:val="ListParagraph"/>
        <w:numPr>
          <w:ilvl w:val="0"/>
          <w:numId w:val="49"/>
        </w:numPr>
        <w:shd w:val="clear" w:color="auto" w:fill="FFFFFF" w:themeFill="background1"/>
        <w:ind w:left="0" w:firstLine="425"/>
        <w:jc w:val="both"/>
        <w:rPr>
          <w:sz w:val="22"/>
          <w:szCs w:val="22"/>
        </w:rPr>
      </w:pPr>
      <w:r w:rsidRPr="0082710C">
        <w:rPr>
          <w:sz w:val="22"/>
          <w:szCs w:val="22"/>
        </w:rPr>
        <w:t>Изготвени писма до ползвателите на обектите.</w:t>
      </w:r>
    </w:p>
    <w:p w14:paraId="1F8B681A" w14:textId="77777777" w:rsidR="007A57F4" w:rsidRPr="0082710C" w:rsidRDefault="007A57F4" w:rsidP="00C039B9">
      <w:pPr>
        <w:pStyle w:val="ListParagraph"/>
        <w:numPr>
          <w:ilvl w:val="0"/>
          <w:numId w:val="46"/>
        </w:numPr>
        <w:shd w:val="clear" w:color="auto" w:fill="FFFFFF" w:themeFill="background1"/>
        <w:ind w:left="0" w:firstLine="425"/>
        <w:jc w:val="both"/>
        <w:rPr>
          <w:sz w:val="22"/>
          <w:szCs w:val="22"/>
        </w:rPr>
      </w:pPr>
      <w:r w:rsidRPr="0082710C">
        <w:rPr>
          <w:sz w:val="22"/>
          <w:szCs w:val="22"/>
        </w:rPr>
        <w:t>Приемане и проверяване на постъпилата информация от обектите за авансови преводи на сумите за нощувки.</w:t>
      </w:r>
    </w:p>
    <w:p w14:paraId="42256079" w14:textId="459AF09D" w:rsidR="007A57F4" w:rsidRPr="0082710C" w:rsidRDefault="007A57F4" w:rsidP="00C039B9">
      <w:pPr>
        <w:pStyle w:val="ListParagraph"/>
        <w:numPr>
          <w:ilvl w:val="0"/>
          <w:numId w:val="46"/>
        </w:numPr>
        <w:shd w:val="clear" w:color="auto" w:fill="FFFFFF" w:themeFill="background1"/>
        <w:ind w:left="0" w:firstLine="425"/>
        <w:jc w:val="both"/>
        <w:rPr>
          <w:sz w:val="22"/>
          <w:szCs w:val="22"/>
        </w:rPr>
      </w:pPr>
      <w:r w:rsidRPr="0082710C">
        <w:rPr>
          <w:sz w:val="22"/>
          <w:szCs w:val="22"/>
        </w:rPr>
        <w:t>Изготвени заповеди за утвърждаване на ценоразписи за нощувки, надценки за храни в представителните обекти.</w:t>
      </w:r>
    </w:p>
    <w:p w14:paraId="2EF2D02F" w14:textId="77777777" w:rsidR="007A57F4" w:rsidRPr="0082710C" w:rsidRDefault="007A57F4" w:rsidP="00C039B9">
      <w:pPr>
        <w:pStyle w:val="ListParagraph"/>
        <w:numPr>
          <w:ilvl w:val="0"/>
          <w:numId w:val="46"/>
        </w:numPr>
        <w:shd w:val="clear" w:color="auto" w:fill="FFFFFF" w:themeFill="background1"/>
        <w:ind w:left="0" w:firstLine="425"/>
        <w:jc w:val="both"/>
        <w:rPr>
          <w:sz w:val="22"/>
          <w:szCs w:val="22"/>
        </w:rPr>
      </w:pPr>
      <w:r w:rsidRPr="0082710C">
        <w:rPr>
          <w:sz w:val="22"/>
          <w:szCs w:val="22"/>
        </w:rPr>
        <w:t>Съгласуване на ценоразписи за допълнителните услуги в представителните обекти.</w:t>
      </w:r>
    </w:p>
    <w:p w14:paraId="342966D4" w14:textId="77777777" w:rsidR="007A57F4" w:rsidRPr="0082710C" w:rsidRDefault="007A57F4" w:rsidP="00C039B9">
      <w:pPr>
        <w:pStyle w:val="ListParagraph"/>
        <w:numPr>
          <w:ilvl w:val="0"/>
          <w:numId w:val="46"/>
        </w:numPr>
        <w:shd w:val="clear" w:color="auto" w:fill="FFFFFF" w:themeFill="background1"/>
        <w:ind w:left="0" w:firstLine="425"/>
        <w:jc w:val="both"/>
        <w:rPr>
          <w:sz w:val="22"/>
          <w:szCs w:val="22"/>
        </w:rPr>
      </w:pPr>
      <w:r w:rsidRPr="0082710C">
        <w:rPr>
          <w:sz w:val="22"/>
          <w:szCs w:val="22"/>
        </w:rPr>
        <w:t>Съгласуване на длъжностните разписания на обектите.</w:t>
      </w:r>
    </w:p>
    <w:p w14:paraId="335A9EFE" w14:textId="77777777" w:rsidR="007A57F4" w:rsidRPr="0082710C" w:rsidRDefault="007A57F4" w:rsidP="00C039B9">
      <w:pPr>
        <w:pStyle w:val="ListParagraph"/>
        <w:numPr>
          <w:ilvl w:val="0"/>
          <w:numId w:val="46"/>
        </w:numPr>
        <w:shd w:val="clear" w:color="auto" w:fill="FFFFFF" w:themeFill="background1"/>
        <w:ind w:left="0" w:firstLine="425"/>
        <w:jc w:val="both"/>
        <w:rPr>
          <w:sz w:val="22"/>
          <w:szCs w:val="22"/>
        </w:rPr>
      </w:pPr>
      <w:r w:rsidRPr="0082710C">
        <w:rPr>
          <w:sz w:val="22"/>
          <w:szCs w:val="22"/>
        </w:rPr>
        <w:t>Поддържане на регистър с база данни на настаняваните лица в представителните обекти.</w:t>
      </w:r>
    </w:p>
    <w:p w14:paraId="27266E0D" w14:textId="77777777" w:rsidR="007A57F4" w:rsidRPr="005C0741" w:rsidRDefault="007A57F4" w:rsidP="00284F38">
      <w:pPr>
        <w:shd w:val="clear" w:color="auto" w:fill="FFFFFF" w:themeFill="background1"/>
        <w:tabs>
          <w:tab w:val="left" w:pos="1134"/>
        </w:tabs>
        <w:spacing w:before="120"/>
        <w:ind w:left="357" w:firstLine="68"/>
        <w:jc w:val="both"/>
        <w:rPr>
          <w:b/>
          <w:bCs/>
          <w:sz w:val="22"/>
          <w:szCs w:val="22"/>
          <w:lang w:eastAsia="en-US"/>
        </w:rPr>
      </w:pPr>
      <w:r w:rsidRPr="005C0741">
        <w:rPr>
          <w:b/>
          <w:bCs/>
          <w:sz w:val="22"/>
          <w:szCs w:val="22"/>
          <w:lang w:eastAsia="en-US"/>
        </w:rPr>
        <w:t xml:space="preserve">В резултат на извършените дейности се постигнаха следните резултати: </w:t>
      </w:r>
    </w:p>
    <w:p w14:paraId="0858BE5F" w14:textId="77777777" w:rsidR="007A57F4" w:rsidRPr="0082710C" w:rsidRDefault="007A57F4" w:rsidP="00C039B9">
      <w:pPr>
        <w:numPr>
          <w:ilvl w:val="0"/>
          <w:numId w:val="5"/>
        </w:numPr>
        <w:shd w:val="clear" w:color="auto" w:fill="FFFFFF" w:themeFill="background1"/>
        <w:tabs>
          <w:tab w:val="clear" w:pos="360"/>
          <w:tab w:val="num" w:pos="142"/>
        </w:tabs>
        <w:ind w:left="0" w:firstLine="425"/>
        <w:jc w:val="both"/>
        <w:rPr>
          <w:sz w:val="22"/>
          <w:szCs w:val="22"/>
        </w:rPr>
      </w:pPr>
      <w:r w:rsidRPr="0082710C">
        <w:rPr>
          <w:sz w:val="22"/>
          <w:szCs w:val="22"/>
        </w:rPr>
        <w:t>Максимално ефективно ползване на сградния и ведомствения жилищен фонд.</w:t>
      </w:r>
    </w:p>
    <w:p w14:paraId="4F8BE73A" w14:textId="62C3256B" w:rsidR="007A57F4" w:rsidRPr="0082710C" w:rsidRDefault="007A57F4" w:rsidP="00C039B9">
      <w:pPr>
        <w:numPr>
          <w:ilvl w:val="0"/>
          <w:numId w:val="5"/>
        </w:numPr>
        <w:shd w:val="clear" w:color="auto" w:fill="FFFFFF" w:themeFill="background1"/>
        <w:tabs>
          <w:tab w:val="clear" w:pos="360"/>
          <w:tab w:val="num" w:pos="142"/>
        </w:tabs>
        <w:ind w:left="0" w:firstLine="425"/>
        <w:jc w:val="both"/>
        <w:rPr>
          <w:sz w:val="22"/>
          <w:szCs w:val="22"/>
        </w:rPr>
      </w:pPr>
      <w:r w:rsidRPr="0082710C">
        <w:rPr>
          <w:sz w:val="22"/>
          <w:szCs w:val="22"/>
        </w:rPr>
        <w:t xml:space="preserve">Ефективно координиране на ползването и подпомагане на контрола върху управлението на обектите </w:t>
      </w:r>
      <w:r w:rsidR="005C0741">
        <w:rPr>
          <w:sz w:val="22"/>
          <w:szCs w:val="22"/>
        </w:rPr>
        <w:t>–</w:t>
      </w:r>
      <w:r w:rsidRPr="0082710C">
        <w:rPr>
          <w:sz w:val="22"/>
          <w:szCs w:val="22"/>
        </w:rPr>
        <w:t xml:space="preserve"> публична държавна собственост, и обектите </w:t>
      </w:r>
      <w:r w:rsidR="005C0741">
        <w:rPr>
          <w:sz w:val="22"/>
          <w:szCs w:val="22"/>
        </w:rPr>
        <w:t>–</w:t>
      </w:r>
      <w:r w:rsidRPr="0082710C">
        <w:rPr>
          <w:sz w:val="22"/>
          <w:szCs w:val="22"/>
        </w:rPr>
        <w:t xml:space="preserve"> частна държавна собственост, предоставени за ползване и управление на АМС.</w:t>
      </w:r>
    </w:p>
    <w:p w14:paraId="30D2EDD5" w14:textId="77777777" w:rsidR="00CD71C2" w:rsidRPr="00E73E1E" w:rsidRDefault="00CD71C2" w:rsidP="00E73E1E">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E73E1E">
        <w:rPr>
          <w:b/>
          <w:bCs/>
          <w:i/>
          <w:iCs/>
          <w:color w:val="215E99" w:themeColor="text2" w:themeTint="BF"/>
          <w:sz w:val="22"/>
          <w:szCs w:val="22"/>
        </w:rPr>
        <w:lastRenderedPageBreak/>
        <w:t>Строителство и поддръжка</w:t>
      </w:r>
    </w:p>
    <w:p w14:paraId="2252B286" w14:textId="77777777" w:rsidR="00CD71C2" w:rsidRPr="00CD71C2" w:rsidRDefault="00CD71C2" w:rsidP="00E73E1E">
      <w:pPr>
        <w:widowControl w:val="0"/>
        <w:shd w:val="clear" w:color="auto" w:fill="FFFFFF" w:themeFill="background1"/>
        <w:tabs>
          <w:tab w:val="left" w:pos="426"/>
        </w:tabs>
        <w:ind w:firstLine="425"/>
        <w:jc w:val="both"/>
        <w:outlineLvl w:val="3"/>
        <w:rPr>
          <w:b/>
          <w:i/>
          <w:color w:val="800000"/>
          <w:sz w:val="22"/>
          <w:szCs w:val="22"/>
        </w:rPr>
      </w:pPr>
      <w:r w:rsidRPr="00CD71C2">
        <w:rPr>
          <w:b/>
          <w:i/>
          <w:color w:val="800000"/>
          <w:sz w:val="22"/>
          <w:szCs w:val="22"/>
        </w:rPr>
        <w:t>Описание на постигнатите резултати и изпълнените дейности за тяхното предоставяне</w:t>
      </w:r>
    </w:p>
    <w:p w14:paraId="6C9F53BD" w14:textId="77777777" w:rsidR="0095652F" w:rsidRPr="006A14F4" w:rsidRDefault="0095652F" w:rsidP="00C039B9">
      <w:pPr>
        <w:pStyle w:val="ListParagraph"/>
        <w:numPr>
          <w:ilvl w:val="0"/>
          <w:numId w:val="50"/>
        </w:numPr>
        <w:shd w:val="clear" w:color="auto" w:fill="FFFFFF" w:themeFill="background1"/>
        <w:ind w:left="0" w:firstLine="426"/>
        <w:jc w:val="both"/>
        <w:rPr>
          <w:b/>
          <w:bCs/>
          <w:sz w:val="22"/>
          <w:szCs w:val="22"/>
        </w:rPr>
      </w:pPr>
      <w:r w:rsidRPr="006A14F4">
        <w:rPr>
          <w:b/>
          <w:bCs/>
          <w:sz w:val="22"/>
          <w:szCs w:val="22"/>
        </w:rPr>
        <w:t>Дейности по поддържането на сградния фонд в съответните обекти:</w:t>
      </w:r>
    </w:p>
    <w:p w14:paraId="6E6ECB0D" w14:textId="746EF486" w:rsidR="0095652F" w:rsidRPr="00D02C6B" w:rsidRDefault="0095652F" w:rsidP="00C039B9">
      <w:pPr>
        <w:pStyle w:val="ListParagraph"/>
        <w:numPr>
          <w:ilvl w:val="0"/>
          <w:numId w:val="67"/>
        </w:numPr>
        <w:shd w:val="clear" w:color="auto" w:fill="FFFFFF" w:themeFill="background1"/>
        <w:spacing w:before="120"/>
        <w:ind w:left="0" w:firstLine="425"/>
        <w:jc w:val="both"/>
        <w:rPr>
          <w:b/>
          <w:bCs/>
          <w:sz w:val="22"/>
          <w:szCs w:val="22"/>
        </w:rPr>
      </w:pPr>
      <w:r w:rsidRPr="00D02C6B">
        <w:rPr>
          <w:b/>
          <w:bCs/>
          <w:sz w:val="22"/>
          <w:szCs w:val="22"/>
        </w:rPr>
        <w:t>Сгради на М</w:t>
      </w:r>
      <w:r w:rsidR="009764BC" w:rsidRPr="00D02C6B">
        <w:rPr>
          <w:b/>
          <w:bCs/>
          <w:sz w:val="22"/>
          <w:szCs w:val="22"/>
        </w:rPr>
        <w:t>инистерски съвет</w:t>
      </w:r>
      <w:r w:rsidRPr="00D02C6B">
        <w:rPr>
          <w:b/>
          <w:bCs/>
          <w:sz w:val="22"/>
          <w:szCs w:val="22"/>
        </w:rPr>
        <w:t>, гр. София, бул. „ Княз Александър Дондуков“ № 1, ул. „Сердика“ № 6-8 и гараж ул. „Йоаким Кърчовски” № 1:</w:t>
      </w:r>
    </w:p>
    <w:p w14:paraId="2B70A869" w14:textId="72B51621" w:rsidR="0095652F" w:rsidRPr="003C62AA" w:rsidRDefault="0095652F" w:rsidP="00C039B9">
      <w:pPr>
        <w:pStyle w:val="ListParagraph"/>
        <w:numPr>
          <w:ilvl w:val="0"/>
          <w:numId w:val="66"/>
        </w:numPr>
        <w:shd w:val="clear" w:color="auto" w:fill="FFFFFF" w:themeFill="background1"/>
        <w:ind w:left="0" w:firstLine="425"/>
        <w:jc w:val="both"/>
        <w:rPr>
          <w:sz w:val="22"/>
          <w:szCs w:val="22"/>
        </w:rPr>
      </w:pPr>
      <w:r w:rsidRPr="003C62AA">
        <w:rPr>
          <w:sz w:val="22"/>
          <w:szCs w:val="22"/>
        </w:rPr>
        <w:t>Извършване на ежедневна проверка и профилактика (при необходимост) на електроуредите и електроинсталацията в сградите на МС с цел проследяване на нормалното функциониране на електроинсталацията и съоръженията, извършване на ремонт и подмяна на възли и детайли по дефектирали електроуреди, поддържка и осигуряване на безаварийната работа на главното електротабло, електротаблата, етажните и специални електротабла.</w:t>
      </w:r>
    </w:p>
    <w:p w14:paraId="1BF99332" w14:textId="77B78D12" w:rsidR="0095652F" w:rsidRPr="0095652F" w:rsidRDefault="0095652F" w:rsidP="00C039B9">
      <w:pPr>
        <w:pStyle w:val="ListParagraph"/>
        <w:numPr>
          <w:ilvl w:val="0"/>
          <w:numId w:val="66"/>
        </w:numPr>
        <w:shd w:val="clear" w:color="auto" w:fill="FFFFFF" w:themeFill="background1"/>
        <w:ind w:left="0" w:firstLine="426"/>
        <w:jc w:val="both"/>
        <w:rPr>
          <w:sz w:val="22"/>
          <w:szCs w:val="22"/>
        </w:rPr>
      </w:pPr>
      <w:r w:rsidRPr="0095652F">
        <w:rPr>
          <w:sz w:val="22"/>
          <w:szCs w:val="22"/>
        </w:rPr>
        <w:t>Извършване на ежедневна проверка на ВиК инсталацията в сградите на МС и отстранени възникнали аварии във водопроводната и канализационната мрежа; ежемесечно отчитане на консумацията на студена вода в сградите и гаража на МС.</w:t>
      </w:r>
    </w:p>
    <w:p w14:paraId="5090B0D7" w14:textId="79BEE6EC" w:rsidR="0095652F" w:rsidRPr="0095652F" w:rsidRDefault="0095652F" w:rsidP="00C039B9">
      <w:pPr>
        <w:pStyle w:val="ListParagraph"/>
        <w:numPr>
          <w:ilvl w:val="0"/>
          <w:numId w:val="66"/>
        </w:numPr>
        <w:shd w:val="clear" w:color="auto" w:fill="FFFFFF" w:themeFill="background1"/>
        <w:ind w:left="0" w:firstLine="426"/>
        <w:jc w:val="both"/>
        <w:rPr>
          <w:sz w:val="22"/>
          <w:szCs w:val="22"/>
        </w:rPr>
      </w:pPr>
      <w:r w:rsidRPr="0095652F">
        <w:rPr>
          <w:sz w:val="22"/>
          <w:szCs w:val="22"/>
        </w:rPr>
        <w:t>Осъществено телефонното обслужване в сградите на МС, извършване на ежедневна проверка за отстраняване на възникнали аварии в телефонната мрежа, осигуряване и свързване на телефонен апарат при осигуряване на работно място за новоназначени служители, проследяване на безаварийна работа на телефонните апарати, отстраняване на проблемите, както и възникнали повреди със средствата за комуникация.</w:t>
      </w:r>
    </w:p>
    <w:p w14:paraId="59DD137A" w14:textId="1B680923" w:rsidR="0095652F" w:rsidRPr="0095652F" w:rsidRDefault="0095652F" w:rsidP="00C039B9">
      <w:pPr>
        <w:pStyle w:val="ListParagraph"/>
        <w:numPr>
          <w:ilvl w:val="0"/>
          <w:numId w:val="66"/>
        </w:numPr>
        <w:shd w:val="clear" w:color="auto" w:fill="FFFFFF" w:themeFill="background1"/>
        <w:ind w:left="0" w:firstLine="426"/>
        <w:jc w:val="both"/>
        <w:rPr>
          <w:sz w:val="22"/>
          <w:szCs w:val="22"/>
        </w:rPr>
      </w:pPr>
      <w:r w:rsidRPr="0095652F">
        <w:rPr>
          <w:sz w:val="22"/>
          <w:szCs w:val="22"/>
        </w:rPr>
        <w:t>Осъществена поддръжка на климатичната система, централната климатична инсталация, отоплителната и парната инсталация и конвекторите в сградите на МС.</w:t>
      </w:r>
    </w:p>
    <w:p w14:paraId="11411454" w14:textId="290C341B" w:rsidR="0095652F" w:rsidRPr="0095652F" w:rsidRDefault="0095652F" w:rsidP="00C039B9">
      <w:pPr>
        <w:pStyle w:val="ListParagraph"/>
        <w:numPr>
          <w:ilvl w:val="0"/>
          <w:numId w:val="66"/>
        </w:numPr>
        <w:shd w:val="clear" w:color="auto" w:fill="FFFFFF" w:themeFill="background1"/>
        <w:ind w:left="0" w:firstLine="426"/>
        <w:jc w:val="both"/>
        <w:rPr>
          <w:sz w:val="22"/>
          <w:szCs w:val="22"/>
        </w:rPr>
      </w:pPr>
      <w:r w:rsidRPr="0095652F">
        <w:rPr>
          <w:sz w:val="22"/>
          <w:szCs w:val="22"/>
        </w:rPr>
        <w:t>Извършени дейности по поддръжка и ремонт на дървени врати, каси, поправка на дървено оборудване, поддържане и почистване на меката мебел в работни и представителни кабинети в сградите на МС.</w:t>
      </w:r>
    </w:p>
    <w:p w14:paraId="08B5884D" w14:textId="7A2BCEE4" w:rsidR="0095652F" w:rsidRPr="0095652F" w:rsidRDefault="0095652F" w:rsidP="00C039B9">
      <w:pPr>
        <w:pStyle w:val="ListParagraph"/>
        <w:numPr>
          <w:ilvl w:val="0"/>
          <w:numId w:val="66"/>
        </w:numPr>
        <w:shd w:val="clear" w:color="auto" w:fill="FFFFFF" w:themeFill="background1"/>
        <w:ind w:left="0" w:firstLine="426"/>
        <w:jc w:val="both"/>
        <w:rPr>
          <w:sz w:val="22"/>
          <w:szCs w:val="22"/>
        </w:rPr>
      </w:pPr>
      <w:r w:rsidRPr="0095652F">
        <w:rPr>
          <w:sz w:val="22"/>
          <w:szCs w:val="22"/>
        </w:rPr>
        <w:t>Ежемесечно изготвяне на заявки, както и на мотивирани предложения за закупуване на материали при възникване на спешни и аварийни ситуации, с цел извършване на ремонтни дейности.</w:t>
      </w:r>
    </w:p>
    <w:p w14:paraId="373AA4C6" w14:textId="6F38D6A8" w:rsidR="0095652F" w:rsidRPr="0095652F" w:rsidRDefault="0095652F" w:rsidP="00C039B9">
      <w:pPr>
        <w:pStyle w:val="ListParagraph"/>
        <w:numPr>
          <w:ilvl w:val="0"/>
          <w:numId w:val="66"/>
        </w:numPr>
        <w:shd w:val="clear" w:color="auto" w:fill="FFFFFF" w:themeFill="background1"/>
        <w:ind w:left="0" w:firstLine="426"/>
        <w:jc w:val="both"/>
        <w:rPr>
          <w:sz w:val="22"/>
          <w:szCs w:val="22"/>
        </w:rPr>
      </w:pPr>
      <w:r w:rsidRPr="0095652F">
        <w:rPr>
          <w:sz w:val="22"/>
          <w:szCs w:val="22"/>
        </w:rPr>
        <w:t>Осъществен ежемесечен контрол по изпълнение на договор за поддръжка на асансьорната уредба в сградите на МС, сключен съгласно изискванията на Наредбата за безопасната експлоатация и техническия надзор на асансьори. Проверка на протоколи и фактури.</w:t>
      </w:r>
    </w:p>
    <w:p w14:paraId="5FD01F9D" w14:textId="70DC86EB" w:rsidR="0095652F" w:rsidRPr="0095652F" w:rsidRDefault="0095652F" w:rsidP="00C039B9">
      <w:pPr>
        <w:pStyle w:val="ListParagraph"/>
        <w:numPr>
          <w:ilvl w:val="0"/>
          <w:numId w:val="66"/>
        </w:numPr>
        <w:shd w:val="clear" w:color="auto" w:fill="FFFFFF" w:themeFill="background1"/>
        <w:ind w:left="0" w:firstLine="426"/>
        <w:jc w:val="both"/>
        <w:rPr>
          <w:sz w:val="22"/>
          <w:szCs w:val="22"/>
        </w:rPr>
      </w:pPr>
      <w:r w:rsidRPr="0095652F">
        <w:rPr>
          <w:sz w:val="22"/>
          <w:szCs w:val="22"/>
        </w:rPr>
        <w:t xml:space="preserve">Осъществен ежемесечен контрол по изпълнение на договор за „Абонаментно извънгаранционно обслужване на дизел генератор в сградата на МС, намираща се в гр. София, </w:t>
      </w:r>
      <w:r w:rsidR="003C62AA">
        <w:rPr>
          <w:sz w:val="22"/>
          <w:szCs w:val="22"/>
          <w:lang w:val="bg-BG"/>
        </w:rPr>
        <w:br/>
      </w:r>
      <w:r w:rsidRPr="0095652F">
        <w:rPr>
          <w:sz w:val="22"/>
          <w:szCs w:val="22"/>
        </w:rPr>
        <w:t>бул. „Княз Ал. Дондуков“ № 1“. Проверка на протоколи и фактури.</w:t>
      </w:r>
    </w:p>
    <w:p w14:paraId="4E59A226" w14:textId="2FB71088" w:rsidR="0095652F" w:rsidRPr="0095652F" w:rsidRDefault="0095652F" w:rsidP="00C039B9">
      <w:pPr>
        <w:pStyle w:val="ListParagraph"/>
        <w:numPr>
          <w:ilvl w:val="0"/>
          <w:numId w:val="66"/>
        </w:numPr>
        <w:shd w:val="clear" w:color="auto" w:fill="FFFFFF" w:themeFill="background1"/>
        <w:ind w:left="0" w:firstLine="426"/>
        <w:jc w:val="both"/>
        <w:rPr>
          <w:sz w:val="22"/>
          <w:szCs w:val="22"/>
        </w:rPr>
      </w:pPr>
      <w:r w:rsidRPr="0095652F">
        <w:rPr>
          <w:sz w:val="22"/>
          <w:szCs w:val="22"/>
        </w:rPr>
        <w:t xml:space="preserve">Подготовка и осъществен контрол по изпълнение на договор за „Абонаментно техническо обслужване на Трафопост 2Х1000 kVA, 10/0.4 kV, намиращ се в сградата на МС, гр. София, </w:t>
      </w:r>
      <w:r w:rsidR="00B65BB7">
        <w:rPr>
          <w:sz w:val="22"/>
          <w:szCs w:val="22"/>
          <w:lang w:val="bg-BG"/>
        </w:rPr>
        <w:br/>
      </w:r>
      <w:r w:rsidRPr="0095652F">
        <w:rPr>
          <w:sz w:val="22"/>
          <w:szCs w:val="22"/>
        </w:rPr>
        <w:t>бул.</w:t>
      </w:r>
      <w:r w:rsidR="00B65BB7">
        <w:rPr>
          <w:sz w:val="22"/>
          <w:szCs w:val="22"/>
          <w:lang w:val="bg-BG"/>
        </w:rPr>
        <w:t xml:space="preserve"> </w:t>
      </w:r>
      <w:r w:rsidRPr="0095652F">
        <w:rPr>
          <w:sz w:val="22"/>
          <w:szCs w:val="22"/>
        </w:rPr>
        <w:t>“Княз Ал. Дондуков“ № 1“ и контрол при изпълнение на договора. Проверка на протоколи и фактури.</w:t>
      </w:r>
    </w:p>
    <w:p w14:paraId="5FAE7D05" w14:textId="6801879E" w:rsidR="0095652F" w:rsidRPr="0095652F" w:rsidRDefault="0095652F" w:rsidP="00C039B9">
      <w:pPr>
        <w:pStyle w:val="ListParagraph"/>
        <w:numPr>
          <w:ilvl w:val="0"/>
          <w:numId w:val="66"/>
        </w:numPr>
        <w:shd w:val="clear" w:color="auto" w:fill="FFFFFF" w:themeFill="background1"/>
        <w:ind w:left="0" w:firstLine="426"/>
        <w:jc w:val="both"/>
        <w:rPr>
          <w:sz w:val="22"/>
          <w:szCs w:val="22"/>
        </w:rPr>
      </w:pPr>
      <w:r w:rsidRPr="0095652F">
        <w:rPr>
          <w:sz w:val="22"/>
          <w:szCs w:val="22"/>
        </w:rPr>
        <w:t>Осъществен контрол по изпълнение на договор за извършване абонаментно обслужване, извършване два пъти годишно на профилактика и тест, сервиз, ремонт и други дейности, свързани с безаварийната работа на пожароизвестителните системи (ПИС), монтирани в сградите на МС. Проверка на протоколи и фактури.</w:t>
      </w:r>
    </w:p>
    <w:p w14:paraId="43FF1443" w14:textId="6B64A4BA" w:rsidR="0095652F" w:rsidRPr="0095652F" w:rsidRDefault="0095652F" w:rsidP="00C039B9">
      <w:pPr>
        <w:pStyle w:val="ListParagraph"/>
        <w:numPr>
          <w:ilvl w:val="0"/>
          <w:numId w:val="66"/>
        </w:numPr>
        <w:shd w:val="clear" w:color="auto" w:fill="FFFFFF" w:themeFill="background1"/>
        <w:ind w:left="0" w:firstLine="426"/>
        <w:jc w:val="both"/>
        <w:rPr>
          <w:sz w:val="22"/>
          <w:szCs w:val="22"/>
        </w:rPr>
      </w:pPr>
      <w:r w:rsidRPr="0095652F">
        <w:rPr>
          <w:sz w:val="22"/>
          <w:szCs w:val="22"/>
        </w:rPr>
        <w:t>Осъществен контрол при изпълнение на договор за „Техническа абонаментна поддръжка на климатици в сгради и органи на изпълнителната власт и техни администрации за нуждите на сградите на МС“. Проверка на протоколи и фактури.</w:t>
      </w:r>
    </w:p>
    <w:p w14:paraId="2BB93A50" w14:textId="049DEB9C" w:rsidR="0095652F" w:rsidRPr="0095652F" w:rsidRDefault="0095652F" w:rsidP="00C039B9">
      <w:pPr>
        <w:pStyle w:val="ListParagraph"/>
        <w:numPr>
          <w:ilvl w:val="0"/>
          <w:numId w:val="66"/>
        </w:numPr>
        <w:shd w:val="clear" w:color="auto" w:fill="FFFFFF" w:themeFill="background1"/>
        <w:ind w:left="0" w:firstLine="426"/>
        <w:jc w:val="both"/>
        <w:rPr>
          <w:sz w:val="22"/>
          <w:szCs w:val="22"/>
        </w:rPr>
      </w:pPr>
      <w:r w:rsidRPr="0095652F">
        <w:rPr>
          <w:sz w:val="22"/>
          <w:szCs w:val="22"/>
        </w:rPr>
        <w:t>Осъществен контрол по изпълнение на дейностите по договор с предмет: „Демонтаж на стари климатици, доставка и монтаж на нови климатизатори за сградите на МС в гр. София“.</w:t>
      </w:r>
    </w:p>
    <w:p w14:paraId="7BFEDF15" w14:textId="5DE46780" w:rsidR="0095652F" w:rsidRPr="0095652F" w:rsidRDefault="0095652F" w:rsidP="00223D7D">
      <w:pPr>
        <w:pStyle w:val="ListParagraph"/>
        <w:numPr>
          <w:ilvl w:val="0"/>
          <w:numId w:val="66"/>
        </w:numPr>
        <w:shd w:val="clear" w:color="auto" w:fill="FFFFFF" w:themeFill="background1"/>
        <w:ind w:left="0" w:firstLine="425"/>
        <w:jc w:val="both"/>
        <w:rPr>
          <w:sz w:val="22"/>
          <w:szCs w:val="22"/>
        </w:rPr>
      </w:pPr>
      <w:r w:rsidRPr="0095652F">
        <w:rPr>
          <w:sz w:val="22"/>
          <w:szCs w:val="22"/>
        </w:rPr>
        <w:t>Осъществен ежемесечен контрол по договор с предмет: „Поддръжка и обновяване на растителността в сградата и двора на МС“. Проверка на протоколи и фактури.</w:t>
      </w:r>
    </w:p>
    <w:p w14:paraId="7BC12887" w14:textId="1D337AA0" w:rsidR="0095652F" w:rsidRPr="0095652F" w:rsidRDefault="0095652F" w:rsidP="00223D7D">
      <w:pPr>
        <w:pStyle w:val="ListParagraph"/>
        <w:numPr>
          <w:ilvl w:val="0"/>
          <w:numId w:val="66"/>
        </w:numPr>
        <w:shd w:val="clear" w:color="auto" w:fill="FFFFFF" w:themeFill="background1"/>
        <w:ind w:left="0" w:firstLine="425"/>
        <w:jc w:val="both"/>
        <w:rPr>
          <w:sz w:val="22"/>
          <w:szCs w:val="22"/>
        </w:rPr>
      </w:pPr>
      <w:r w:rsidRPr="0095652F">
        <w:rPr>
          <w:sz w:val="22"/>
          <w:szCs w:val="22"/>
        </w:rPr>
        <w:t xml:space="preserve">Изготвена техническа документация за предстояща обществена поръчка с предмет: „Поддръжка и обновяване на растителността в сградата и двора на МС“. </w:t>
      </w:r>
    </w:p>
    <w:p w14:paraId="3C3CC5A5" w14:textId="08D53610" w:rsidR="0095652F" w:rsidRPr="0095652F" w:rsidRDefault="0095652F" w:rsidP="00223D7D">
      <w:pPr>
        <w:pStyle w:val="ListParagraph"/>
        <w:numPr>
          <w:ilvl w:val="0"/>
          <w:numId w:val="66"/>
        </w:numPr>
        <w:shd w:val="clear" w:color="auto" w:fill="FFFFFF" w:themeFill="background1"/>
        <w:ind w:left="0" w:firstLine="425"/>
        <w:jc w:val="both"/>
        <w:rPr>
          <w:sz w:val="22"/>
          <w:szCs w:val="22"/>
        </w:rPr>
      </w:pPr>
      <w:r w:rsidRPr="0095652F">
        <w:rPr>
          <w:sz w:val="22"/>
          <w:szCs w:val="22"/>
        </w:rPr>
        <w:t xml:space="preserve">Осъществен контрол по договор с предмет: „Изготвяне на инвестиционен проект и упражняване на авторски надзор: „Преустройство, промяна на предназначението и основен ремонт </w:t>
      </w:r>
      <w:r w:rsidRPr="0095652F">
        <w:rPr>
          <w:sz w:val="22"/>
          <w:szCs w:val="22"/>
        </w:rPr>
        <w:lastRenderedPageBreak/>
        <w:t xml:space="preserve">на сграда, находяща се в гр. София, район „Оборище“ </w:t>
      </w:r>
      <w:r w:rsidR="003C62AA">
        <w:rPr>
          <w:sz w:val="22"/>
          <w:szCs w:val="22"/>
        </w:rPr>
        <w:t>–</w:t>
      </w:r>
      <w:r w:rsidRPr="0095652F">
        <w:rPr>
          <w:sz w:val="22"/>
          <w:szCs w:val="22"/>
        </w:rPr>
        <w:t xml:space="preserve"> СО, ул. „Сердика“ № 6-8“. Подадени заявления и внесени проекти за съгласуване в: „Топлофикация София“ ЕАД; 01 РСПБЗН; РЗИ; НИНКН; „Софийска вода“ АД; „Лог Сиберия </w:t>
      </w:r>
      <w:r w:rsidR="002E594E">
        <w:rPr>
          <w:sz w:val="22"/>
          <w:szCs w:val="22"/>
        </w:rPr>
        <w:t>–</w:t>
      </w:r>
      <w:r w:rsidRPr="0095652F">
        <w:rPr>
          <w:sz w:val="22"/>
          <w:szCs w:val="22"/>
        </w:rPr>
        <w:t xml:space="preserve"> Улично осветление“; Виваком.</w:t>
      </w:r>
    </w:p>
    <w:p w14:paraId="02771580" w14:textId="0988C647" w:rsidR="0095652F" w:rsidRPr="0095652F" w:rsidRDefault="0095652F" w:rsidP="00223D7D">
      <w:pPr>
        <w:pStyle w:val="ListParagraph"/>
        <w:numPr>
          <w:ilvl w:val="0"/>
          <w:numId w:val="66"/>
        </w:numPr>
        <w:shd w:val="clear" w:color="auto" w:fill="FFFFFF" w:themeFill="background1"/>
        <w:ind w:left="0" w:firstLine="425"/>
        <w:jc w:val="both"/>
        <w:rPr>
          <w:sz w:val="22"/>
          <w:szCs w:val="22"/>
        </w:rPr>
      </w:pPr>
      <w:r w:rsidRPr="0095652F">
        <w:rPr>
          <w:sz w:val="22"/>
          <w:szCs w:val="22"/>
        </w:rPr>
        <w:t xml:space="preserve">Осъществен контрол по договор с предмет: „Консултантска услуга, включваща изготвяне на комплексен доклад относно оценка за съответствие на инвестиционния проект и упражняване на строителен надзор за обект „Преустройство, промяна на предназначението и основен ремонт на обект, находящ се в гр. София, район „Оборище“ </w:t>
      </w:r>
      <w:r w:rsidR="002E594E">
        <w:rPr>
          <w:sz w:val="22"/>
          <w:szCs w:val="22"/>
        </w:rPr>
        <w:t>–</w:t>
      </w:r>
      <w:r w:rsidRPr="0095652F">
        <w:rPr>
          <w:sz w:val="22"/>
          <w:szCs w:val="22"/>
        </w:rPr>
        <w:t xml:space="preserve"> СО, ул. „Сердика“ № 6-8“. </w:t>
      </w:r>
    </w:p>
    <w:p w14:paraId="2D8078B6" w14:textId="63AC2BE7" w:rsidR="0095652F" w:rsidRPr="0095652F" w:rsidRDefault="0095652F" w:rsidP="00223D7D">
      <w:pPr>
        <w:pStyle w:val="ListParagraph"/>
        <w:numPr>
          <w:ilvl w:val="0"/>
          <w:numId w:val="66"/>
        </w:numPr>
        <w:shd w:val="clear" w:color="auto" w:fill="FFFFFF" w:themeFill="background1"/>
        <w:ind w:left="0" w:firstLine="425"/>
        <w:jc w:val="both"/>
        <w:rPr>
          <w:sz w:val="22"/>
          <w:szCs w:val="22"/>
        </w:rPr>
      </w:pPr>
      <w:r w:rsidRPr="0095652F">
        <w:rPr>
          <w:sz w:val="22"/>
          <w:szCs w:val="22"/>
        </w:rPr>
        <w:t>Изготвена документация и извършена подмяна на дефектирала охранителна бариера в градината към сградата на МС.</w:t>
      </w:r>
    </w:p>
    <w:p w14:paraId="34A3B437" w14:textId="6286D03B" w:rsidR="0095652F" w:rsidRPr="0095652F" w:rsidRDefault="0095652F" w:rsidP="00223D7D">
      <w:pPr>
        <w:pStyle w:val="ListParagraph"/>
        <w:numPr>
          <w:ilvl w:val="0"/>
          <w:numId w:val="66"/>
        </w:numPr>
        <w:shd w:val="clear" w:color="auto" w:fill="FFFFFF" w:themeFill="background1"/>
        <w:ind w:left="0" w:firstLine="425"/>
        <w:jc w:val="both"/>
        <w:rPr>
          <w:sz w:val="22"/>
          <w:szCs w:val="22"/>
        </w:rPr>
      </w:pPr>
      <w:r w:rsidRPr="0095652F">
        <w:rPr>
          <w:sz w:val="22"/>
          <w:szCs w:val="22"/>
        </w:rPr>
        <w:t>Изготвени мотивирани предложения и докладни записки за одобряване и извършване на разходи за услуги/ремонти при възникнали аварийни ситуации по поддръжката на инсталации и ремонт на машини в сградите на МС.</w:t>
      </w:r>
    </w:p>
    <w:p w14:paraId="07456126" w14:textId="3E882204" w:rsidR="0095652F" w:rsidRPr="0095652F" w:rsidRDefault="0095652F" w:rsidP="00223D7D">
      <w:pPr>
        <w:pStyle w:val="ListParagraph"/>
        <w:numPr>
          <w:ilvl w:val="0"/>
          <w:numId w:val="66"/>
        </w:numPr>
        <w:shd w:val="clear" w:color="auto" w:fill="FFFFFF" w:themeFill="background1"/>
        <w:ind w:left="0" w:firstLine="425"/>
        <w:jc w:val="both"/>
        <w:rPr>
          <w:sz w:val="22"/>
          <w:szCs w:val="22"/>
        </w:rPr>
      </w:pPr>
      <w:r w:rsidRPr="0095652F">
        <w:rPr>
          <w:sz w:val="22"/>
          <w:szCs w:val="22"/>
        </w:rPr>
        <w:t>Осъществен контрол на изпълнението на договор с предмет: „Изработване на техническа документация, обща и подробна схема на преместваем обект – нов охранителен павилион във вътрешния двор/паркинг към сградата на МС за нуждите на НСО“.</w:t>
      </w:r>
    </w:p>
    <w:p w14:paraId="0BACA701" w14:textId="63CAA1C8" w:rsidR="0095652F" w:rsidRPr="0095652F" w:rsidRDefault="0095652F" w:rsidP="00223D7D">
      <w:pPr>
        <w:pStyle w:val="ListParagraph"/>
        <w:numPr>
          <w:ilvl w:val="0"/>
          <w:numId w:val="66"/>
        </w:numPr>
        <w:shd w:val="clear" w:color="auto" w:fill="FFFFFF" w:themeFill="background1"/>
        <w:ind w:left="0" w:firstLine="425"/>
        <w:jc w:val="both"/>
        <w:rPr>
          <w:sz w:val="22"/>
          <w:szCs w:val="22"/>
        </w:rPr>
      </w:pPr>
      <w:r w:rsidRPr="0095652F">
        <w:rPr>
          <w:sz w:val="22"/>
          <w:szCs w:val="22"/>
        </w:rPr>
        <w:t>Осъществен контрол на изпълнението на договор с предмет: „Доставка и монтаж на два броя 3-раменни ротационни турникети серия SlimStile EV ATT на „служебният вход“ и „вход до гранитна зала“ в сградата на Министерския съвет, находяща се в гр. София, бул. „Княз Александър Дондуков“ №1“. Тестване на монтираната техника, съставяне и подписване на необходимите протоколи и приемане на изпълнението.</w:t>
      </w:r>
    </w:p>
    <w:p w14:paraId="798F8DAD" w14:textId="69872D82" w:rsidR="0095652F" w:rsidRPr="0095652F" w:rsidRDefault="0095652F" w:rsidP="00223D7D">
      <w:pPr>
        <w:pStyle w:val="ListParagraph"/>
        <w:numPr>
          <w:ilvl w:val="0"/>
          <w:numId w:val="66"/>
        </w:numPr>
        <w:shd w:val="clear" w:color="auto" w:fill="FFFFFF" w:themeFill="background1"/>
        <w:ind w:left="0" w:firstLine="425"/>
        <w:jc w:val="both"/>
        <w:rPr>
          <w:sz w:val="22"/>
          <w:szCs w:val="22"/>
        </w:rPr>
      </w:pPr>
      <w:r w:rsidRPr="0095652F">
        <w:rPr>
          <w:sz w:val="22"/>
          <w:szCs w:val="22"/>
        </w:rPr>
        <w:t>Изготвена техническа документация за предстояща за обявяване обществена поръчка, относно доставка и монтаж на климатици за: сграда на МС; комплекс „Бояна“; стопанство „Евксиноград“; обект „Шабла“.</w:t>
      </w:r>
    </w:p>
    <w:p w14:paraId="133B2E85" w14:textId="027BD227" w:rsidR="0095652F" w:rsidRPr="0095652F" w:rsidRDefault="0095652F" w:rsidP="00223D7D">
      <w:pPr>
        <w:pStyle w:val="ListParagraph"/>
        <w:numPr>
          <w:ilvl w:val="0"/>
          <w:numId w:val="66"/>
        </w:numPr>
        <w:shd w:val="clear" w:color="auto" w:fill="FFFFFF" w:themeFill="background1"/>
        <w:ind w:left="0" w:firstLine="425"/>
        <w:jc w:val="both"/>
        <w:rPr>
          <w:sz w:val="22"/>
          <w:szCs w:val="22"/>
        </w:rPr>
      </w:pPr>
      <w:r w:rsidRPr="0095652F">
        <w:rPr>
          <w:sz w:val="22"/>
          <w:szCs w:val="22"/>
        </w:rPr>
        <w:t xml:space="preserve">Извършени огледи на ведомствени жилища, предоставени за управление на АМС, във връзка с предстоящо настаняване на наематели и оценка на необходимостта от ремонти дейности. </w:t>
      </w:r>
    </w:p>
    <w:p w14:paraId="607463C7" w14:textId="3F2D27F0" w:rsidR="0095652F" w:rsidRPr="0095652F" w:rsidRDefault="0095652F" w:rsidP="00223D7D">
      <w:pPr>
        <w:pStyle w:val="ListParagraph"/>
        <w:numPr>
          <w:ilvl w:val="0"/>
          <w:numId w:val="66"/>
        </w:numPr>
        <w:shd w:val="clear" w:color="auto" w:fill="FFFFFF" w:themeFill="background1"/>
        <w:ind w:left="0" w:firstLine="425"/>
        <w:jc w:val="both"/>
        <w:rPr>
          <w:sz w:val="22"/>
          <w:szCs w:val="22"/>
        </w:rPr>
      </w:pPr>
      <w:r w:rsidRPr="0095652F">
        <w:rPr>
          <w:sz w:val="22"/>
          <w:szCs w:val="22"/>
        </w:rPr>
        <w:t>Преглед и проверка на ежемесечни фактури от „Топлофикация“ София за изразходвана топлинна енергия и подгряване на топла вода за сградите на МС в гр. София, предаване в дирекция БФ за плащане.</w:t>
      </w:r>
    </w:p>
    <w:p w14:paraId="6C24C3B9" w14:textId="1FCAE6ED" w:rsidR="0095652F" w:rsidRPr="0095652F" w:rsidRDefault="0095652F" w:rsidP="00223D7D">
      <w:pPr>
        <w:pStyle w:val="ListParagraph"/>
        <w:numPr>
          <w:ilvl w:val="0"/>
          <w:numId w:val="66"/>
        </w:numPr>
        <w:shd w:val="clear" w:color="auto" w:fill="FFFFFF" w:themeFill="background1"/>
        <w:ind w:left="0" w:firstLine="425"/>
        <w:jc w:val="both"/>
        <w:rPr>
          <w:sz w:val="22"/>
          <w:szCs w:val="22"/>
        </w:rPr>
      </w:pPr>
      <w:r w:rsidRPr="0095652F">
        <w:rPr>
          <w:sz w:val="22"/>
          <w:szCs w:val="22"/>
        </w:rPr>
        <w:t>Преглед и проверка на ежемесечни фактури от „Софийска вода“ АД за доставка на питейна вода, отвеждане и пречистване на отпадни води за сградите на МС в гр. София, предаване в дирекция БФ за плащане.</w:t>
      </w:r>
    </w:p>
    <w:p w14:paraId="597588C4" w14:textId="7F61D4D5" w:rsidR="0095652F" w:rsidRPr="0095652F" w:rsidRDefault="0095652F" w:rsidP="00223D7D">
      <w:pPr>
        <w:pStyle w:val="ListParagraph"/>
        <w:numPr>
          <w:ilvl w:val="0"/>
          <w:numId w:val="66"/>
        </w:numPr>
        <w:shd w:val="clear" w:color="auto" w:fill="FFFFFF" w:themeFill="background1"/>
        <w:ind w:left="0" w:firstLine="425"/>
        <w:jc w:val="both"/>
        <w:rPr>
          <w:sz w:val="22"/>
          <w:szCs w:val="22"/>
        </w:rPr>
      </w:pPr>
      <w:r w:rsidRPr="0095652F">
        <w:rPr>
          <w:sz w:val="22"/>
          <w:szCs w:val="22"/>
        </w:rPr>
        <w:t>Преглед и проверка на ежемесечни фактури от „Електрохолд Продажби“ ЕАД за разпределение, снабдяване и консумирана електрическа енергия за сградите на МС в гр. София, предаване в дирекция БФ за плащане.</w:t>
      </w:r>
    </w:p>
    <w:p w14:paraId="0D0CAB16" w14:textId="04A793A2" w:rsidR="0095652F" w:rsidRPr="0095652F" w:rsidRDefault="0095652F" w:rsidP="00223D7D">
      <w:pPr>
        <w:pStyle w:val="ListParagraph"/>
        <w:numPr>
          <w:ilvl w:val="0"/>
          <w:numId w:val="66"/>
        </w:numPr>
        <w:shd w:val="clear" w:color="auto" w:fill="FFFFFF" w:themeFill="background1"/>
        <w:ind w:left="0" w:firstLine="425"/>
        <w:jc w:val="both"/>
        <w:rPr>
          <w:sz w:val="22"/>
          <w:szCs w:val="22"/>
        </w:rPr>
      </w:pPr>
      <w:r w:rsidRPr="0095652F">
        <w:rPr>
          <w:sz w:val="22"/>
          <w:szCs w:val="22"/>
        </w:rPr>
        <w:t xml:space="preserve">Ежемесечно отчитане на контролен електромер на КС и разпределяне на консумираната по фактура електроенергия между ведомствата, ползващи сградата на бул. „Княз Ал. Дондуков“ № 1 и ул. „Триадица“ № 2. </w:t>
      </w:r>
    </w:p>
    <w:p w14:paraId="3A0C2357" w14:textId="0E95D9B6" w:rsidR="0095652F" w:rsidRPr="0095652F" w:rsidRDefault="0095652F" w:rsidP="00223D7D">
      <w:pPr>
        <w:pStyle w:val="ListParagraph"/>
        <w:numPr>
          <w:ilvl w:val="0"/>
          <w:numId w:val="66"/>
        </w:numPr>
        <w:shd w:val="clear" w:color="auto" w:fill="FFFFFF" w:themeFill="background1"/>
        <w:ind w:left="0" w:firstLine="425"/>
        <w:jc w:val="both"/>
        <w:rPr>
          <w:sz w:val="22"/>
          <w:szCs w:val="22"/>
        </w:rPr>
      </w:pPr>
      <w:r w:rsidRPr="0095652F">
        <w:rPr>
          <w:sz w:val="22"/>
          <w:szCs w:val="22"/>
        </w:rPr>
        <w:t>Изготвени писма до дирекция БФ за освобождаване на гаранции по изпълнени  договори и изтекли гаранционни срокове.</w:t>
      </w:r>
    </w:p>
    <w:p w14:paraId="7EB48ADB" w14:textId="1B6E311B" w:rsidR="0095652F" w:rsidRPr="0095652F" w:rsidRDefault="0095652F" w:rsidP="00223D7D">
      <w:pPr>
        <w:pStyle w:val="ListParagraph"/>
        <w:numPr>
          <w:ilvl w:val="0"/>
          <w:numId w:val="66"/>
        </w:numPr>
        <w:shd w:val="clear" w:color="auto" w:fill="FFFFFF" w:themeFill="background1"/>
        <w:ind w:left="0" w:firstLine="425"/>
        <w:jc w:val="both"/>
        <w:rPr>
          <w:sz w:val="22"/>
          <w:szCs w:val="22"/>
        </w:rPr>
      </w:pPr>
      <w:r w:rsidRPr="0095652F">
        <w:rPr>
          <w:sz w:val="22"/>
          <w:szCs w:val="22"/>
        </w:rPr>
        <w:t>Изготвени писма и становища до частни субекти, областни, общински и държавни администрации, в рамките на компетентността на дирекцията и отдел СП.</w:t>
      </w:r>
    </w:p>
    <w:p w14:paraId="6F3FF3FC" w14:textId="38E93CB7" w:rsidR="0095652F" w:rsidRPr="0095652F" w:rsidRDefault="0095652F" w:rsidP="00223D7D">
      <w:pPr>
        <w:pStyle w:val="ListParagraph"/>
        <w:numPr>
          <w:ilvl w:val="0"/>
          <w:numId w:val="66"/>
        </w:numPr>
        <w:shd w:val="clear" w:color="auto" w:fill="FFFFFF" w:themeFill="background1"/>
        <w:ind w:left="0" w:firstLine="425"/>
        <w:jc w:val="both"/>
        <w:rPr>
          <w:sz w:val="22"/>
          <w:szCs w:val="22"/>
        </w:rPr>
      </w:pPr>
      <w:r w:rsidRPr="0095652F">
        <w:rPr>
          <w:sz w:val="22"/>
          <w:szCs w:val="22"/>
        </w:rPr>
        <w:t>Извършени са първоначални инструктажи по безопасни и здравословни условия на труд на новоназначени служители в АМС.</w:t>
      </w:r>
    </w:p>
    <w:p w14:paraId="037FF147" w14:textId="17F7E08D" w:rsidR="0095652F" w:rsidRPr="0095652F" w:rsidRDefault="0095652F" w:rsidP="00223D7D">
      <w:pPr>
        <w:pStyle w:val="ListParagraph"/>
        <w:numPr>
          <w:ilvl w:val="0"/>
          <w:numId w:val="66"/>
        </w:numPr>
        <w:shd w:val="clear" w:color="auto" w:fill="FFFFFF" w:themeFill="background1"/>
        <w:ind w:left="0" w:firstLine="425"/>
        <w:jc w:val="both"/>
        <w:rPr>
          <w:sz w:val="22"/>
          <w:szCs w:val="22"/>
        </w:rPr>
      </w:pPr>
      <w:r w:rsidRPr="0095652F">
        <w:rPr>
          <w:sz w:val="22"/>
          <w:szCs w:val="22"/>
        </w:rPr>
        <w:t>Изготвени писма и докладни записки за осигуряване на достъп до сградите на МС.</w:t>
      </w:r>
    </w:p>
    <w:p w14:paraId="6D0AFAAB" w14:textId="526F6805" w:rsidR="0095652F" w:rsidRPr="00D02C6B" w:rsidRDefault="0095652F" w:rsidP="00E73E1E">
      <w:pPr>
        <w:pStyle w:val="ListParagraph"/>
        <w:numPr>
          <w:ilvl w:val="0"/>
          <w:numId w:val="67"/>
        </w:numPr>
        <w:shd w:val="clear" w:color="auto" w:fill="FFFFFF" w:themeFill="background1"/>
        <w:spacing w:before="120" w:line="276" w:lineRule="auto"/>
        <w:ind w:left="0" w:firstLine="425"/>
        <w:jc w:val="both"/>
        <w:rPr>
          <w:b/>
          <w:bCs/>
          <w:sz w:val="22"/>
          <w:szCs w:val="22"/>
        </w:rPr>
      </w:pPr>
      <w:r w:rsidRPr="00D02C6B">
        <w:rPr>
          <w:b/>
          <w:bCs/>
          <w:sz w:val="22"/>
          <w:szCs w:val="22"/>
        </w:rPr>
        <w:t>За обект: Стопанство „Евксиноград“ :</w:t>
      </w:r>
    </w:p>
    <w:p w14:paraId="593F564D" w14:textId="4A2F2605" w:rsidR="0095652F" w:rsidRPr="0095652F" w:rsidRDefault="0095652F" w:rsidP="00223D7D">
      <w:pPr>
        <w:pStyle w:val="ListParagraph"/>
        <w:numPr>
          <w:ilvl w:val="0"/>
          <w:numId w:val="66"/>
        </w:numPr>
        <w:shd w:val="clear" w:color="auto" w:fill="FFFFFF" w:themeFill="background1"/>
        <w:ind w:left="0" w:firstLine="426"/>
        <w:jc w:val="both"/>
        <w:rPr>
          <w:sz w:val="22"/>
          <w:szCs w:val="22"/>
        </w:rPr>
      </w:pPr>
      <w:r w:rsidRPr="0095652F">
        <w:rPr>
          <w:sz w:val="22"/>
          <w:szCs w:val="22"/>
        </w:rPr>
        <w:t xml:space="preserve">Провеждана редовна комуникация по телефона и електронната поща с управителя на стопанството и отговорника за поддръжка, във връзка с възникнали проблеми </w:t>
      </w:r>
      <w:r w:rsidR="00101535">
        <w:rPr>
          <w:sz w:val="22"/>
          <w:szCs w:val="22"/>
        </w:rPr>
        <w:t>–</w:t>
      </w:r>
      <w:r w:rsidRPr="0095652F">
        <w:rPr>
          <w:sz w:val="22"/>
          <w:szCs w:val="22"/>
        </w:rPr>
        <w:t xml:space="preserve"> аварии, необходимост от ремонти, изпълнение на текущи задачи и всичко свързано с поддръжката на сградния фонд и прилежащата му инфраструктура.</w:t>
      </w:r>
    </w:p>
    <w:p w14:paraId="6DDE9C44" w14:textId="670E772B" w:rsidR="0095652F" w:rsidRPr="0095652F" w:rsidRDefault="0095652F" w:rsidP="00223D7D">
      <w:pPr>
        <w:pStyle w:val="ListParagraph"/>
        <w:numPr>
          <w:ilvl w:val="0"/>
          <w:numId w:val="66"/>
        </w:numPr>
        <w:shd w:val="clear" w:color="auto" w:fill="FFFFFF" w:themeFill="background1"/>
        <w:ind w:left="0" w:firstLine="426"/>
        <w:jc w:val="both"/>
        <w:rPr>
          <w:sz w:val="22"/>
          <w:szCs w:val="22"/>
        </w:rPr>
      </w:pPr>
      <w:r w:rsidRPr="0095652F">
        <w:rPr>
          <w:sz w:val="22"/>
          <w:szCs w:val="22"/>
        </w:rPr>
        <w:t>Осъществена командировка до стопанството, извършен подробен оглед на всички сгради и прилежащата им инфраструктура. Направена оценка, анализ и определяне на приоритети за предстоящи ремонтни дейности и реконструкции.</w:t>
      </w:r>
    </w:p>
    <w:p w14:paraId="101DC3CF" w14:textId="5E212FB5" w:rsidR="0095652F" w:rsidRPr="0095652F" w:rsidRDefault="0095652F" w:rsidP="00223D7D">
      <w:pPr>
        <w:pStyle w:val="ListParagraph"/>
        <w:numPr>
          <w:ilvl w:val="0"/>
          <w:numId w:val="66"/>
        </w:numPr>
        <w:shd w:val="clear" w:color="auto" w:fill="FFFFFF" w:themeFill="background1"/>
        <w:ind w:left="0" w:firstLine="426"/>
        <w:jc w:val="both"/>
        <w:rPr>
          <w:sz w:val="22"/>
          <w:szCs w:val="22"/>
        </w:rPr>
      </w:pPr>
      <w:r w:rsidRPr="0095652F">
        <w:rPr>
          <w:sz w:val="22"/>
          <w:szCs w:val="22"/>
        </w:rPr>
        <w:lastRenderedPageBreak/>
        <w:t>Осъществен контрол на изпълнението на договор с предмет: „Изготвяне на проект, упражняване на авторски надзор и ремонт на подпорна стена, цветарници, настилки на пешеходна пътека към „Слънчево бунгало“ и смяна на аварирал участък от площадков водопровод под подпорната стена в стопанство „Евксиноград“, гр. Варна“.</w:t>
      </w:r>
    </w:p>
    <w:p w14:paraId="60ED8D47" w14:textId="62A77AA3" w:rsidR="0095652F" w:rsidRPr="0095652F" w:rsidRDefault="0095652F" w:rsidP="00223D7D">
      <w:pPr>
        <w:pStyle w:val="ListParagraph"/>
        <w:numPr>
          <w:ilvl w:val="0"/>
          <w:numId w:val="66"/>
        </w:numPr>
        <w:shd w:val="clear" w:color="auto" w:fill="FFFFFF" w:themeFill="background1"/>
        <w:ind w:left="0" w:firstLine="426"/>
        <w:jc w:val="both"/>
        <w:rPr>
          <w:sz w:val="22"/>
          <w:szCs w:val="22"/>
        </w:rPr>
      </w:pPr>
      <w:r w:rsidRPr="0095652F">
        <w:rPr>
          <w:sz w:val="22"/>
          <w:szCs w:val="22"/>
        </w:rPr>
        <w:t>Осъществен контрол на изпълнението на договор с предмет: „Упражняване на консултантски услуги, съгласно чл.166, ал.1 от ЗУТ (оценка на съответствието на инвестиционните проекти и упражняване на строителен надзор) за обект: „Ремонт на подпорна стена, цветарници, настилки на пешеходна пътека към „Слънчево бунгало“ и смяна на аварирал участък от площадков водопровод под подпорната стена в стопанство „Евксиноград“, гр. Варна“.</w:t>
      </w:r>
    </w:p>
    <w:p w14:paraId="1451B5A9" w14:textId="21BFD3BC" w:rsidR="0095652F" w:rsidRPr="0095652F" w:rsidRDefault="0095652F" w:rsidP="00223D7D">
      <w:pPr>
        <w:pStyle w:val="ListParagraph"/>
        <w:numPr>
          <w:ilvl w:val="0"/>
          <w:numId w:val="66"/>
        </w:numPr>
        <w:shd w:val="clear" w:color="auto" w:fill="FFFFFF" w:themeFill="background1"/>
        <w:ind w:left="0" w:firstLine="426"/>
        <w:jc w:val="both"/>
        <w:rPr>
          <w:sz w:val="22"/>
          <w:szCs w:val="22"/>
        </w:rPr>
      </w:pPr>
      <w:r w:rsidRPr="0095652F">
        <w:rPr>
          <w:sz w:val="22"/>
          <w:szCs w:val="22"/>
        </w:rPr>
        <w:t xml:space="preserve">Подготовка на техническа документация за предстояща обществена поръчка за подмяна на кабел 20 kV, между трансформаторни подстанции за гаражи и оранжерии. </w:t>
      </w:r>
    </w:p>
    <w:p w14:paraId="3280AEE6" w14:textId="6251E9AA" w:rsidR="0095652F" w:rsidRPr="00F766B6" w:rsidRDefault="0095652F" w:rsidP="00223D7D">
      <w:pPr>
        <w:pStyle w:val="ListParagraph"/>
        <w:numPr>
          <w:ilvl w:val="0"/>
          <w:numId w:val="67"/>
        </w:numPr>
        <w:shd w:val="clear" w:color="auto" w:fill="FFFFFF" w:themeFill="background1"/>
        <w:spacing w:before="120"/>
        <w:ind w:left="0" w:firstLine="425"/>
        <w:jc w:val="both"/>
        <w:rPr>
          <w:b/>
          <w:bCs/>
          <w:sz w:val="22"/>
          <w:szCs w:val="22"/>
        </w:rPr>
      </w:pPr>
      <w:r w:rsidRPr="00F766B6">
        <w:rPr>
          <w:b/>
          <w:bCs/>
          <w:sz w:val="22"/>
          <w:szCs w:val="22"/>
        </w:rPr>
        <w:t>За обект: Комплекс „Бояна“:</w:t>
      </w:r>
    </w:p>
    <w:p w14:paraId="79279280" w14:textId="34B4A9C1" w:rsidR="0095652F" w:rsidRPr="0095652F" w:rsidRDefault="0095652F" w:rsidP="00223D7D">
      <w:pPr>
        <w:pStyle w:val="ListParagraph"/>
        <w:numPr>
          <w:ilvl w:val="0"/>
          <w:numId w:val="66"/>
        </w:numPr>
        <w:shd w:val="clear" w:color="auto" w:fill="FFFFFF" w:themeFill="background1"/>
        <w:ind w:left="0" w:firstLine="426"/>
        <w:jc w:val="both"/>
        <w:rPr>
          <w:sz w:val="22"/>
          <w:szCs w:val="22"/>
        </w:rPr>
      </w:pPr>
      <w:r w:rsidRPr="0095652F">
        <w:rPr>
          <w:sz w:val="22"/>
          <w:szCs w:val="22"/>
        </w:rPr>
        <w:t xml:space="preserve">Провеждана редовна комуникация по телефона и електронната поща с управителя на комплекса и отговорника за поддръжка, във връзка с възникнали проблеми </w:t>
      </w:r>
      <w:r w:rsidR="00CA2C70">
        <w:rPr>
          <w:sz w:val="22"/>
          <w:szCs w:val="22"/>
        </w:rPr>
        <w:t>–</w:t>
      </w:r>
      <w:r w:rsidRPr="0095652F">
        <w:rPr>
          <w:sz w:val="22"/>
          <w:szCs w:val="22"/>
        </w:rPr>
        <w:t xml:space="preserve"> аварии, необходимост от ремонти, изпълнение на текущи задачи и всичко свързано с поддръжката на сградния фонд и прилежащата му инфраструктура. </w:t>
      </w:r>
    </w:p>
    <w:p w14:paraId="7E2C345A" w14:textId="02EC8A57" w:rsidR="0095652F" w:rsidRPr="0095652F" w:rsidRDefault="0095652F" w:rsidP="00223D7D">
      <w:pPr>
        <w:pStyle w:val="ListParagraph"/>
        <w:numPr>
          <w:ilvl w:val="0"/>
          <w:numId w:val="66"/>
        </w:numPr>
        <w:shd w:val="clear" w:color="auto" w:fill="FFFFFF" w:themeFill="background1"/>
        <w:ind w:left="0" w:firstLine="426"/>
        <w:jc w:val="both"/>
        <w:rPr>
          <w:sz w:val="22"/>
          <w:szCs w:val="22"/>
        </w:rPr>
      </w:pPr>
      <w:r w:rsidRPr="0095652F">
        <w:rPr>
          <w:sz w:val="22"/>
          <w:szCs w:val="22"/>
        </w:rPr>
        <w:t>Извършен оглед на сградите и прилежащата им инфраструктура. Направена оценка, анализ и определяне на приоритети за предстоящи ремонтни дейности и реконструкции.</w:t>
      </w:r>
    </w:p>
    <w:p w14:paraId="00E16AA4" w14:textId="4A358AB3" w:rsidR="0095652F" w:rsidRPr="0095652F" w:rsidRDefault="0095652F" w:rsidP="00223D7D">
      <w:pPr>
        <w:pStyle w:val="ListParagraph"/>
        <w:numPr>
          <w:ilvl w:val="0"/>
          <w:numId w:val="66"/>
        </w:numPr>
        <w:shd w:val="clear" w:color="auto" w:fill="FFFFFF" w:themeFill="background1"/>
        <w:ind w:left="0" w:firstLine="426"/>
        <w:jc w:val="both"/>
        <w:rPr>
          <w:sz w:val="22"/>
          <w:szCs w:val="22"/>
        </w:rPr>
      </w:pPr>
      <w:r w:rsidRPr="0095652F">
        <w:rPr>
          <w:sz w:val="22"/>
          <w:szCs w:val="22"/>
        </w:rPr>
        <w:t>Изготвено мотивирано предложение с приложени техническа спецификация и пазарно проучване за обществена поръчка с предмет: „Изготвяне на проект, осъществяване на авторски надзор и изпълнение на СМР за обект: „Изграждане на външно ел. захранване върху съществуващите трасета, чрез подмяна на кабели СрН-10 kV кабел „Рила“, гр. София, р-н „Витоша“, комплекс „Бояна“ към Министерски съвет, ул. „Витошко лале“ № 16“.</w:t>
      </w:r>
    </w:p>
    <w:p w14:paraId="62C4D87D" w14:textId="1C307627" w:rsidR="0095652F" w:rsidRPr="0095652F" w:rsidRDefault="0095652F" w:rsidP="00223D7D">
      <w:pPr>
        <w:pStyle w:val="ListParagraph"/>
        <w:numPr>
          <w:ilvl w:val="0"/>
          <w:numId w:val="66"/>
        </w:numPr>
        <w:shd w:val="clear" w:color="auto" w:fill="FFFFFF" w:themeFill="background1"/>
        <w:ind w:left="0" w:firstLine="426"/>
        <w:jc w:val="both"/>
        <w:rPr>
          <w:sz w:val="22"/>
          <w:szCs w:val="22"/>
        </w:rPr>
      </w:pPr>
      <w:r w:rsidRPr="0095652F">
        <w:rPr>
          <w:sz w:val="22"/>
          <w:szCs w:val="22"/>
        </w:rPr>
        <w:t xml:space="preserve">Изготвени писма и становища до Столична община и „Райкомерс констръкшън“ ЕАД, относно проект за преминаване на водопровод през територията на комплекс „Бояна“. </w:t>
      </w:r>
    </w:p>
    <w:p w14:paraId="2EE0FFCF" w14:textId="76DB5EBD" w:rsidR="0095652F" w:rsidRPr="00855D7F" w:rsidRDefault="0095652F" w:rsidP="00223D7D">
      <w:pPr>
        <w:pStyle w:val="ListParagraph"/>
        <w:numPr>
          <w:ilvl w:val="0"/>
          <w:numId w:val="67"/>
        </w:numPr>
        <w:shd w:val="clear" w:color="auto" w:fill="FFFFFF" w:themeFill="background1"/>
        <w:spacing w:before="120"/>
        <w:ind w:left="0" w:firstLine="425"/>
        <w:jc w:val="both"/>
        <w:rPr>
          <w:b/>
          <w:bCs/>
          <w:sz w:val="22"/>
          <w:szCs w:val="22"/>
        </w:rPr>
      </w:pPr>
      <w:r w:rsidRPr="00855D7F">
        <w:rPr>
          <w:b/>
          <w:bCs/>
          <w:sz w:val="22"/>
          <w:szCs w:val="22"/>
        </w:rPr>
        <w:t>За Обект „Шабла“:</w:t>
      </w:r>
    </w:p>
    <w:p w14:paraId="2623AC6A" w14:textId="3E4D3C80" w:rsidR="0095652F" w:rsidRPr="0095652F" w:rsidRDefault="0095652F" w:rsidP="00223D7D">
      <w:pPr>
        <w:pStyle w:val="ListParagraph"/>
        <w:numPr>
          <w:ilvl w:val="0"/>
          <w:numId w:val="66"/>
        </w:numPr>
        <w:shd w:val="clear" w:color="auto" w:fill="FFFFFF" w:themeFill="background1"/>
        <w:ind w:left="0" w:firstLine="426"/>
        <w:jc w:val="both"/>
        <w:rPr>
          <w:sz w:val="22"/>
          <w:szCs w:val="22"/>
        </w:rPr>
      </w:pPr>
      <w:r w:rsidRPr="0095652F">
        <w:rPr>
          <w:sz w:val="22"/>
          <w:szCs w:val="22"/>
        </w:rPr>
        <w:t xml:space="preserve">Провеждана редовна комуникация по телефона и електронната поща с управителя на обекта и отговорника за поддръжка, във връзка с възникнали проблеми </w:t>
      </w:r>
      <w:r w:rsidR="00855D7F">
        <w:rPr>
          <w:sz w:val="22"/>
          <w:szCs w:val="22"/>
        </w:rPr>
        <w:t>–</w:t>
      </w:r>
      <w:r w:rsidRPr="0095652F">
        <w:rPr>
          <w:sz w:val="22"/>
          <w:szCs w:val="22"/>
        </w:rPr>
        <w:t xml:space="preserve"> аварии, необходимост от ремонти, изпълнение на текущи задачи и всичко свързано с поддръжката на сградния фонд и прилежащата му инфраструктура.</w:t>
      </w:r>
    </w:p>
    <w:p w14:paraId="7481C0EB" w14:textId="6A448621" w:rsidR="00CD71C2" w:rsidRPr="00855D7F" w:rsidRDefault="0095652F" w:rsidP="00223D7D">
      <w:pPr>
        <w:pStyle w:val="ListParagraph"/>
        <w:numPr>
          <w:ilvl w:val="0"/>
          <w:numId w:val="66"/>
        </w:numPr>
        <w:shd w:val="clear" w:color="auto" w:fill="FFFFFF" w:themeFill="background1"/>
        <w:ind w:left="0" w:firstLine="425"/>
        <w:jc w:val="both"/>
        <w:rPr>
          <w:sz w:val="22"/>
          <w:szCs w:val="22"/>
        </w:rPr>
      </w:pPr>
      <w:r w:rsidRPr="0095652F">
        <w:rPr>
          <w:sz w:val="22"/>
          <w:szCs w:val="22"/>
        </w:rPr>
        <w:t>Осъществена командировка до обекта, извършен подробен оглед на всички сгради и прилежащата им инфраструктура. Направена оценка, анализ и определяне на приоритети за предстоящи ремонтни дейности и реконструкции. Заснемане на помещения, санитарни възли и подготовка за предстоящ ремонт.</w:t>
      </w:r>
    </w:p>
    <w:p w14:paraId="0C64CE0F" w14:textId="1F299844" w:rsidR="00234DE7" w:rsidRPr="00E73E1E" w:rsidRDefault="00234DE7" w:rsidP="00E73E1E">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E73E1E">
        <w:rPr>
          <w:b/>
          <w:bCs/>
          <w:i/>
          <w:iCs/>
          <w:color w:val="215E99" w:themeColor="text2" w:themeTint="BF"/>
          <w:sz w:val="22"/>
          <w:szCs w:val="22"/>
        </w:rPr>
        <w:t>Снабдяване и транспорт</w:t>
      </w:r>
    </w:p>
    <w:p w14:paraId="5E0E5E28" w14:textId="1504A9A9" w:rsidR="000A6390" w:rsidRDefault="00234DE7" w:rsidP="00E73E1E">
      <w:pPr>
        <w:widowControl w:val="0"/>
        <w:shd w:val="clear" w:color="auto" w:fill="FFFFFF" w:themeFill="background1"/>
        <w:tabs>
          <w:tab w:val="left" w:pos="426"/>
        </w:tabs>
        <w:ind w:firstLine="425"/>
        <w:jc w:val="both"/>
        <w:outlineLvl w:val="3"/>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5F73BC7F" w14:textId="17F90551" w:rsidR="00C540A3" w:rsidRPr="006C6689" w:rsidRDefault="00C540A3" w:rsidP="00DF23E2">
      <w:pPr>
        <w:pStyle w:val="ListParagraph"/>
        <w:numPr>
          <w:ilvl w:val="0"/>
          <w:numId w:val="67"/>
        </w:numPr>
        <w:shd w:val="clear" w:color="auto" w:fill="FFFFFF" w:themeFill="background1"/>
        <w:ind w:left="0" w:firstLine="425"/>
        <w:jc w:val="both"/>
        <w:rPr>
          <w:b/>
          <w:bCs/>
          <w:sz w:val="22"/>
          <w:szCs w:val="22"/>
        </w:rPr>
      </w:pPr>
      <w:r w:rsidRPr="006C6689">
        <w:rPr>
          <w:b/>
          <w:bCs/>
          <w:sz w:val="22"/>
          <w:szCs w:val="22"/>
        </w:rPr>
        <w:t>Дейности по координация ползването на залите в сградата на МС за провеждане на официални и работни срещи и мероприятия, както и необходимото обезпечаване с озвучителна техника и обслужване от служебния бюфет:</w:t>
      </w:r>
    </w:p>
    <w:p w14:paraId="76132CB3" w14:textId="3083C47A" w:rsidR="00C540A3" w:rsidRPr="006C6689" w:rsidRDefault="00C540A3" w:rsidP="00DF23E2">
      <w:pPr>
        <w:pStyle w:val="ListParagraph"/>
        <w:numPr>
          <w:ilvl w:val="0"/>
          <w:numId w:val="66"/>
        </w:numPr>
        <w:shd w:val="clear" w:color="auto" w:fill="FFFFFF" w:themeFill="background1"/>
        <w:ind w:left="0" w:firstLine="425"/>
        <w:jc w:val="both"/>
        <w:rPr>
          <w:sz w:val="22"/>
          <w:szCs w:val="22"/>
        </w:rPr>
      </w:pPr>
      <w:r w:rsidRPr="006C6689">
        <w:rPr>
          <w:sz w:val="22"/>
          <w:szCs w:val="22"/>
        </w:rPr>
        <w:t>Изготвен график за заетостта на залите.</w:t>
      </w:r>
    </w:p>
    <w:p w14:paraId="58A6C3B1" w14:textId="2E52632E" w:rsidR="00C540A3" w:rsidRPr="006C6689" w:rsidRDefault="00C540A3" w:rsidP="00DF23E2">
      <w:pPr>
        <w:pStyle w:val="ListParagraph"/>
        <w:numPr>
          <w:ilvl w:val="0"/>
          <w:numId w:val="66"/>
        </w:numPr>
        <w:shd w:val="clear" w:color="auto" w:fill="FFFFFF" w:themeFill="background1"/>
        <w:ind w:left="0" w:firstLine="425"/>
        <w:jc w:val="both"/>
        <w:rPr>
          <w:sz w:val="22"/>
          <w:szCs w:val="22"/>
        </w:rPr>
      </w:pPr>
      <w:r w:rsidRPr="006C6689">
        <w:rPr>
          <w:sz w:val="22"/>
          <w:szCs w:val="22"/>
        </w:rPr>
        <w:t xml:space="preserve">Обезпечаване с озвучителна и презентационна техника на събитията и срещите, осигуряване на запис и оборудване. Обслужване от служебния бюфет на официалните и работните срещи в сградата на МС. </w:t>
      </w:r>
    </w:p>
    <w:p w14:paraId="10AE301A" w14:textId="0B06DDDF" w:rsidR="00C540A3" w:rsidRPr="0044239D" w:rsidRDefault="00C540A3" w:rsidP="00DF23E2">
      <w:pPr>
        <w:pStyle w:val="ListParagraph"/>
        <w:numPr>
          <w:ilvl w:val="0"/>
          <w:numId w:val="67"/>
        </w:numPr>
        <w:shd w:val="clear" w:color="auto" w:fill="FFFFFF" w:themeFill="background1"/>
        <w:ind w:left="0" w:firstLine="425"/>
        <w:jc w:val="both"/>
        <w:rPr>
          <w:b/>
          <w:bCs/>
          <w:sz w:val="22"/>
          <w:szCs w:val="22"/>
        </w:rPr>
      </w:pPr>
      <w:r w:rsidRPr="0044239D">
        <w:rPr>
          <w:b/>
          <w:bCs/>
          <w:sz w:val="22"/>
          <w:szCs w:val="22"/>
        </w:rPr>
        <w:t>Дейности по материално-техническо снабдяване на АМС с организационна техника, резервни части, инвентар, консумативни материали и обзавеждане:</w:t>
      </w:r>
    </w:p>
    <w:p w14:paraId="0577FDE9" w14:textId="3F9945A6" w:rsidR="00C540A3" w:rsidRPr="00C04C17" w:rsidRDefault="00C540A3" w:rsidP="00DF23E2">
      <w:pPr>
        <w:pStyle w:val="ListParagraph"/>
        <w:numPr>
          <w:ilvl w:val="0"/>
          <w:numId w:val="66"/>
        </w:numPr>
        <w:shd w:val="clear" w:color="auto" w:fill="FFFFFF" w:themeFill="background1"/>
        <w:ind w:left="0" w:firstLine="426"/>
        <w:jc w:val="both"/>
        <w:rPr>
          <w:sz w:val="22"/>
          <w:szCs w:val="22"/>
        </w:rPr>
      </w:pPr>
      <w:r w:rsidRPr="00C04C17">
        <w:rPr>
          <w:sz w:val="22"/>
          <w:szCs w:val="22"/>
        </w:rPr>
        <w:t>Изготвяне на обобщения на ежемесечно получените поръчки-заявки от текущия месец за доставка на стоки, материали, услуги и консумативи, по установен ред на групиране;</w:t>
      </w:r>
    </w:p>
    <w:p w14:paraId="67548A6A" w14:textId="67D206DE" w:rsidR="00C540A3" w:rsidRPr="00C04C17" w:rsidRDefault="00C540A3" w:rsidP="00DF23E2">
      <w:pPr>
        <w:pStyle w:val="ListParagraph"/>
        <w:numPr>
          <w:ilvl w:val="0"/>
          <w:numId w:val="66"/>
        </w:numPr>
        <w:shd w:val="clear" w:color="auto" w:fill="FFFFFF" w:themeFill="background1"/>
        <w:ind w:left="0" w:firstLine="426"/>
        <w:jc w:val="both"/>
        <w:rPr>
          <w:sz w:val="22"/>
          <w:szCs w:val="22"/>
        </w:rPr>
      </w:pPr>
      <w:r w:rsidRPr="00C04C17">
        <w:rPr>
          <w:sz w:val="22"/>
          <w:szCs w:val="22"/>
        </w:rPr>
        <w:t>Изготвяне и изпращане на запитвания до търговските дружества</w:t>
      </w:r>
      <w:r w:rsidR="008D7F6A">
        <w:rPr>
          <w:sz w:val="22"/>
          <w:szCs w:val="22"/>
        </w:rPr>
        <w:t xml:space="preserve"> – </w:t>
      </w:r>
      <w:r w:rsidRPr="00C04C17">
        <w:rPr>
          <w:sz w:val="22"/>
          <w:szCs w:val="22"/>
        </w:rPr>
        <w:t>доставчици за набиране на оферти. Обработване и обобщаване на офертите;</w:t>
      </w:r>
    </w:p>
    <w:p w14:paraId="314EFC3F" w14:textId="060287A9" w:rsidR="00C540A3" w:rsidRPr="00C04C17" w:rsidRDefault="00C540A3" w:rsidP="00DF23E2">
      <w:pPr>
        <w:pStyle w:val="ListParagraph"/>
        <w:numPr>
          <w:ilvl w:val="0"/>
          <w:numId w:val="66"/>
        </w:numPr>
        <w:shd w:val="clear" w:color="auto" w:fill="FFFFFF" w:themeFill="background1"/>
        <w:ind w:left="0" w:firstLine="426"/>
        <w:jc w:val="both"/>
        <w:rPr>
          <w:sz w:val="22"/>
          <w:szCs w:val="22"/>
        </w:rPr>
      </w:pPr>
      <w:r w:rsidRPr="00C04C17">
        <w:rPr>
          <w:sz w:val="22"/>
          <w:szCs w:val="22"/>
        </w:rPr>
        <w:lastRenderedPageBreak/>
        <w:t>Доставка (закупуване, разплащане и транспортиране) своевременно на утвърдените позиции по месечните обобщения на поръчките;</w:t>
      </w:r>
    </w:p>
    <w:p w14:paraId="3E2FBA67" w14:textId="6D46F5A3" w:rsidR="00C540A3" w:rsidRPr="00C04C17" w:rsidRDefault="00C540A3" w:rsidP="00DF23E2">
      <w:pPr>
        <w:pStyle w:val="ListParagraph"/>
        <w:numPr>
          <w:ilvl w:val="0"/>
          <w:numId w:val="66"/>
        </w:numPr>
        <w:shd w:val="clear" w:color="auto" w:fill="FFFFFF" w:themeFill="background1"/>
        <w:ind w:left="0" w:firstLine="426"/>
        <w:jc w:val="both"/>
        <w:rPr>
          <w:sz w:val="22"/>
          <w:szCs w:val="22"/>
        </w:rPr>
      </w:pPr>
      <w:r w:rsidRPr="00C04C17">
        <w:rPr>
          <w:sz w:val="22"/>
          <w:szCs w:val="22"/>
        </w:rPr>
        <w:t>Изпълняване на извънредни, неотложни заявки за закупуване на стоки и материали, свързани с представителната дейност, с конкретно мероприятие, с авария и др.;</w:t>
      </w:r>
    </w:p>
    <w:p w14:paraId="480EE021" w14:textId="7CAC5C62" w:rsidR="00C540A3" w:rsidRPr="00C04C17" w:rsidRDefault="00C540A3" w:rsidP="00DF23E2">
      <w:pPr>
        <w:pStyle w:val="ListParagraph"/>
        <w:numPr>
          <w:ilvl w:val="0"/>
          <w:numId w:val="66"/>
        </w:numPr>
        <w:shd w:val="clear" w:color="auto" w:fill="FFFFFF" w:themeFill="background1"/>
        <w:ind w:left="0" w:firstLine="426"/>
        <w:jc w:val="both"/>
        <w:rPr>
          <w:sz w:val="22"/>
          <w:szCs w:val="22"/>
        </w:rPr>
      </w:pPr>
      <w:r w:rsidRPr="00C04C17">
        <w:rPr>
          <w:sz w:val="22"/>
          <w:szCs w:val="22"/>
        </w:rPr>
        <w:t>Маркетингово проучване;</w:t>
      </w:r>
    </w:p>
    <w:p w14:paraId="7DB91C3D" w14:textId="5407C71A" w:rsidR="00C540A3" w:rsidRPr="00C04C17" w:rsidRDefault="00C540A3" w:rsidP="00DF23E2">
      <w:pPr>
        <w:pStyle w:val="ListParagraph"/>
        <w:numPr>
          <w:ilvl w:val="0"/>
          <w:numId w:val="66"/>
        </w:numPr>
        <w:shd w:val="clear" w:color="auto" w:fill="FFFFFF" w:themeFill="background1"/>
        <w:ind w:left="0" w:firstLine="426"/>
        <w:jc w:val="both"/>
        <w:rPr>
          <w:sz w:val="22"/>
          <w:szCs w:val="22"/>
        </w:rPr>
      </w:pPr>
      <w:r w:rsidRPr="00C04C17">
        <w:rPr>
          <w:sz w:val="22"/>
          <w:szCs w:val="22"/>
        </w:rPr>
        <w:t>Участие при получаване и заприходяване от материалноотговорното лице на изпълнените заявки.</w:t>
      </w:r>
    </w:p>
    <w:p w14:paraId="417D5096" w14:textId="68859244" w:rsidR="00C540A3" w:rsidRPr="00EB3EBC" w:rsidRDefault="00C540A3" w:rsidP="00DF23E2">
      <w:pPr>
        <w:pStyle w:val="ListParagraph"/>
        <w:numPr>
          <w:ilvl w:val="0"/>
          <w:numId w:val="67"/>
        </w:numPr>
        <w:shd w:val="clear" w:color="auto" w:fill="FFFFFF" w:themeFill="background1"/>
        <w:ind w:left="0" w:firstLine="425"/>
        <w:jc w:val="both"/>
        <w:rPr>
          <w:b/>
          <w:bCs/>
          <w:sz w:val="22"/>
          <w:szCs w:val="22"/>
        </w:rPr>
      </w:pPr>
      <w:r w:rsidRPr="00EB3EBC">
        <w:rPr>
          <w:b/>
          <w:bCs/>
          <w:sz w:val="22"/>
          <w:szCs w:val="22"/>
        </w:rPr>
        <w:t xml:space="preserve">Дейности по транспортно обслужване на служителите, както и поддръжката на моторните превозни средства на АМС: </w:t>
      </w:r>
    </w:p>
    <w:p w14:paraId="7F897137" w14:textId="69334781" w:rsidR="00C540A3" w:rsidRPr="002649FE" w:rsidRDefault="00C540A3" w:rsidP="00DF23E2">
      <w:pPr>
        <w:pStyle w:val="ListParagraph"/>
        <w:numPr>
          <w:ilvl w:val="0"/>
          <w:numId w:val="66"/>
        </w:numPr>
        <w:shd w:val="clear" w:color="auto" w:fill="FFFFFF" w:themeFill="background1"/>
        <w:ind w:left="0" w:firstLine="426"/>
        <w:jc w:val="both"/>
        <w:rPr>
          <w:sz w:val="22"/>
          <w:szCs w:val="22"/>
        </w:rPr>
      </w:pPr>
      <w:r w:rsidRPr="002649FE">
        <w:rPr>
          <w:sz w:val="22"/>
          <w:szCs w:val="22"/>
        </w:rPr>
        <w:t>Транспортно обслужване на служителите в АМС, куриери, съветници, членове на политическите кабинети на министър-председателя и заместник министър-председателя;</w:t>
      </w:r>
    </w:p>
    <w:p w14:paraId="56C94C4E" w14:textId="33F9F9C1" w:rsidR="00C540A3" w:rsidRPr="002649FE" w:rsidRDefault="00C540A3" w:rsidP="00DF23E2">
      <w:pPr>
        <w:pStyle w:val="ListParagraph"/>
        <w:numPr>
          <w:ilvl w:val="0"/>
          <w:numId w:val="66"/>
        </w:numPr>
        <w:shd w:val="clear" w:color="auto" w:fill="FFFFFF" w:themeFill="background1"/>
        <w:ind w:left="0" w:firstLine="426"/>
        <w:jc w:val="both"/>
        <w:rPr>
          <w:sz w:val="22"/>
          <w:szCs w:val="22"/>
        </w:rPr>
      </w:pPr>
      <w:r w:rsidRPr="002649FE">
        <w:rPr>
          <w:sz w:val="22"/>
          <w:szCs w:val="22"/>
        </w:rPr>
        <w:t>Изготвяне на графици за дежурства на дежурните шофьори и охраната на гаража на Министерския съвет;</w:t>
      </w:r>
    </w:p>
    <w:p w14:paraId="038139F6" w14:textId="4DAA4BD9" w:rsidR="00C540A3" w:rsidRPr="002649FE" w:rsidRDefault="00C540A3" w:rsidP="00DF23E2">
      <w:pPr>
        <w:pStyle w:val="ListParagraph"/>
        <w:numPr>
          <w:ilvl w:val="0"/>
          <w:numId w:val="66"/>
        </w:numPr>
        <w:shd w:val="clear" w:color="auto" w:fill="FFFFFF" w:themeFill="background1"/>
        <w:ind w:left="0" w:firstLine="426"/>
        <w:jc w:val="both"/>
        <w:rPr>
          <w:sz w:val="22"/>
          <w:szCs w:val="22"/>
        </w:rPr>
      </w:pPr>
      <w:r w:rsidRPr="002649FE">
        <w:rPr>
          <w:sz w:val="22"/>
          <w:szCs w:val="22"/>
        </w:rPr>
        <w:t>Изготвяне на отчети на пътните книжки;</w:t>
      </w:r>
    </w:p>
    <w:p w14:paraId="0F993BE1" w14:textId="424527EC" w:rsidR="00C540A3" w:rsidRPr="002649FE" w:rsidRDefault="00C540A3" w:rsidP="00DF23E2">
      <w:pPr>
        <w:pStyle w:val="ListParagraph"/>
        <w:numPr>
          <w:ilvl w:val="0"/>
          <w:numId w:val="66"/>
        </w:numPr>
        <w:shd w:val="clear" w:color="auto" w:fill="FFFFFF" w:themeFill="background1"/>
        <w:ind w:left="0" w:firstLine="426"/>
        <w:jc w:val="both"/>
        <w:rPr>
          <w:sz w:val="22"/>
          <w:szCs w:val="22"/>
        </w:rPr>
      </w:pPr>
      <w:r w:rsidRPr="002649FE">
        <w:rPr>
          <w:sz w:val="22"/>
          <w:szCs w:val="22"/>
        </w:rPr>
        <w:t>Организиране на годишни технически прегледи по график;</w:t>
      </w:r>
    </w:p>
    <w:p w14:paraId="049AF258" w14:textId="549C5F6A" w:rsidR="00C540A3" w:rsidRPr="002649FE" w:rsidRDefault="00C540A3" w:rsidP="00DF23E2">
      <w:pPr>
        <w:pStyle w:val="ListParagraph"/>
        <w:numPr>
          <w:ilvl w:val="0"/>
          <w:numId w:val="66"/>
        </w:numPr>
        <w:shd w:val="clear" w:color="auto" w:fill="FFFFFF" w:themeFill="background1"/>
        <w:ind w:left="0" w:firstLine="426"/>
        <w:jc w:val="both"/>
        <w:rPr>
          <w:sz w:val="22"/>
          <w:szCs w:val="22"/>
        </w:rPr>
      </w:pPr>
      <w:r w:rsidRPr="002649FE">
        <w:rPr>
          <w:sz w:val="22"/>
          <w:szCs w:val="22"/>
        </w:rPr>
        <w:t>Изготвяне на ежемесечни графици за дежурства на оперативни дежурни по Министерски съвет;</w:t>
      </w:r>
    </w:p>
    <w:p w14:paraId="474FD802" w14:textId="7E2D5F08" w:rsidR="00C540A3" w:rsidRPr="002649FE" w:rsidRDefault="00C540A3" w:rsidP="00DF23E2">
      <w:pPr>
        <w:pStyle w:val="ListParagraph"/>
        <w:numPr>
          <w:ilvl w:val="0"/>
          <w:numId w:val="66"/>
        </w:numPr>
        <w:shd w:val="clear" w:color="auto" w:fill="FFFFFF" w:themeFill="background1"/>
        <w:ind w:left="0" w:firstLine="426"/>
        <w:jc w:val="both"/>
        <w:rPr>
          <w:sz w:val="22"/>
          <w:szCs w:val="22"/>
        </w:rPr>
      </w:pPr>
      <w:r w:rsidRPr="002649FE">
        <w:rPr>
          <w:sz w:val="22"/>
          <w:szCs w:val="22"/>
        </w:rPr>
        <w:t>Извършване на дейности и контакт със застрахователите, свързани с изпълнение на сключен договор за застраховка на моторни превозни средства;</w:t>
      </w:r>
    </w:p>
    <w:p w14:paraId="5D1EADD9" w14:textId="70523C7A" w:rsidR="00C540A3" w:rsidRPr="002649FE" w:rsidRDefault="00C540A3" w:rsidP="00DF23E2">
      <w:pPr>
        <w:pStyle w:val="ListParagraph"/>
        <w:numPr>
          <w:ilvl w:val="0"/>
          <w:numId w:val="66"/>
        </w:numPr>
        <w:shd w:val="clear" w:color="auto" w:fill="FFFFFF" w:themeFill="background1"/>
        <w:ind w:left="0" w:firstLine="426"/>
        <w:jc w:val="both"/>
        <w:rPr>
          <w:sz w:val="22"/>
          <w:szCs w:val="22"/>
        </w:rPr>
      </w:pPr>
      <w:r w:rsidRPr="002649FE">
        <w:rPr>
          <w:sz w:val="22"/>
          <w:szCs w:val="22"/>
        </w:rPr>
        <w:t>Ежедневно извършване на проверки на техническото състояние на автомобилите, заедно с монтьорите и ремонт на автомобилите.</w:t>
      </w:r>
    </w:p>
    <w:p w14:paraId="7D0057F6" w14:textId="23431CBD" w:rsidR="00C540A3" w:rsidRPr="00591690" w:rsidRDefault="00C540A3" w:rsidP="00DF23E2">
      <w:pPr>
        <w:pStyle w:val="ListParagraph"/>
        <w:numPr>
          <w:ilvl w:val="0"/>
          <w:numId w:val="67"/>
        </w:numPr>
        <w:shd w:val="clear" w:color="auto" w:fill="FFFFFF" w:themeFill="background1"/>
        <w:ind w:left="0" w:firstLine="425"/>
        <w:jc w:val="both"/>
        <w:rPr>
          <w:b/>
          <w:bCs/>
          <w:sz w:val="22"/>
          <w:szCs w:val="22"/>
        </w:rPr>
      </w:pPr>
      <w:r w:rsidRPr="00591690">
        <w:rPr>
          <w:b/>
          <w:bCs/>
          <w:sz w:val="22"/>
          <w:szCs w:val="22"/>
        </w:rPr>
        <w:t>Дейности по поддържане на складово стопанство и осигуряване на работни места:</w:t>
      </w:r>
    </w:p>
    <w:p w14:paraId="113B7B6C" w14:textId="6BE11164" w:rsidR="00C540A3" w:rsidRPr="00591690" w:rsidRDefault="00C540A3" w:rsidP="00DF23E2">
      <w:pPr>
        <w:pStyle w:val="ListParagraph"/>
        <w:numPr>
          <w:ilvl w:val="0"/>
          <w:numId w:val="66"/>
        </w:numPr>
        <w:shd w:val="clear" w:color="auto" w:fill="FFFFFF" w:themeFill="background1"/>
        <w:ind w:left="0" w:firstLine="426"/>
        <w:jc w:val="both"/>
        <w:rPr>
          <w:sz w:val="22"/>
          <w:szCs w:val="22"/>
        </w:rPr>
      </w:pPr>
      <w:r w:rsidRPr="00591690">
        <w:rPr>
          <w:sz w:val="22"/>
          <w:szCs w:val="22"/>
        </w:rPr>
        <w:t>Ежемесечно закупуване на материали и консумативи с цел поддържане на наличности в складовото стопанство за обезпечаване на дейността на АМС;</w:t>
      </w:r>
    </w:p>
    <w:p w14:paraId="31FA85DF" w14:textId="2B9FCC41" w:rsidR="00C540A3" w:rsidRPr="00591690" w:rsidRDefault="00C540A3" w:rsidP="00DF23E2">
      <w:pPr>
        <w:pStyle w:val="ListParagraph"/>
        <w:numPr>
          <w:ilvl w:val="0"/>
          <w:numId w:val="66"/>
        </w:numPr>
        <w:shd w:val="clear" w:color="auto" w:fill="FFFFFF" w:themeFill="background1"/>
        <w:ind w:left="0" w:firstLine="426"/>
        <w:jc w:val="both"/>
        <w:rPr>
          <w:sz w:val="22"/>
          <w:szCs w:val="22"/>
        </w:rPr>
      </w:pPr>
      <w:r w:rsidRPr="00591690">
        <w:rPr>
          <w:sz w:val="22"/>
          <w:szCs w:val="22"/>
        </w:rPr>
        <w:t xml:space="preserve">Предоставяне на необходимото офис обзавеждане, компютърни конфигурации и технически средства за осигуряване на работни места. </w:t>
      </w:r>
    </w:p>
    <w:p w14:paraId="72EE9938" w14:textId="4141D325" w:rsidR="00C540A3" w:rsidRPr="00591690" w:rsidRDefault="00C540A3" w:rsidP="00DF23E2">
      <w:pPr>
        <w:pStyle w:val="ListParagraph"/>
        <w:numPr>
          <w:ilvl w:val="0"/>
          <w:numId w:val="67"/>
        </w:numPr>
        <w:shd w:val="clear" w:color="auto" w:fill="FFFFFF" w:themeFill="background1"/>
        <w:ind w:left="0" w:firstLine="425"/>
        <w:jc w:val="both"/>
        <w:rPr>
          <w:b/>
          <w:bCs/>
          <w:sz w:val="22"/>
          <w:szCs w:val="22"/>
        </w:rPr>
      </w:pPr>
      <w:r w:rsidRPr="00591690">
        <w:rPr>
          <w:b/>
          <w:bCs/>
          <w:sz w:val="22"/>
          <w:szCs w:val="22"/>
        </w:rPr>
        <w:t>Дейности по поддържане и координация на хигиената в сградите на АМС:</w:t>
      </w:r>
    </w:p>
    <w:p w14:paraId="4678F80C" w14:textId="31D1B783" w:rsidR="00C540A3" w:rsidRPr="0017255C" w:rsidRDefault="00C540A3" w:rsidP="00DF23E2">
      <w:pPr>
        <w:pStyle w:val="ListParagraph"/>
        <w:numPr>
          <w:ilvl w:val="0"/>
          <w:numId w:val="66"/>
        </w:numPr>
        <w:shd w:val="clear" w:color="auto" w:fill="FFFFFF" w:themeFill="background1"/>
        <w:ind w:left="0" w:firstLine="426"/>
        <w:jc w:val="both"/>
        <w:rPr>
          <w:sz w:val="22"/>
          <w:szCs w:val="22"/>
        </w:rPr>
      </w:pPr>
      <w:r w:rsidRPr="0017255C">
        <w:rPr>
          <w:sz w:val="22"/>
          <w:szCs w:val="22"/>
        </w:rPr>
        <w:t>Изготвяне на месечни графици за всеки изпълнител – хигиенист;</w:t>
      </w:r>
    </w:p>
    <w:p w14:paraId="29D0C432" w14:textId="7B66B7BC" w:rsidR="00C540A3" w:rsidRPr="0017255C" w:rsidRDefault="00C540A3" w:rsidP="00DF23E2">
      <w:pPr>
        <w:pStyle w:val="ListParagraph"/>
        <w:numPr>
          <w:ilvl w:val="0"/>
          <w:numId w:val="66"/>
        </w:numPr>
        <w:shd w:val="clear" w:color="auto" w:fill="FFFFFF" w:themeFill="background1"/>
        <w:ind w:left="0" w:firstLine="426"/>
        <w:jc w:val="both"/>
        <w:rPr>
          <w:sz w:val="22"/>
          <w:szCs w:val="22"/>
        </w:rPr>
      </w:pPr>
      <w:r w:rsidRPr="0017255C">
        <w:rPr>
          <w:sz w:val="22"/>
          <w:szCs w:val="22"/>
        </w:rPr>
        <w:t>Разпределение на районите за почистване;</w:t>
      </w:r>
    </w:p>
    <w:p w14:paraId="490371DA" w14:textId="5907181B" w:rsidR="00C540A3" w:rsidRPr="0017255C" w:rsidRDefault="00C540A3" w:rsidP="00DF23E2">
      <w:pPr>
        <w:pStyle w:val="ListParagraph"/>
        <w:numPr>
          <w:ilvl w:val="0"/>
          <w:numId w:val="66"/>
        </w:numPr>
        <w:shd w:val="clear" w:color="auto" w:fill="FFFFFF" w:themeFill="background1"/>
        <w:ind w:left="0" w:firstLine="426"/>
        <w:jc w:val="both"/>
        <w:rPr>
          <w:sz w:val="22"/>
          <w:szCs w:val="22"/>
        </w:rPr>
      </w:pPr>
      <w:r w:rsidRPr="0017255C">
        <w:rPr>
          <w:sz w:val="22"/>
          <w:szCs w:val="22"/>
        </w:rPr>
        <w:t>Доставка на хигиенни материали и консумативи;</w:t>
      </w:r>
    </w:p>
    <w:p w14:paraId="2433A12C" w14:textId="7F2048FF" w:rsidR="00C540A3" w:rsidRPr="0017255C" w:rsidRDefault="00C540A3" w:rsidP="00DF23E2">
      <w:pPr>
        <w:pStyle w:val="ListParagraph"/>
        <w:numPr>
          <w:ilvl w:val="0"/>
          <w:numId w:val="66"/>
        </w:numPr>
        <w:shd w:val="clear" w:color="auto" w:fill="FFFFFF" w:themeFill="background1"/>
        <w:ind w:left="0" w:firstLine="426"/>
        <w:jc w:val="both"/>
        <w:rPr>
          <w:sz w:val="22"/>
          <w:szCs w:val="22"/>
        </w:rPr>
      </w:pPr>
      <w:r w:rsidRPr="0017255C">
        <w:rPr>
          <w:sz w:val="22"/>
          <w:szCs w:val="22"/>
        </w:rPr>
        <w:t>Контрол на работата на изпълнителите хигиенисти.</w:t>
      </w:r>
    </w:p>
    <w:p w14:paraId="6BBADAD1" w14:textId="1DD58D1E" w:rsidR="00C540A3" w:rsidRPr="008004E0" w:rsidRDefault="00C540A3" w:rsidP="00DF23E2">
      <w:pPr>
        <w:pStyle w:val="ListParagraph"/>
        <w:numPr>
          <w:ilvl w:val="0"/>
          <w:numId w:val="67"/>
        </w:numPr>
        <w:shd w:val="clear" w:color="auto" w:fill="FFFFFF" w:themeFill="background1"/>
        <w:ind w:left="0" w:firstLine="425"/>
        <w:jc w:val="both"/>
        <w:rPr>
          <w:b/>
          <w:bCs/>
          <w:sz w:val="22"/>
          <w:szCs w:val="22"/>
        </w:rPr>
      </w:pPr>
      <w:r w:rsidRPr="008004E0">
        <w:rPr>
          <w:b/>
          <w:bCs/>
          <w:sz w:val="22"/>
          <w:szCs w:val="22"/>
        </w:rPr>
        <w:t>Дейности по изпълнението на сключени договори на АМС:</w:t>
      </w:r>
    </w:p>
    <w:p w14:paraId="7A6968DA" w14:textId="1238300A" w:rsidR="00C540A3" w:rsidRPr="008004E0" w:rsidRDefault="00C540A3" w:rsidP="00DF23E2">
      <w:pPr>
        <w:pStyle w:val="ListParagraph"/>
        <w:numPr>
          <w:ilvl w:val="0"/>
          <w:numId w:val="66"/>
        </w:numPr>
        <w:shd w:val="clear" w:color="auto" w:fill="FFFFFF" w:themeFill="background1"/>
        <w:ind w:left="0" w:firstLine="426"/>
        <w:jc w:val="both"/>
        <w:rPr>
          <w:sz w:val="22"/>
          <w:szCs w:val="22"/>
        </w:rPr>
      </w:pPr>
      <w:r w:rsidRPr="008004E0">
        <w:rPr>
          <w:sz w:val="22"/>
          <w:szCs w:val="22"/>
        </w:rPr>
        <w:t>Извършване на дезинфекция, дезинсекция и дератизация на сградите на МС, гаража на МС и комплекс „Бояна“;</w:t>
      </w:r>
    </w:p>
    <w:p w14:paraId="38E866CF" w14:textId="3C5EB2AA" w:rsidR="00C540A3" w:rsidRPr="008004E0" w:rsidRDefault="00C540A3" w:rsidP="00DF23E2">
      <w:pPr>
        <w:pStyle w:val="ListParagraph"/>
        <w:numPr>
          <w:ilvl w:val="0"/>
          <w:numId w:val="66"/>
        </w:numPr>
        <w:shd w:val="clear" w:color="auto" w:fill="FFFFFF" w:themeFill="background1"/>
        <w:ind w:left="0" w:firstLine="426"/>
        <w:jc w:val="both"/>
        <w:rPr>
          <w:sz w:val="22"/>
          <w:szCs w:val="22"/>
        </w:rPr>
      </w:pPr>
      <w:r w:rsidRPr="008004E0">
        <w:rPr>
          <w:sz w:val="22"/>
          <w:szCs w:val="22"/>
        </w:rPr>
        <w:t>Предоставяне срещу заплащане за временно и възмездно ползване на апарати за филтриране на вода;</w:t>
      </w:r>
    </w:p>
    <w:p w14:paraId="46BCF787" w14:textId="400D1B6F" w:rsidR="00C540A3" w:rsidRPr="008004E0" w:rsidRDefault="00C540A3" w:rsidP="00DF23E2">
      <w:pPr>
        <w:pStyle w:val="ListParagraph"/>
        <w:numPr>
          <w:ilvl w:val="0"/>
          <w:numId w:val="66"/>
        </w:numPr>
        <w:shd w:val="clear" w:color="auto" w:fill="FFFFFF" w:themeFill="background1"/>
        <w:ind w:left="0" w:firstLine="426"/>
        <w:jc w:val="both"/>
        <w:rPr>
          <w:sz w:val="22"/>
          <w:szCs w:val="22"/>
        </w:rPr>
      </w:pPr>
      <w:r w:rsidRPr="008004E0">
        <w:rPr>
          <w:sz w:val="22"/>
          <w:szCs w:val="22"/>
        </w:rPr>
        <w:t>Приемане на DTH-услуги от администрацията на Министерския съвет, посредством предоставено от „Булсатком“ ЕАД оборудване функциониращо в система, изградена от него;</w:t>
      </w:r>
    </w:p>
    <w:p w14:paraId="5A70D833" w14:textId="7BB71074" w:rsidR="00C540A3" w:rsidRPr="008004E0" w:rsidRDefault="00C540A3" w:rsidP="00DF23E2">
      <w:pPr>
        <w:pStyle w:val="ListParagraph"/>
        <w:numPr>
          <w:ilvl w:val="0"/>
          <w:numId w:val="66"/>
        </w:numPr>
        <w:shd w:val="clear" w:color="auto" w:fill="FFFFFF" w:themeFill="background1"/>
        <w:ind w:left="0" w:firstLine="426"/>
        <w:jc w:val="both"/>
        <w:rPr>
          <w:sz w:val="22"/>
          <w:szCs w:val="22"/>
        </w:rPr>
      </w:pPr>
      <w:r w:rsidRPr="008004E0">
        <w:rPr>
          <w:sz w:val="22"/>
          <w:szCs w:val="22"/>
        </w:rPr>
        <w:t>Доставка на тоалетни продукти и санитарни консумативи;</w:t>
      </w:r>
    </w:p>
    <w:p w14:paraId="3622F46B" w14:textId="2DD712C6" w:rsidR="00C540A3" w:rsidRPr="008004E0" w:rsidRDefault="00C540A3" w:rsidP="00DF23E2">
      <w:pPr>
        <w:pStyle w:val="ListParagraph"/>
        <w:numPr>
          <w:ilvl w:val="0"/>
          <w:numId w:val="66"/>
        </w:numPr>
        <w:shd w:val="clear" w:color="auto" w:fill="FFFFFF" w:themeFill="background1"/>
        <w:ind w:left="0" w:firstLine="426"/>
        <w:jc w:val="both"/>
        <w:rPr>
          <w:sz w:val="22"/>
          <w:szCs w:val="22"/>
        </w:rPr>
      </w:pPr>
      <w:r w:rsidRPr="008004E0">
        <w:rPr>
          <w:sz w:val="22"/>
          <w:szCs w:val="22"/>
        </w:rPr>
        <w:t>Доставка на материали и инструменти за почистване.</w:t>
      </w:r>
    </w:p>
    <w:p w14:paraId="7607892E" w14:textId="7B45C3F9" w:rsidR="00C540A3" w:rsidRPr="008004E0" w:rsidRDefault="00C540A3" w:rsidP="00DF23E2">
      <w:pPr>
        <w:pStyle w:val="ListParagraph"/>
        <w:numPr>
          <w:ilvl w:val="0"/>
          <w:numId w:val="66"/>
        </w:numPr>
        <w:shd w:val="clear" w:color="auto" w:fill="FFFFFF" w:themeFill="background1"/>
        <w:ind w:left="0" w:firstLine="426"/>
        <w:jc w:val="both"/>
        <w:rPr>
          <w:sz w:val="22"/>
          <w:szCs w:val="22"/>
        </w:rPr>
      </w:pPr>
      <w:r w:rsidRPr="008004E0">
        <w:rPr>
          <w:sz w:val="22"/>
          <w:szCs w:val="22"/>
        </w:rPr>
        <w:t>Доставка на тонери</w:t>
      </w:r>
    </w:p>
    <w:p w14:paraId="1A26A186" w14:textId="4F6227AE" w:rsidR="00C540A3" w:rsidRPr="008004E0" w:rsidRDefault="00C540A3" w:rsidP="00DF23E2">
      <w:pPr>
        <w:pStyle w:val="ListParagraph"/>
        <w:numPr>
          <w:ilvl w:val="0"/>
          <w:numId w:val="66"/>
        </w:numPr>
        <w:shd w:val="clear" w:color="auto" w:fill="FFFFFF" w:themeFill="background1"/>
        <w:ind w:left="0" w:firstLine="426"/>
        <w:jc w:val="both"/>
        <w:rPr>
          <w:sz w:val="22"/>
          <w:szCs w:val="22"/>
        </w:rPr>
      </w:pPr>
      <w:r w:rsidRPr="008004E0">
        <w:rPr>
          <w:sz w:val="22"/>
          <w:szCs w:val="22"/>
        </w:rPr>
        <w:t>Доставка на копирна хартия</w:t>
      </w:r>
    </w:p>
    <w:p w14:paraId="09F8E7F7" w14:textId="77777777" w:rsidR="00003DA0" w:rsidRPr="002D18F0" w:rsidRDefault="00003DA0" w:rsidP="00DF23E2">
      <w:pPr>
        <w:widowControl w:val="0"/>
        <w:shd w:val="clear" w:color="auto" w:fill="FFFFFF" w:themeFill="background1"/>
        <w:tabs>
          <w:tab w:val="left" w:pos="426"/>
        </w:tabs>
        <w:ind w:firstLine="425"/>
        <w:jc w:val="both"/>
        <w:outlineLvl w:val="3"/>
        <w:rPr>
          <w:b/>
          <w:bCs/>
          <w:i/>
          <w:color w:val="215E99" w:themeColor="text2" w:themeTint="BF"/>
          <w:sz w:val="22"/>
          <w:szCs w:val="22"/>
        </w:rPr>
      </w:pPr>
      <w:r w:rsidRPr="002D18F0">
        <w:rPr>
          <w:b/>
          <w:bCs/>
          <w:i/>
          <w:color w:val="215E99" w:themeColor="text2" w:themeTint="BF"/>
          <w:sz w:val="22"/>
          <w:szCs w:val="22"/>
        </w:rPr>
        <w:t>Резултати от предоставянето на продукта/услугата:</w:t>
      </w:r>
    </w:p>
    <w:p w14:paraId="5034DB2C" w14:textId="035A376F" w:rsidR="00003DA0" w:rsidRPr="002D18F0" w:rsidRDefault="00003DA0" w:rsidP="00DF23E2">
      <w:pPr>
        <w:pStyle w:val="ListParagraph"/>
        <w:numPr>
          <w:ilvl w:val="0"/>
          <w:numId w:val="67"/>
        </w:numPr>
        <w:shd w:val="clear" w:color="auto" w:fill="FFFFFF" w:themeFill="background1"/>
        <w:ind w:left="0" w:firstLine="425"/>
        <w:jc w:val="both"/>
        <w:rPr>
          <w:sz w:val="22"/>
          <w:szCs w:val="22"/>
        </w:rPr>
      </w:pPr>
      <w:r w:rsidRPr="002D18F0">
        <w:rPr>
          <w:sz w:val="22"/>
          <w:szCs w:val="22"/>
        </w:rPr>
        <w:t>Своевременно и нормално протичане работата на АМС. Настаняване по работни места, оборудване с необходимите пособия за работа, битово и хигиенно обслужване.</w:t>
      </w:r>
    </w:p>
    <w:p w14:paraId="16C8FEF4" w14:textId="7D1967DD" w:rsidR="00003DA0" w:rsidRPr="002D18F0" w:rsidRDefault="00003DA0" w:rsidP="00DF23E2">
      <w:pPr>
        <w:pStyle w:val="ListParagraph"/>
        <w:numPr>
          <w:ilvl w:val="0"/>
          <w:numId w:val="67"/>
        </w:numPr>
        <w:shd w:val="clear" w:color="auto" w:fill="FFFFFF" w:themeFill="background1"/>
        <w:ind w:left="0" w:firstLine="425"/>
        <w:jc w:val="both"/>
        <w:rPr>
          <w:sz w:val="22"/>
          <w:szCs w:val="22"/>
        </w:rPr>
      </w:pPr>
      <w:r w:rsidRPr="002D18F0">
        <w:rPr>
          <w:sz w:val="22"/>
          <w:szCs w:val="22"/>
        </w:rPr>
        <w:t>Планирани потребности от консумативи на различните административни звена. Оптимален избор на доставчици от гледна точка на цена, търговска отстъпка, транспорт и др.</w:t>
      </w:r>
    </w:p>
    <w:p w14:paraId="37E9938F" w14:textId="79F54997" w:rsidR="00003DA0" w:rsidRPr="002D18F0" w:rsidRDefault="00003DA0" w:rsidP="00DF23E2">
      <w:pPr>
        <w:pStyle w:val="ListParagraph"/>
        <w:numPr>
          <w:ilvl w:val="0"/>
          <w:numId w:val="67"/>
        </w:numPr>
        <w:shd w:val="clear" w:color="auto" w:fill="FFFFFF" w:themeFill="background1"/>
        <w:ind w:left="0" w:firstLine="425"/>
        <w:jc w:val="both"/>
        <w:rPr>
          <w:sz w:val="22"/>
          <w:szCs w:val="22"/>
        </w:rPr>
      </w:pPr>
      <w:r w:rsidRPr="002D18F0">
        <w:rPr>
          <w:sz w:val="22"/>
          <w:szCs w:val="22"/>
        </w:rPr>
        <w:t>Реализирана снабдителска дейност, осигуряваща нормален работен процес на АМС. Осъществени контакти на различни нива при решаването на възникнали проблеми от административно-технически и снабдителен характер.</w:t>
      </w:r>
    </w:p>
    <w:p w14:paraId="16CEA247" w14:textId="08E4C577" w:rsidR="00003DA0" w:rsidRPr="002D18F0" w:rsidRDefault="00003DA0" w:rsidP="00DF23E2">
      <w:pPr>
        <w:pStyle w:val="ListParagraph"/>
        <w:numPr>
          <w:ilvl w:val="0"/>
          <w:numId w:val="67"/>
        </w:numPr>
        <w:shd w:val="clear" w:color="auto" w:fill="FFFFFF" w:themeFill="background1"/>
        <w:ind w:left="0" w:firstLine="425"/>
        <w:jc w:val="both"/>
        <w:rPr>
          <w:sz w:val="22"/>
          <w:szCs w:val="22"/>
        </w:rPr>
      </w:pPr>
      <w:r w:rsidRPr="002D18F0">
        <w:rPr>
          <w:sz w:val="22"/>
          <w:szCs w:val="22"/>
        </w:rPr>
        <w:t xml:space="preserve">Осигурено транспортно обслужване на АМС. Организирана е работата на правителствения гараж с оглед на поддръжката на служебните автомобили. </w:t>
      </w:r>
    </w:p>
    <w:p w14:paraId="3B68E326" w14:textId="68166083" w:rsidR="00C540A3" w:rsidRPr="002D18F0" w:rsidRDefault="00003DA0" w:rsidP="00DF23E2">
      <w:pPr>
        <w:pStyle w:val="ListParagraph"/>
        <w:numPr>
          <w:ilvl w:val="0"/>
          <w:numId w:val="67"/>
        </w:numPr>
        <w:shd w:val="clear" w:color="auto" w:fill="FFFFFF" w:themeFill="background1"/>
        <w:ind w:left="0" w:firstLine="425"/>
        <w:jc w:val="both"/>
        <w:rPr>
          <w:sz w:val="22"/>
          <w:szCs w:val="22"/>
        </w:rPr>
      </w:pPr>
      <w:r w:rsidRPr="002D18F0">
        <w:rPr>
          <w:sz w:val="22"/>
          <w:szCs w:val="22"/>
        </w:rPr>
        <w:lastRenderedPageBreak/>
        <w:t>Ефективно организирани, координирани и контролирани дейности по снабдяване, транспортно обслужване и хигиена.</w:t>
      </w:r>
    </w:p>
    <w:p w14:paraId="7384BD02" w14:textId="77777777" w:rsidR="007176C1" w:rsidRPr="0020322F" w:rsidRDefault="007176C1" w:rsidP="0020322F">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20322F">
        <w:rPr>
          <w:b/>
          <w:bCs/>
          <w:i/>
          <w:iCs/>
          <w:color w:val="215E99" w:themeColor="text2" w:themeTint="BF"/>
          <w:sz w:val="22"/>
          <w:szCs w:val="22"/>
        </w:rPr>
        <w:t>Информационно обслужване</w:t>
      </w:r>
    </w:p>
    <w:p w14:paraId="4653E5AB" w14:textId="77777777" w:rsidR="007176C1" w:rsidRDefault="007176C1" w:rsidP="00D352A4">
      <w:pPr>
        <w:widowControl w:val="0"/>
        <w:shd w:val="clear" w:color="auto" w:fill="FFFFFF" w:themeFill="background1"/>
        <w:tabs>
          <w:tab w:val="left" w:pos="426"/>
        </w:tabs>
        <w:ind w:firstLine="425"/>
        <w:jc w:val="both"/>
        <w:outlineLvl w:val="3"/>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3442E0A3" w14:textId="03A90AB2" w:rsidR="00AB14F4" w:rsidRPr="007D3AC2" w:rsidRDefault="00AB14F4" w:rsidP="00D352A4">
      <w:pPr>
        <w:pStyle w:val="ListParagraph"/>
        <w:numPr>
          <w:ilvl w:val="0"/>
          <w:numId w:val="67"/>
        </w:numPr>
        <w:shd w:val="clear" w:color="auto" w:fill="FFFFFF" w:themeFill="background1"/>
        <w:ind w:left="0" w:firstLine="425"/>
        <w:jc w:val="both"/>
        <w:rPr>
          <w:sz w:val="22"/>
          <w:szCs w:val="22"/>
        </w:rPr>
      </w:pPr>
      <w:bookmarkStart w:id="76" w:name="_Hlk206584221"/>
      <w:r w:rsidRPr="007D3AC2">
        <w:rPr>
          <w:sz w:val="22"/>
          <w:szCs w:val="22"/>
        </w:rPr>
        <w:t>Разработен, финализиран и подписан от всички страни План-график за 2025 г. по Рамков договор МС-117/09.10.2024 г в края на месец май 2025 г.</w:t>
      </w:r>
    </w:p>
    <w:bookmarkEnd w:id="76"/>
    <w:p w14:paraId="04B09899" w14:textId="79860881" w:rsidR="00AB14F4" w:rsidRPr="007D3AC2" w:rsidRDefault="00AB14F4" w:rsidP="00D352A4">
      <w:pPr>
        <w:pStyle w:val="ListParagraph"/>
        <w:numPr>
          <w:ilvl w:val="0"/>
          <w:numId w:val="67"/>
        </w:numPr>
        <w:shd w:val="clear" w:color="auto" w:fill="FFFFFF" w:themeFill="background1"/>
        <w:ind w:left="0" w:firstLine="425"/>
        <w:jc w:val="both"/>
        <w:rPr>
          <w:sz w:val="22"/>
          <w:szCs w:val="22"/>
        </w:rPr>
      </w:pPr>
      <w:r w:rsidRPr="007D3AC2">
        <w:rPr>
          <w:sz w:val="22"/>
          <w:szCs w:val="22"/>
        </w:rPr>
        <w:t xml:space="preserve">Към отчетния период </w:t>
      </w:r>
      <w:r w:rsidR="00493C91">
        <w:rPr>
          <w:sz w:val="22"/>
          <w:szCs w:val="22"/>
          <w:lang w:val="bg-BG"/>
        </w:rPr>
        <w:t xml:space="preserve">до </w:t>
      </w:r>
      <w:r w:rsidRPr="007D3AC2">
        <w:rPr>
          <w:sz w:val="22"/>
          <w:szCs w:val="22"/>
        </w:rPr>
        <w:t>момент</w:t>
      </w:r>
      <w:r w:rsidR="00493C91">
        <w:rPr>
          <w:sz w:val="22"/>
          <w:szCs w:val="22"/>
          <w:lang w:val="bg-BG"/>
        </w:rPr>
        <w:t>а</w:t>
      </w:r>
      <w:r w:rsidRPr="007D3AC2">
        <w:rPr>
          <w:sz w:val="22"/>
          <w:szCs w:val="22"/>
        </w:rPr>
        <w:t xml:space="preserve"> 6 проекта от План</w:t>
      </w:r>
      <w:r w:rsidR="00493C91">
        <w:rPr>
          <w:sz w:val="22"/>
          <w:szCs w:val="22"/>
          <w:lang w:val="bg-BG"/>
        </w:rPr>
        <w:t>-</w:t>
      </w:r>
      <w:r w:rsidRPr="007D3AC2">
        <w:rPr>
          <w:sz w:val="22"/>
          <w:szCs w:val="22"/>
        </w:rPr>
        <w:t>графика за 2025 г. са възложени на системния интегратор и са стартирали своето изпълнение. Работата по тях се осъществява съгласно предвидените срокове и при добра координация между страните. Както следва:</w:t>
      </w:r>
    </w:p>
    <w:p w14:paraId="05DACEB9" w14:textId="62A59951" w:rsidR="00AB14F4" w:rsidRPr="00591967" w:rsidRDefault="00AB14F4" w:rsidP="00D352A4">
      <w:pPr>
        <w:pStyle w:val="BodyText"/>
        <w:numPr>
          <w:ilvl w:val="0"/>
          <w:numId w:val="29"/>
        </w:numPr>
        <w:shd w:val="clear" w:color="auto" w:fill="FFFFFF" w:themeFill="background1"/>
        <w:tabs>
          <w:tab w:val="left" w:pos="426"/>
          <w:tab w:val="left" w:pos="709"/>
        </w:tabs>
        <w:spacing w:line="240" w:lineRule="auto"/>
        <w:ind w:left="426" w:firstLine="0"/>
        <w:rPr>
          <w:bCs/>
          <w:szCs w:val="22"/>
          <w:lang w:val="bg-BG"/>
        </w:rPr>
      </w:pPr>
      <w:r w:rsidRPr="00591967">
        <w:rPr>
          <w:bCs/>
          <w:szCs w:val="22"/>
          <w:lang w:val="bg-BG"/>
        </w:rPr>
        <w:t xml:space="preserve">Техническа поддръжка и сервизно обслужване на инсталираните от него системи в сградите на </w:t>
      </w:r>
      <w:r w:rsidR="00462192">
        <w:rPr>
          <w:bCs/>
          <w:szCs w:val="22"/>
          <w:lang w:val="bg-BG"/>
        </w:rPr>
        <w:t>а</w:t>
      </w:r>
      <w:r w:rsidRPr="00591967">
        <w:rPr>
          <w:bCs/>
          <w:szCs w:val="22"/>
          <w:lang w:val="bg-BG"/>
        </w:rPr>
        <w:t xml:space="preserve">дминистрацията на Министерския съвет на бул. „Княз Александър Дондуков" № 1 и </w:t>
      </w:r>
      <w:r w:rsidR="00F75DA7">
        <w:rPr>
          <w:bCs/>
          <w:szCs w:val="22"/>
          <w:lang w:val="bg-BG"/>
        </w:rPr>
        <w:br/>
      </w:r>
      <w:r w:rsidRPr="00591967">
        <w:rPr>
          <w:bCs/>
          <w:szCs w:val="22"/>
          <w:lang w:val="bg-BG"/>
        </w:rPr>
        <w:t xml:space="preserve">ул. „Сердика" № 6 </w:t>
      </w:r>
      <w:r w:rsidR="00F75DA7">
        <w:rPr>
          <w:bCs/>
          <w:szCs w:val="22"/>
          <w:lang w:val="bg-BG"/>
        </w:rPr>
        <w:t xml:space="preserve">– </w:t>
      </w:r>
      <w:proofErr w:type="spellStart"/>
      <w:r w:rsidRPr="00591967">
        <w:rPr>
          <w:bCs/>
          <w:szCs w:val="22"/>
          <w:lang w:val="bg-BG"/>
        </w:rPr>
        <w:t>Булсис</w:t>
      </w:r>
      <w:proofErr w:type="spellEnd"/>
      <w:r w:rsidRPr="00591967">
        <w:rPr>
          <w:bCs/>
          <w:szCs w:val="22"/>
          <w:lang w:val="bg-BG"/>
        </w:rPr>
        <w:t xml:space="preserve"> Контрол на достъпа и работното време Управление на човешките ресурси Контрол на външни посетители</w:t>
      </w:r>
    </w:p>
    <w:p w14:paraId="363937F8" w14:textId="21C7411B" w:rsidR="00AB14F4" w:rsidRPr="00591967" w:rsidRDefault="00AB14F4" w:rsidP="00D352A4">
      <w:pPr>
        <w:pStyle w:val="BodyText"/>
        <w:numPr>
          <w:ilvl w:val="0"/>
          <w:numId w:val="29"/>
        </w:numPr>
        <w:shd w:val="clear" w:color="auto" w:fill="FFFFFF" w:themeFill="background1"/>
        <w:tabs>
          <w:tab w:val="left" w:pos="426"/>
          <w:tab w:val="left" w:pos="709"/>
        </w:tabs>
        <w:spacing w:line="240" w:lineRule="auto"/>
        <w:ind w:left="426" w:firstLine="0"/>
        <w:rPr>
          <w:bCs/>
          <w:szCs w:val="22"/>
          <w:lang w:val="bg-BG"/>
        </w:rPr>
      </w:pPr>
      <w:r w:rsidRPr="00591967">
        <w:rPr>
          <w:bCs/>
          <w:szCs w:val="22"/>
          <w:lang w:val="bg-BG"/>
        </w:rPr>
        <w:t>Осигуряване на извънгаранционна базова поддръжка на специализирания софтуер на Единната информационна система за управление на човешките ресурси в държавната администрация (ЕИСУЧРДА)</w:t>
      </w:r>
    </w:p>
    <w:p w14:paraId="4C24F7BD" w14:textId="152970BA" w:rsidR="00AB14F4" w:rsidRPr="00591967" w:rsidRDefault="00AB14F4" w:rsidP="00D352A4">
      <w:pPr>
        <w:pStyle w:val="BodyText"/>
        <w:numPr>
          <w:ilvl w:val="0"/>
          <w:numId w:val="29"/>
        </w:numPr>
        <w:shd w:val="clear" w:color="auto" w:fill="FFFFFF" w:themeFill="background1"/>
        <w:tabs>
          <w:tab w:val="left" w:pos="426"/>
          <w:tab w:val="left" w:pos="709"/>
        </w:tabs>
        <w:spacing w:line="240" w:lineRule="auto"/>
        <w:ind w:left="426" w:firstLine="0"/>
        <w:rPr>
          <w:bCs/>
          <w:szCs w:val="22"/>
          <w:lang w:val="bg-BG"/>
        </w:rPr>
      </w:pPr>
      <w:r w:rsidRPr="00591967">
        <w:rPr>
          <w:bCs/>
          <w:szCs w:val="22"/>
          <w:lang w:val="bg-BG"/>
        </w:rPr>
        <w:t>Абонаментна софтуерна поддръжка на програмни продукти за микрокомпютри, базирани на WINDOWS операционни системи: Проектно предложение ЕЛИТ Хотел, Проектно предложение ЕЛИТ "Хотел</w:t>
      </w:r>
      <w:r w:rsidR="00D17B3E">
        <w:rPr>
          <w:bCs/>
          <w:szCs w:val="22"/>
          <w:lang w:val="bg-BG"/>
        </w:rPr>
        <w:t xml:space="preserve"> – </w:t>
      </w:r>
      <w:r w:rsidRPr="00591967">
        <w:rPr>
          <w:bCs/>
          <w:szCs w:val="22"/>
          <w:lang w:val="bg-BG"/>
        </w:rPr>
        <w:t>Рецепция", Проектно предложение ЕЛИТ Ресторант и Проектно предложение ЕЛИТ поръчки сервитьорски модул "АНДРОИД", за нуждите на Стопанство "Евксиноград"</w:t>
      </w:r>
    </w:p>
    <w:p w14:paraId="4140F4E9" w14:textId="59FE809F" w:rsidR="00AB14F4" w:rsidRPr="00591967" w:rsidRDefault="00AB14F4" w:rsidP="00D352A4">
      <w:pPr>
        <w:pStyle w:val="BodyText"/>
        <w:numPr>
          <w:ilvl w:val="0"/>
          <w:numId w:val="29"/>
        </w:numPr>
        <w:shd w:val="clear" w:color="auto" w:fill="FFFFFF" w:themeFill="background1"/>
        <w:tabs>
          <w:tab w:val="left" w:pos="426"/>
          <w:tab w:val="left" w:pos="709"/>
        </w:tabs>
        <w:spacing w:line="240" w:lineRule="auto"/>
        <w:ind w:left="426" w:firstLine="0"/>
        <w:rPr>
          <w:bCs/>
          <w:szCs w:val="22"/>
          <w:lang w:val="bg-BG"/>
        </w:rPr>
      </w:pPr>
      <w:r w:rsidRPr="00591967">
        <w:rPr>
          <w:bCs/>
          <w:szCs w:val="22"/>
          <w:lang w:val="bg-BG"/>
        </w:rPr>
        <w:t xml:space="preserve">Доставка на 85 бр. компютърни конфигурации </w:t>
      </w:r>
    </w:p>
    <w:p w14:paraId="74007405" w14:textId="759148F6" w:rsidR="00AB14F4" w:rsidRPr="00591967" w:rsidRDefault="00AB14F4" w:rsidP="00D352A4">
      <w:pPr>
        <w:pStyle w:val="BodyText"/>
        <w:numPr>
          <w:ilvl w:val="0"/>
          <w:numId w:val="29"/>
        </w:numPr>
        <w:shd w:val="clear" w:color="auto" w:fill="FFFFFF" w:themeFill="background1"/>
        <w:tabs>
          <w:tab w:val="left" w:pos="426"/>
          <w:tab w:val="left" w:pos="709"/>
        </w:tabs>
        <w:spacing w:line="240" w:lineRule="auto"/>
        <w:ind w:left="426" w:firstLine="0"/>
        <w:rPr>
          <w:bCs/>
          <w:szCs w:val="22"/>
          <w:lang w:val="bg-BG"/>
        </w:rPr>
      </w:pPr>
      <w:r w:rsidRPr="00591967">
        <w:rPr>
          <w:bCs/>
          <w:szCs w:val="22"/>
          <w:lang w:val="bg-BG"/>
        </w:rPr>
        <w:t xml:space="preserve">Осигуряване на </w:t>
      </w:r>
      <w:bookmarkStart w:id="77" w:name="_Hlk206584884"/>
      <w:r w:rsidRPr="00591967">
        <w:rPr>
          <w:bCs/>
          <w:szCs w:val="22"/>
          <w:lang w:val="bg-BG"/>
        </w:rPr>
        <w:t>Microsoft лицензи</w:t>
      </w:r>
      <w:bookmarkEnd w:id="77"/>
    </w:p>
    <w:p w14:paraId="506FDACD" w14:textId="29E05F77" w:rsidR="00AB14F4" w:rsidRPr="00591967" w:rsidRDefault="00AB14F4" w:rsidP="00D352A4">
      <w:pPr>
        <w:pStyle w:val="BodyText"/>
        <w:numPr>
          <w:ilvl w:val="0"/>
          <w:numId w:val="29"/>
        </w:numPr>
        <w:shd w:val="clear" w:color="auto" w:fill="FFFFFF" w:themeFill="background1"/>
        <w:tabs>
          <w:tab w:val="left" w:pos="426"/>
          <w:tab w:val="left" w:pos="709"/>
        </w:tabs>
        <w:spacing w:line="240" w:lineRule="auto"/>
        <w:ind w:left="426" w:firstLine="0"/>
        <w:rPr>
          <w:bCs/>
          <w:szCs w:val="22"/>
          <w:lang w:val="bg-BG"/>
        </w:rPr>
      </w:pPr>
      <w:r w:rsidRPr="00591967">
        <w:rPr>
          <w:bCs/>
          <w:szCs w:val="22"/>
          <w:lang w:val="bg-BG"/>
        </w:rPr>
        <w:t>Закупуване на 2 броя ТЕМПЕСТ компютри за отдел "Сигурност на информацията".</w:t>
      </w:r>
    </w:p>
    <w:p w14:paraId="6E29D565" w14:textId="440241F6" w:rsidR="00AB14F4" w:rsidRPr="004A5350" w:rsidRDefault="00AB14F4" w:rsidP="00D352A4">
      <w:pPr>
        <w:pStyle w:val="ListParagraph"/>
        <w:numPr>
          <w:ilvl w:val="0"/>
          <w:numId w:val="67"/>
        </w:numPr>
        <w:shd w:val="clear" w:color="auto" w:fill="FFFFFF" w:themeFill="background1"/>
        <w:ind w:left="0" w:firstLine="425"/>
        <w:jc w:val="both"/>
        <w:rPr>
          <w:sz w:val="22"/>
          <w:szCs w:val="22"/>
        </w:rPr>
      </w:pPr>
      <w:r w:rsidRPr="004A5350">
        <w:rPr>
          <w:sz w:val="22"/>
          <w:szCs w:val="22"/>
        </w:rPr>
        <w:t>Към отчетния период 10 проекта от План</w:t>
      </w:r>
      <w:r w:rsidR="00322B4B">
        <w:rPr>
          <w:sz w:val="22"/>
          <w:szCs w:val="22"/>
          <w:lang w:val="bg-BG"/>
        </w:rPr>
        <w:t>-</w:t>
      </w:r>
      <w:r w:rsidRPr="004A5350">
        <w:rPr>
          <w:sz w:val="22"/>
          <w:szCs w:val="22"/>
        </w:rPr>
        <w:t>графика за 2025 са в процес на подготовка.</w:t>
      </w:r>
    </w:p>
    <w:p w14:paraId="55EC653F" w14:textId="33A24F0C" w:rsidR="00AB14F4" w:rsidRPr="004A5350" w:rsidRDefault="00AB14F4" w:rsidP="00D352A4">
      <w:pPr>
        <w:pStyle w:val="ListParagraph"/>
        <w:numPr>
          <w:ilvl w:val="0"/>
          <w:numId w:val="67"/>
        </w:numPr>
        <w:shd w:val="clear" w:color="auto" w:fill="FFFFFF" w:themeFill="background1"/>
        <w:ind w:left="0" w:firstLine="425"/>
        <w:jc w:val="both"/>
        <w:rPr>
          <w:sz w:val="22"/>
          <w:szCs w:val="22"/>
        </w:rPr>
      </w:pPr>
      <w:r w:rsidRPr="004A5350">
        <w:rPr>
          <w:sz w:val="22"/>
          <w:szCs w:val="22"/>
        </w:rPr>
        <w:t>Извършени действия по подготовка на документи и дейности относно избор на оператор за предоставяне на далекосъобщителни услуги, вкл. мобилен защитен интернет, чрез обществена далекосъобщителна подвижна клетъчна мрежа по стандарт GSM с национално покритие за нуждите на Министерския съвет и неговата администрация.</w:t>
      </w:r>
    </w:p>
    <w:p w14:paraId="68F50EE8" w14:textId="26776825" w:rsidR="00AB14F4" w:rsidRPr="00B96555" w:rsidRDefault="00AB14F4" w:rsidP="00D352A4">
      <w:pPr>
        <w:pStyle w:val="ListParagraph"/>
        <w:numPr>
          <w:ilvl w:val="0"/>
          <w:numId w:val="67"/>
        </w:numPr>
        <w:shd w:val="clear" w:color="auto" w:fill="FFFFFF" w:themeFill="background1"/>
        <w:ind w:left="0" w:firstLine="425"/>
        <w:jc w:val="both"/>
        <w:rPr>
          <w:sz w:val="22"/>
          <w:szCs w:val="22"/>
        </w:rPr>
      </w:pPr>
      <w:r w:rsidRPr="00B96555">
        <w:rPr>
          <w:sz w:val="22"/>
          <w:szCs w:val="22"/>
        </w:rPr>
        <w:t>Извършени действия по подготовка на документи и дейности относно избор на доставчик на фиксирана телефонна услуга за нуждите на Министерския съвет и на неговата администрация, както и за обектите, предназначени за представителните и социалните нужди на централните държавни органи (Стопанство „Евксиноград”, обект „Шабла” и комплекс „Бояна”).</w:t>
      </w:r>
    </w:p>
    <w:p w14:paraId="1C49BF23" w14:textId="402AB606" w:rsidR="00AB14F4" w:rsidRPr="00B96555" w:rsidRDefault="00AB14F4" w:rsidP="00D352A4">
      <w:pPr>
        <w:pStyle w:val="ListParagraph"/>
        <w:numPr>
          <w:ilvl w:val="0"/>
          <w:numId w:val="67"/>
        </w:numPr>
        <w:shd w:val="clear" w:color="auto" w:fill="FFFFFF" w:themeFill="background1"/>
        <w:ind w:left="0" w:firstLine="425"/>
        <w:jc w:val="both"/>
        <w:rPr>
          <w:sz w:val="22"/>
          <w:szCs w:val="22"/>
        </w:rPr>
      </w:pPr>
      <w:r w:rsidRPr="00B96555">
        <w:rPr>
          <w:sz w:val="22"/>
          <w:szCs w:val="22"/>
        </w:rPr>
        <w:t>Издаване на квалифицирани електронни подписи по договор MC-39/17.03.2022 г.;</w:t>
      </w:r>
    </w:p>
    <w:p w14:paraId="543667EC" w14:textId="13F65F06" w:rsidR="00AB14F4" w:rsidRPr="00322B4B" w:rsidRDefault="00AB14F4" w:rsidP="00D352A4">
      <w:pPr>
        <w:pStyle w:val="ListParagraph"/>
        <w:numPr>
          <w:ilvl w:val="0"/>
          <w:numId w:val="67"/>
        </w:numPr>
        <w:shd w:val="clear" w:color="auto" w:fill="FFFFFF" w:themeFill="background1"/>
        <w:ind w:left="0" w:firstLine="425"/>
        <w:jc w:val="both"/>
        <w:rPr>
          <w:sz w:val="22"/>
          <w:szCs w:val="22"/>
        </w:rPr>
      </w:pPr>
      <w:r w:rsidRPr="00322B4B">
        <w:rPr>
          <w:sz w:val="22"/>
          <w:szCs w:val="22"/>
        </w:rPr>
        <w:t xml:space="preserve">Извършени действия по подновяване на Договор МС-92/15.08.2024г. за предоставяне на услугата </w:t>
      </w:r>
      <w:r w:rsidR="00FE11A5">
        <w:rPr>
          <w:sz w:val="22"/>
          <w:szCs w:val="22"/>
        </w:rPr>
        <w:t>–</w:t>
      </w:r>
      <w:r w:rsidRPr="00322B4B">
        <w:rPr>
          <w:sz w:val="22"/>
          <w:szCs w:val="22"/>
        </w:rPr>
        <w:t xml:space="preserve"> доставка на кабелна телевизия в сградата на Министерския съвет.</w:t>
      </w:r>
    </w:p>
    <w:p w14:paraId="463DAA24" w14:textId="530F9A88" w:rsidR="00AB14F4" w:rsidRPr="00322B4B" w:rsidRDefault="00AB14F4" w:rsidP="00D352A4">
      <w:pPr>
        <w:pStyle w:val="ListParagraph"/>
        <w:numPr>
          <w:ilvl w:val="0"/>
          <w:numId w:val="67"/>
        </w:numPr>
        <w:shd w:val="clear" w:color="auto" w:fill="FFFFFF" w:themeFill="background1"/>
        <w:ind w:left="0" w:firstLine="425"/>
        <w:jc w:val="both"/>
        <w:rPr>
          <w:sz w:val="22"/>
          <w:szCs w:val="22"/>
        </w:rPr>
      </w:pPr>
      <w:r w:rsidRPr="00322B4B">
        <w:rPr>
          <w:sz w:val="22"/>
          <w:szCs w:val="22"/>
        </w:rPr>
        <w:t>Приключване и процедиране на окончателно плащане и освобождаване на гаранция по договор МС-69/03.07.2024 г. относно поддръжка на системата от сървъри за електронна поща базирана на Microsoft Exchange в Министерския съвет, в Министерския съвет.</w:t>
      </w:r>
    </w:p>
    <w:p w14:paraId="46B50603" w14:textId="6D22DA1D" w:rsidR="00AB14F4" w:rsidRPr="00322B4B" w:rsidRDefault="00AB14F4" w:rsidP="00D352A4">
      <w:pPr>
        <w:pStyle w:val="ListParagraph"/>
        <w:numPr>
          <w:ilvl w:val="0"/>
          <w:numId w:val="67"/>
        </w:numPr>
        <w:shd w:val="clear" w:color="auto" w:fill="FFFFFF" w:themeFill="background1"/>
        <w:ind w:left="0" w:firstLine="425"/>
        <w:jc w:val="both"/>
        <w:rPr>
          <w:sz w:val="22"/>
          <w:szCs w:val="22"/>
        </w:rPr>
      </w:pPr>
      <w:r w:rsidRPr="00322B4B">
        <w:rPr>
          <w:sz w:val="22"/>
          <w:szCs w:val="22"/>
        </w:rPr>
        <w:t xml:space="preserve">Техническо поддържане </w:t>
      </w:r>
      <w:r w:rsidR="00FE11A5">
        <w:rPr>
          <w:sz w:val="22"/>
          <w:szCs w:val="22"/>
        </w:rPr>
        <w:t>–</w:t>
      </w:r>
      <w:r w:rsidRPr="00322B4B">
        <w:rPr>
          <w:sz w:val="22"/>
          <w:szCs w:val="22"/>
        </w:rPr>
        <w:t xml:space="preserve"> извършване на ремонти на компютърни системи, преносими компютри и сървъри – договор МС-44/10.05.2024 г., Мултиком ООД;</w:t>
      </w:r>
    </w:p>
    <w:p w14:paraId="29B48040" w14:textId="311FD4CA" w:rsidR="00AB14F4" w:rsidRPr="00322B4B" w:rsidRDefault="00AB14F4" w:rsidP="00D352A4">
      <w:pPr>
        <w:pStyle w:val="ListParagraph"/>
        <w:numPr>
          <w:ilvl w:val="0"/>
          <w:numId w:val="67"/>
        </w:numPr>
        <w:shd w:val="clear" w:color="auto" w:fill="FFFFFF" w:themeFill="background1"/>
        <w:ind w:left="0" w:firstLine="425"/>
        <w:jc w:val="both"/>
        <w:rPr>
          <w:sz w:val="22"/>
          <w:szCs w:val="22"/>
        </w:rPr>
      </w:pPr>
      <w:r w:rsidRPr="00322B4B">
        <w:rPr>
          <w:sz w:val="22"/>
          <w:szCs w:val="22"/>
        </w:rPr>
        <w:t>Поддържане и администриране на информационна система за електронни заседания на правителството;</w:t>
      </w:r>
    </w:p>
    <w:p w14:paraId="0CA8E4F4" w14:textId="1EC9A8A6" w:rsidR="00AB14F4" w:rsidRPr="00322B4B" w:rsidRDefault="00AB14F4" w:rsidP="00D352A4">
      <w:pPr>
        <w:pStyle w:val="ListParagraph"/>
        <w:numPr>
          <w:ilvl w:val="0"/>
          <w:numId w:val="67"/>
        </w:numPr>
        <w:shd w:val="clear" w:color="auto" w:fill="FFFFFF" w:themeFill="background1"/>
        <w:ind w:left="0" w:firstLine="425"/>
        <w:jc w:val="both"/>
        <w:rPr>
          <w:sz w:val="22"/>
          <w:szCs w:val="22"/>
        </w:rPr>
      </w:pPr>
      <w:r w:rsidRPr="00322B4B">
        <w:rPr>
          <w:sz w:val="22"/>
          <w:szCs w:val="22"/>
        </w:rPr>
        <w:t>Достъпът до мрежата за взаимна свързаност на държавите членки на ЕС – sTESTA е осигурен технически и функционално;</w:t>
      </w:r>
    </w:p>
    <w:p w14:paraId="466425FA" w14:textId="2C987298" w:rsidR="00AB14F4" w:rsidRPr="00322B4B" w:rsidRDefault="00AB14F4" w:rsidP="00D352A4">
      <w:pPr>
        <w:pStyle w:val="ListParagraph"/>
        <w:numPr>
          <w:ilvl w:val="0"/>
          <w:numId w:val="67"/>
        </w:numPr>
        <w:shd w:val="clear" w:color="auto" w:fill="FFFFFF" w:themeFill="background1"/>
        <w:ind w:left="0" w:firstLine="425"/>
        <w:jc w:val="both"/>
        <w:rPr>
          <w:sz w:val="22"/>
          <w:szCs w:val="22"/>
        </w:rPr>
      </w:pPr>
      <w:r w:rsidRPr="00322B4B">
        <w:rPr>
          <w:sz w:val="22"/>
          <w:szCs w:val="22"/>
        </w:rPr>
        <w:t>Продължава работата и изпълнението по неприключените дейности в План-график</w:t>
      </w:r>
      <w:r w:rsidR="00D26D31">
        <w:rPr>
          <w:sz w:val="22"/>
          <w:szCs w:val="22"/>
          <w:lang w:val="bg-BG"/>
        </w:rPr>
        <w:t>а</w:t>
      </w:r>
      <w:r w:rsidRPr="00322B4B">
        <w:rPr>
          <w:sz w:val="22"/>
          <w:szCs w:val="22"/>
        </w:rPr>
        <w:t xml:space="preserve"> </w:t>
      </w:r>
      <w:r w:rsidR="005109DD">
        <w:rPr>
          <w:sz w:val="22"/>
          <w:szCs w:val="22"/>
          <w:lang w:val="bg-BG"/>
        </w:rPr>
        <w:br/>
      </w:r>
      <w:r w:rsidRPr="00322B4B">
        <w:rPr>
          <w:sz w:val="22"/>
          <w:szCs w:val="22"/>
        </w:rPr>
        <w:t>за 2024 г.</w:t>
      </w:r>
    </w:p>
    <w:p w14:paraId="0B11D0A6" w14:textId="3510E0FB" w:rsidR="00AB14F4" w:rsidRPr="005109DD" w:rsidRDefault="00AB14F4" w:rsidP="00D352A4">
      <w:pPr>
        <w:pStyle w:val="ListParagraph"/>
        <w:numPr>
          <w:ilvl w:val="0"/>
          <w:numId w:val="67"/>
        </w:numPr>
        <w:shd w:val="clear" w:color="auto" w:fill="FFFFFF" w:themeFill="background1"/>
        <w:ind w:left="0" w:firstLine="425"/>
        <w:jc w:val="both"/>
        <w:rPr>
          <w:sz w:val="22"/>
          <w:szCs w:val="22"/>
        </w:rPr>
      </w:pPr>
      <w:r w:rsidRPr="005109DD">
        <w:rPr>
          <w:sz w:val="22"/>
          <w:szCs w:val="22"/>
        </w:rPr>
        <w:t>Изпълняват се дейности „Наблюдение и управление на информационно-комуникационната инфраструктура (ИКИ) на АМС“, съгласно План</w:t>
      </w:r>
      <w:r w:rsidR="005109DD">
        <w:rPr>
          <w:sz w:val="22"/>
          <w:szCs w:val="22"/>
          <w:lang w:val="bg-BG"/>
        </w:rPr>
        <w:t>-</w:t>
      </w:r>
      <w:r w:rsidRPr="005109DD">
        <w:rPr>
          <w:sz w:val="22"/>
          <w:szCs w:val="22"/>
        </w:rPr>
        <w:t>графика за 2024 г.</w:t>
      </w:r>
    </w:p>
    <w:p w14:paraId="457E2834" w14:textId="36BD601F" w:rsidR="00AB14F4" w:rsidRPr="005109DD" w:rsidRDefault="00AB14F4" w:rsidP="00D352A4">
      <w:pPr>
        <w:pStyle w:val="ListParagraph"/>
        <w:numPr>
          <w:ilvl w:val="0"/>
          <w:numId w:val="67"/>
        </w:numPr>
        <w:shd w:val="clear" w:color="auto" w:fill="FFFFFF" w:themeFill="background1"/>
        <w:ind w:left="0" w:firstLine="425"/>
        <w:jc w:val="both"/>
        <w:rPr>
          <w:sz w:val="22"/>
          <w:szCs w:val="22"/>
        </w:rPr>
      </w:pPr>
      <w:r w:rsidRPr="005109DD">
        <w:rPr>
          <w:sz w:val="22"/>
          <w:szCs w:val="22"/>
        </w:rPr>
        <w:t xml:space="preserve">Обработени 300 заявки от билетната система за управление на ИКТ заявки в АМС. </w:t>
      </w:r>
      <w:r w:rsidR="00AD2745">
        <w:rPr>
          <w:sz w:val="22"/>
          <w:szCs w:val="22"/>
          <w:lang w:val="bg-BG"/>
        </w:rPr>
        <w:br/>
      </w:r>
      <w:r w:rsidRPr="005109DD">
        <w:rPr>
          <w:sz w:val="22"/>
          <w:szCs w:val="22"/>
        </w:rPr>
        <w:t>В допълнение се обработват и получени заявки по телефон и ел. поща от потребителите в АМС.</w:t>
      </w:r>
    </w:p>
    <w:p w14:paraId="13D919B3" w14:textId="77777777" w:rsidR="00AB14F4" w:rsidRPr="00AD2745" w:rsidRDefault="00AB14F4" w:rsidP="00D352A4">
      <w:pPr>
        <w:pStyle w:val="ListParagraph"/>
        <w:shd w:val="clear" w:color="auto" w:fill="FFFFFF" w:themeFill="background1"/>
        <w:spacing w:before="120"/>
        <w:ind w:left="425"/>
        <w:jc w:val="both"/>
        <w:rPr>
          <w:b/>
          <w:bCs/>
          <w:sz w:val="22"/>
          <w:szCs w:val="22"/>
        </w:rPr>
      </w:pPr>
      <w:r w:rsidRPr="00AD2745">
        <w:rPr>
          <w:b/>
          <w:bCs/>
          <w:sz w:val="22"/>
          <w:szCs w:val="22"/>
        </w:rPr>
        <w:lastRenderedPageBreak/>
        <w:t xml:space="preserve">В резултат на извършените дейности се постигнаха следните резултати: </w:t>
      </w:r>
    </w:p>
    <w:p w14:paraId="0ABBB475" w14:textId="12E370E6" w:rsidR="00AB14F4" w:rsidRPr="005109DD" w:rsidRDefault="00AB14F4" w:rsidP="00D352A4">
      <w:pPr>
        <w:pStyle w:val="ListParagraph"/>
        <w:numPr>
          <w:ilvl w:val="0"/>
          <w:numId w:val="67"/>
        </w:numPr>
        <w:shd w:val="clear" w:color="auto" w:fill="FFFFFF" w:themeFill="background1"/>
        <w:ind w:left="0" w:firstLine="425"/>
        <w:jc w:val="both"/>
        <w:rPr>
          <w:sz w:val="22"/>
          <w:szCs w:val="22"/>
        </w:rPr>
      </w:pPr>
      <w:bookmarkStart w:id="78" w:name="_Hlk206585100"/>
      <w:r w:rsidRPr="005109DD">
        <w:rPr>
          <w:sz w:val="22"/>
          <w:szCs w:val="22"/>
        </w:rPr>
        <w:t>Подобряване на комуникационната и информационна сигурност на мрежата на Министерския съвет и неговата администрация</w:t>
      </w:r>
      <w:r w:rsidR="00AC6A58">
        <w:rPr>
          <w:sz w:val="22"/>
          <w:szCs w:val="22"/>
          <w:lang w:val="bg-BG"/>
        </w:rPr>
        <w:t>;</w:t>
      </w:r>
    </w:p>
    <w:p w14:paraId="5E06AA78" w14:textId="48F27DCB" w:rsidR="00AB14F4" w:rsidRPr="005109DD" w:rsidRDefault="00AB14F4" w:rsidP="00D352A4">
      <w:pPr>
        <w:pStyle w:val="ListParagraph"/>
        <w:numPr>
          <w:ilvl w:val="0"/>
          <w:numId w:val="67"/>
        </w:numPr>
        <w:shd w:val="clear" w:color="auto" w:fill="FFFFFF" w:themeFill="background1"/>
        <w:ind w:left="0" w:firstLine="425"/>
        <w:jc w:val="both"/>
        <w:rPr>
          <w:sz w:val="22"/>
          <w:szCs w:val="22"/>
        </w:rPr>
      </w:pPr>
      <w:r w:rsidRPr="005109DD">
        <w:rPr>
          <w:sz w:val="22"/>
          <w:szCs w:val="22"/>
        </w:rPr>
        <w:t>Осигуряване на техническо и информационно обезпечаване на дейността на АМС</w:t>
      </w:r>
      <w:r w:rsidR="00AC6A58">
        <w:rPr>
          <w:sz w:val="22"/>
          <w:szCs w:val="22"/>
          <w:lang w:val="bg-BG"/>
        </w:rPr>
        <w:t>;</w:t>
      </w:r>
    </w:p>
    <w:p w14:paraId="40C69FC0" w14:textId="5F4E6176" w:rsidR="00AB14F4" w:rsidRPr="005109DD" w:rsidRDefault="00AB14F4" w:rsidP="00D352A4">
      <w:pPr>
        <w:pStyle w:val="ListParagraph"/>
        <w:numPr>
          <w:ilvl w:val="0"/>
          <w:numId w:val="67"/>
        </w:numPr>
        <w:shd w:val="clear" w:color="auto" w:fill="FFFFFF" w:themeFill="background1"/>
        <w:ind w:left="0" w:firstLine="425"/>
        <w:jc w:val="both"/>
        <w:rPr>
          <w:sz w:val="22"/>
          <w:szCs w:val="22"/>
        </w:rPr>
      </w:pPr>
      <w:r w:rsidRPr="005109DD">
        <w:rPr>
          <w:sz w:val="22"/>
          <w:szCs w:val="22"/>
        </w:rPr>
        <w:t>Осигуряване на защита от зловреден софтуер;</w:t>
      </w:r>
    </w:p>
    <w:p w14:paraId="1EEB60A5" w14:textId="6EB7F5CD" w:rsidR="00AB14F4" w:rsidRPr="005109DD" w:rsidRDefault="00AB14F4" w:rsidP="00D352A4">
      <w:pPr>
        <w:pStyle w:val="ListParagraph"/>
        <w:numPr>
          <w:ilvl w:val="0"/>
          <w:numId w:val="67"/>
        </w:numPr>
        <w:shd w:val="clear" w:color="auto" w:fill="FFFFFF" w:themeFill="background1"/>
        <w:ind w:left="0" w:firstLine="425"/>
        <w:jc w:val="both"/>
        <w:rPr>
          <w:sz w:val="22"/>
          <w:szCs w:val="22"/>
        </w:rPr>
      </w:pPr>
      <w:r w:rsidRPr="005109DD">
        <w:rPr>
          <w:sz w:val="22"/>
          <w:szCs w:val="22"/>
        </w:rPr>
        <w:t>Повишена ефективност при организация и провеждане на заседанията на Министерския съвет</w:t>
      </w:r>
      <w:r w:rsidR="00AC6A58">
        <w:rPr>
          <w:sz w:val="22"/>
          <w:szCs w:val="22"/>
          <w:lang w:val="bg-BG"/>
        </w:rPr>
        <w:t>;</w:t>
      </w:r>
    </w:p>
    <w:p w14:paraId="46E74FE4" w14:textId="4B5CC1F5" w:rsidR="00AB14F4" w:rsidRPr="005109DD" w:rsidRDefault="00AB14F4" w:rsidP="00D352A4">
      <w:pPr>
        <w:pStyle w:val="ListParagraph"/>
        <w:numPr>
          <w:ilvl w:val="0"/>
          <w:numId w:val="67"/>
        </w:numPr>
        <w:shd w:val="clear" w:color="auto" w:fill="FFFFFF" w:themeFill="background1"/>
        <w:ind w:left="0" w:firstLine="425"/>
        <w:jc w:val="both"/>
        <w:rPr>
          <w:sz w:val="22"/>
          <w:szCs w:val="22"/>
        </w:rPr>
      </w:pPr>
      <w:r w:rsidRPr="005109DD">
        <w:rPr>
          <w:sz w:val="22"/>
          <w:szCs w:val="22"/>
        </w:rPr>
        <w:t>Оптимизация на работните процеси в АМС</w:t>
      </w:r>
      <w:r w:rsidR="00AC6A58">
        <w:rPr>
          <w:sz w:val="22"/>
          <w:szCs w:val="22"/>
          <w:lang w:val="bg-BG"/>
        </w:rPr>
        <w:t>;</w:t>
      </w:r>
    </w:p>
    <w:bookmarkEnd w:id="78"/>
    <w:p w14:paraId="32F0AF47" w14:textId="7EB7F02C" w:rsidR="00AB14F4" w:rsidRPr="005109DD" w:rsidRDefault="00AB14F4" w:rsidP="00D352A4">
      <w:pPr>
        <w:pStyle w:val="ListParagraph"/>
        <w:numPr>
          <w:ilvl w:val="0"/>
          <w:numId w:val="67"/>
        </w:numPr>
        <w:shd w:val="clear" w:color="auto" w:fill="FFFFFF" w:themeFill="background1"/>
        <w:ind w:left="0" w:firstLine="425"/>
        <w:jc w:val="both"/>
        <w:rPr>
          <w:bCs/>
          <w:iCs/>
          <w:sz w:val="22"/>
          <w:szCs w:val="22"/>
        </w:rPr>
      </w:pPr>
      <w:r w:rsidRPr="005109DD">
        <w:rPr>
          <w:sz w:val="22"/>
          <w:szCs w:val="22"/>
        </w:rPr>
        <w:t>Намаляване на времето за осъществяване</w:t>
      </w:r>
      <w:r w:rsidRPr="00B03D18">
        <w:rPr>
          <w:bCs/>
          <w:iCs/>
          <w:sz w:val="22"/>
          <w:szCs w:val="22"/>
        </w:rPr>
        <w:t xml:space="preserve"> </w:t>
      </w:r>
      <w:r w:rsidRPr="005109DD">
        <w:rPr>
          <w:bCs/>
          <w:iCs/>
          <w:sz w:val="22"/>
          <w:szCs w:val="22"/>
        </w:rPr>
        <w:t>на дейностите</w:t>
      </w:r>
      <w:r w:rsidR="00AC6A58">
        <w:rPr>
          <w:bCs/>
          <w:iCs/>
          <w:sz w:val="22"/>
          <w:szCs w:val="22"/>
          <w:lang w:val="bg-BG"/>
        </w:rPr>
        <w:t>;</w:t>
      </w:r>
    </w:p>
    <w:p w14:paraId="5680FB47" w14:textId="2A870117" w:rsidR="00AB14F4" w:rsidRPr="00AC6A58" w:rsidRDefault="00AB14F4" w:rsidP="00D352A4">
      <w:pPr>
        <w:pStyle w:val="ListParagraph"/>
        <w:numPr>
          <w:ilvl w:val="0"/>
          <w:numId w:val="67"/>
        </w:numPr>
        <w:shd w:val="clear" w:color="auto" w:fill="FFFFFF" w:themeFill="background1"/>
        <w:spacing w:after="120"/>
        <w:ind w:left="0" w:firstLine="425"/>
        <w:jc w:val="both"/>
        <w:rPr>
          <w:sz w:val="22"/>
          <w:szCs w:val="22"/>
        </w:rPr>
      </w:pPr>
      <w:r w:rsidRPr="00AC6A58">
        <w:rPr>
          <w:sz w:val="22"/>
          <w:szCs w:val="22"/>
        </w:rPr>
        <w:t>Намаляване на текущите разходи.</w:t>
      </w:r>
    </w:p>
    <w:p w14:paraId="10D82494" w14:textId="0E67ACDD" w:rsidR="001C1052" w:rsidRPr="00CC11DA" w:rsidRDefault="001C1052" w:rsidP="0020322F">
      <w:pPr>
        <w:widowControl w:val="0"/>
        <w:shd w:val="clear" w:color="auto" w:fill="FFFFFF" w:themeFill="background1"/>
        <w:tabs>
          <w:tab w:val="left" w:pos="426"/>
        </w:tabs>
        <w:ind w:firstLine="425"/>
        <w:jc w:val="both"/>
        <w:outlineLvl w:val="3"/>
        <w:rPr>
          <w:b/>
          <w:bCs/>
          <w:iCs/>
          <w:color w:val="215E99" w:themeColor="text2" w:themeTint="BF"/>
          <w:sz w:val="22"/>
          <w:szCs w:val="22"/>
          <w:lang w:eastAsia="en-US"/>
        </w:rPr>
      </w:pPr>
      <w:r w:rsidRPr="00CC11DA">
        <w:rPr>
          <w:b/>
          <w:bCs/>
          <w:iCs/>
          <w:color w:val="215E99" w:themeColor="text2" w:themeTint="BF"/>
          <w:sz w:val="22"/>
          <w:szCs w:val="22"/>
          <w:lang w:eastAsia="en-US"/>
        </w:rPr>
        <w:t>Отчет на разходите по бюджетната програма с разпределение по ведомствени и администрирани разходи</w:t>
      </w:r>
    </w:p>
    <w:p w14:paraId="47784551" w14:textId="0F14B5FA" w:rsidR="00D95188" w:rsidRPr="00665490" w:rsidRDefault="008106F8" w:rsidP="0020322F">
      <w:pPr>
        <w:pStyle w:val="BodyText2"/>
        <w:shd w:val="clear" w:color="auto" w:fill="FFFFFF" w:themeFill="background1"/>
        <w:spacing w:after="0" w:line="240" w:lineRule="auto"/>
        <w:jc w:val="right"/>
        <w:rPr>
          <w:i/>
          <w:iCs/>
          <w:sz w:val="20"/>
          <w:szCs w:val="20"/>
        </w:rPr>
      </w:pPr>
      <w:r w:rsidRPr="00665490">
        <w:rPr>
          <w:b/>
          <w:i/>
          <w:iCs/>
          <w:sz w:val="20"/>
          <w:szCs w:val="20"/>
        </w:rPr>
        <w:t>Приложение № 7</w:t>
      </w:r>
      <w:r w:rsidRPr="00665490">
        <w:rPr>
          <w:i/>
          <w:iCs/>
          <w:sz w:val="20"/>
          <w:szCs w:val="20"/>
        </w:rPr>
        <w:t xml:space="preserve"> </w:t>
      </w:r>
    </w:p>
    <w:p w14:paraId="4EFFEC66" w14:textId="45401BD3" w:rsidR="008106F8" w:rsidRDefault="008106F8" w:rsidP="0020322F">
      <w:pPr>
        <w:pStyle w:val="BodyText2"/>
        <w:shd w:val="clear" w:color="auto" w:fill="FFFFFF" w:themeFill="background1"/>
        <w:spacing w:after="0" w:line="240" w:lineRule="auto"/>
        <w:jc w:val="both"/>
        <w:rPr>
          <w:i/>
          <w:iCs/>
          <w:sz w:val="20"/>
          <w:szCs w:val="20"/>
        </w:rPr>
      </w:pPr>
      <w:r w:rsidRPr="00665490">
        <w:rPr>
          <w:i/>
          <w:iCs/>
          <w:sz w:val="20"/>
          <w:szCs w:val="20"/>
        </w:rPr>
        <w:t>Отчет на разходите по бюджетните програми с разпределение по ведомствени и администрирани разходи</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6354"/>
        <w:gridCol w:w="936"/>
        <w:gridCol w:w="936"/>
        <w:gridCol w:w="856"/>
      </w:tblGrid>
      <w:tr w:rsidR="000079BE" w:rsidRPr="000079BE" w14:paraId="0F1C9A83" w14:textId="77777777" w:rsidTr="005E5E2E">
        <w:trPr>
          <w:trHeight w:val="315"/>
        </w:trPr>
        <w:tc>
          <w:tcPr>
            <w:tcW w:w="231" w:type="pct"/>
            <w:vMerge w:val="restart"/>
            <w:shd w:val="clear" w:color="000000" w:fill="E6E6E6"/>
            <w:noWrap/>
            <w:vAlign w:val="center"/>
            <w:hideMark/>
          </w:tcPr>
          <w:p w14:paraId="7C8E2935" w14:textId="77777777" w:rsidR="000079BE" w:rsidRPr="000079BE" w:rsidRDefault="000079BE">
            <w:pPr>
              <w:jc w:val="center"/>
              <w:rPr>
                <w:b/>
                <w:bCs/>
                <w:sz w:val="16"/>
                <w:szCs w:val="16"/>
              </w:rPr>
            </w:pPr>
            <w:r w:rsidRPr="000079BE">
              <w:rPr>
                <w:b/>
                <w:bCs/>
                <w:sz w:val="16"/>
                <w:szCs w:val="16"/>
              </w:rPr>
              <w:t>№</w:t>
            </w:r>
          </w:p>
        </w:tc>
        <w:tc>
          <w:tcPr>
            <w:tcW w:w="3278" w:type="pct"/>
            <w:tcBorders>
              <w:bottom w:val="nil"/>
            </w:tcBorders>
            <w:shd w:val="clear" w:color="000000" w:fill="E6E6E6"/>
            <w:noWrap/>
            <w:vAlign w:val="center"/>
            <w:hideMark/>
          </w:tcPr>
          <w:p w14:paraId="74CFCDC3" w14:textId="77777777" w:rsidR="000079BE" w:rsidRPr="000079BE" w:rsidRDefault="000079BE">
            <w:pPr>
              <w:jc w:val="center"/>
              <w:rPr>
                <w:b/>
                <w:bCs/>
                <w:sz w:val="16"/>
                <w:szCs w:val="16"/>
              </w:rPr>
            </w:pPr>
            <w:r w:rsidRPr="000079BE">
              <w:rPr>
                <w:b/>
                <w:bCs/>
                <w:sz w:val="16"/>
                <w:szCs w:val="16"/>
              </w:rPr>
              <w:t>0300.06.00-Бюджетна програма „Администрация“</w:t>
            </w:r>
          </w:p>
        </w:tc>
        <w:tc>
          <w:tcPr>
            <w:tcW w:w="485" w:type="pct"/>
            <w:vMerge w:val="restart"/>
            <w:shd w:val="clear" w:color="000000" w:fill="E6E6E6"/>
            <w:vAlign w:val="center"/>
            <w:hideMark/>
          </w:tcPr>
          <w:p w14:paraId="6315A740" w14:textId="77777777" w:rsidR="000079BE" w:rsidRPr="000079BE" w:rsidRDefault="000079BE">
            <w:pPr>
              <w:jc w:val="center"/>
              <w:rPr>
                <w:b/>
                <w:bCs/>
                <w:sz w:val="16"/>
                <w:szCs w:val="16"/>
              </w:rPr>
            </w:pPr>
            <w:r w:rsidRPr="000079BE">
              <w:rPr>
                <w:b/>
                <w:bCs/>
                <w:sz w:val="16"/>
                <w:szCs w:val="16"/>
              </w:rPr>
              <w:t>Закон</w:t>
            </w:r>
          </w:p>
        </w:tc>
        <w:tc>
          <w:tcPr>
            <w:tcW w:w="485" w:type="pct"/>
            <w:vMerge w:val="restart"/>
            <w:shd w:val="clear" w:color="000000" w:fill="E6E6E6"/>
            <w:vAlign w:val="center"/>
            <w:hideMark/>
          </w:tcPr>
          <w:p w14:paraId="50BE345D" w14:textId="77777777" w:rsidR="000079BE" w:rsidRPr="000079BE" w:rsidRDefault="000079BE">
            <w:pPr>
              <w:jc w:val="center"/>
              <w:rPr>
                <w:b/>
                <w:bCs/>
                <w:sz w:val="16"/>
                <w:szCs w:val="16"/>
              </w:rPr>
            </w:pPr>
            <w:r w:rsidRPr="000079BE">
              <w:rPr>
                <w:b/>
                <w:bCs/>
                <w:sz w:val="16"/>
                <w:szCs w:val="16"/>
              </w:rPr>
              <w:t>Уточнен план</w:t>
            </w:r>
          </w:p>
        </w:tc>
        <w:tc>
          <w:tcPr>
            <w:tcW w:w="521" w:type="pct"/>
            <w:vMerge w:val="restart"/>
            <w:shd w:val="clear" w:color="000000" w:fill="E6E6E6"/>
            <w:vAlign w:val="center"/>
            <w:hideMark/>
          </w:tcPr>
          <w:p w14:paraId="2BEBC621" w14:textId="77777777" w:rsidR="000079BE" w:rsidRPr="000079BE" w:rsidRDefault="000079BE">
            <w:pPr>
              <w:jc w:val="center"/>
              <w:rPr>
                <w:b/>
                <w:bCs/>
                <w:sz w:val="16"/>
                <w:szCs w:val="16"/>
              </w:rPr>
            </w:pPr>
            <w:r w:rsidRPr="000079BE">
              <w:rPr>
                <w:b/>
                <w:bCs/>
                <w:sz w:val="16"/>
                <w:szCs w:val="16"/>
              </w:rPr>
              <w:t>Отчет</w:t>
            </w:r>
          </w:p>
        </w:tc>
      </w:tr>
      <w:tr w:rsidR="000079BE" w:rsidRPr="000079BE" w14:paraId="7FDFAD62" w14:textId="77777777" w:rsidTr="005E5E2E">
        <w:trPr>
          <w:trHeight w:val="123"/>
        </w:trPr>
        <w:tc>
          <w:tcPr>
            <w:tcW w:w="231" w:type="pct"/>
            <w:vMerge/>
            <w:vAlign w:val="center"/>
            <w:hideMark/>
          </w:tcPr>
          <w:p w14:paraId="576041BF" w14:textId="77777777" w:rsidR="000079BE" w:rsidRPr="000079BE" w:rsidRDefault="000079BE">
            <w:pPr>
              <w:rPr>
                <w:b/>
                <w:bCs/>
                <w:sz w:val="16"/>
                <w:szCs w:val="16"/>
              </w:rPr>
            </w:pPr>
          </w:p>
        </w:tc>
        <w:tc>
          <w:tcPr>
            <w:tcW w:w="3278" w:type="pct"/>
            <w:tcBorders>
              <w:top w:val="nil"/>
            </w:tcBorders>
            <w:shd w:val="clear" w:color="000000" w:fill="E6E6E6"/>
            <w:noWrap/>
            <w:vAlign w:val="center"/>
            <w:hideMark/>
          </w:tcPr>
          <w:p w14:paraId="22C71208" w14:textId="77777777" w:rsidR="000079BE" w:rsidRPr="000079BE" w:rsidRDefault="000079BE">
            <w:pPr>
              <w:jc w:val="center"/>
              <w:rPr>
                <w:b/>
                <w:bCs/>
                <w:sz w:val="16"/>
                <w:szCs w:val="16"/>
              </w:rPr>
            </w:pPr>
            <w:r w:rsidRPr="000079BE">
              <w:rPr>
                <w:b/>
                <w:bCs/>
                <w:sz w:val="16"/>
                <w:szCs w:val="16"/>
              </w:rPr>
              <w:t>(в лева)</w:t>
            </w:r>
          </w:p>
        </w:tc>
        <w:tc>
          <w:tcPr>
            <w:tcW w:w="485" w:type="pct"/>
            <w:vMerge/>
            <w:vAlign w:val="center"/>
            <w:hideMark/>
          </w:tcPr>
          <w:p w14:paraId="4A0B87FC" w14:textId="77777777" w:rsidR="000079BE" w:rsidRPr="000079BE" w:rsidRDefault="000079BE">
            <w:pPr>
              <w:rPr>
                <w:b/>
                <w:bCs/>
                <w:sz w:val="16"/>
                <w:szCs w:val="16"/>
              </w:rPr>
            </w:pPr>
          </w:p>
        </w:tc>
        <w:tc>
          <w:tcPr>
            <w:tcW w:w="485" w:type="pct"/>
            <w:vMerge/>
            <w:vAlign w:val="center"/>
            <w:hideMark/>
          </w:tcPr>
          <w:p w14:paraId="376CA889" w14:textId="77777777" w:rsidR="000079BE" w:rsidRPr="000079BE" w:rsidRDefault="000079BE">
            <w:pPr>
              <w:rPr>
                <w:b/>
                <w:bCs/>
                <w:sz w:val="16"/>
                <w:szCs w:val="16"/>
              </w:rPr>
            </w:pPr>
          </w:p>
        </w:tc>
        <w:tc>
          <w:tcPr>
            <w:tcW w:w="521" w:type="pct"/>
            <w:vMerge/>
            <w:vAlign w:val="center"/>
            <w:hideMark/>
          </w:tcPr>
          <w:p w14:paraId="5E8A6F60" w14:textId="77777777" w:rsidR="000079BE" w:rsidRPr="000079BE" w:rsidRDefault="000079BE">
            <w:pPr>
              <w:rPr>
                <w:b/>
                <w:bCs/>
                <w:sz w:val="16"/>
                <w:szCs w:val="16"/>
              </w:rPr>
            </w:pPr>
          </w:p>
        </w:tc>
      </w:tr>
      <w:tr w:rsidR="000079BE" w:rsidRPr="000079BE" w14:paraId="3CDAAD05" w14:textId="77777777" w:rsidTr="00817259">
        <w:trPr>
          <w:trHeight w:val="212"/>
        </w:trPr>
        <w:tc>
          <w:tcPr>
            <w:tcW w:w="231" w:type="pct"/>
            <w:shd w:val="clear" w:color="000000" w:fill="E6E6E6"/>
            <w:noWrap/>
            <w:vAlign w:val="center"/>
            <w:hideMark/>
          </w:tcPr>
          <w:p w14:paraId="430B7DF0" w14:textId="77777777" w:rsidR="000079BE" w:rsidRPr="000079BE" w:rsidRDefault="000079BE">
            <w:pPr>
              <w:jc w:val="both"/>
              <w:rPr>
                <w:b/>
                <w:bCs/>
                <w:sz w:val="16"/>
                <w:szCs w:val="16"/>
              </w:rPr>
            </w:pPr>
            <w:r w:rsidRPr="000079BE">
              <w:rPr>
                <w:b/>
                <w:bCs/>
                <w:sz w:val="16"/>
                <w:szCs w:val="16"/>
              </w:rPr>
              <w:t>І.</w:t>
            </w:r>
          </w:p>
        </w:tc>
        <w:tc>
          <w:tcPr>
            <w:tcW w:w="3278" w:type="pct"/>
            <w:shd w:val="clear" w:color="000000" w:fill="E6E6E6"/>
            <w:noWrap/>
            <w:vAlign w:val="center"/>
            <w:hideMark/>
          </w:tcPr>
          <w:p w14:paraId="2AEB4B69" w14:textId="77777777" w:rsidR="000079BE" w:rsidRPr="000079BE" w:rsidRDefault="000079BE">
            <w:pPr>
              <w:rPr>
                <w:b/>
                <w:bCs/>
                <w:sz w:val="16"/>
                <w:szCs w:val="16"/>
              </w:rPr>
            </w:pPr>
            <w:r w:rsidRPr="000079BE">
              <w:rPr>
                <w:b/>
                <w:bCs/>
                <w:sz w:val="16"/>
                <w:szCs w:val="16"/>
              </w:rPr>
              <w:t>Общо ведомствени разходи:</w:t>
            </w:r>
          </w:p>
        </w:tc>
        <w:tc>
          <w:tcPr>
            <w:tcW w:w="485" w:type="pct"/>
            <w:shd w:val="clear" w:color="000000" w:fill="E6E6E6"/>
            <w:noWrap/>
            <w:vAlign w:val="center"/>
            <w:hideMark/>
          </w:tcPr>
          <w:p w14:paraId="1FB8D237" w14:textId="77777777" w:rsidR="000079BE" w:rsidRPr="000079BE" w:rsidRDefault="000079BE">
            <w:pPr>
              <w:jc w:val="right"/>
              <w:rPr>
                <w:b/>
                <w:bCs/>
                <w:sz w:val="16"/>
                <w:szCs w:val="16"/>
              </w:rPr>
            </w:pPr>
            <w:r w:rsidRPr="000079BE">
              <w:rPr>
                <w:b/>
                <w:bCs/>
                <w:sz w:val="16"/>
                <w:szCs w:val="16"/>
              </w:rPr>
              <w:t>14 822 900</w:t>
            </w:r>
          </w:p>
        </w:tc>
        <w:tc>
          <w:tcPr>
            <w:tcW w:w="485" w:type="pct"/>
            <w:shd w:val="clear" w:color="000000" w:fill="E6E6E6"/>
            <w:noWrap/>
            <w:vAlign w:val="center"/>
            <w:hideMark/>
          </w:tcPr>
          <w:p w14:paraId="10653E02" w14:textId="77777777" w:rsidR="000079BE" w:rsidRPr="000079BE" w:rsidRDefault="000079BE">
            <w:pPr>
              <w:jc w:val="right"/>
              <w:rPr>
                <w:b/>
                <w:bCs/>
                <w:sz w:val="16"/>
                <w:szCs w:val="16"/>
              </w:rPr>
            </w:pPr>
            <w:r w:rsidRPr="000079BE">
              <w:rPr>
                <w:b/>
                <w:bCs/>
                <w:sz w:val="16"/>
                <w:szCs w:val="16"/>
              </w:rPr>
              <w:t>14 720 428</w:t>
            </w:r>
          </w:p>
        </w:tc>
        <w:tc>
          <w:tcPr>
            <w:tcW w:w="521" w:type="pct"/>
            <w:shd w:val="clear" w:color="000000" w:fill="E6E6E6"/>
            <w:noWrap/>
            <w:vAlign w:val="center"/>
            <w:hideMark/>
          </w:tcPr>
          <w:p w14:paraId="170884C8" w14:textId="77777777" w:rsidR="000079BE" w:rsidRPr="000079BE" w:rsidRDefault="000079BE">
            <w:pPr>
              <w:jc w:val="right"/>
              <w:rPr>
                <w:b/>
                <w:bCs/>
                <w:sz w:val="16"/>
                <w:szCs w:val="16"/>
              </w:rPr>
            </w:pPr>
            <w:r w:rsidRPr="000079BE">
              <w:rPr>
                <w:b/>
                <w:bCs/>
                <w:sz w:val="16"/>
                <w:szCs w:val="16"/>
              </w:rPr>
              <w:t>6 921 589</w:t>
            </w:r>
          </w:p>
        </w:tc>
      </w:tr>
      <w:tr w:rsidR="000079BE" w:rsidRPr="000079BE" w14:paraId="3AE36648" w14:textId="77777777" w:rsidTr="00817259">
        <w:trPr>
          <w:trHeight w:val="130"/>
        </w:trPr>
        <w:tc>
          <w:tcPr>
            <w:tcW w:w="231" w:type="pct"/>
            <w:shd w:val="clear" w:color="auto" w:fill="auto"/>
            <w:noWrap/>
            <w:vAlign w:val="center"/>
            <w:hideMark/>
          </w:tcPr>
          <w:p w14:paraId="2C2C73C8" w14:textId="77777777" w:rsidR="000079BE" w:rsidRPr="000079BE" w:rsidRDefault="000079BE">
            <w:pPr>
              <w:jc w:val="both"/>
              <w:rPr>
                <w:sz w:val="16"/>
                <w:szCs w:val="16"/>
              </w:rPr>
            </w:pPr>
            <w:r w:rsidRPr="000079BE">
              <w:rPr>
                <w:sz w:val="16"/>
                <w:szCs w:val="16"/>
              </w:rPr>
              <w:t> </w:t>
            </w:r>
          </w:p>
        </w:tc>
        <w:tc>
          <w:tcPr>
            <w:tcW w:w="3278" w:type="pct"/>
            <w:shd w:val="clear" w:color="auto" w:fill="auto"/>
            <w:noWrap/>
            <w:vAlign w:val="center"/>
            <w:hideMark/>
          </w:tcPr>
          <w:p w14:paraId="406286C3" w14:textId="3C32AECF" w:rsidR="000079BE" w:rsidRPr="000079BE" w:rsidRDefault="000079BE" w:rsidP="005E5E2E">
            <w:pPr>
              <w:ind w:firstLine="159"/>
              <w:rPr>
                <w:sz w:val="16"/>
                <w:szCs w:val="16"/>
              </w:rPr>
            </w:pPr>
            <w:r w:rsidRPr="000079BE">
              <w:rPr>
                <w:sz w:val="16"/>
                <w:szCs w:val="16"/>
              </w:rPr>
              <w:t>Персонал</w:t>
            </w:r>
          </w:p>
        </w:tc>
        <w:tc>
          <w:tcPr>
            <w:tcW w:w="485" w:type="pct"/>
            <w:shd w:val="clear" w:color="auto" w:fill="auto"/>
            <w:noWrap/>
            <w:vAlign w:val="center"/>
            <w:hideMark/>
          </w:tcPr>
          <w:p w14:paraId="1ED8CF24" w14:textId="77777777" w:rsidR="000079BE" w:rsidRPr="000079BE" w:rsidRDefault="000079BE">
            <w:pPr>
              <w:jc w:val="right"/>
              <w:rPr>
                <w:sz w:val="16"/>
                <w:szCs w:val="16"/>
              </w:rPr>
            </w:pPr>
            <w:r w:rsidRPr="000079BE">
              <w:rPr>
                <w:sz w:val="16"/>
                <w:szCs w:val="16"/>
              </w:rPr>
              <w:t>9 645 300</w:t>
            </w:r>
          </w:p>
        </w:tc>
        <w:tc>
          <w:tcPr>
            <w:tcW w:w="485" w:type="pct"/>
            <w:shd w:val="clear" w:color="auto" w:fill="auto"/>
            <w:noWrap/>
            <w:vAlign w:val="center"/>
            <w:hideMark/>
          </w:tcPr>
          <w:p w14:paraId="7E8F6BEB" w14:textId="77777777" w:rsidR="000079BE" w:rsidRPr="000079BE" w:rsidRDefault="000079BE">
            <w:pPr>
              <w:jc w:val="right"/>
              <w:rPr>
                <w:sz w:val="16"/>
                <w:szCs w:val="16"/>
              </w:rPr>
            </w:pPr>
            <w:r w:rsidRPr="000079BE">
              <w:rPr>
                <w:sz w:val="16"/>
                <w:szCs w:val="16"/>
              </w:rPr>
              <w:t>9 645 300</w:t>
            </w:r>
          </w:p>
        </w:tc>
        <w:tc>
          <w:tcPr>
            <w:tcW w:w="521" w:type="pct"/>
            <w:shd w:val="clear" w:color="auto" w:fill="auto"/>
            <w:noWrap/>
            <w:vAlign w:val="center"/>
            <w:hideMark/>
          </w:tcPr>
          <w:p w14:paraId="5F2C2063" w14:textId="77777777" w:rsidR="000079BE" w:rsidRPr="000079BE" w:rsidRDefault="000079BE">
            <w:pPr>
              <w:jc w:val="right"/>
              <w:rPr>
                <w:sz w:val="16"/>
                <w:szCs w:val="16"/>
              </w:rPr>
            </w:pPr>
            <w:r w:rsidRPr="000079BE">
              <w:rPr>
                <w:sz w:val="16"/>
                <w:szCs w:val="16"/>
              </w:rPr>
              <w:t>5 063 958</w:t>
            </w:r>
          </w:p>
        </w:tc>
      </w:tr>
      <w:tr w:rsidR="000079BE" w:rsidRPr="000079BE" w14:paraId="773461B2" w14:textId="77777777" w:rsidTr="00E64B7F">
        <w:trPr>
          <w:trHeight w:val="75"/>
        </w:trPr>
        <w:tc>
          <w:tcPr>
            <w:tcW w:w="231" w:type="pct"/>
            <w:shd w:val="clear" w:color="auto" w:fill="auto"/>
            <w:noWrap/>
            <w:vAlign w:val="center"/>
            <w:hideMark/>
          </w:tcPr>
          <w:p w14:paraId="40D7BCB6" w14:textId="77777777" w:rsidR="000079BE" w:rsidRPr="000079BE" w:rsidRDefault="000079BE">
            <w:pPr>
              <w:jc w:val="both"/>
              <w:rPr>
                <w:sz w:val="16"/>
                <w:szCs w:val="16"/>
              </w:rPr>
            </w:pPr>
            <w:r w:rsidRPr="000079BE">
              <w:rPr>
                <w:sz w:val="16"/>
                <w:szCs w:val="16"/>
              </w:rPr>
              <w:t> </w:t>
            </w:r>
          </w:p>
        </w:tc>
        <w:tc>
          <w:tcPr>
            <w:tcW w:w="3278" w:type="pct"/>
            <w:shd w:val="clear" w:color="auto" w:fill="auto"/>
            <w:noWrap/>
            <w:vAlign w:val="center"/>
            <w:hideMark/>
          </w:tcPr>
          <w:p w14:paraId="2F6F62D1" w14:textId="150CDCD3" w:rsidR="000079BE" w:rsidRPr="000079BE" w:rsidRDefault="000079BE" w:rsidP="005E5E2E">
            <w:pPr>
              <w:ind w:firstLine="159"/>
              <w:rPr>
                <w:sz w:val="16"/>
                <w:szCs w:val="16"/>
              </w:rPr>
            </w:pPr>
            <w:r w:rsidRPr="000079BE">
              <w:rPr>
                <w:sz w:val="16"/>
                <w:szCs w:val="16"/>
              </w:rPr>
              <w:t>Издръжка</w:t>
            </w:r>
          </w:p>
        </w:tc>
        <w:tc>
          <w:tcPr>
            <w:tcW w:w="485" w:type="pct"/>
            <w:shd w:val="clear" w:color="auto" w:fill="auto"/>
            <w:noWrap/>
            <w:vAlign w:val="center"/>
            <w:hideMark/>
          </w:tcPr>
          <w:p w14:paraId="5F2EB774" w14:textId="77777777" w:rsidR="000079BE" w:rsidRPr="000079BE" w:rsidRDefault="000079BE">
            <w:pPr>
              <w:jc w:val="right"/>
              <w:rPr>
                <w:sz w:val="16"/>
                <w:szCs w:val="16"/>
              </w:rPr>
            </w:pPr>
            <w:r w:rsidRPr="000079BE">
              <w:rPr>
                <w:sz w:val="16"/>
                <w:szCs w:val="16"/>
              </w:rPr>
              <w:t>4 952 600</w:t>
            </w:r>
          </w:p>
        </w:tc>
        <w:tc>
          <w:tcPr>
            <w:tcW w:w="485" w:type="pct"/>
            <w:shd w:val="clear" w:color="auto" w:fill="auto"/>
            <w:noWrap/>
            <w:vAlign w:val="center"/>
            <w:hideMark/>
          </w:tcPr>
          <w:p w14:paraId="1E40BA94" w14:textId="77777777" w:rsidR="000079BE" w:rsidRPr="000079BE" w:rsidRDefault="000079BE">
            <w:pPr>
              <w:jc w:val="right"/>
              <w:rPr>
                <w:sz w:val="16"/>
                <w:szCs w:val="16"/>
              </w:rPr>
            </w:pPr>
            <w:r w:rsidRPr="000079BE">
              <w:rPr>
                <w:sz w:val="16"/>
                <w:szCs w:val="16"/>
              </w:rPr>
              <w:t>4 822 648</w:t>
            </w:r>
          </w:p>
        </w:tc>
        <w:tc>
          <w:tcPr>
            <w:tcW w:w="521" w:type="pct"/>
            <w:shd w:val="clear" w:color="auto" w:fill="auto"/>
            <w:noWrap/>
            <w:vAlign w:val="center"/>
            <w:hideMark/>
          </w:tcPr>
          <w:p w14:paraId="344286A6" w14:textId="77777777" w:rsidR="000079BE" w:rsidRPr="000079BE" w:rsidRDefault="000079BE">
            <w:pPr>
              <w:jc w:val="right"/>
              <w:rPr>
                <w:sz w:val="16"/>
                <w:szCs w:val="16"/>
              </w:rPr>
            </w:pPr>
            <w:r w:rsidRPr="000079BE">
              <w:rPr>
                <w:sz w:val="16"/>
                <w:szCs w:val="16"/>
              </w:rPr>
              <w:t>1 728 091</w:t>
            </w:r>
          </w:p>
        </w:tc>
      </w:tr>
      <w:tr w:rsidR="000079BE" w:rsidRPr="000079BE" w14:paraId="7F5C8A5A" w14:textId="77777777" w:rsidTr="00E64B7F">
        <w:trPr>
          <w:trHeight w:val="164"/>
        </w:trPr>
        <w:tc>
          <w:tcPr>
            <w:tcW w:w="231" w:type="pct"/>
            <w:shd w:val="clear" w:color="auto" w:fill="auto"/>
            <w:noWrap/>
            <w:vAlign w:val="center"/>
            <w:hideMark/>
          </w:tcPr>
          <w:p w14:paraId="2F94F03D" w14:textId="77777777" w:rsidR="000079BE" w:rsidRPr="000079BE" w:rsidRDefault="000079BE">
            <w:pPr>
              <w:jc w:val="both"/>
              <w:rPr>
                <w:sz w:val="16"/>
                <w:szCs w:val="16"/>
              </w:rPr>
            </w:pPr>
            <w:r w:rsidRPr="000079BE">
              <w:rPr>
                <w:sz w:val="16"/>
                <w:szCs w:val="16"/>
              </w:rPr>
              <w:t> </w:t>
            </w:r>
          </w:p>
        </w:tc>
        <w:tc>
          <w:tcPr>
            <w:tcW w:w="3278" w:type="pct"/>
            <w:shd w:val="clear" w:color="auto" w:fill="auto"/>
            <w:noWrap/>
            <w:vAlign w:val="center"/>
            <w:hideMark/>
          </w:tcPr>
          <w:p w14:paraId="7FD11053" w14:textId="0CBF8DA8" w:rsidR="000079BE" w:rsidRPr="000079BE" w:rsidRDefault="000079BE" w:rsidP="005E5E2E">
            <w:pPr>
              <w:ind w:firstLine="159"/>
              <w:rPr>
                <w:sz w:val="16"/>
                <w:szCs w:val="16"/>
              </w:rPr>
            </w:pPr>
            <w:r w:rsidRPr="000079BE">
              <w:rPr>
                <w:sz w:val="16"/>
                <w:szCs w:val="16"/>
              </w:rPr>
              <w:t>Капиталови разходи</w:t>
            </w:r>
          </w:p>
        </w:tc>
        <w:tc>
          <w:tcPr>
            <w:tcW w:w="485" w:type="pct"/>
            <w:shd w:val="clear" w:color="auto" w:fill="auto"/>
            <w:noWrap/>
            <w:vAlign w:val="center"/>
            <w:hideMark/>
          </w:tcPr>
          <w:p w14:paraId="126C3AE3" w14:textId="77777777" w:rsidR="000079BE" w:rsidRPr="000079BE" w:rsidRDefault="000079BE">
            <w:pPr>
              <w:jc w:val="right"/>
              <w:rPr>
                <w:sz w:val="16"/>
                <w:szCs w:val="16"/>
              </w:rPr>
            </w:pPr>
            <w:r w:rsidRPr="000079BE">
              <w:rPr>
                <w:sz w:val="16"/>
                <w:szCs w:val="16"/>
              </w:rPr>
              <w:t>225 000</w:t>
            </w:r>
          </w:p>
        </w:tc>
        <w:tc>
          <w:tcPr>
            <w:tcW w:w="485" w:type="pct"/>
            <w:shd w:val="clear" w:color="auto" w:fill="auto"/>
            <w:noWrap/>
            <w:vAlign w:val="center"/>
            <w:hideMark/>
          </w:tcPr>
          <w:p w14:paraId="5D1BDE52" w14:textId="77777777" w:rsidR="000079BE" w:rsidRPr="000079BE" w:rsidRDefault="000079BE">
            <w:pPr>
              <w:jc w:val="right"/>
              <w:rPr>
                <w:sz w:val="16"/>
                <w:szCs w:val="16"/>
              </w:rPr>
            </w:pPr>
            <w:r w:rsidRPr="000079BE">
              <w:rPr>
                <w:sz w:val="16"/>
                <w:szCs w:val="16"/>
              </w:rPr>
              <w:t>252 480</w:t>
            </w:r>
          </w:p>
        </w:tc>
        <w:tc>
          <w:tcPr>
            <w:tcW w:w="521" w:type="pct"/>
            <w:shd w:val="clear" w:color="auto" w:fill="auto"/>
            <w:noWrap/>
            <w:vAlign w:val="center"/>
            <w:hideMark/>
          </w:tcPr>
          <w:p w14:paraId="112CD10D" w14:textId="77777777" w:rsidR="000079BE" w:rsidRPr="000079BE" w:rsidRDefault="000079BE">
            <w:pPr>
              <w:jc w:val="right"/>
              <w:rPr>
                <w:sz w:val="16"/>
                <w:szCs w:val="16"/>
              </w:rPr>
            </w:pPr>
            <w:r w:rsidRPr="000079BE">
              <w:rPr>
                <w:sz w:val="16"/>
                <w:szCs w:val="16"/>
              </w:rPr>
              <w:t>129 540</w:t>
            </w:r>
          </w:p>
        </w:tc>
      </w:tr>
      <w:tr w:rsidR="000079BE" w:rsidRPr="000079BE" w14:paraId="35654600" w14:textId="77777777" w:rsidTr="00E64B7F">
        <w:trPr>
          <w:trHeight w:val="125"/>
        </w:trPr>
        <w:tc>
          <w:tcPr>
            <w:tcW w:w="231" w:type="pct"/>
            <w:shd w:val="clear" w:color="000000" w:fill="E6E6E6"/>
            <w:noWrap/>
            <w:vAlign w:val="center"/>
            <w:hideMark/>
          </w:tcPr>
          <w:p w14:paraId="1C34AC76" w14:textId="77777777" w:rsidR="000079BE" w:rsidRPr="000079BE" w:rsidRDefault="000079BE">
            <w:pPr>
              <w:jc w:val="both"/>
              <w:rPr>
                <w:b/>
                <w:bCs/>
                <w:sz w:val="16"/>
                <w:szCs w:val="16"/>
              </w:rPr>
            </w:pPr>
            <w:r w:rsidRPr="000079BE">
              <w:rPr>
                <w:b/>
                <w:bCs/>
                <w:sz w:val="16"/>
                <w:szCs w:val="16"/>
              </w:rPr>
              <w:t>1</w:t>
            </w:r>
          </w:p>
        </w:tc>
        <w:tc>
          <w:tcPr>
            <w:tcW w:w="3278" w:type="pct"/>
            <w:shd w:val="clear" w:color="000000" w:fill="E6E6E6"/>
            <w:noWrap/>
            <w:vAlign w:val="center"/>
            <w:hideMark/>
          </w:tcPr>
          <w:p w14:paraId="2BC8F7D2" w14:textId="77777777" w:rsidR="000079BE" w:rsidRPr="000079BE" w:rsidRDefault="000079BE">
            <w:pPr>
              <w:ind w:firstLineChars="300" w:firstLine="482"/>
              <w:rPr>
                <w:b/>
                <w:bCs/>
                <w:sz w:val="16"/>
                <w:szCs w:val="16"/>
              </w:rPr>
            </w:pPr>
            <w:r w:rsidRPr="000079BE">
              <w:rPr>
                <w:b/>
                <w:bCs/>
                <w:sz w:val="16"/>
                <w:szCs w:val="16"/>
              </w:rPr>
              <w:t>Ведомствени разходи по бюджета на ПРБ:</w:t>
            </w:r>
          </w:p>
        </w:tc>
        <w:tc>
          <w:tcPr>
            <w:tcW w:w="485" w:type="pct"/>
            <w:shd w:val="clear" w:color="000000" w:fill="E6E6E6"/>
            <w:noWrap/>
            <w:vAlign w:val="center"/>
            <w:hideMark/>
          </w:tcPr>
          <w:p w14:paraId="57D7FBAB" w14:textId="77777777" w:rsidR="000079BE" w:rsidRPr="000079BE" w:rsidRDefault="000079BE">
            <w:pPr>
              <w:jc w:val="right"/>
              <w:rPr>
                <w:b/>
                <w:bCs/>
                <w:sz w:val="16"/>
                <w:szCs w:val="16"/>
              </w:rPr>
            </w:pPr>
            <w:r w:rsidRPr="000079BE">
              <w:rPr>
                <w:b/>
                <w:bCs/>
                <w:sz w:val="16"/>
                <w:szCs w:val="16"/>
              </w:rPr>
              <w:t>14 822 900</w:t>
            </w:r>
          </w:p>
        </w:tc>
        <w:tc>
          <w:tcPr>
            <w:tcW w:w="485" w:type="pct"/>
            <w:shd w:val="clear" w:color="000000" w:fill="E6E6E6"/>
            <w:noWrap/>
            <w:vAlign w:val="center"/>
            <w:hideMark/>
          </w:tcPr>
          <w:p w14:paraId="13DEBACC" w14:textId="77777777" w:rsidR="000079BE" w:rsidRPr="000079BE" w:rsidRDefault="000079BE">
            <w:pPr>
              <w:jc w:val="right"/>
              <w:rPr>
                <w:b/>
                <w:bCs/>
                <w:sz w:val="16"/>
                <w:szCs w:val="16"/>
              </w:rPr>
            </w:pPr>
            <w:r w:rsidRPr="000079BE">
              <w:rPr>
                <w:b/>
                <w:bCs/>
                <w:sz w:val="16"/>
                <w:szCs w:val="16"/>
              </w:rPr>
              <w:t>14 720 428</w:t>
            </w:r>
          </w:p>
        </w:tc>
        <w:tc>
          <w:tcPr>
            <w:tcW w:w="521" w:type="pct"/>
            <w:shd w:val="clear" w:color="000000" w:fill="E6E6E6"/>
            <w:noWrap/>
            <w:vAlign w:val="center"/>
            <w:hideMark/>
          </w:tcPr>
          <w:p w14:paraId="62B0D842" w14:textId="77777777" w:rsidR="000079BE" w:rsidRPr="000079BE" w:rsidRDefault="000079BE">
            <w:pPr>
              <w:jc w:val="right"/>
              <w:rPr>
                <w:b/>
                <w:bCs/>
                <w:sz w:val="16"/>
                <w:szCs w:val="16"/>
              </w:rPr>
            </w:pPr>
            <w:r w:rsidRPr="000079BE">
              <w:rPr>
                <w:b/>
                <w:bCs/>
                <w:sz w:val="16"/>
                <w:szCs w:val="16"/>
              </w:rPr>
              <w:t>6 921 589</w:t>
            </w:r>
          </w:p>
        </w:tc>
      </w:tr>
      <w:tr w:rsidR="000079BE" w:rsidRPr="000079BE" w14:paraId="79863B04" w14:textId="77777777" w:rsidTr="00E64B7F">
        <w:trPr>
          <w:trHeight w:val="211"/>
        </w:trPr>
        <w:tc>
          <w:tcPr>
            <w:tcW w:w="231" w:type="pct"/>
            <w:shd w:val="clear" w:color="auto" w:fill="auto"/>
            <w:noWrap/>
            <w:vAlign w:val="center"/>
            <w:hideMark/>
          </w:tcPr>
          <w:p w14:paraId="093B48AB" w14:textId="77777777" w:rsidR="000079BE" w:rsidRPr="000079BE" w:rsidRDefault="000079BE">
            <w:pPr>
              <w:jc w:val="both"/>
              <w:rPr>
                <w:sz w:val="16"/>
                <w:szCs w:val="16"/>
              </w:rPr>
            </w:pPr>
            <w:r w:rsidRPr="000079BE">
              <w:rPr>
                <w:sz w:val="16"/>
                <w:szCs w:val="16"/>
              </w:rPr>
              <w:t> </w:t>
            </w:r>
          </w:p>
        </w:tc>
        <w:tc>
          <w:tcPr>
            <w:tcW w:w="3278" w:type="pct"/>
            <w:shd w:val="clear" w:color="auto" w:fill="auto"/>
            <w:noWrap/>
            <w:vAlign w:val="center"/>
            <w:hideMark/>
          </w:tcPr>
          <w:p w14:paraId="425F735B" w14:textId="299C2C32" w:rsidR="000079BE" w:rsidRPr="000079BE" w:rsidRDefault="000079BE" w:rsidP="005E5E2E">
            <w:pPr>
              <w:ind w:firstLineChars="365" w:firstLine="584"/>
              <w:rPr>
                <w:sz w:val="16"/>
                <w:szCs w:val="16"/>
              </w:rPr>
            </w:pPr>
            <w:r w:rsidRPr="000079BE">
              <w:rPr>
                <w:sz w:val="16"/>
                <w:szCs w:val="16"/>
              </w:rPr>
              <w:t>Персонал</w:t>
            </w:r>
          </w:p>
        </w:tc>
        <w:tc>
          <w:tcPr>
            <w:tcW w:w="485" w:type="pct"/>
            <w:shd w:val="clear" w:color="auto" w:fill="auto"/>
            <w:noWrap/>
            <w:vAlign w:val="center"/>
            <w:hideMark/>
          </w:tcPr>
          <w:p w14:paraId="62D93C7A" w14:textId="77777777" w:rsidR="000079BE" w:rsidRPr="000079BE" w:rsidRDefault="000079BE">
            <w:pPr>
              <w:jc w:val="right"/>
              <w:rPr>
                <w:sz w:val="16"/>
                <w:szCs w:val="16"/>
              </w:rPr>
            </w:pPr>
            <w:r w:rsidRPr="000079BE">
              <w:rPr>
                <w:sz w:val="16"/>
                <w:szCs w:val="16"/>
              </w:rPr>
              <w:t>9 645 300</w:t>
            </w:r>
          </w:p>
        </w:tc>
        <w:tc>
          <w:tcPr>
            <w:tcW w:w="485" w:type="pct"/>
            <w:shd w:val="clear" w:color="auto" w:fill="auto"/>
            <w:noWrap/>
            <w:vAlign w:val="center"/>
            <w:hideMark/>
          </w:tcPr>
          <w:p w14:paraId="42F20D08" w14:textId="77777777" w:rsidR="000079BE" w:rsidRPr="000079BE" w:rsidRDefault="000079BE">
            <w:pPr>
              <w:jc w:val="right"/>
              <w:rPr>
                <w:sz w:val="16"/>
                <w:szCs w:val="16"/>
              </w:rPr>
            </w:pPr>
            <w:r w:rsidRPr="000079BE">
              <w:rPr>
                <w:sz w:val="16"/>
                <w:szCs w:val="16"/>
              </w:rPr>
              <w:t>9 645 300</w:t>
            </w:r>
          </w:p>
        </w:tc>
        <w:tc>
          <w:tcPr>
            <w:tcW w:w="521" w:type="pct"/>
            <w:shd w:val="clear" w:color="auto" w:fill="auto"/>
            <w:noWrap/>
            <w:vAlign w:val="center"/>
            <w:hideMark/>
          </w:tcPr>
          <w:p w14:paraId="5AEAB748" w14:textId="77777777" w:rsidR="000079BE" w:rsidRPr="000079BE" w:rsidRDefault="000079BE">
            <w:pPr>
              <w:jc w:val="right"/>
              <w:rPr>
                <w:sz w:val="16"/>
                <w:szCs w:val="16"/>
              </w:rPr>
            </w:pPr>
            <w:r w:rsidRPr="000079BE">
              <w:rPr>
                <w:sz w:val="16"/>
                <w:szCs w:val="16"/>
              </w:rPr>
              <w:t>5 063 958</w:t>
            </w:r>
          </w:p>
        </w:tc>
      </w:tr>
      <w:tr w:rsidR="000079BE" w:rsidRPr="000079BE" w14:paraId="7E73CCB1" w14:textId="77777777" w:rsidTr="006D3C5D">
        <w:trPr>
          <w:trHeight w:val="116"/>
        </w:trPr>
        <w:tc>
          <w:tcPr>
            <w:tcW w:w="231" w:type="pct"/>
            <w:shd w:val="clear" w:color="auto" w:fill="auto"/>
            <w:noWrap/>
            <w:vAlign w:val="center"/>
            <w:hideMark/>
          </w:tcPr>
          <w:p w14:paraId="2D92FDF1" w14:textId="77777777" w:rsidR="000079BE" w:rsidRPr="000079BE" w:rsidRDefault="000079BE">
            <w:pPr>
              <w:jc w:val="both"/>
              <w:rPr>
                <w:sz w:val="16"/>
                <w:szCs w:val="16"/>
              </w:rPr>
            </w:pPr>
            <w:r w:rsidRPr="000079BE">
              <w:rPr>
                <w:sz w:val="16"/>
                <w:szCs w:val="16"/>
              </w:rPr>
              <w:t> </w:t>
            </w:r>
          </w:p>
        </w:tc>
        <w:tc>
          <w:tcPr>
            <w:tcW w:w="3278" w:type="pct"/>
            <w:shd w:val="clear" w:color="auto" w:fill="auto"/>
            <w:noWrap/>
            <w:vAlign w:val="center"/>
            <w:hideMark/>
          </w:tcPr>
          <w:p w14:paraId="7B24D932" w14:textId="25C0079C" w:rsidR="000079BE" w:rsidRPr="000079BE" w:rsidRDefault="000079BE" w:rsidP="005E5E2E">
            <w:pPr>
              <w:ind w:firstLineChars="365" w:firstLine="584"/>
              <w:rPr>
                <w:sz w:val="16"/>
                <w:szCs w:val="16"/>
              </w:rPr>
            </w:pPr>
            <w:r w:rsidRPr="000079BE">
              <w:rPr>
                <w:sz w:val="16"/>
                <w:szCs w:val="16"/>
              </w:rPr>
              <w:t>Издръжка</w:t>
            </w:r>
          </w:p>
        </w:tc>
        <w:tc>
          <w:tcPr>
            <w:tcW w:w="485" w:type="pct"/>
            <w:shd w:val="clear" w:color="auto" w:fill="auto"/>
            <w:noWrap/>
            <w:vAlign w:val="center"/>
            <w:hideMark/>
          </w:tcPr>
          <w:p w14:paraId="4FAD3A6A" w14:textId="77777777" w:rsidR="000079BE" w:rsidRPr="000079BE" w:rsidRDefault="000079BE">
            <w:pPr>
              <w:jc w:val="right"/>
              <w:rPr>
                <w:sz w:val="16"/>
                <w:szCs w:val="16"/>
              </w:rPr>
            </w:pPr>
            <w:r w:rsidRPr="000079BE">
              <w:rPr>
                <w:sz w:val="16"/>
                <w:szCs w:val="16"/>
              </w:rPr>
              <w:t>4 952 600</w:t>
            </w:r>
          </w:p>
        </w:tc>
        <w:tc>
          <w:tcPr>
            <w:tcW w:w="485" w:type="pct"/>
            <w:shd w:val="clear" w:color="auto" w:fill="auto"/>
            <w:noWrap/>
            <w:vAlign w:val="center"/>
            <w:hideMark/>
          </w:tcPr>
          <w:p w14:paraId="43A6DA09" w14:textId="77777777" w:rsidR="000079BE" w:rsidRPr="000079BE" w:rsidRDefault="000079BE">
            <w:pPr>
              <w:jc w:val="right"/>
              <w:rPr>
                <w:sz w:val="16"/>
                <w:szCs w:val="16"/>
              </w:rPr>
            </w:pPr>
            <w:r w:rsidRPr="000079BE">
              <w:rPr>
                <w:sz w:val="16"/>
                <w:szCs w:val="16"/>
              </w:rPr>
              <w:t>4 822 648</w:t>
            </w:r>
          </w:p>
        </w:tc>
        <w:tc>
          <w:tcPr>
            <w:tcW w:w="521" w:type="pct"/>
            <w:shd w:val="clear" w:color="auto" w:fill="auto"/>
            <w:noWrap/>
            <w:vAlign w:val="center"/>
            <w:hideMark/>
          </w:tcPr>
          <w:p w14:paraId="730769D4" w14:textId="77777777" w:rsidR="000079BE" w:rsidRPr="000079BE" w:rsidRDefault="000079BE">
            <w:pPr>
              <w:jc w:val="right"/>
              <w:rPr>
                <w:sz w:val="16"/>
                <w:szCs w:val="16"/>
              </w:rPr>
            </w:pPr>
            <w:r w:rsidRPr="000079BE">
              <w:rPr>
                <w:sz w:val="16"/>
                <w:szCs w:val="16"/>
              </w:rPr>
              <w:t>1 728 091</w:t>
            </w:r>
          </w:p>
        </w:tc>
      </w:tr>
      <w:tr w:rsidR="000079BE" w:rsidRPr="000079BE" w14:paraId="63A1C522" w14:textId="77777777" w:rsidTr="006D3C5D">
        <w:trPr>
          <w:trHeight w:val="76"/>
        </w:trPr>
        <w:tc>
          <w:tcPr>
            <w:tcW w:w="231" w:type="pct"/>
            <w:shd w:val="clear" w:color="auto" w:fill="auto"/>
            <w:noWrap/>
            <w:vAlign w:val="center"/>
            <w:hideMark/>
          </w:tcPr>
          <w:p w14:paraId="3B80AB0C" w14:textId="77777777" w:rsidR="000079BE" w:rsidRPr="000079BE" w:rsidRDefault="000079BE">
            <w:pPr>
              <w:jc w:val="both"/>
              <w:rPr>
                <w:sz w:val="16"/>
                <w:szCs w:val="16"/>
              </w:rPr>
            </w:pPr>
            <w:r w:rsidRPr="000079BE">
              <w:rPr>
                <w:sz w:val="16"/>
                <w:szCs w:val="16"/>
              </w:rPr>
              <w:t> </w:t>
            </w:r>
          </w:p>
        </w:tc>
        <w:tc>
          <w:tcPr>
            <w:tcW w:w="3278" w:type="pct"/>
            <w:shd w:val="clear" w:color="auto" w:fill="auto"/>
            <w:noWrap/>
            <w:vAlign w:val="center"/>
            <w:hideMark/>
          </w:tcPr>
          <w:p w14:paraId="522EB1DE" w14:textId="42E208D8" w:rsidR="000079BE" w:rsidRPr="000079BE" w:rsidRDefault="000079BE" w:rsidP="005E5E2E">
            <w:pPr>
              <w:ind w:firstLineChars="365" w:firstLine="584"/>
              <w:rPr>
                <w:sz w:val="16"/>
                <w:szCs w:val="16"/>
              </w:rPr>
            </w:pPr>
            <w:r w:rsidRPr="000079BE">
              <w:rPr>
                <w:sz w:val="16"/>
                <w:szCs w:val="16"/>
              </w:rPr>
              <w:t>Капиталови разходи</w:t>
            </w:r>
          </w:p>
        </w:tc>
        <w:tc>
          <w:tcPr>
            <w:tcW w:w="485" w:type="pct"/>
            <w:shd w:val="clear" w:color="auto" w:fill="auto"/>
            <w:noWrap/>
            <w:vAlign w:val="center"/>
            <w:hideMark/>
          </w:tcPr>
          <w:p w14:paraId="646A6890" w14:textId="77777777" w:rsidR="000079BE" w:rsidRPr="000079BE" w:rsidRDefault="000079BE">
            <w:pPr>
              <w:jc w:val="right"/>
              <w:rPr>
                <w:sz w:val="16"/>
                <w:szCs w:val="16"/>
              </w:rPr>
            </w:pPr>
            <w:r w:rsidRPr="000079BE">
              <w:rPr>
                <w:sz w:val="16"/>
                <w:szCs w:val="16"/>
              </w:rPr>
              <w:t>225 000</w:t>
            </w:r>
          </w:p>
        </w:tc>
        <w:tc>
          <w:tcPr>
            <w:tcW w:w="485" w:type="pct"/>
            <w:shd w:val="clear" w:color="auto" w:fill="auto"/>
            <w:noWrap/>
            <w:vAlign w:val="center"/>
            <w:hideMark/>
          </w:tcPr>
          <w:p w14:paraId="613A5120" w14:textId="77777777" w:rsidR="000079BE" w:rsidRPr="000079BE" w:rsidRDefault="000079BE">
            <w:pPr>
              <w:jc w:val="right"/>
              <w:rPr>
                <w:sz w:val="16"/>
                <w:szCs w:val="16"/>
              </w:rPr>
            </w:pPr>
            <w:r w:rsidRPr="000079BE">
              <w:rPr>
                <w:sz w:val="16"/>
                <w:szCs w:val="16"/>
              </w:rPr>
              <w:t>252 480</w:t>
            </w:r>
          </w:p>
        </w:tc>
        <w:tc>
          <w:tcPr>
            <w:tcW w:w="521" w:type="pct"/>
            <w:shd w:val="clear" w:color="auto" w:fill="auto"/>
            <w:noWrap/>
            <w:vAlign w:val="center"/>
            <w:hideMark/>
          </w:tcPr>
          <w:p w14:paraId="15471949" w14:textId="77777777" w:rsidR="000079BE" w:rsidRPr="000079BE" w:rsidRDefault="000079BE">
            <w:pPr>
              <w:jc w:val="right"/>
              <w:rPr>
                <w:sz w:val="16"/>
                <w:szCs w:val="16"/>
              </w:rPr>
            </w:pPr>
            <w:r w:rsidRPr="000079BE">
              <w:rPr>
                <w:sz w:val="16"/>
                <w:szCs w:val="16"/>
              </w:rPr>
              <w:t>129 540</w:t>
            </w:r>
          </w:p>
        </w:tc>
      </w:tr>
      <w:tr w:rsidR="000079BE" w:rsidRPr="000079BE" w14:paraId="0089E22D" w14:textId="77777777" w:rsidTr="006D3C5D">
        <w:trPr>
          <w:trHeight w:val="163"/>
        </w:trPr>
        <w:tc>
          <w:tcPr>
            <w:tcW w:w="231" w:type="pct"/>
            <w:shd w:val="clear" w:color="000000" w:fill="E6E6E6"/>
            <w:noWrap/>
            <w:vAlign w:val="center"/>
            <w:hideMark/>
          </w:tcPr>
          <w:p w14:paraId="50148B5B" w14:textId="77777777" w:rsidR="000079BE" w:rsidRPr="000079BE" w:rsidRDefault="000079BE">
            <w:pPr>
              <w:jc w:val="both"/>
              <w:rPr>
                <w:b/>
                <w:bCs/>
                <w:sz w:val="16"/>
                <w:szCs w:val="16"/>
              </w:rPr>
            </w:pPr>
            <w:r w:rsidRPr="000079BE">
              <w:rPr>
                <w:b/>
                <w:bCs/>
                <w:sz w:val="16"/>
                <w:szCs w:val="16"/>
              </w:rPr>
              <w:t>2</w:t>
            </w:r>
          </w:p>
        </w:tc>
        <w:tc>
          <w:tcPr>
            <w:tcW w:w="3278" w:type="pct"/>
            <w:shd w:val="clear" w:color="000000" w:fill="E6E6E6"/>
            <w:noWrap/>
            <w:vAlign w:val="center"/>
            <w:hideMark/>
          </w:tcPr>
          <w:p w14:paraId="3F331260" w14:textId="77777777" w:rsidR="000079BE" w:rsidRPr="000079BE" w:rsidRDefault="000079BE">
            <w:pPr>
              <w:ind w:firstLineChars="300" w:firstLine="482"/>
              <w:rPr>
                <w:b/>
                <w:bCs/>
                <w:sz w:val="16"/>
                <w:szCs w:val="16"/>
              </w:rPr>
            </w:pPr>
            <w:r w:rsidRPr="000079BE">
              <w:rPr>
                <w:b/>
                <w:bCs/>
                <w:sz w:val="16"/>
                <w:szCs w:val="16"/>
              </w:rPr>
              <w:t xml:space="preserve">Ведомствени разходи по други бюджети и сметки за средства от ЕС </w:t>
            </w:r>
          </w:p>
        </w:tc>
        <w:tc>
          <w:tcPr>
            <w:tcW w:w="485" w:type="pct"/>
            <w:shd w:val="clear" w:color="000000" w:fill="E6E6E6"/>
            <w:noWrap/>
            <w:vAlign w:val="center"/>
            <w:hideMark/>
          </w:tcPr>
          <w:p w14:paraId="2554D16E" w14:textId="77777777" w:rsidR="000079BE" w:rsidRPr="000079BE" w:rsidRDefault="000079BE">
            <w:pPr>
              <w:jc w:val="right"/>
              <w:rPr>
                <w:b/>
                <w:bCs/>
                <w:sz w:val="16"/>
                <w:szCs w:val="16"/>
              </w:rPr>
            </w:pPr>
            <w:r w:rsidRPr="000079BE">
              <w:rPr>
                <w:b/>
                <w:bCs/>
                <w:sz w:val="16"/>
                <w:szCs w:val="16"/>
              </w:rPr>
              <w:t>0</w:t>
            </w:r>
          </w:p>
        </w:tc>
        <w:tc>
          <w:tcPr>
            <w:tcW w:w="485" w:type="pct"/>
            <w:shd w:val="clear" w:color="000000" w:fill="E6E6E6"/>
            <w:noWrap/>
            <w:vAlign w:val="center"/>
            <w:hideMark/>
          </w:tcPr>
          <w:p w14:paraId="41F339A9" w14:textId="77777777" w:rsidR="000079BE" w:rsidRPr="000079BE" w:rsidRDefault="000079BE">
            <w:pPr>
              <w:jc w:val="right"/>
              <w:rPr>
                <w:b/>
                <w:bCs/>
                <w:sz w:val="16"/>
                <w:szCs w:val="16"/>
              </w:rPr>
            </w:pPr>
            <w:r w:rsidRPr="000079BE">
              <w:rPr>
                <w:b/>
                <w:bCs/>
                <w:sz w:val="16"/>
                <w:szCs w:val="16"/>
              </w:rPr>
              <w:t>0</w:t>
            </w:r>
          </w:p>
        </w:tc>
        <w:tc>
          <w:tcPr>
            <w:tcW w:w="521" w:type="pct"/>
            <w:shd w:val="clear" w:color="000000" w:fill="E6E6E6"/>
            <w:noWrap/>
            <w:vAlign w:val="center"/>
            <w:hideMark/>
          </w:tcPr>
          <w:p w14:paraId="2AF7D3ED" w14:textId="77777777" w:rsidR="000079BE" w:rsidRPr="000079BE" w:rsidRDefault="000079BE">
            <w:pPr>
              <w:jc w:val="right"/>
              <w:rPr>
                <w:b/>
                <w:bCs/>
                <w:sz w:val="16"/>
                <w:szCs w:val="16"/>
              </w:rPr>
            </w:pPr>
            <w:r w:rsidRPr="000079BE">
              <w:rPr>
                <w:b/>
                <w:bCs/>
                <w:sz w:val="16"/>
                <w:szCs w:val="16"/>
              </w:rPr>
              <w:t>0</w:t>
            </w:r>
          </w:p>
        </w:tc>
      </w:tr>
      <w:tr w:rsidR="000079BE" w:rsidRPr="000079BE" w14:paraId="11002B0B" w14:textId="77777777" w:rsidTr="00370561">
        <w:trPr>
          <w:trHeight w:val="110"/>
        </w:trPr>
        <w:tc>
          <w:tcPr>
            <w:tcW w:w="231" w:type="pct"/>
            <w:shd w:val="clear" w:color="auto" w:fill="auto"/>
            <w:noWrap/>
            <w:vAlign w:val="center"/>
            <w:hideMark/>
          </w:tcPr>
          <w:p w14:paraId="44B678DE" w14:textId="77777777" w:rsidR="000079BE" w:rsidRPr="000079BE" w:rsidRDefault="000079BE">
            <w:pPr>
              <w:jc w:val="both"/>
              <w:rPr>
                <w:sz w:val="16"/>
                <w:szCs w:val="16"/>
              </w:rPr>
            </w:pPr>
            <w:r w:rsidRPr="000079BE">
              <w:rPr>
                <w:sz w:val="16"/>
                <w:szCs w:val="16"/>
              </w:rPr>
              <w:t> </w:t>
            </w:r>
          </w:p>
        </w:tc>
        <w:tc>
          <w:tcPr>
            <w:tcW w:w="3278" w:type="pct"/>
            <w:shd w:val="clear" w:color="auto" w:fill="auto"/>
            <w:noWrap/>
            <w:vAlign w:val="center"/>
            <w:hideMark/>
          </w:tcPr>
          <w:p w14:paraId="2747B00C" w14:textId="75481B52" w:rsidR="000079BE" w:rsidRPr="000079BE" w:rsidRDefault="000079BE" w:rsidP="006D3C5D">
            <w:pPr>
              <w:ind w:firstLineChars="365" w:firstLine="584"/>
              <w:rPr>
                <w:sz w:val="16"/>
                <w:szCs w:val="16"/>
              </w:rPr>
            </w:pPr>
            <w:r w:rsidRPr="000079BE">
              <w:rPr>
                <w:sz w:val="16"/>
                <w:szCs w:val="16"/>
              </w:rPr>
              <w:t>Персонал</w:t>
            </w:r>
          </w:p>
        </w:tc>
        <w:tc>
          <w:tcPr>
            <w:tcW w:w="485" w:type="pct"/>
            <w:shd w:val="clear" w:color="auto" w:fill="auto"/>
            <w:noWrap/>
            <w:vAlign w:val="center"/>
            <w:hideMark/>
          </w:tcPr>
          <w:p w14:paraId="043981AC" w14:textId="77777777" w:rsidR="000079BE" w:rsidRPr="000079BE" w:rsidRDefault="000079BE">
            <w:pPr>
              <w:jc w:val="right"/>
              <w:rPr>
                <w:sz w:val="16"/>
                <w:szCs w:val="16"/>
              </w:rPr>
            </w:pPr>
            <w:r w:rsidRPr="000079BE">
              <w:rPr>
                <w:sz w:val="16"/>
                <w:szCs w:val="16"/>
              </w:rPr>
              <w:t> </w:t>
            </w:r>
          </w:p>
        </w:tc>
        <w:tc>
          <w:tcPr>
            <w:tcW w:w="485" w:type="pct"/>
            <w:shd w:val="clear" w:color="auto" w:fill="auto"/>
            <w:noWrap/>
            <w:vAlign w:val="center"/>
            <w:hideMark/>
          </w:tcPr>
          <w:p w14:paraId="2D3057A3" w14:textId="77777777" w:rsidR="000079BE" w:rsidRPr="000079BE" w:rsidRDefault="000079BE">
            <w:pPr>
              <w:jc w:val="right"/>
              <w:rPr>
                <w:sz w:val="16"/>
                <w:szCs w:val="16"/>
              </w:rPr>
            </w:pPr>
            <w:r w:rsidRPr="000079BE">
              <w:rPr>
                <w:sz w:val="16"/>
                <w:szCs w:val="16"/>
              </w:rPr>
              <w:t> </w:t>
            </w:r>
          </w:p>
        </w:tc>
        <w:tc>
          <w:tcPr>
            <w:tcW w:w="521" w:type="pct"/>
            <w:shd w:val="clear" w:color="auto" w:fill="auto"/>
            <w:noWrap/>
            <w:vAlign w:val="center"/>
            <w:hideMark/>
          </w:tcPr>
          <w:p w14:paraId="329ECBE0" w14:textId="77777777" w:rsidR="000079BE" w:rsidRPr="000079BE" w:rsidRDefault="000079BE">
            <w:pPr>
              <w:jc w:val="right"/>
              <w:rPr>
                <w:sz w:val="16"/>
                <w:szCs w:val="16"/>
              </w:rPr>
            </w:pPr>
            <w:r w:rsidRPr="000079BE">
              <w:rPr>
                <w:sz w:val="16"/>
                <w:szCs w:val="16"/>
              </w:rPr>
              <w:t> </w:t>
            </w:r>
          </w:p>
        </w:tc>
      </w:tr>
      <w:tr w:rsidR="000079BE" w:rsidRPr="000079BE" w14:paraId="039B1952" w14:textId="77777777" w:rsidTr="00370561">
        <w:trPr>
          <w:trHeight w:val="197"/>
        </w:trPr>
        <w:tc>
          <w:tcPr>
            <w:tcW w:w="231" w:type="pct"/>
            <w:shd w:val="clear" w:color="auto" w:fill="auto"/>
            <w:noWrap/>
            <w:vAlign w:val="center"/>
            <w:hideMark/>
          </w:tcPr>
          <w:p w14:paraId="4E7FF03B" w14:textId="77777777" w:rsidR="000079BE" w:rsidRPr="000079BE" w:rsidRDefault="000079BE">
            <w:pPr>
              <w:jc w:val="both"/>
              <w:rPr>
                <w:sz w:val="16"/>
                <w:szCs w:val="16"/>
              </w:rPr>
            </w:pPr>
            <w:r w:rsidRPr="000079BE">
              <w:rPr>
                <w:sz w:val="16"/>
                <w:szCs w:val="16"/>
              </w:rPr>
              <w:t> </w:t>
            </w:r>
          </w:p>
        </w:tc>
        <w:tc>
          <w:tcPr>
            <w:tcW w:w="3278" w:type="pct"/>
            <w:shd w:val="clear" w:color="auto" w:fill="auto"/>
            <w:noWrap/>
            <w:vAlign w:val="center"/>
            <w:hideMark/>
          </w:tcPr>
          <w:p w14:paraId="1D2FD9DB" w14:textId="41BD277B" w:rsidR="000079BE" w:rsidRPr="000079BE" w:rsidRDefault="000079BE" w:rsidP="00D654B1">
            <w:pPr>
              <w:ind w:firstLineChars="365" w:firstLine="584"/>
              <w:rPr>
                <w:sz w:val="16"/>
                <w:szCs w:val="16"/>
              </w:rPr>
            </w:pPr>
            <w:r w:rsidRPr="000079BE">
              <w:rPr>
                <w:sz w:val="16"/>
                <w:szCs w:val="16"/>
              </w:rPr>
              <w:t>Издръжка</w:t>
            </w:r>
          </w:p>
        </w:tc>
        <w:tc>
          <w:tcPr>
            <w:tcW w:w="485" w:type="pct"/>
            <w:shd w:val="clear" w:color="auto" w:fill="auto"/>
            <w:noWrap/>
            <w:vAlign w:val="center"/>
            <w:hideMark/>
          </w:tcPr>
          <w:p w14:paraId="4FC578E7" w14:textId="77777777" w:rsidR="000079BE" w:rsidRPr="000079BE" w:rsidRDefault="000079BE">
            <w:pPr>
              <w:jc w:val="right"/>
              <w:rPr>
                <w:sz w:val="16"/>
                <w:szCs w:val="16"/>
              </w:rPr>
            </w:pPr>
            <w:r w:rsidRPr="000079BE">
              <w:rPr>
                <w:sz w:val="16"/>
                <w:szCs w:val="16"/>
              </w:rPr>
              <w:t> </w:t>
            </w:r>
          </w:p>
        </w:tc>
        <w:tc>
          <w:tcPr>
            <w:tcW w:w="485" w:type="pct"/>
            <w:shd w:val="clear" w:color="auto" w:fill="auto"/>
            <w:noWrap/>
            <w:vAlign w:val="center"/>
            <w:hideMark/>
          </w:tcPr>
          <w:p w14:paraId="65BC27A8" w14:textId="77777777" w:rsidR="000079BE" w:rsidRPr="000079BE" w:rsidRDefault="000079BE">
            <w:pPr>
              <w:jc w:val="right"/>
              <w:rPr>
                <w:sz w:val="16"/>
                <w:szCs w:val="16"/>
              </w:rPr>
            </w:pPr>
            <w:r w:rsidRPr="000079BE">
              <w:rPr>
                <w:sz w:val="16"/>
                <w:szCs w:val="16"/>
              </w:rPr>
              <w:t> </w:t>
            </w:r>
          </w:p>
        </w:tc>
        <w:tc>
          <w:tcPr>
            <w:tcW w:w="521" w:type="pct"/>
            <w:shd w:val="clear" w:color="auto" w:fill="auto"/>
            <w:noWrap/>
            <w:vAlign w:val="center"/>
            <w:hideMark/>
          </w:tcPr>
          <w:p w14:paraId="7E4A4DE4" w14:textId="77777777" w:rsidR="000079BE" w:rsidRPr="000079BE" w:rsidRDefault="000079BE">
            <w:pPr>
              <w:jc w:val="right"/>
              <w:rPr>
                <w:sz w:val="16"/>
                <w:szCs w:val="16"/>
              </w:rPr>
            </w:pPr>
            <w:r w:rsidRPr="000079BE">
              <w:rPr>
                <w:sz w:val="16"/>
                <w:szCs w:val="16"/>
              </w:rPr>
              <w:t> </w:t>
            </w:r>
          </w:p>
        </w:tc>
      </w:tr>
      <w:tr w:rsidR="000079BE" w:rsidRPr="000079BE" w14:paraId="71695758" w14:textId="77777777" w:rsidTr="00370561">
        <w:trPr>
          <w:trHeight w:val="143"/>
        </w:trPr>
        <w:tc>
          <w:tcPr>
            <w:tcW w:w="231" w:type="pct"/>
            <w:shd w:val="clear" w:color="auto" w:fill="auto"/>
            <w:noWrap/>
            <w:vAlign w:val="center"/>
            <w:hideMark/>
          </w:tcPr>
          <w:p w14:paraId="70270B12" w14:textId="77777777" w:rsidR="000079BE" w:rsidRPr="000079BE" w:rsidRDefault="000079BE">
            <w:pPr>
              <w:jc w:val="both"/>
              <w:rPr>
                <w:sz w:val="16"/>
                <w:szCs w:val="16"/>
              </w:rPr>
            </w:pPr>
            <w:r w:rsidRPr="000079BE">
              <w:rPr>
                <w:sz w:val="16"/>
                <w:szCs w:val="16"/>
              </w:rPr>
              <w:t> </w:t>
            </w:r>
          </w:p>
        </w:tc>
        <w:tc>
          <w:tcPr>
            <w:tcW w:w="3278" w:type="pct"/>
            <w:shd w:val="clear" w:color="auto" w:fill="auto"/>
            <w:noWrap/>
            <w:vAlign w:val="center"/>
            <w:hideMark/>
          </w:tcPr>
          <w:p w14:paraId="24E098CB" w14:textId="1697D331" w:rsidR="000079BE" w:rsidRPr="000079BE" w:rsidRDefault="000079BE" w:rsidP="00D654B1">
            <w:pPr>
              <w:ind w:firstLineChars="365" w:firstLine="584"/>
              <w:rPr>
                <w:sz w:val="16"/>
                <w:szCs w:val="16"/>
              </w:rPr>
            </w:pPr>
            <w:r w:rsidRPr="000079BE">
              <w:rPr>
                <w:sz w:val="16"/>
                <w:szCs w:val="16"/>
              </w:rPr>
              <w:t>Капиталови разходи</w:t>
            </w:r>
          </w:p>
        </w:tc>
        <w:tc>
          <w:tcPr>
            <w:tcW w:w="485" w:type="pct"/>
            <w:shd w:val="clear" w:color="auto" w:fill="auto"/>
            <w:noWrap/>
            <w:vAlign w:val="center"/>
            <w:hideMark/>
          </w:tcPr>
          <w:p w14:paraId="575262E9" w14:textId="77777777" w:rsidR="000079BE" w:rsidRPr="000079BE" w:rsidRDefault="000079BE">
            <w:pPr>
              <w:jc w:val="right"/>
              <w:rPr>
                <w:sz w:val="16"/>
                <w:szCs w:val="16"/>
              </w:rPr>
            </w:pPr>
            <w:r w:rsidRPr="000079BE">
              <w:rPr>
                <w:sz w:val="16"/>
                <w:szCs w:val="16"/>
              </w:rPr>
              <w:t> </w:t>
            </w:r>
          </w:p>
        </w:tc>
        <w:tc>
          <w:tcPr>
            <w:tcW w:w="485" w:type="pct"/>
            <w:shd w:val="clear" w:color="auto" w:fill="auto"/>
            <w:noWrap/>
            <w:vAlign w:val="center"/>
            <w:hideMark/>
          </w:tcPr>
          <w:p w14:paraId="0EA96335" w14:textId="77777777" w:rsidR="000079BE" w:rsidRPr="000079BE" w:rsidRDefault="000079BE">
            <w:pPr>
              <w:jc w:val="right"/>
              <w:rPr>
                <w:sz w:val="16"/>
                <w:szCs w:val="16"/>
              </w:rPr>
            </w:pPr>
            <w:r w:rsidRPr="000079BE">
              <w:rPr>
                <w:sz w:val="16"/>
                <w:szCs w:val="16"/>
              </w:rPr>
              <w:t> </w:t>
            </w:r>
          </w:p>
        </w:tc>
        <w:tc>
          <w:tcPr>
            <w:tcW w:w="521" w:type="pct"/>
            <w:shd w:val="clear" w:color="auto" w:fill="auto"/>
            <w:noWrap/>
            <w:vAlign w:val="center"/>
            <w:hideMark/>
          </w:tcPr>
          <w:p w14:paraId="134FA493" w14:textId="77777777" w:rsidR="000079BE" w:rsidRPr="000079BE" w:rsidRDefault="000079BE">
            <w:pPr>
              <w:jc w:val="right"/>
              <w:rPr>
                <w:sz w:val="16"/>
                <w:szCs w:val="16"/>
              </w:rPr>
            </w:pPr>
            <w:r w:rsidRPr="000079BE">
              <w:rPr>
                <w:sz w:val="16"/>
                <w:szCs w:val="16"/>
              </w:rPr>
              <w:t> </w:t>
            </w:r>
          </w:p>
        </w:tc>
      </w:tr>
      <w:tr w:rsidR="000079BE" w:rsidRPr="000079BE" w14:paraId="742D853E" w14:textId="77777777" w:rsidTr="006B30B8">
        <w:trPr>
          <w:trHeight w:val="76"/>
        </w:trPr>
        <w:tc>
          <w:tcPr>
            <w:tcW w:w="231" w:type="pct"/>
            <w:shd w:val="clear" w:color="auto" w:fill="auto"/>
            <w:noWrap/>
            <w:vAlign w:val="center"/>
            <w:hideMark/>
          </w:tcPr>
          <w:p w14:paraId="7148B0CB" w14:textId="77777777" w:rsidR="000079BE" w:rsidRPr="000079BE" w:rsidRDefault="000079BE">
            <w:pPr>
              <w:jc w:val="both"/>
              <w:rPr>
                <w:sz w:val="16"/>
                <w:szCs w:val="16"/>
              </w:rPr>
            </w:pPr>
            <w:r w:rsidRPr="000079BE">
              <w:rPr>
                <w:sz w:val="16"/>
                <w:szCs w:val="16"/>
              </w:rPr>
              <w:t> </w:t>
            </w:r>
          </w:p>
        </w:tc>
        <w:tc>
          <w:tcPr>
            <w:tcW w:w="3278" w:type="pct"/>
            <w:shd w:val="clear" w:color="auto" w:fill="auto"/>
            <w:noWrap/>
            <w:vAlign w:val="center"/>
            <w:hideMark/>
          </w:tcPr>
          <w:p w14:paraId="0CB35642" w14:textId="77777777" w:rsidR="000079BE" w:rsidRPr="000079BE" w:rsidRDefault="000079BE">
            <w:pPr>
              <w:ind w:firstLineChars="200" w:firstLine="320"/>
              <w:rPr>
                <w:sz w:val="16"/>
                <w:szCs w:val="16"/>
              </w:rPr>
            </w:pPr>
            <w:r w:rsidRPr="000079BE">
              <w:rPr>
                <w:sz w:val="16"/>
                <w:szCs w:val="16"/>
              </w:rPr>
              <w:t xml:space="preserve">От тях за: * </w:t>
            </w:r>
          </w:p>
        </w:tc>
        <w:tc>
          <w:tcPr>
            <w:tcW w:w="485" w:type="pct"/>
            <w:shd w:val="clear" w:color="auto" w:fill="auto"/>
            <w:noWrap/>
            <w:vAlign w:val="center"/>
            <w:hideMark/>
          </w:tcPr>
          <w:p w14:paraId="5700D4DA" w14:textId="77777777" w:rsidR="000079BE" w:rsidRPr="000079BE" w:rsidRDefault="000079BE">
            <w:pPr>
              <w:jc w:val="right"/>
              <w:rPr>
                <w:sz w:val="16"/>
                <w:szCs w:val="16"/>
              </w:rPr>
            </w:pPr>
            <w:r w:rsidRPr="000079BE">
              <w:rPr>
                <w:sz w:val="16"/>
                <w:szCs w:val="16"/>
              </w:rPr>
              <w:t> </w:t>
            </w:r>
          </w:p>
        </w:tc>
        <w:tc>
          <w:tcPr>
            <w:tcW w:w="485" w:type="pct"/>
            <w:shd w:val="clear" w:color="auto" w:fill="auto"/>
            <w:noWrap/>
            <w:vAlign w:val="center"/>
            <w:hideMark/>
          </w:tcPr>
          <w:p w14:paraId="55F295D9" w14:textId="77777777" w:rsidR="000079BE" w:rsidRPr="000079BE" w:rsidRDefault="000079BE">
            <w:pPr>
              <w:jc w:val="right"/>
              <w:rPr>
                <w:sz w:val="16"/>
                <w:szCs w:val="16"/>
              </w:rPr>
            </w:pPr>
            <w:r w:rsidRPr="000079BE">
              <w:rPr>
                <w:sz w:val="16"/>
                <w:szCs w:val="16"/>
              </w:rPr>
              <w:t> </w:t>
            </w:r>
          </w:p>
        </w:tc>
        <w:tc>
          <w:tcPr>
            <w:tcW w:w="521" w:type="pct"/>
            <w:shd w:val="clear" w:color="auto" w:fill="auto"/>
            <w:noWrap/>
            <w:vAlign w:val="center"/>
            <w:hideMark/>
          </w:tcPr>
          <w:p w14:paraId="566B79D3" w14:textId="77777777" w:rsidR="000079BE" w:rsidRPr="000079BE" w:rsidRDefault="000079BE">
            <w:pPr>
              <w:jc w:val="right"/>
              <w:rPr>
                <w:sz w:val="16"/>
                <w:szCs w:val="16"/>
              </w:rPr>
            </w:pPr>
            <w:r w:rsidRPr="000079BE">
              <w:rPr>
                <w:sz w:val="16"/>
                <w:szCs w:val="16"/>
              </w:rPr>
              <w:t> </w:t>
            </w:r>
          </w:p>
        </w:tc>
      </w:tr>
      <w:tr w:rsidR="000079BE" w:rsidRPr="000079BE" w14:paraId="2701E1E2" w14:textId="77777777" w:rsidTr="006B30B8">
        <w:trPr>
          <w:trHeight w:val="177"/>
        </w:trPr>
        <w:tc>
          <w:tcPr>
            <w:tcW w:w="231" w:type="pct"/>
            <w:shd w:val="clear" w:color="auto" w:fill="auto"/>
            <w:noWrap/>
            <w:vAlign w:val="center"/>
            <w:hideMark/>
          </w:tcPr>
          <w:p w14:paraId="115D8374" w14:textId="77777777" w:rsidR="000079BE" w:rsidRPr="000079BE" w:rsidRDefault="000079BE">
            <w:pPr>
              <w:jc w:val="both"/>
              <w:rPr>
                <w:sz w:val="16"/>
                <w:szCs w:val="16"/>
              </w:rPr>
            </w:pPr>
            <w:r w:rsidRPr="000079BE">
              <w:rPr>
                <w:sz w:val="16"/>
                <w:szCs w:val="16"/>
              </w:rPr>
              <w:t> </w:t>
            </w:r>
          </w:p>
        </w:tc>
        <w:tc>
          <w:tcPr>
            <w:tcW w:w="3278" w:type="pct"/>
            <w:shd w:val="clear" w:color="auto" w:fill="auto"/>
            <w:noWrap/>
            <w:vAlign w:val="center"/>
            <w:hideMark/>
          </w:tcPr>
          <w:p w14:paraId="4B88AA38" w14:textId="77777777" w:rsidR="000079BE" w:rsidRPr="000079BE" w:rsidRDefault="000079BE">
            <w:pPr>
              <w:rPr>
                <w:i/>
                <w:iCs/>
                <w:sz w:val="16"/>
                <w:szCs w:val="16"/>
              </w:rPr>
            </w:pPr>
            <w:r w:rsidRPr="000079BE">
              <w:rPr>
                <w:i/>
                <w:iCs/>
                <w:sz w:val="16"/>
                <w:szCs w:val="16"/>
              </w:rPr>
              <w:t xml:space="preserve">Администрирани разходни показатели </w:t>
            </w:r>
            <w:r w:rsidRPr="000079BE">
              <w:rPr>
                <w:sz w:val="16"/>
                <w:szCs w:val="16"/>
              </w:rPr>
              <w:t>**</w:t>
            </w:r>
          </w:p>
        </w:tc>
        <w:tc>
          <w:tcPr>
            <w:tcW w:w="485" w:type="pct"/>
            <w:shd w:val="clear" w:color="auto" w:fill="auto"/>
            <w:noWrap/>
            <w:vAlign w:val="center"/>
            <w:hideMark/>
          </w:tcPr>
          <w:p w14:paraId="54F6FF35" w14:textId="77777777" w:rsidR="000079BE" w:rsidRPr="000079BE" w:rsidRDefault="000079BE">
            <w:pPr>
              <w:jc w:val="right"/>
              <w:rPr>
                <w:sz w:val="16"/>
                <w:szCs w:val="16"/>
              </w:rPr>
            </w:pPr>
            <w:r w:rsidRPr="000079BE">
              <w:rPr>
                <w:sz w:val="16"/>
                <w:szCs w:val="16"/>
              </w:rPr>
              <w:t> </w:t>
            </w:r>
          </w:p>
        </w:tc>
        <w:tc>
          <w:tcPr>
            <w:tcW w:w="485" w:type="pct"/>
            <w:shd w:val="clear" w:color="auto" w:fill="auto"/>
            <w:noWrap/>
            <w:vAlign w:val="center"/>
            <w:hideMark/>
          </w:tcPr>
          <w:p w14:paraId="22A97E6E" w14:textId="77777777" w:rsidR="000079BE" w:rsidRPr="000079BE" w:rsidRDefault="000079BE">
            <w:pPr>
              <w:jc w:val="right"/>
              <w:rPr>
                <w:sz w:val="16"/>
                <w:szCs w:val="16"/>
              </w:rPr>
            </w:pPr>
            <w:r w:rsidRPr="000079BE">
              <w:rPr>
                <w:sz w:val="16"/>
                <w:szCs w:val="16"/>
              </w:rPr>
              <w:t> </w:t>
            </w:r>
          </w:p>
        </w:tc>
        <w:tc>
          <w:tcPr>
            <w:tcW w:w="521" w:type="pct"/>
            <w:shd w:val="clear" w:color="auto" w:fill="auto"/>
            <w:noWrap/>
            <w:vAlign w:val="center"/>
            <w:hideMark/>
          </w:tcPr>
          <w:p w14:paraId="5B640432" w14:textId="77777777" w:rsidR="000079BE" w:rsidRPr="000079BE" w:rsidRDefault="000079BE">
            <w:pPr>
              <w:jc w:val="right"/>
              <w:rPr>
                <w:sz w:val="16"/>
                <w:szCs w:val="16"/>
              </w:rPr>
            </w:pPr>
            <w:r w:rsidRPr="000079BE">
              <w:rPr>
                <w:sz w:val="16"/>
                <w:szCs w:val="16"/>
              </w:rPr>
              <w:t> </w:t>
            </w:r>
          </w:p>
        </w:tc>
      </w:tr>
      <w:tr w:rsidR="000079BE" w:rsidRPr="000079BE" w14:paraId="1CF3D151" w14:textId="77777777" w:rsidTr="004159BE">
        <w:trPr>
          <w:trHeight w:val="110"/>
        </w:trPr>
        <w:tc>
          <w:tcPr>
            <w:tcW w:w="231" w:type="pct"/>
            <w:shd w:val="clear" w:color="000000" w:fill="E6E6E6"/>
            <w:noWrap/>
            <w:vAlign w:val="center"/>
            <w:hideMark/>
          </w:tcPr>
          <w:p w14:paraId="0E436E46" w14:textId="77777777" w:rsidR="000079BE" w:rsidRPr="000079BE" w:rsidRDefault="000079BE">
            <w:pPr>
              <w:jc w:val="both"/>
              <w:rPr>
                <w:b/>
                <w:bCs/>
                <w:sz w:val="16"/>
                <w:szCs w:val="16"/>
              </w:rPr>
            </w:pPr>
            <w:r w:rsidRPr="000079BE">
              <w:rPr>
                <w:b/>
                <w:bCs/>
                <w:sz w:val="16"/>
                <w:szCs w:val="16"/>
              </w:rPr>
              <w:t>ІІ.</w:t>
            </w:r>
          </w:p>
        </w:tc>
        <w:tc>
          <w:tcPr>
            <w:tcW w:w="3278" w:type="pct"/>
            <w:shd w:val="clear" w:color="000000" w:fill="E6E6E6"/>
            <w:noWrap/>
            <w:vAlign w:val="center"/>
            <w:hideMark/>
          </w:tcPr>
          <w:p w14:paraId="4BEA3EBB" w14:textId="77777777" w:rsidR="000079BE" w:rsidRPr="000079BE" w:rsidRDefault="000079BE">
            <w:pPr>
              <w:rPr>
                <w:b/>
                <w:bCs/>
                <w:sz w:val="16"/>
                <w:szCs w:val="16"/>
              </w:rPr>
            </w:pPr>
            <w:r w:rsidRPr="000079BE">
              <w:rPr>
                <w:b/>
                <w:bCs/>
                <w:sz w:val="16"/>
                <w:szCs w:val="16"/>
              </w:rPr>
              <w:t xml:space="preserve">Администрирани разходни параграфи по бюджета </w:t>
            </w:r>
          </w:p>
        </w:tc>
        <w:tc>
          <w:tcPr>
            <w:tcW w:w="485" w:type="pct"/>
            <w:shd w:val="clear" w:color="000000" w:fill="E6E6E6"/>
            <w:noWrap/>
            <w:vAlign w:val="center"/>
            <w:hideMark/>
          </w:tcPr>
          <w:p w14:paraId="74757AD3" w14:textId="77777777" w:rsidR="000079BE" w:rsidRPr="000079BE" w:rsidRDefault="000079BE">
            <w:pPr>
              <w:jc w:val="right"/>
              <w:rPr>
                <w:b/>
                <w:bCs/>
                <w:sz w:val="16"/>
                <w:szCs w:val="16"/>
              </w:rPr>
            </w:pPr>
            <w:r w:rsidRPr="000079BE">
              <w:rPr>
                <w:b/>
                <w:bCs/>
                <w:sz w:val="16"/>
                <w:szCs w:val="16"/>
              </w:rPr>
              <w:t>10 000</w:t>
            </w:r>
          </w:p>
        </w:tc>
        <w:tc>
          <w:tcPr>
            <w:tcW w:w="485" w:type="pct"/>
            <w:shd w:val="clear" w:color="000000" w:fill="E6E6E6"/>
            <w:noWrap/>
            <w:vAlign w:val="center"/>
            <w:hideMark/>
          </w:tcPr>
          <w:p w14:paraId="59F5EA42" w14:textId="77777777" w:rsidR="000079BE" w:rsidRPr="000079BE" w:rsidRDefault="000079BE">
            <w:pPr>
              <w:jc w:val="right"/>
              <w:rPr>
                <w:b/>
                <w:bCs/>
                <w:sz w:val="16"/>
                <w:szCs w:val="16"/>
              </w:rPr>
            </w:pPr>
            <w:r w:rsidRPr="000079BE">
              <w:rPr>
                <w:b/>
                <w:bCs/>
                <w:sz w:val="16"/>
                <w:szCs w:val="16"/>
              </w:rPr>
              <w:t>10 000</w:t>
            </w:r>
          </w:p>
        </w:tc>
        <w:tc>
          <w:tcPr>
            <w:tcW w:w="521" w:type="pct"/>
            <w:shd w:val="clear" w:color="000000" w:fill="E6E6E6"/>
            <w:noWrap/>
            <w:vAlign w:val="center"/>
            <w:hideMark/>
          </w:tcPr>
          <w:p w14:paraId="4A28DEB0" w14:textId="77777777" w:rsidR="000079BE" w:rsidRPr="000079BE" w:rsidRDefault="000079BE">
            <w:pPr>
              <w:jc w:val="right"/>
              <w:rPr>
                <w:b/>
                <w:bCs/>
                <w:sz w:val="16"/>
                <w:szCs w:val="16"/>
              </w:rPr>
            </w:pPr>
            <w:r w:rsidRPr="000079BE">
              <w:rPr>
                <w:b/>
                <w:bCs/>
                <w:sz w:val="16"/>
                <w:szCs w:val="16"/>
              </w:rPr>
              <w:t>0</w:t>
            </w:r>
          </w:p>
        </w:tc>
      </w:tr>
      <w:tr w:rsidR="000079BE" w:rsidRPr="000079BE" w14:paraId="3133B4DF" w14:textId="77777777" w:rsidTr="004159BE">
        <w:trPr>
          <w:trHeight w:val="70"/>
        </w:trPr>
        <w:tc>
          <w:tcPr>
            <w:tcW w:w="231" w:type="pct"/>
            <w:shd w:val="clear" w:color="auto" w:fill="auto"/>
            <w:noWrap/>
            <w:vAlign w:val="center"/>
            <w:hideMark/>
          </w:tcPr>
          <w:p w14:paraId="50B1DFED" w14:textId="77777777" w:rsidR="000079BE" w:rsidRPr="000079BE" w:rsidRDefault="000079BE">
            <w:pPr>
              <w:jc w:val="both"/>
              <w:rPr>
                <w:sz w:val="16"/>
                <w:szCs w:val="16"/>
              </w:rPr>
            </w:pPr>
            <w:r w:rsidRPr="000079BE">
              <w:rPr>
                <w:sz w:val="16"/>
                <w:szCs w:val="16"/>
              </w:rPr>
              <w:t>1</w:t>
            </w:r>
          </w:p>
        </w:tc>
        <w:tc>
          <w:tcPr>
            <w:tcW w:w="3278" w:type="pct"/>
            <w:shd w:val="clear" w:color="auto" w:fill="auto"/>
            <w:vAlign w:val="bottom"/>
            <w:hideMark/>
          </w:tcPr>
          <w:p w14:paraId="52E85639" w14:textId="77777777" w:rsidR="000079BE" w:rsidRPr="000079BE" w:rsidRDefault="000079BE">
            <w:pPr>
              <w:rPr>
                <w:sz w:val="16"/>
                <w:szCs w:val="16"/>
              </w:rPr>
            </w:pPr>
            <w:r w:rsidRPr="000079BE">
              <w:rPr>
                <w:sz w:val="16"/>
                <w:szCs w:val="16"/>
              </w:rPr>
              <w:t>Държавна награда „Свети Паисий Хилендарски“</w:t>
            </w:r>
          </w:p>
        </w:tc>
        <w:tc>
          <w:tcPr>
            <w:tcW w:w="485" w:type="pct"/>
            <w:shd w:val="clear" w:color="auto" w:fill="auto"/>
            <w:noWrap/>
            <w:vAlign w:val="center"/>
            <w:hideMark/>
          </w:tcPr>
          <w:p w14:paraId="36409B5B" w14:textId="77777777" w:rsidR="000079BE" w:rsidRPr="000079BE" w:rsidRDefault="000079BE">
            <w:pPr>
              <w:jc w:val="right"/>
              <w:rPr>
                <w:sz w:val="16"/>
                <w:szCs w:val="16"/>
              </w:rPr>
            </w:pPr>
            <w:r w:rsidRPr="000079BE">
              <w:rPr>
                <w:sz w:val="16"/>
                <w:szCs w:val="16"/>
              </w:rPr>
              <w:t>10 000</w:t>
            </w:r>
          </w:p>
        </w:tc>
        <w:tc>
          <w:tcPr>
            <w:tcW w:w="485" w:type="pct"/>
            <w:shd w:val="clear" w:color="auto" w:fill="auto"/>
            <w:noWrap/>
            <w:vAlign w:val="center"/>
            <w:hideMark/>
          </w:tcPr>
          <w:p w14:paraId="6794B2F2" w14:textId="77777777" w:rsidR="000079BE" w:rsidRPr="000079BE" w:rsidRDefault="000079BE">
            <w:pPr>
              <w:jc w:val="right"/>
              <w:rPr>
                <w:sz w:val="16"/>
                <w:szCs w:val="16"/>
              </w:rPr>
            </w:pPr>
            <w:r w:rsidRPr="000079BE">
              <w:rPr>
                <w:sz w:val="16"/>
                <w:szCs w:val="16"/>
              </w:rPr>
              <w:t>10 000</w:t>
            </w:r>
          </w:p>
        </w:tc>
        <w:tc>
          <w:tcPr>
            <w:tcW w:w="521" w:type="pct"/>
            <w:shd w:val="clear" w:color="auto" w:fill="auto"/>
            <w:noWrap/>
            <w:vAlign w:val="center"/>
            <w:hideMark/>
          </w:tcPr>
          <w:p w14:paraId="4EA1D34B" w14:textId="77777777" w:rsidR="000079BE" w:rsidRPr="000079BE" w:rsidRDefault="000079BE">
            <w:pPr>
              <w:jc w:val="right"/>
              <w:rPr>
                <w:sz w:val="16"/>
                <w:szCs w:val="16"/>
              </w:rPr>
            </w:pPr>
            <w:r w:rsidRPr="000079BE">
              <w:rPr>
                <w:sz w:val="16"/>
                <w:szCs w:val="16"/>
              </w:rPr>
              <w:t> </w:t>
            </w:r>
          </w:p>
        </w:tc>
      </w:tr>
      <w:tr w:rsidR="000079BE" w:rsidRPr="000079BE" w14:paraId="190E8F4A" w14:textId="77777777" w:rsidTr="004159BE">
        <w:trPr>
          <w:trHeight w:val="157"/>
        </w:trPr>
        <w:tc>
          <w:tcPr>
            <w:tcW w:w="231" w:type="pct"/>
            <w:shd w:val="clear" w:color="auto" w:fill="auto"/>
            <w:noWrap/>
            <w:vAlign w:val="center"/>
            <w:hideMark/>
          </w:tcPr>
          <w:p w14:paraId="27AE9393" w14:textId="77777777" w:rsidR="000079BE" w:rsidRPr="000079BE" w:rsidRDefault="000079BE">
            <w:pPr>
              <w:jc w:val="both"/>
              <w:rPr>
                <w:sz w:val="16"/>
                <w:szCs w:val="16"/>
              </w:rPr>
            </w:pPr>
            <w:r w:rsidRPr="000079BE">
              <w:rPr>
                <w:sz w:val="16"/>
                <w:szCs w:val="16"/>
              </w:rPr>
              <w:t> </w:t>
            </w:r>
          </w:p>
        </w:tc>
        <w:tc>
          <w:tcPr>
            <w:tcW w:w="3278" w:type="pct"/>
            <w:shd w:val="clear" w:color="auto" w:fill="auto"/>
            <w:noWrap/>
            <w:vAlign w:val="center"/>
            <w:hideMark/>
          </w:tcPr>
          <w:p w14:paraId="6F602998" w14:textId="77777777" w:rsidR="000079BE" w:rsidRPr="000079BE" w:rsidRDefault="000079BE">
            <w:pPr>
              <w:ind w:firstLineChars="200" w:firstLine="320"/>
              <w:rPr>
                <w:sz w:val="16"/>
                <w:szCs w:val="16"/>
              </w:rPr>
            </w:pPr>
            <w:r w:rsidRPr="000079BE">
              <w:rPr>
                <w:sz w:val="16"/>
                <w:szCs w:val="16"/>
              </w:rPr>
              <w:t> </w:t>
            </w:r>
          </w:p>
        </w:tc>
        <w:tc>
          <w:tcPr>
            <w:tcW w:w="485" w:type="pct"/>
            <w:shd w:val="clear" w:color="auto" w:fill="auto"/>
            <w:noWrap/>
            <w:vAlign w:val="center"/>
            <w:hideMark/>
          </w:tcPr>
          <w:p w14:paraId="57289917" w14:textId="77777777" w:rsidR="000079BE" w:rsidRPr="000079BE" w:rsidRDefault="000079BE">
            <w:pPr>
              <w:jc w:val="right"/>
              <w:rPr>
                <w:sz w:val="16"/>
                <w:szCs w:val="16"/>
              </w:rPr>
            </w:pPr>
            <w:r w:rsidRPr="000079BE">
              <w:rPr>
                <w:sz w:val="16"/>
                <w:szCs w:val="16"/>
              </w:rPr>
              <w:t> </w:t>
            </w:r>
          </w:p>
        </w:tc>
        <w:tc>
          <w:tcPr>
            <w:tcW w:w="485" w:type="pct"/>
            <w:shd w:val="clear" w:color="auto" w:fill="auto"/>
            <w:noWrap/>
            <w:vAlign w:val="center"/>
            <w:hideMark/>
          </w:tcPr>
          <w:p w14:paraId="4B85DE59" w14:textId="77777777" w:rsidR="000079BE" w:rsidRPr="000079BE" w:rsidRDefault="000079BE">
            <w:pPr>
              <w:jc w:val="right"/>
              <w:rPr>
                <w:sz w:val="16"/>
                <w:szCs w:val="16"/>
              </w:rPr>
            </w:pPr>
            <w:r w:rsidRPr="000079BE">
              <w:rPr>
                <w:sz w:val="16"/>
                <w:szCs w:val="16"/>
              </w:rPr>
              <w:t> </w:t>
            </w:r>
          </w:p>
        </w:tc>
        <w:tc>
          <w:tcPr>
            <w:tcW w:w="521" w:type="pct"/>
            <w:shd w:val="clear" w:color="auto" w:fill="auto"/>
            <w:noWrap/>
            <w:vAlign w:val="center"/>
            <w:hideMark/>
          </w:tcPr>
          <w:p w14:paraId="69AFD1C0" w14:textId="77777777" w:rsidR="000079BE" w:rsidRPr="000079BE" w:rsidRDefault="000079BE">
            <w:pPr>
              <w:jc w:val="right"/>
              <w:rPr>
                <w:sz w:val="16"/>
                <w:szCs w:val="16"/>
              </w:rPr>
            </w:pPr>
            <w:r w:rsidRPr="000079BE">
              <w:rPr>
                <w:sz w:val="16"/>
                <w:szCs w:val="16"/>
              </w:rPr>
              <w:t> </w:t>
            </w:r>
          </w:p>
        </w:tc>
      </w:tr>
      <w:tr w:rsidR="000079BE" w:rsidRPr="000079BE" w14:paraId="1DD7788E" w14:textId="77777777" w:rsidTr="00312326">
        <w:trPr>
          <w:trHeight w:val="246"/>
        </w:trPr>
        <w:tc>
          <w:tcPr>
            <w:tcW w:w="231" w:type="pct"/>
            <w:shd w:val="clear" w:color="000000" w:fill="E6E6E6"/>
            <w:noWrap/>
            <w:vAlign w:val="center"/>
            <w:hideMark/>
          </w:tcPr>
          <w:p w14:paraId="5E9BC9DF" w14:textId="77777777" w:rsidR="000079BE" w:rsidRPr="000079BE" w:rsidRDefault="000079BE">
            <w:pPr>
              <w:jc w:val="both"/>
              <w:rPr>
                <w:b/>
                <w:bCs/>
                <w:sz w:val="16"/>
                <w:szCs w:val="16"/>
              </w:rPr>
            </w:pPr>
            <w:r w:rsidRPr="000079BE">
              <w:rPr>
                <w:b/>
                <w:bCs/>
                <w:sz w:val="16"/>
                <w:szCs w:val="16"/>
              </w:rPr>
              <w:t>ІІІ.</w:t>
            </w:r>
          </w:p>
        </w:tc>
        <w:tc>
          <w:tcPr>
            <w:tcW w:w="3278" w:type="pct"/>
            <w:shd w:val="clear" w:color="000000" w:fill="E6E6E6"/>
            <w:noWrap/>
            <w:vAlign w:val="center"/>
            <w:hideMark/>
          </w:tcPr>
          <w:p w14:paraId="199C4E80" w14:textId="77777777" w:rsidR="000079BE" w:rsidRPr="000079BE" w:rsidRDefault="000079BE">
            <w:pPr>
              <w:rPr>
                <w:b/>
                <w:bCs/>
                <w:sz w:val="16"/>
                <w:szCs w:val="16"/>
              </w:rPr>
            </w:pPr>
            <w:r w:rsidRPr="000079BE">
              <w:rPr>
                <w:b/>
                <w:bCs/>
                <w:sz w:val="16"/>
                <w:szCs w:val="16"/>
              </w:rPr>
              <w:t>Администрирани разходни параграфи по други бюджети и сметки за средства от ЕС</w:t>
            </w:r>
          </w:p>
        </w:tc>
        <w:tc>
          <w:tcPr>
            <w:tcW w:w="485" w:type="pct"/>
            <w:shd w:val="clear" w:color="000000" w:fill="E6E6E6"/>
            <w:noWrap/>
            <w:vAlign w:val="center"/>
            <w:hideMark/>
          </w:tcPr>
          <w:p w14:paraId="1C7C39DA" w14:textId="77777777" w:rsidR="000079BE" w:rsidRPr="000079BE" w:rsidRDefault="000079BE">
            <w:pPr>
              <w:jc w:val="right"/>
              <w:rPr>
                <w:b/>
                <w:bCs/>
                <w:sz w:val="16"/>
                <w:szCs w:val="16"/>
              </w:rPr>
            </w:pPr>
            <w:r w:rsidRPr="000079BE">
              <w:rPr>
                <w:b/>
                <w:bCs/>
                <w:sz w:val="16"/>
                <w:szCs w:val="16"/>
              </w:rPr>
              <w:t>0</w:t>
            </w:r>
          </w:p>
        </w:tc>
        <w:tc>
          <w:tcPr>
            <w:tcW w:w="485" w:type="pct"/>
            <w:shd w:val="clear" w:color="000000" w:fill="E6E6E6"/>
            <w:noWrap/>
            <w:vAlign w:val="center"/>
            <w:hideMark/>
          </w:tcPr>
          <w:p w14:paraId="64C42042" w14:textId="77777777" w:rsidR="000079BE" w:rsidRPr="000079BE" w:rsidRDefault="000079BE">
            <w:pPr>
              <w:jc w:val="right"/>
              <w:rPr>
                <w:b/>
                <w:bCs/>
                <w:sz w:val="16"/>
                <w:szCs w:val="16"/>
              </w:rPr>
            </w:pPr>
            <w:r w:rsidRPr="000079BE">
              <w:rPr>
                <w:b/>
                <w:bCs/>
                <w:sz w:val="16"/>
                <w:szCs w:val="16"/>
              </w:rPr>
              <w:t>0</w:t>
            </w:r>
          </w:p>
        </w:tc>
        <w:tc>
          <w:tcPr>
            <w:tcW w:w="521" w:type="pct"/>
            <w:shd w:val="clear" w:color="000000" w:fill="E6E6E6"/>
            <w:noWrap/>
            <w:vAlign w:val="center"/>
            <w:hideMark/>
          </w:tcPr>
          <w:p w14:paraId="5316696E" w14:textId="77777777" w:rsidR="000079BE" w:rsidRPr="000079BE" w:rsidRDefault="000079BE">
            <w:pPr>
              <w:jc w:val="right"/>
              <w:rPr>
                <w:b/>
                <w:bCs/>
                <w:sz w:val="16"/>
                <w:szCs w:val="16"/>
              </w:rPr>
            </w:pPr>
            <w:r w:rsidRPr="000079BE">
              <w:rPr>
                <w:b/>
                <w:bCs/>
                <w:sz w:val="16"/>
                <w:szCs w:val="16"/>
              </w:rPr>
              <w:t>0</w:t>
            </w:r>
          </w:p>
        </w:tc>
      </w:tr>
      <w:tr w:rsidR="000079BE" w:rsidRPr="000079BE" w14:paraId="690361D5" w14:textId="77777777" w:rsidTr="00312326">
        <w:trPr>
          <w:trHeight w:val="131"/>
        </w:trPr>
        <w:tc>
          <w:tcPr>
            <w:tcW w:w="231" w:type="pct"/>
            <w:shd w:val="clear" w:color="auto" w:fill="auto"/>
            <w:noWrap/>
            <w:vAlign w:val="center"/>
            <w:hideMark/>
          </w:tcPr>
          <w:p w14:paraId="6E38A006" w14:textId="77777777" w:rsidR="000079BE" w:rsidRPr="000079BE" w:rsidRDefault="000079BE">
            <w:pPr>
              <w:jc w:val="both"/>
              <w:rPr>
                <w:sz w:val="16"/>
                <w:szCs w:val="16"/>
              </w:rPr>
            </w:pPr>
            <w:r w:rsidRPr="000079BE">
              <w:rPr>
                <w:sz w:val="16"/>
                <w:szCs w:val="16"/>
              </w:rPr>
              <w:t> </w:t>
            </w:r>
          </w:p>
        </w:tc>
        <w:tc>
          <w:tcPr>
            <w:tcW w:w="3278" w:type="pct"/>
            <w:shd w:val="clear" w:color="auto" w:fill="auto"/>
            <w:noWrap/>
            <w:vAlign w:val="center"/>
            <w:hideMark/>
          </w:tcPr>
          <w:p w14:paraId="0D5FE81D" w14:textId="77777777" w:rsidR="000079BE" w:rsidRPr="000079BE" w:rsidRDefault="000079BE">
            <w:pPr>
              <w:ind w:firstLineChars="200" w:firstLine="320"/>
              <w:rPr>
                <w:sz w:val="16"/>
                <w:szCs w:val="16"/>
              </w:rPr>
            </w:pPr>
            <w:r w:rsidRPr="000079BE">
              <w:rPr>
                <w:sz w:val="16"/>
                <w:szCs w:val="16"/>
              </w:rPr>
              <w:t> </w:t>
            </w:r>
          </w:p>
        </w:tc>
        <w:tc>
          <w:tcPr>
            <w:tcW w:w="485" w:type="pct"/>
            <w:shd w:val="clear" w:color="auto" w:fill="auto"/>
            <w:noWrap/>
            <w:vAlign w:val="center"/>
            <w:hideMark/>
          </w:tcPr>
          <w:p w14:paraId="33586399" w14:textId="77777777" w:rsidR="000079BE" w:rsidRPr="000079BE" w:rsidRDefault="000079BE">
            <w:pPr>
              <w:jc w:val="right"/>
              <w:rPr>
                <w:sz w:val="16"/>
                <w:szCs w:val="16"/>
              </w:rPr>
            </w:pPr>
            <w:r w:rsidRPr="000079BE">
              <w:rPr>
                <w:sz w:val="16"/>
                <w:szCs w:val="16"/>
              </w:rPr>
              <w:t> </w:t>
            </w:r>
          </w:p>
        </w:tc>
        <w:tc>
          <w:tcPr>
            <w:tcW w:w="485" w:type="pct"/>
            <w:shd w:val="clear" w:color="auto" w:fill="auto"/>
            <w:noWrap/>
            <w:vAlign w:val="center"/>
            <w:hideMark/>
          </w:tcPr>
          <w:p w14:paraId="60F1ADDC" w14:textId="77777777" w:rsidR="000079BE" w:rsidRPr="000079BE" w:rsidRDefault="000079BE">
            <w:pPr>
              <w:jc w:val="right"/>
              <w:rPr>
                <w:sz w:val="16"/>
                <w:szCs w:val="16"/>
              </w:rPr>
            </w:pPr>
            <w:r w:rsidRPr="000079BE">
              <w:rPr>
                <w:sz w:val="16"/>
                <w:szCs w:val="16"/>
              </w:rPr>
              <w:t> </w:t>
            </w:r>
          </w:p>
        </w:tc>
        <w:tc>
          <w:tcPr>
            <w:tcW w:w="521" w:type="pct"/>
            <w:shd w:val="clear" w:color="auto" w:fill="auto"/>
            <w:noWrap/>
            <w:vAlign w:val="center"/>
            <w:hideMark/>
          </w:tcPr>
          <w:p w14:paraId="32A7C37D" w14:textId="77777777" w:rsidR="000079BE" w:rsidRPr="000079BE" w:rsidRDefault="000079BE">
            <w:pPr>
              <w:jc w:val="right"/>
              <w:rPr>
                <w:sz w:val="16"/>
                <w:szCs w:val="16"/>
              </w:rPr>
            </w:pPr>
            <w:r w:rsidRPr="000079BE">
              <w:rPr>
                <w:sz w:val="16"/>
                <w:szCs w:val="16"/>
              </w:rPr>
              <w:t> </w:t>
            </w:r>
          </w:p>
        </w:tc>
      </w:tr>
      <w:tr w:rsidR="000079BE" w:rsidRPr="000079BE" w14:paraId="0C618ECA" w14:textId="77777777" w:rsidTr="000079BE">
        <w:trPr>
          <w:trHeight w:val="330"/>
        </w:trPr>
        <w:tc>
          <w:tcPr>
            <w:tcW w:w="231" w:type="pct"/>
            <w:shd w:val="clear" w:color="000000" w:fill="E6E6E6"/>
            <w:noWrap/>
            <w:vAlign w:val="center"/>
            <w:hideMark/>
          </w:tcPr>
          <w:p w14:paraId="41CD16E6" w14:textId="77777777" w:rsidR="000079BE" w:rsidRPr="000079BE" w:rsidRDefault="000079BE">
            <w:pPr>
              <w:jc w:val="both"/>
              <w:rPr>
                <w:b/>
                <w:bCs/>
                <w:sz w:val="16"/>
                <w:szCs w:val="16"/>
              </w:rPr>
            </w:pPr>
            <w:r w:rsidRPr="000079BE">
              <w:rPr>
                <w:b/>
                <w:bCs/>
                <w:sz w:val="16"/>
                <w:szCs w:val="16"/>
              </w:rPr>
              <w:t> </w:t>
            </w:r>
          </w:p>
        </w:tc>
        <w:tc>
          <w:tcPr>
            <w:tcW w:w="3278" w:type="pct"/>
            <w:shd w:val="clear" w:color="000000" w:fill="E6E6E6"/>
            <w:noWrap/>
            <w:vAlign w:val="center"/>
            <w:hideMark/>
          </w:tcPr>
          <w:p w14:paraId="73F44C52" w14:textId="77777777" w:rsidR="000079BE" w:rsidRPr="000079BE" w:rsidRDefault="000079BE">
            <w:pPr>
              <w:rPr>
                <w:b/>
                <w:bCs/>
                <w:sz w:val="16"/>
                <w:szCs w:val="16"/>
              </w:rPr>
            </w:pPr>
            <w:r w:rsidRPr="000079BE">
              <w:rPr>
                <w:b/>
                <w:bCs/>
                <w:sz w:val="16"/>
                <w:szCs w:val="16"/>
              </w:rPr>
              <w:t>Общо администрирани разходи (ІІ.+ІІІ.):</w:t>
            </w:r>
          </w:p>
        </w:tc>
        <w:tc>
          <w:tcPr>
            <w:tcW w:w="485" w:type="pct"/>
            <w:shd w:val="clear" w:color="000000" w:fill="E6E6E6"/>
            <w:noWrap/>
            <w:vAlign w:val="center"/>
            <w:hideMark/>
          </w:tcPr>
          <w:p w14:paraId="7E20CCAA" w14:textId="77777777" w:rsidR="000079BE" w:rsidRPr="000079BE" w:rsidRDefault="000079BE">
            <w:pPr>
              <w:jc w:val="right"/>
              <w:rPr>
                <w:b/>
                <w:bCs/>
                <w:sz w:val="16"/>
                <w:szCs w:val="16"/>
              </w:rPr>
            </w:pPr>
            <w:r w:rsidRPr="000079BE">
              <w:rPr>
                <w:b/>
                <w:bCs/>
                <w:sz w:val="16"/>
                <w:szCs w:val="16"/>
              </w:rPr>
              <w:t>10 000</w:t>
            </w:r>
          </w:p>
        </w:tc>
        <w:tc>
          <w:tcPr>
            <w:tcW w:w="485" w:type="pct"/>
            <w:shd w:val="clear" w:color="000000" w:fill="E6E6E6"/>
            <w:noWrap/>
            <w:vAlign w:val="center"/>
            <w:hideMark/>
          </w:tcPr>
          <w:p w14:paraId="4B587EBB" w14:textId="77777777" w:rsidR="000079BE" w:rsidRPr="000079BE" w:rsidRDefault="000079BE">
            <w:pPr>
              <w:jc w:val="right"/>
              <w:rPr>
                <w:b/>
                <w:bCs/>
                <w:sz w:val="16"/>
                <w:szCs w:val="16"/>
              </w:rPr>
            </w:pPr>
            <w:r w:rsidRPr="000079BE">
              <w:rPr>
                <w:b/>
                <w:bCs/>
                <w:sz w:val="16"/>
                <w:szCs w:val="16"/>
              </w:rPr>
              <w:t>10 000</w:t>
            </w:r>
          </w:p>
        </w:tc>
        <w:tc>
          <w:tcPr>
            <w:tcW w:w="521" w:type="pct"/>
            <w:shd w:val="clear" w:color="000000" w:fill="E6E6E6"/>
            <w:noWrap/>
            <w:vAlign w:val="center"/>
            <w:hideMark/>
          </w:tcPr>
          <w:p w14:paraId="1D02B835" w14:textId="77777777" w:rsidR="000079BE" w:rsidRPr="000079BE" w:rsidRDefault="000079BE">
            <w:pPr>
              <w:jc w:val="right"/>
              <w:rPr>
                <w:b/>
                <w:bCs/>
                <w:sz w:val="16"/>
                <w:szCs w:val="16"/>
              </w:rPr>
            </w:pPr>
            <w:r w:rsidRPr="000079BE">
              <w:rPr>
                <w:b/>
                <w:bCs/>
                <w:sz w:val="16"/>
                <w:szCs w:val="16"/>
              </w:rPr>
              <w:t>0</w:t>
            </w:r>
          </w:p>
        </w:tc>
      </w:tr>
      <w:tr w:rsidR="000079BE" w:rsidRPr="000079BE" w14:paraId="46600BBB" w14:textId="77777777" w:rsidTr="00312326">
        <w:trPr>
          <w:trHeight w:val="79"/>
        </w:trPr>
        <w:tc>
          <w:tcPr>
            <w:tcW w:w="231" w:type="pct"/>
            <w:shd w:val="clear" w:color="auto" w:fill="auto"/>
            <w:noWrap/>
            <w:vAlign w:val="center"/>
            <w:hideMark/>
          </w:tcPr>
          <w:p w14:paraId="15AFA471" w14:textId="77777777" w:rsidR="000079BE" w:rsidRPr="000079BE" w:rsidRDefault="000079BE">
            <w:pPr>
              <w:jc w:val="both"/>
              <w:rPr>
                <w:sz w:val="16"/>
                <w:szCs w:val="16"/>
              </w:rPr>
            </w:pPr>
            <w:r w:rsidRPr="000079BE">
              <w:rPr>
                <w:sz w:val="16"/>
                <w:szCs w:val="16"/>
              </w:rPr>
              <w:t> </w:t>
            </w:r>
          </w:p>
        </w:tc>
        <w:tc>
          <w:tcPr>
            <w:tcW w:w="3278" w:type="pct"/>
            <w:shd w:val="clear" w:color="auto" w:fill="auto"/>
            <w:noWrap/>
            <w:vAlign w:val="center"/>
            <w:hideMark/>
          </w:tcPr>
          <w:p w14:paraId="0E443A5A" w14:textId="77777777" w:rsidR="000079BE" w:rsidRPr="000079BE" w:rsidRDefault="000079BE">
            <w:pPr>
              <w:rPr>
                <w:sz w:val="16"/>
                <w:szCs w:val="16"/>
              </w:rPr>
            </w:pPr>
            <w:r w:rsidRPr="000079BE">
              <w:rPr>
                <w:sz w:val="16"/>
                <w:szCs w:val="16"/>
              </w:rPr>
              <w:t> </w:t>
            </w:r>
          </w:p>
        </w:tc>
        <w:tc>
          <w:tcPr>
            <w:tcW w:w="485" w:type="pct"/>
            <w:shd w:val="clear" w:color="auto" w:fill="auto"/>
            <w:noWrap/>
            <w:vAlign w:val="center"/>
            <w:hideMark/>
          </w:tcPr>
          <w:p w14:paraId="6A7F441E" w14:textId="77777777" w:rsidR="000079BE" w:rsidRPr="000079BE" w:rsidRDefault="000079BE">
            <w:pPr>
              <w:jc w:val="right"/>
              <w:rPr>
                <w:sz w:val="16"/>
                <w:szCs w:val="16"/>
              </w:rPr>
            </w:pPr>
            <w:r w:rsidRPr="000079BE">
              <w:rPr>
                <w:sz w:val="16"/>
                <w:szCs w:val="16"/>
              </w:rPr>
              <w:t> </w:t>
            </w:r>
          </w:p>
        </w:tc>
        <w:tc>
          <w:tcPr>
            <w:tcW w:w="485" w:type="pct"/>
            <w:shd w:val="clear" w:color="auto" w:fill="auto"/>
            <w:noWrap/>
            <w:vAlign w:val="center"/>
            <w:hideMark/>
          </w:tcPr>
          <w:p w14:paraId="2F65204C" w14:textId="77777777" w:rsidR="000079BE" w:rsidRPr="000079BE" w:rsidRDefault="000079BE">
            <w:pPr>
              <w:jc w:val="right"/>
              <w:rPr>
                <w:sz w:val="16"/>
                <w:szCs w:val="16"/>
              </w:rPr>
            </w:pPr>
            <w:r w:rsidRPr="000079BE">
              <w:rPr>
                <w:sz w:val="16"/>
                <w:szCs w:val="16"/>
              </w:rPr>
              <w:t> </w:t>
            </w:r>
          </w:p>
        </w:tc>
        <w:tc>
          <w:tcPr>
            <w:tcW w:w="521" w:type="pct"/>
            <w:shd w:val="clear" w:color="auto" w:fill="auto"/>
            <w:noWrap/>
            <w:vAlign w:val="center"/>
            <w:hideMark/>
          </w:tcPr>
          <w:p w14:paraId="5594BE94" w14:textId="77777777" w:rsidR="000079BE" w:rsidRPr="000079BE" w:rsidRDefault="000079BE">
            <w:pPr>
              <w:jc w:val="right"/>
              <w:rPr>
                <w:sz w:val="16"/>
                <w:szCs w:val="16"/>
              </w:rPr>
            </w:pPr>
            <w:r w:rsidRPr="000079BE">
              <w:rPr>
                <w:sz w:val="16"/>
                <w:szCs w:val="16"/>
              </w:rPr>
              <w:t> </w:t>
            </w:r>
          </w:p>
        </w:tc>
      </w:tr>
      <w:tr w:rsidR="000079BE" w:rsidRPr="000079BE" w14:paraId="26C28886" w14:textId="77777777" w:rsidTr="000079BE">
        <w:trPr>
          <w:trHeight w:val="330"/>
        </w:trPr>
        <w:tc>
          <w:tcPr>
            <w:tcW w:w="231" w:type="pct"/>
            <w:shd w:val="clear" w:color="000000" w:fill="E6E6E6"/>
            <w:noWrap/>
            <w:vAlign w:val="center"/>
            <w:hideMark/>
          </w:tcPr>
          <w:p w14:paraId="6DAEE836" w14:textId="77777777" w:rsidR="000079BE" w:rsidRPr="000079BE" w:rsidRDefault="000079BE">
            <w:pPr>
              <w:jc w:val="both"/>
              <w:rPr>
                <w:b/>
                <w:bCs/>
                <w:sz w:val="16"/>
                <w:szCs w:val="16"/>
              </w:rPr>
            </w:pPr>
            <w:r w:rsidRPr="000079BE">
              <w:rPr>
                <w:b/>
                <w:bCs/>
                <w:sz w:val="16"/>
                <w:szCs w:val="16"/>
              </w:rPr>
              <w:t> </w:t>
            </w:r>
          </w:p>
        </w:tc>
        <w:tc>
          <w:tcPr>
            <w:tcW w:w="3278" w:type="pct"/>
            <w:shd w:val="clear" w:color="000000" w:fill="E6E6E6"/>
            <w:noWrap/>
            <w:vAlign w:val="center"/>
            <w:hideMark/>
          </w:tcPr>
          <w:p w14:paraId="6A0F534E" w14:textId="77777777" w:rsidR="000079BE" w:rsidRPr="000079BE" w:rsidRDefault="000079BE">
            <w:pPr>
              <w:rPr>
                <w:b/>
                <w:bCs/>
                <w:sz w:val="16"/>
                <w:szCs w:val="16"/>
              </w:rPr>
            </w:pPr>
            <w:r w:rsidRPr="000079BE">
              <w:rPr>
                <w:b/>
                <w:bCs/>
                <w:sz w:val="16"/>
                <w:szCs w:val="16"/>
              </w:rPr>
              <w:t>Общо разходи по бюджета (І.1+ІІ.):</w:t>
            </w:r>
          </w:p>
        </w:tc>
        <w:tc>
          <w:tcPr>
            <w:tcW w:w="485" w:type="pct"/>
            <w:shd w:val="clear" w:color="000000" w:fill="E6E6E6"/>
            <w:noWrap/>
            <w:vAlign w:val="center"/>
            <w:hideMark/>
          </w:tcPr>
          <w:p w14:paraId="68FBC28E" w14:textId="77777777" w:rsidR="000079BE" w:rsidRPr="000079BE" w:rsidRDefault="000079BE">
            <w:pPr>
              <w:jc w:val="right"/>
              <w:rPr>
                <w:b/>
                <w:bCs/>
                <w:sz w:val="16"/>
                <w:szCs w:val="16"/>
              </w:rPr>
            </w:pPr>
            <w:r w:rsidRPr="000079BE">
              <w:rPr>
                <w:b/>
                <w:bCs/>
                <w:sz w:val="16"/>
                <w:szCs w:val="16"/>
              </w:rPr>
              <w:t>14 832 900</w:t>
            </w:r>
          </w:p>
        </w:tc>
        <w:tc>
          <w:tcPr>
            <w:tcW w:w="485" w:type="pct"/>
            <w:shd w:val="clear" w:color="000000" w:fill="E6E6E6"/>
            <w:noWrap/>
            <w:vAlign w:val="center"/>
            <w:hideMark/>
          </w:tcPr>
          <w:p w14:paraId="1D63BF05" w14:textId="77777777" w:rsidR="000079BE" w:rsidRPr="000079BE" w:rsidRDefault="000079BE">
            <w:pPr>
              <w:jc w:val="right"/>
              <w:rPr>
                <w:b/>
                <w:bCs/>
                <w:sz w:val="16"/>
                <w:szCs w:val="16"/>
              </w:rPr>
            </w:pPr>
            <w:r w:rsidRPr="000079BE">
              <w:rPr>
                <w:b/>
                <w:bCs/>
                <w:sz w:val="16"/>
                <w:szCs w:val="16"/>
              </w:rPr>
              <w:t>14 730 428</w:t>
            </w:r>
          </w:p>
        </w:tc>
        <w:tc>
          <w:tcPr>
            <w:tcW w:w="521" w:type="pct"/>
            <w:shd w:val="clear" w:color="000000" w:fill="E6E6E6"/>
            <w:noWrap/>
            <w:vAlign w:val="center"/>
            <w:hideMark/>
          </w:tcPr>
          <w:p w14:paraId="16A3D8D8" w14:textId="77777777" w:rsidR="000079BE" w:rsidRPr="000079BE" w:rsidRDefault="000079BE">
            <w:pPr>
              <w:jc w:val="right"/>
              <w:rPr>
                <w:b/>
                <w:bCs/>
                <w:sz w:val="16"/>
                <w:szCs w:val="16"/>
              </w:rPr>
            </w:pPr>
            <w:r w:rsidRPr="000079BE">
              <w:rPr>
                <w:b/>
                <w:bCs/>
                <w:sz w:val="16"/>
                <w:szCs w:val="16"/>
              </w:rPr>
              <w:t>6 921 589</w:t>
            </w:r>
          </w:p>
        </w:tc>
      </w:tr>
      <w:tr w:rsidR="000079BE" w:rsidRPr="000079BE" w14:paraId="6516DE04" w14:textId="77777777" w:rsidTr="00312326">
        <w:trPr>
          <w:trHeight w:val="200"/>
        </w:trPr>
        <w:tc>
          <w:tcPr>
            <w:tcW w:w="231" w:type="pct"/>
            <w:shd w:val="clear" w:color="auto" w:fill="auto"/>
            <w:noWrap/>
            <w:vAlign w:val="center"/>
            <w:hideMark/>
          </w:tcPr>
          <w:p w14:paraId="0FFC3D0C" w14:textId="77777777" w:rsidR="000079BE" w:rsidRPr="000079BE" w:rsidRDefault="000079BE">
            <w:pPr>
              <w:jc w:val="both"/>
              <w:rPr>
                <w:sz w:val="16"/>
                <w:szCs w:val="16"/>
              </w:rPr>
            </w:pPr>
            <w:r w:rsidRPr="000079BE">
              <w:rPr>
                <w:sz w:val="16"/>
                <w:szCs w:val="16"/>
              </w:rPr>
              <w:t> </w:t>
            </w:r>
          </w:p>
        </w:tc>
        <w:tc>
          <w:tcPr>
            <w:tcW w:w="3278" w:type="pct"/>
            <w:shd w:val="clear" w:color="auto" w:fill="auto"/>
            <w:noWrap/>
            <w:vAlign w:val="center"/>
            <w:hideMark/>
          </w:tcPr>
          <w:p w14:paraId="5ABEA9F5" w14:textId="77777777" w:rsidR="000079BE" w:rsidRPr="000079BE" w:rsidRDefault="000079BE">
            <w:pPr>
              <w:rPr>
                <w:sz w:val="16"/>
                <w:szCs w:val="16"/>
              </w:rPr>
            </w:pPr>
            <w:r w:rsidRPr="000079BE">
              <w:rPr>
                <w:sz w:val="16"/>
                <w:szCs w:val="16"/>
              </w:rPr>
              <w:t> </w:t>
            </w:r>
          </w:p>
        </w:tc>
        <w:tc>
          <w:tcPr>
            <w:tcW w:w="485" w:type="pct"/>
            <w:shd w:val="clear" w:color="auto" w:fill="auto"/>
            <w:noWrap/>
            <w:vAlign w:val="center"/>
            <w:hideMark/>
          </w:tcPr>
          <w:p w14:paraId="5F8B0979" w14:textId="77777777" w:rsidR="000079BE" w:rsidRPr="000079BE" w:rsidRDefault="000079BE">
            <w:pPr>
              <w:jc w:val="right"/>
              <w:rPr>
                <w:sz w:val="16"/>
                <w:szCs w:val="16"/>
              </w:rPr>
            </w:pPr>
            <w:r w:rsidRPr="000079BE">
              <w:rPr>
                <w:sz w:val="16"/>
                <w:szCs w:val="16"/>
              </w:rPr>
              <w:t> </w:t>
            </w:r>
          </w:p>
        </w:tc>
        <w:tc>
          <w:tcPr>
            <w:tcW w:w="485" w:type="pct"/>
            <w:shd w:val="clear" w:color="auto" w:fill="auto"/>
            <w:noWrap/>
            <w:vAlign w:val="center"/>
            <w:hideMark/>
          </w:tcPr>
          <w:p w14:paraId="73F74F41" w14:textId="77777777" w:rsidR="000079BE" w:rsidRPr="000079BE" w:rsidRDefault="000079BE">
            <w:pPr>
              <w:jc w:val="right"/>
              <w:rPr>
                <w:sz w:val="16"/>
                <w:szCs w:val="16"/>
              </w:rPr>
            </w:pPr>
            <w:r w:rsidRPr="000079BE">
              <w:rPr>
                <w:sz w:val="16"/>
                <w:szCs w:val="16"/>
              </w:rPr>
              <w:t> </w:t>
            </w:r>
          </w:p>
        </w:tc>
        <w:tc>
          <w:tcPr>
            <w:tcW w:w="521" w:type="pct"/>
            <w:shd w:val="clear" w:color="auto" w:fill="auto"/>
            <w:noWrap/>
            <w:vAlign w:val="center"/>
            <w:hideMark/>
          </w:tcPr>
          <w:p w14:paraId="71A86AD2" w14:textId="77777777" w:rsidR="000079BE" w:rsidRPr="000079BE" w:rsidRDefault="000079BE">
            <w:pPr>
              <w:jc w:val="right"/>
              <w:rPr>
                <w:sz w:val="16"/>
                <w:szCs w:val="16"/>
              </w:rPr>
            </w:pPr>
            <w:r w:rsidRPr="000079BE">
              <w:rPr>
                <w:sz w:val="16"/>
                <w:szCs w:val="16"/>
              </w:rPr>
              <w:t> </w:t>
            </w:r>
          </w:p>
        </w:tc>
      </w:tr>
      <w:tr w:rsidR="000079BE" w:rsidRPr="000079BE" w14:paraId="57A6E6D6" w14:textId="77777777" w:rsidTr="000079BE">
        <w:trPr>
          <w:trHeight w:val="330"/>
        </w:trPr>
        <w:tc>
          <w:tcPr>
            <w:tcW w:w="231" w:type="pct"/>
            <w:shd w:val="clear" w:color="000000" w:fill="E6E6E6"/>
            <w:noWrap/>
            <w:vAlign w:val="center"/>
            <w:hideMark/>
          </w:tcPr>
          <w:p w14:paraId="395036AA" w14:textId="77777777" w:rsidR="000079BE" w:rsidRPr="000079BE" w:rsidRDefault="000079BE">
            <w:pPr>
              <w:jc w:val="both"/>
              <w:rPr>
                <w:b/>
                <w:bCs/>
                <w:sz w:val="16"/>
                <w:szCs w:val="16"/>
              </w:rPr>
            </w:pPr>
            <w:r w:rsidRPr="000079BE">
              <w:rPr>
                <w:b/>
                <w:bCs/>
                <w:sz w:val="16"/>
                <w:szCs w:val="16"/>
              </w:rPr>
              <w:t> </w:t>
            </w:r>
          </w:p>
        </w:tc>
        <w:tc>
          <w:tcPr>
            <w:tcW w:w="3278" w:type="pct"/>
            <w:shd w:val="clear" w:color="000000" w:fill="E6E6E6"/>
            <w:noWrap/>
            <w:vAlign w:val="center"/>
            <w:hideMark/>
          </w:tcPr>
          <w:p w14:paraId="554DF139" w14:textId="77777777" w:rsidR="000079BE" w:rsidRPr="000079BE" w:rsidRDefault="000079BE">
            <w:pPr>
              <w:rPr>
                <w:b/>
                <w:bCs/>
                <w:sz w:val="16"/>
                <w:szCs w:val="16"/>
              </w:rPr>
            </w:pPr>
            <w:r w:rsidRPr="000079BE">
              <w:rPr>
                <w:b/>
                <w:bCs/>
                <w:sz w:val="16"/>
                <w:szCs w:val="16"/>
              </w:rPr>
              <w:t>Общо разходи (І.+ІІ.+ІІІ.):</w:t>
            </w:r>
          </w:p>
        </w:tc>
        <w:tc>
          <w:tcPr>
            <w:tcW w:w="485" w:type="pct"/>
            <w:shd w:val="clear" w:color="000000" w:fill="E6E6E6"/>
            <w:noWrap/>
            <w:vAlign w:val="center"/>
            <w:hideMark/>
          </w:tcPr>
          <w:p w14:paraId="2A2BECE7" w14:textId="77777777" w:rsidR="000079BE" w:rsidRPr="000079BE" w:rsidRDefault="000079BE">
            <w:pPr>
              <w:jc w:val="right"/>
              <w:rPr>
                <w:b/>
                <w:bCs/>
                <w:sz w:val="16"/>
                <w:szCs w:val="16"/>
              </w:rPr>
            </w:pPr>
            <w:r w:rsidRPr="000079BE">
              <w:rPr>
                <w:b/>
                <w:bCs/>
                <w:sz w:val="16"/>
                <w:szCs w:val="16"/>
              </w:rPr>
              <w:t>14 832 900</w:t>
            </w:r>
          </w:p>
        </w:tc>
        <w:tc>
          <w:tcPr>
            <w:tcW w:w="485" w:type="pct"/>
            <w:shd w:val="clear" w:color="000000" w:fill="E6E6E6"/>
            <w:noWrap/>
            <w:vAlign w:val="center"/>
            <w:hideMark/>
          </w:tcPr>
          <w:p w14:paraId="722C218C" w14:textId="77777777" w:rsidR="000079BE" w:rsidRPr="000079BE" w:rsidRDefault="000079BE">
            <w:pPr>
              <w:jc w:val="right"/>
              <w:rPr>
                <w:b/>
                <w:bCs/>
                <w:sz w:val="16"/>
                <w:szCs w:val="16"/>
              </w:rPr>
            </w:pPr>
            <w:r w:rsidRPr="000079BE">
              <w:rPr>
                <w:b/>
                <w:bCs/>
                <w:sz w:val="16"/>
                <w:szCs w:val="16"/>
              </w:rPr>
              <w:t>14 730 428</w:t>
            </w:r>
          </w:p>
        </w:tc>
        <w:tc>
          <w:tcPr>
            <w:tcW w:w="521" w:type="pct"/>
            <w:shd w:val="clear" w:color="000000" w:fill="E6E6E6"/>
            <w:noWrap/>
            <w:vAlign w:val="center"/>
            <w:hideMark/>
          </w:tcPr>
          <w:p w14:paraId="220FEA94" w14:textId="77777777" w:rsidR="000079BE" w:rsidRPr="000079BE" w:rsidRDefault="000079BE">
            <w:pPr>
              <w:jc w:val="right"/>
              <w:rPr>
                <w:b/>
                <w:bCs/>
                <w:sz w:val="16"/>
                <w:szCs w:val="16"/>
              </w:rPr>
            </w:pPr>
            <w:r w:rsidRPr="000079BE">
              <w:rPr>
                <w:b/>
                <w:bCs/>
                <w:sz w:val="16"/>
                <w:szCs w:val="16"/>
              </w:rPr>
              <w:t>6 921 589</w:t>
            </w:r>
          </w:p>
        </w:tc>
      </w:tr>
      <w:tr w:rsidR="000079BE" w:rsidRPr="000079BE" w14:paraId="5EDBA0B6" w14:textId="77777777" w:rsidTr="00312326">
        <w:trPr>
          <w:trHeight w:val="222"/>
        </w:trPr>
        <w:tc>
          <w:tcPr>
            <w:tcW w:w="231" w:type="pct"/>
            <w:shd w:val="clear" w:color="auto" w:fill="auto"/>
            <w:noWrap/>
            <w:vAlign w:val="center"/>
            <w:hideMark/>
          </w:tcPr>
          <w:p w14:paraId="38F28CFD" w14:textId="77777777" w:rsidR="000079BE" w:rsidRPr="000079BE" w:rsidRDefault="000079BE">
            <w:pPr>
              <w:jc w:val="both"/>
              <w:rPr>
                <w:sz w:val="16"/>
                <w:szCs w:val="16"/>
              </w:rPr>
            </w:pPr>
            <w:r w:rsidRPr="000079BE">
              <w:rPr>
                <w:sz w:val="16"/>
                <w:szCs w:val="16"/>
              </w:rPr>
              <w:t> </w:t>
            </w:r>
          </w:p>
        </w:tc>
        <w:tc>
          <w:tcPr>
            <w:tcW w:w="3278" w:type="pct"/>
            <w:shd w:val="clear" w:color="auto" w:fill="auto"/>
            <w:noWrap/>
            <w:vAlign w:val="center"/>
            <w:hideMark/>
          </w:tcPr>
          <w:p w14:paraId="4C17994E" w14:textId="77777777" w:rsidR="000079BE" w:rsidRPr="000079BE" w:rsidRDefault="000079BE">
            <w:pPr>
              <w:rPr>
                <w:sz w:val="16"/>
                <w:szCs w:val="16"/>
              </w:rPr>
            </w:pPr>
            <w:r w:rsidRPr="000079BE">
              <w:rPr>
                <w:sz w:val="16"/>
                <w:szCs w:val="16"/>
              </w:rPr>
              <w:t>Численост на щатния персонал</w:t>
            </w:r>
          </w:p>
        </w:tc>
        <w:tc>
          <w:tcPr>
            <w:tcW w:w="485" w:type="pct"/>
            <w:shd w:val="clear" w:color="auto" w:fill="auto"/>
            <w:noWrap/>
            <w:vAlign w:val="center"/>
            <w:hideMark/>
          </w:tcPr>
          <w:p w14:paraId="4061258B" w14:textId="77777777" w:rsidR="000079BE" w:rsidRPr="000079BE" w:rsidRDefault="000079BE">
            <w:pPr>
              <w:jc w:val="right"/>
              <w:rPr>
                <w:sz w:val="16"/>
                <w:szCs w:val="16"/>
              </w:rPr>
            </w:pPr>
            <w:r w:rsidRPr="000079BE">
              <w:rPr>
                <w:sz w:val="16"/>
                <w:szCs w:val="16"/>
              </w:rPr>
              <w:t>169</w:t>
            </w:r>
          </w:p>
        </w:tc>
        <w:tc>
          <w:tcPr>
            <w:tcW w:w="485" w:type="pct"/>
            <w:shd w:val="clear" w:color="auto" w:fill="auto"/>
            <w:noWrap/>
            <w:vAlign w:val="center"/>
            <w:hideMark/>
          </w:tcPr>
          <w:p w14:paraId="69EA2806" w14:textId="77777777" w:rsidR="000079BE" w:rsidRPr="000079BE" w:rsidRDefault="000079BE">
            <w:pPr>
              <w:jc w:val="right"/>
              <w:rPr>
                <w:sz w:val="16"/>
                <w:szCs w:val="16"/>
              </w:rPr>
            </w:pPr>
            <w:r w:rsidRPr="000079BE">
              <w:rPr>
                <w:sz w:val="16"/>
                <w:szCs w:val="16"/>
              </w:rPr>
              <w:t>169</w:t>
            </w:r>
          </w:p>
        </w:tc>
        <w:tc>
          <w:tcPr>
            <w:tcW w:w="521" w:type="pct"/>
            <w:shd w:val="clear" w:color="auto" w:fill="auto"/>
            <w:noWrap/>
            <w:vAlign w:val="center"/>
            <w:hideMark/>
          </w:tcPr>
          <w:p w14:paraId="570E68E9" w14:textId="77777777" w:rsidR="000079BE" w:rsidRPr="000079BE" w:rsidRDefault="000079BE">
            <w:pPr>
              <w:jc w:val="right"/>
              <w:rPr>
                <w:sz w:val="16"/>
                <w:szCs w:val="16"/>
              </w:rPr>
            </w:pPr>
            <w:r w:rsidRPr="000079BE">
              <w:rPr>
                <w:sz w:val="16"/>
                <w:szCs w:val="16"/>
              </w:rPr>
              <w:t>158</w:t>
            </w:r>
          </w:p>
        </w:tc>
      </w:tr>
    </w:tbl>
    <w:p w14:paraId="1699C56D" w14:textId="77777777" w:rsidR="00BE135A" w:rsidRPr="00BF287D" w:rsidRDefault="00BE135A" w:rsidP="00230394">
      <w:pPr>
        <w:pStyle w:val="BodyText2"/>
        <w:shd w:val="clear" w:color="auto" w:fill="FFFFFF" w:themeFill="background1"/>
        <w:spacing w:before="240" w:after="0" w:line="240" w:lineRule="auto"/>
        <w:ind w:firstLine="426"/>
        <w:rPr>
          <w:b/>
          <w:bCs/>
          <w:iCs/>
          <w:color w:val="215E99" w:themeColor="text2" w:themeTint="BF"/>
          <w:sz w:val="22"/>
          <w:szCs w:val="22"/>
          <w:lang w:eastAsia="en-US"/>
        </w:rPr>
      </w:pPr>
      <w:r w:rsidRPr="00BF287D">
        <w:rPr>
          <w:b/>
          <w:bCs/>
          <w:iCs/>
          <w:color w:val="215E99" w:themeColor="text2" w:themeTint="BF"/>
          <w:sz w:val="22"/>
          <w:szCs w:val="22"/>
          <w:lang w:eastAsia="en-US"/>
        </w:rPr>
        <w:t>Отговорност за изпълнението на програмата</w:t>
      </w:r>
    </w:p>
    <w:p w14:paraId="6A581DF1" w14:textId="00075E08" w:rsidR="00570EC1" w:rsidRPr="00F53CFC" w:rsidRDefault="00570EC1" w:rsidP="00230394">
      <w:pPr>
        <w:shd w:val="clear" w:color="auto" w:fill="FFFFFF" w:themeFill="background1"/>
        <w:spacing w:after="240"/>
        <w:ind w:firstLine="426"/>
        <w:jc w:val="both"/>
        <w:rPr>
          <w:b/>
          <w:i/>
          <w:sz w:val="22"/>
          <w:szCs w:val="22"/>
        </w:rPr>
      </w:pPr>
      <w:r>
        <w:rPr>
          <w:sz w:val="22"/>
          <w:szCs w:val="22"/>
        </w:rPr>
        <w:t xml:space="preserve">Отговорността е на </w:t>
      </w:r>
      <w:r w:rsidRPr="00F53CFC">
        <w:rPr>
          <w:sz w:val="22"/>
          <w:szCs w:val="22"/>
        </w:rPr>
        <w:t>Дирекция „Бюджет и финанси”, дирекция „Правителствена канцелария”, дирекция „Адми</w:t>
      </w:r>
      <w:r>
        <w:rPr>
          <w:sz w:val="22"/>
          <w:szCs w:val="22"/>
        </w:rPr>
        <w:t>нистративно и правно обслужване</w:t>
      </w:r>
      <w:r w:rsidRPr="00F53CFC">
        <w:rPr>
          <w:sz w:val="22"/>
          <w:szCs w:val="22"/>
        </w:rPr>
        <w:t>”, дирекция</w:t>
      </w:r>
      <w:r>
        <w:rPr>
          <w:sz w:val="22"/>
          <w:szCs w:val="22"/>
        </w:rPr>
        <w:t xml:space="preserve"> „У</w:t>
      </w:r>
      <w:r w:rsidRPr="00F53CFC">
        <w:rPr>
          <w:sz w:val="22"/>
          <w:szCs w:val="22"/>
        </w:rPr>
        <w:t>правление на собствеността</w:t>
      </w:r>
      <w:r>
        <w:rPr>
          <w:sz w:val="22"/>
          <w:szCs w:val="22"/>
        </w:rPr>
        <w:t>“,</w:t>
      </w:r>
      <w:r w:rsidRPr="00F53CFC">
        <w:rPr>
          <w:sz w:val="22"/>
          <w:szCs w:val="22"/>
        </w:rPr>
        <w:t xml:space="preserve"> дирекция „Информационни и комуникационни технологии“, отдел „</w:t>
      </w:r>
      <w:r>
        <w:rPr>
          <w:sz w:val="22"/>
          <w:szCs w:val="22"/>
        </w:rPr>
        <w:t>Р</w:t>
      </w:r>
      <w:r w:rsidRPr="00F53CFC">
        <w:rPr>
          <w:sz w:val="22"/>
          <w:szCs w:val="22"/>
        </w:rPr>
        <w:t xml:space="preserve">егионална координация“, отдел „Човешки ресурси”, финансов контрольор и Звеното за вътрешен одит. </w:t>
      </w:r>
    </w:p>
    <w:p w14:paraId="5C423C92" w14:textId="77777777" w:rsidR="002F5625" w:rsidRPr="00667B09" w:rsidRDefault="009E2D8B" w:rsidP="00FE5CDF">
      <w:pPr>
        <w:pStyle w:val="Heading1"/>
      </w:pPr>
      <w:r w:rsidRPr="00667B09">
        <w:t>9</w:t>
      </w:r>
      <w:r w:rsidR="002F5625" w:rsidRPr="00667B09">
        <w:t xml:space="preserve">.8 Бюджетна програма </w:t>
      </w:r>
      <w:r w:rsidR="002D0C96" w:rsidRPr="00667B09">
        <w:t>0300.</w:t>
      </w:r>
      <w:r w:rsidR="0093143B" w:rsidRPr="00667B09">
        <w:t>0</w:t>
      </w:r>
      <w:r w:rsidR="00D96B81" w:rsidRPr="00667B09">
        <w:t>7</w:t>
      </w:r>
      <w:r w:rsidR="002D0C96" w:rsidRPr="00667B09">
        <w:t>.0</w:t>
      </w:r>
      <w:r w:rsidR="005A282D" w:rsidRPr="00667B09">
        <w:t>1</w:t>
      </w:r>
      <w:r w:rsidR="002D0C96" w:rsidRPr="00667B09">
        <w:t xml:space="preserve"> </w:t>
      </w:r>
      <w:r w:rsidR="002F5625" w:rsidRPr="00667B09">
        <w:t>“Други дейности и услуги”</w:t>
      </w:r>
    </w:p>
    <w:p w14:paraId="741A975C" w14:textId="77777777" w:rsidR="002F5625" w:rsidRPr="006124AD" w:rsidRDefault="002F5625" w:rsidP="00230394">
      <w:pPr>
        <w:widowControl w:val="0"/>
        <w:shd w:val="clear" w:color="auto" w:fill="FFFFFF" w:themeFill="background1"/>
        <w:tabs>
          <w:tab w:val="left" w:pos="426"/>
        </w:tabs>
        <w:ind w:firstLine="425"/>
        <w:jc w:val="both"/>
        <w:outlineLvl w:val="3"/>
        <w:rPr>
          <w:b/>
          <w:bCs/>
          <w:iCs/>
          <w:color w:val="215E99" w:themeColor="text2" w:themeTint="BF"/>
          <w:sz w:val="22"/>
          <w:szCs w:val="22"/>
          <w:lang w:eastAsia="en-US"/>
        </w:rPr>
      </w:pPr>
      <w:r w:rsidRPr="006124AD">
        <w:rPr>
          <w:b/>
          <w:bCs/>
          <w:iCs/>
          <w:color w:val="215E99" w:themeColor="text2" w:themeTint="BF"/>
          <w:sz w:val="22"/>
          <w:szCs w:val="22"/>
          <w:lang w:eastAsia="en-US"/>
        </w:rPr>
        <w:t>Описание на степента на изпълнение на заложените в програмата цели:</w:t>
      </w:r>
    </w:p>
    <w:p w14:paraId="5F9E90A1" w14:textId="77777777" w:rsidR="00D03653" w:rsidRPr="00667B09" w:rsidRDefault="00D03653" w:rsidP="00230394">
      <w:pPr>
        <w:shd w:val="clear" w:color="auto" w:fill="FFFFFF" w:themeFill="background1"/>
        <w:ind w:firstLine="426"/>
        <w:jc w:val="both"/>
        <w:rPr>
          <w:bCs/>
          <w:sz w:val="22"/>
          <w:szCs w:val="22"/>
        </w:rPr>
      </w:pPr>
      <w:r w:rsidRPr="00667B09">
        <w:rPr>
          <w:bCs/>
          <w:sz w:val="22"/>
          <w:szCs w:val="22"/>
        </w:rPr>
        <w:t>Основните цели на програмата са:</w:t>
      </w:r>
    </w:p>
    <w:p w14:paraId="611F5258" w14:textId="77777777" w:rsidR="001F109F" w:rsidRPr="00667B09" w:rsidRDefault="001F109F" w:rsidP="00230394">
      <w:pPr>
        <w:numPr>
          <w:ilvl w:val="0"/>
          <w:numId w:val="9"/>
        </w:numPr>
        <w:shd w:val="clear" w:color="auto" w:fill="FFFFFF" w:themeFill="background1"/>
        <w:ind w:firstLine="66"/>
        <w:jc w:val="both"/>
        <w:rPr>
          <w:bCs/>
          <w:sz w:val="22"/>
          <w:szCs w:val="22"/>
        </w:rPr>
      </w:pPr>
      <w:r w:rsidRPr="00667B09">
        <w:rPr>
          <w:bCs/>
          <w:sz w:val="22"/>
          <w:szCs w:val="22"/>
        </w:rPr>
        <w:t>Ефективна борба с трафика на хора и с противообществените прояви на малолетните и непълнолетните.</w:t>
      </w:r>
    </w:p>
    <w:p w14:paraId="09A6DC5A" w14:textId="77777777" w:rsidR="002712A6" w:rsidRPr="00667B09" w:rsidRDefault="002712A6" w:rsidP="00230394">
      <w:pPr>
        <w:numPr>
          <w:ilvl w:val="0"/>
          <w:numId w:val="9"/>
        </w:numPr>
        <w:shd w:val="clear" w:color="auto" w:fill="FFFFFF" w:themeFill="background1"/>
        <w:ind w:firstLine="66"/>
        <w:jc w:val="both"/>
        <w:rPr>
          <w:bCs/>
          <w:sz w:val="22"/>
          <w:szCs w:val="22"/>
        </w:rPr>
      </w:pPr>
      <w:r w:rsidRPr="00667B09">
        <w:rPr>
          <w:bCs/>
          <w:sz w:val="22"/>
          <w:szCs w:val="22"/>
        </w:rPr>
        <w:t>Повишаване квалификацията на ръководните кадри и експертите в централната и териториалните администрации за ефективна и ефикасна работа</w:t>
      </w:r>
      <w:r w:rsidR="002F68A6" w:rsidRPr="00667B09">
        <w:rPr>
          <w:bCs/>
          <w:sz w:val="22"/>
          <w:szCs w:val="22"/>
        </w:rPr>
        <w:t>.</w:t>
      </w:r>
    </w:p>
    <w:p w14:paraId="61602F20" w14:textId="77777777" w:rsidR="002712A6" w:rsidRPr="00667B09" w:rsidRDefault="002712A6" w:rsidP="00230394">
      <w:pPr>
        <w:numPr>
          <w:ilvl w:val="0"/>
          <w:numId w:val="9"/>
        </w:numPr>
        <w:shd w:val="clear" w:color="auto" w:fill="FFFFFF" w:themeFill="background1"/>
        <w:ind w:firstLine="66"/>
        <w:jc w:val="both"/>
        <w:rPr>
          <w:bCs/>
          <w:sz w:val="22"/>
          <w:szCs w:val="22"/>
        </w:rPr>
      </w:pPr>
      <w:r w:rsidRPr="00667B09">
        <w:rPr>
          <w:bCs/>
          <w:sz w:val="22"/>
          <w:szCs w:val="22"/>
        </w:rPr>
        <w:lastRenderedPageBreak/>
        <w:t>Ефективно управление на обектите, предназначени за представителни и социални нужди, качествено обслужване и повишаване на конкурентоспособността чрез разширяване на предлаганите услуги</w:t>
      </w:r>
      <w:r w:rsidR="002F68A6" w:rsidRPr="00667B09">
        <w:rPr>
          <w:bCs/>
          <w:sz w:val="22"/>
          <w:szCs w:val="22"/>
        </w:rPr>
        <w:t>.</w:t>
      </w:r>
    </w:p>
    <w:p w14:paraId="41FCD4F0" w14:textId="77777777" w:rsidR="00B55B61" w:rsidRPr="00667B09" w:rsidRDefault="00CF4C53" w:rsidP="00230394">
      <w:pPr>
        <w:numPr>
          <w:ilvl w:val="0"/>
          <w:numId w:val="9"/>
        </w:numPr>
        <w:shd w:val="clear" w:color="auto" w:fill="FFFFFF" w:themeFill="background1"/>
        <w:spacing w:after="120"/>
        <w:ind w:firstLine="66"/>
        <w:jc w:val="both"/>
        <w:rPr>
          <w:bCs/>
          <w:sz w:val="22"/>
          <w:szCs w:val="22"/>
        </w:rPr>
      </w:pPr>
      <w:r w:rsidRPr="00667B09">
        <w:rPr>
          <w:bCs/>
          <w:sz w:val="22"/>
          <w:szCs w:val="22"/>
        </w:rPr>
        <w:t>Ръководство, координиране и контрол на политиката за повишаване на безопасността на движението по пътищата.</w:t>
      </w:r>
    </w:p>
    <w:p w14:paraId="5DBF6BC2" w14:textId="2C99AAE1" w:rsidR="002F5625" w:rsidRPr="00D91CDB" w:rsidRDefault="002F5625" w:rsidP="00835CE0">
      <w:pPr>
        <w:pStyle w:val="ListParagraph"/>
        <w:widowControl w:val="0"/>
        <w:shd w:val="clear" w:color="auto" w:fill="FFFFFF" w:themeFill="background1"/>
        <w:spacing w:before="120"/>
        <w:ind w:left="425"/>
        <w:jc w:val="both"/>
        <w:outlineLvl w:val="3"/>
        <w:rPr>
          <w:b/>
          <w:bCs/>
          <w:color w:val="215E99" w:themeColor="text2" w:themeTint="BF"/>
          <w:sz w:val="22"/>
          <w:szCs w:val="22"/>
        </w:rPr>
      </w:pPr>
      <w:r w:rsidRPr="00D91CDB">
        <w:rPr>
          <w:b/>
          <w:bCs/>
          <w:color w:val="215E99" w:themeColor="text2" w:themeTint="BF"/>
          <w:sz w:val="22"/>
          <w:szCs w:val="22"/>
        </w:rPr>
        <w:t>Продукти/услуги предоставяни по програмата</w:t>
      </w:r>
    </w:p>
    <w:p w14:paraId="1395DAFB" w14:textId="6BFD100E" w:rsidR="006C4F9E" w:rsidRPr="00D91CDB" w:rsidRDefault="00E807B4" w:rsidP="00D91CDB">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D91CDB">
        <w:rPr>
          <w:b/>
          <w:bCs/>
          <w:i/>
          <w:iCs/>
          <w:color w:val="215E99" w:themeColor="text2" w:themeTint="BF"/>
          <w:sz w:val="22"/>
          <w:szCs w:val="22"/>
        </w:rPr>
        <w:t>Борба с трафика на хора</w:t>
      </w:r>
    </w:p>
    <w:p w14:paraId="76FE7911" w14:textId="77777777" w:rsidR="006C4F9E" w:rsidRPr="00667B09" w:rsidRDefault="006C4F9E" w:rsidP="00D91CDB">
      <w:pPr>
        <w:shd w:val="clear" w:color="auto" w:fill="FFFFFF" w:themeFill="background1"/>
        <w:ind w:firstLine="426"/>
        <w:jc w:val="both"/>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22060EA5" w14:textId="6F8EFD3D" w:rsidR="0091463D" w:rsidRPr="008B5818" w:rsidRDefault="0091463D" w:rsidP="00D91CDB">
      <w:pPr>
        <w:shd w:val="clear" w:color="auto" w:fill="FFFFFF" w:themeFill="background1"/>
        <w:ind w:firstLine="426"/>
        <w:jc w:val="both"/>
        <w:rPr>
          <w:sz w:val="22"/>
          <w:szCs w:val="22"/>
        </w:rPr>
      </w:pPr>
      <w:r w:rsidRPr="008B5818">
        <w:rPr>
          <w:sz w:val="22"/>
          <w:szCs w:val="22"/>
        </w:rPr>
        <w:t xml:space="preserve">Националната политика за борба с трафика на хора и защита на жертвите е регламентирана в </w:t>
      </w:r>
      <w:r w:rsidRPr="008B5818">
        <w:rPr>
          <w:i/>
          <w:sz w:val="22"/>
          <w:szCs w:val="22"/>
        </w:rPr>
        <w:t xml:space="preserve">Закона за борба с трафика на хора (ЗБТХ). </w:t>
      </w:r>
      <w:r w:rsidRPr="008B5818">
        <w:rPr>
          <w:sz w:val="22"/>
          <w:szCs w:val="22"/>
        </w:rPr>
        <w:t xml:space="preserve">На основание чл. 4 от закона и във връзка с неговото прилагане и изпълнение, през 2004 г. е създадена </w:t>
      </w:r>
      <w:r w:rsidRPr="008B5818">
        <w:rPr>
          <w:bCs/>
          <w:i/>
          <w:sz w:val="22"/>
          <w:szCs w:val="22"/>
        </w:rPr>
        <w:t>Националната комисия за борба с трафика на хора (НКБТХ)</w:t>
      </w:r>
      <w:r w:rsidRPr="008B5818">
        <w:rPr>
          <w:sz w:val="22"/>
          <w:szCs w:val="22"/>
        </w:rPr>
        <w:t xml:space="preserve">, която е колективна държавна структура към Министерския съвет на Р България, председателствана от заместник министър-председател. </w:t>
      </w:r>
      <w:bookmarkStart w:id="79" w:name="_Hlk206163506"/>
      <w:r w:rsidRPr="008B5818">
        <w:rPr>
          <w:sz w:val="22"/>
          <w:szCs w:val="22"/>
        </w:rPr>
        <w:t xml:space="preserve">Комисията организира и координира взаимодействието между отделните ведомства и организации по прилагането на ЗБТХ. Работи за предотвратяване на трафика на хора и за защита, възстановяване и реинтеграция на жертвите на трафик. </w:t>
      </w:r>
    </w:p>
    <w:p w14:paraId="5D6C8FB4" w14:textId="6FBBFE48" w:rsidR="0091463D" w:rsidRPr="008B5818" w:rsidRDefault="0091463D" w:rsidP="00D91CDB">
      <w:pPr>
        <w:shd w:val="clear" w:color="auto" w:fill="FFFFFF" w:themeFill="background1"/>
        <w:ind w:firstLine="426"/>
        <w:jc w:val="both"/>
        <w:rPr>
          <w:sz w:val="22"/>
          <w:szCs w:val="22"/>
        </w:rPr>
      </w:pPr>
      <w:r w:rsidRPr="008B5818">
        <w:rPr>
          <w:sz w:val="22"/>
          <w:szCs w:val="22"/>
        </w:rPr>
        <w:t xml:space="preserve">Работата на Националната комисия се изпълнява посредством нейната администрация, която има две основни роли – от една страна е еквивалентен механизъм на национален докладчик по въпросите на трафика на хора, по линия на ангажиментите на държавата ни към всички международни инструменти, по които е страна, от друга – координира Националния механизъм за насочване и подкрепа на жертви на трафик на хора, приет с решение на МС през 2016 г. </w:t>
      </w:r>
    </w:p>
    <w:p w14:paraId="28D1DC56" w14:textId="77777777" w:rsidR="0091463D" w:rsidRPr="0091463D" w:rsidRDefault="0091463D" w:rsidP="00D91CDB">
      <w:pPr>
        <w:shd w:val="clear" w:color="auto" w:fill="FFFFFF" w:themeFill="background1"/>
        <w:ind w:firstLine="426"/>
        <w:jc w:val="both"/>
        <w:rPr>
          <w:sz w:val="22"/>
          <w:szCs w:val="22"/>
        </w:rPr>
      </w:pPr>
      <w:r w:rsidRPr="008B5818">
        <w:rPr>
          <w:sz w:val="22"/>
          <w:szCs w:val="22"/>
        </w:rPr>
        <w:t>Ежегодно и посредством своята администрация, НКБТХ разработва Национална програма за противодействие на трафика на хора и закрила на жертвите и Доклад за изпълнените по програмата дейности. Годишният доклад за изпълнението на Националната програма за 2024 г. и проектът на Националната програма за 2025 г. са приети на първото редовно заседание на Националната комисия на 25.06.2025 г.</w:t>
      </w:r>
      <w:bookmarkEnd w:id="79"/>
    </w:p>
    <w:p w14:paraId="784C400C" w14:textId="05A91EBD" w:rsidR="00A60F79" w:rsidRPr="00667B09" w:rsidRDefault="00A60F79" w:rsidP="00D91CDB">
      <w:pPr>
        <w:shd w:val="clear" w:color="auto" w:fill="FFFFFF" w:themeFill="background1"/>
        <w:ind w:firstLine="426"/>
        <w:jc w:val="both"/>
        <w:rPr>
          <w:b/>
          <w:sz w:val="22"/>
          <w:szCs w:val="22"/>
          <w:lang w:eastAsia="en-US"/>
        </w:rPr>
      </w:pPr>
      <w:r w:rsidRPr="00667B09">
        <w:rPr>
          <w:b/>
          <w:sz w:val="22"/>
          <w:szCs w:val="22"/>
          <w:lang w:eastAsia="en-US"/>
        </w:rPr>
        <w:t>Дейности за предоставяне на продукта (услугата)</w:t>
      </w:r>
      <w:r>
        <w:rPr>
          <w:b/>
          <w:sz w:val="22"/>
          <w:szCs w:val="22"/>
          <w:lang w:eastAsia="en-US"/>
        </w:rPr>
        <w:t>:</w:t>
      </w:r>
    </w:p>
    <w:p w14:paraId="21B0D4AB" w14:textId="77777777" w:rsidR="00DA53DF" w:rsidRPr="00DA53DF" w:rsidRDefault="00DA53DF" w:rsidP="00D91CDB">
      <w:pPr>
        <w:pStyle w:val="ListParagraph"/>
        <w:numPr>
          <w:ilvl w:val="0"/>
          <w:numId w:val="52"/>
        </w:numPr>
        <w:shd w:val="clear" w:color="auto" w:fill="FFFFFF" w:themeFill="background1"/>
        <w:ind w:left="0" w:firstLine="426"/>
        <w:contextualSpacing/>
        <w:jc w:val="both"/>
        <w:rPr>
          <w:b/>
          <w:bCs/>
          <w:i/>
          <w:iCs/>
          <w:sz w:val="22"/>
          <w:szCs w:val="22"/>
          <w:lang w:bidi="my-MM"/>
        </w:rPr>
      </w:pPr>
      <w:r w:rsidRPr="00DA53DF">
        <w:rPr>
          <w:b/>
          <w:bCs/>
          <w:i/>
          <w:iCs/>
          <w:sz w:val="22"/>
          <w:szCs w:val="22"/>
          <w:lang w:bidi="my-MM"/>
        </w:rPr>
        <w:t>Изграждане на механизмите за институционална подкрепа и развиване на административните структури, предвидени в Закона за борба с трафика на хора (ЗБТХ), на национално и местно ниво и осигуряване на тяхното ефективно функциониране чрез:</w:t>
      </w:r>
    </w:p>
    <w:p w14:paraId="550CD6A2" w14:textId="77777777" w:rsidR="00DA53DF" w:rsidRPr="00102C51" w:rsidRDefault="00DA53DF" w:rsidP="00D91CDB">
      <w:pPr>
        <w:pStyle w:val="ListParagraph"/>
        <w:numPr>
          <w:ilvl w:val="0"/>
          <w:numId w:val="51"/>
        </w:numPr>
        <w:shd w:val="clear" w:color="auto" w:fill="FFFFFF" w:themeFill="background1"/>
        <w:ind w:left="0" w:firstLine="360"/>
        <w:contextualSpacing/>
        <w:jc w:val="both"/>
        <w:rPr>
          <w:bCs/>
          <w:sz w:val="22"/>
          <w:szCs w:val="22"/>
          <w:lang w:bidi="my-MM"/>
        </w:rPr>
      </w:pPr>
      <w:r w:rsidRPr="00102C51">
        <w:rPr>
          <w:b/>
          <w:bCs/>
          <w:sz w:val="22"/>
          <w:szCs w:val="22"/>
          <w:lang w:bidi="my-MM"/>
        </w:rPr>
        <w:t>Администрация на НКБТХ,</w:t>
      </w:r>
      <w:r w:rsidRPr="00102C51">
        <w:rPr>
          <w:bCs/>
          <w:sz w:val="22"/>
          <w:szCs w:val="22"/>
          <w:lang w:bidi="my-MM"/>
        </w:rPr>
        <w:t xml:space="preserve"> включваща към 30.06.2025 г. 11 щатни бройки, в това число и секретаря на НКБТХ. Заетите към отчетния период </w:t>
      </w:r>
      <w:r w:rsidRPr="00102C51">
        <w:rPr>
          <w:bCs/>
          <w:color w:val="000000" w:themeColor="text1"/>
          <w:sz w:val="22"/>
          <w:szCs w:val="22"/>
          <w:lang w:bidi="my-MM"/>
        </w:rPr>
        <w:t>бройки са 10;</w:t>
      </w:r>
    </w:p>
    <w:p w14:paraId="6892DDF0" w14:textId="77777777" w:rsidR="00DA53DF" w:rsidRPr="001F07E9" w:rsidRDefault="00DA53DF" w:rsidP="00D91CDB">
      <w:pPr>
        <w:pStyle w:val="ListParagraph"/>
        <w:numPr>
          <w:ilvl w:val="0"/>
          <w:numId w:val="51"/>
        </w:numPr>
        <w:shd w:val="clear" w:color="auto" w:fill="FFFFFF" w:themeFill="background1"/>
        <w:ind w:left="0" w:firstLine="360"/>
        <w:contextualSpacing/>
        <w:jc w:val="both"/>
        <w:rPr>
          <w:sz w:val="22"/>
          <w:szCs w:val="22"/>
          <w:lang w:bidi="my-MM"/>
        </w:rPr>
      </w:pPr>
      <w:r w:rsidRPr="001F07E9">
        <w:rPr>
          <w:b/>
          <w:bCs/>
          <w:sz w:val="22"/>
          <w:szCs w:val="22"/>
          <w:lang w:bidi="my-MM"/>
        </w:rPr>
        <w:t xml:space="preserve">Местни комисии за борба с трафика на хора </w:t>
      </w:r>
      <w:r w:rsidRPr="001F07E9">
        <w:rPr>
          <w:sz w:val="22"/>
          <w:szCs w:val="22"/>
          <w:lang w:bidi="my-MM"/>
        </w:rPr>
        <w:t>(МКБТХ), които към 30.06.2025 г. са 10, към общините в Благоевград, Бургас, Варна, Велико Търново, Монтана, Пазарджик, Плевен, Пловдив, Русе и Сливен, прилагащи политиките за борба с трафика на хора, превенция и закрила на жертвите на местно ниво. В МКБТХ Плевен има новоназначен секретар, от началото на т.г.</w:t>
      </w:r>
    </w:p>
    <w:p w14:paraId="65593F44" w14:textId="77777777" w:rsidR="00DA53DF" w:rsidRPr="00102C51" w:rsidRDefault="00DA53DF" w:rsidP="00D91CDB">
      <w:pPr>
        <w:pStyle w:val="ListParagraph"/>
        <w:numPr>
          <w:ilvl w:val="0"/>
          <w:numId w:val="51"/>
        </w:numPr>
        <w:shd w:val="clear" w:color="auto" w:fill="FFFFFF" w:themeFill="background1"/>
        <w:ind w:left="0" w:firstLine="360"/>
        <w:contextualSpacing/>
        <w:jc w:val="both"/>
        <w:rPr>
          <w:sz w:val="22"/>
          <w:szCs w:val="22"/>
          <w:lang w:bidi="my-MM"/>
        </w:rPr>
      </w:pPr>
      <w:r w:rsidRPr="008E6620">
        <w:rPr>
          <w:b/>
          <w:bCs/>
          <w:sz w:val="22"/>
          <w:szCs w:val="22"/>
          <w:lang w:bidi="my-MM"/>
        </w:rPr>
        <w:t>Постоянна експертна работна група</w:t>
      </w:r>
      <w:r w:rsidRPr="008E6620">
        <w:rPr>
          <w:sz w:val="22"/>
          <w:szCs w:val="22"/>
          <w:lang w:bidi="my-MM"/>
        </w:rPr>
        <w:t xml:space="preserve"> (ПРГ)</w:t>
      </w:r>
      <w:r w:rsidRPr="00102C51">
        <w:rPr>
          <w:sz w:val="22"/>
          <w:szCs w:val="22"/>
          <w:lang w:bidi="my-MM"/>
        </w:rPr>
        <w:t xml:space="preserve"> към НКБТХ, съставена от експерти от всички представени институции-членки на комисията, както и специалисти от НПО и международни организации. ПРГ подпомага работата на комисията чрез изготвянето на стратегически документи и предложения във връзка политиките за борба с трафика на хора, включително служи като инструмент за мониторинг на дейността по Националната програма. </w:t>
      </w:r>
    </w:p>
    <w:p w14:paraId="2BDCEFF1" w14:textId="77777777" w:rsidR="00DA53DF" w:rsidRPr="00102C51" w:rsidRDefault="00DA53DF" w:rsidP="00D91CDB">
      <w:pPr>
        <w:pStyle w:val="ListParagraph"/>
        <w:numPr>
          <w:ilvl w:val="0"/>
          <w:numId w:val="51"/>
        </w:numPr>
        <w:shd w:val="clear" w:color="auto" w:fill="FFFFFF" w:themeFill="background1"/>
        <w:ind w:left="0" w:firstLine="360"/>
        <w:contextualSpacing/>
        <w:jc w:val="both"/>
        <w:rPr>
          <w:sz w:val="22"/>
          <w:szCs w:val="22"/>
          <w:lang w:bidi="my-MM"/>
        </w:rPr>
      </w:pPr>
      <w:r w:rsidRPr="008E6620">
        <w:rPr>
          <w:b/>
          <w:bCs/>
          <w:sz w:val="22"/>
          <w:szCs w:val="22"/>
          <w:lang w:bidi="my-MM"/>
        </w:rPr>
        <w:t>Междуинституционален координационен екип</w:t>
      </w:r>
      <w:r w:rsidRPr="008E6620">
        <w:rPr>
          <w:sz w:val="22"/>
          <w:szCs w:val="22"/>
          <w:lang w:bidi="my-MM"/>
        </w:rPr>
        <w:t xml:space="preserve"> (МКЕ)</w:t>
      </w:r>
      <w:r w:rsidRPr="00102C51">
        <w:rPr>
          <w:sz w:val="22"/>
          <w:szCs w:val="22"/>
          <w:lang w:bidi="my-MM"/>
        </w:rPr>
        <w:t xml:space="preserve"> за сложни случаи на трафик на хора, координиран от НКБТХ. През отчетния период са проведени три спешни междуинституционални координационни срещи и една среща на МКЕ за работа по сложни случаи на трафика на хора.</w:t>
      </w:r>
    </w:p>
    <w:p w14:paraId="55EDBB07" w14:textId="77777777" w:rsidR="00DA53DF" w:rsidRPr="00102C51" w:rsidRDefault="00DA53DF" w:rsidP="00D91CDB">
      <w:pPr>
        <w:pStyle w:val="ListParagraph"/>
        <w:numPr>
          <w:ilvl w:val="0"/>
          <w:numId w:val="51"/>
        </w:numPr>
        <w:shd w:val="clear" w:color="auto" w:fill="FFFFFF" w:themeFill="background1"/>
        <w:ind w:left="0" w:firstLine="360"/>
        <w:contextualSpacing/>
        <w:jc w:val="both"/>
        <w:rPr>
          <w:sz w:val="22"/>
          <w:szCs w:val="22"/>
          <w:lang w:bidi="my-MM"/>
        </w:rPr>
      </w:pPr>
      <w:r w:rsidRPr="00102C51">
        <w:rPr>
          <w:sz w:val="22"/>
          <w:szCs w:val="22"/>
          <w:lang w:bidi="my-MM"/>
        </w:rPr>
        <w:t>През юни м. т.г беше проведено първото редовно заседание на Националната комисия за борба с трафика на хора.</w:t>
      </w:r>
    </w:p>
    <w:p w14:paraId="1C2CEA84" w14:textId="77777777" w:rsidR="00DA53DF" w:rsidRPr="00102C51" w:rsidRDefault="00DA53DF" w:rsidP="00D91CDB">
      <w:pPr>
        <w:pStyle w:val="ListParagraph"/>
        <w:numPr>
          <w:ilvl w:val="0"/>
          <w:numId w:val="51"/>
        </w:numPr>
        <w:shd w:val="clear" w:color="auto" w:fill="FFFFFF" w:themeFill="background1"/>
        <w:ind w:left="0" w:firstLine="360"/>
        <w:contextualSpacing/>
        <w:jc w:val="both"/>
        <w:rPr>
          <w:sz w:val="22"/>
          <w:szCs w:val="22"/>
          <w:lang w:bidi="my-MM"/>
        </w:rPr>
      </w:pPr>
      <w:r w:rsidRPr="00102C51">
        <w:rPr>
          <w:sz w:val="22"/>
          <w:szCs w:val="22"/>
          <w:lang w:bidi="my-MM"/>
        </w:rPr>
        <w:t>Местните комисия за борба с трафика на хора са провели общо 8 заседания за първото шестмесечие на 2025 г.</w:t>
      </w:r>
    </w:p>
    <w:p w14:paraId="022D7DCF" w14:textId="77777777" w:rsidR="00DA53DF" w:rsidRPr="00102C51" w:rsidRDefault="00DA53DF" w:rsidP="00D91CDB">
      <w:pPr>
        <w:pStyle w:val="ListParagraph"/>
        <w:numPr>
          <w:ilvl w:val="0"/>
          <w:numId w:val="51"/>
        </w:numPr>
        <w:shd w:val="clear" w:color="auto" w:fill="FFFFFF" w:themeFill="background1"/>
        <w:ind w:left="0" w:firstLine="360"/>
        <w:contextualSpacing/>
        <w:jc w:val="both"/>
        <w:rPr>
          <w:sz w:val="22"/>
          <w:szCs w:val="22"/>
          <w:lang w:bidi="my-MM"/>
        </w:rPr>
      </w:pPr>
      <w:r w:rsidRPr="00102C51">
        <w:rPr>
          <w:sz w:val="22"/>
          <w:szCs w:val="22"/>
          <w:lang w:bidi="my-MM"/>
        </w:rPr>
        <w:t xml:space="preserve">Предстои да бъде сключен меморандум за сътрудничество между НКБТХ и и Дирекция „Вероизповедания“ към Министерски съвет. Още през 2013 г. администрацията на НКБТХ </w:t>
      </w:r>
      <w:r w:rsidRPr="00102C51">
        <w:rPr>
          <w:sz w:val="22"/>
          <w:szCs w:val="22"/>
          <w:lang w:bidi="my-MM"/>
        </w:rPr>
        <w:lastRenderedPageBreak/>
        <w:t xml:space="preserve">идентифицира свещенослужителите от различните монотеистични деноминации, като целева група за провеждане на събития за повишаване на капацитета по линия на идентификацията, насочването и прилагането на Националния механизъм за насочване и подкрепа на жертви на трафик – като фигури, които се ползват с доверие и имат влияние в специфични общности, особено сред тези, които са във висок риск от въвличане в трафик и експлоатация, както и по отношение на различни социални дейности, които развиват сред уязвими групи. </w:t>
      </w:r>
    </w:p>
    <w:p w14:paraId="1970C07E" w14:textId="5251BAD4" w:rsidR="0091463D" w:rsidRPr="00DA53DF" w:rsidRDefault="00DA53DF" w:rsidP="00D91CDB">
      <w:pPr>
        <w:shd w:val="clear" w:color="auto" w:fill="FFFFFF" w:themeFill="background1"/>
        <w:spacing w:after="120"/>
        <w:ind w:firstLine="425"/>
        <w:jc w:val="both"/>
        <w:rPr>
          <w:sz w:val="22"/>
          <w:szCs w:val="22"/>
        </w:rPr>
      </w:pPr>
      <w:r w:rsidRPr="00102C51">
        <w:rPr>
          <w:sz w:val="22"/>
          <w:szCs w:val="22"/>
        </w:rPr>
        <w:t>За периода януари –</w:t>
      </w:r>
      <w:r w:rsidRPr="00102C51">
        <w:rPr>
          <w:sz w:val="22"/>
          <w:szCs w:val="22"/>
          <w:lang w:val="en-US"/>
        </w:rPr>
        <w:t xml:space="preserve"> </w:t>
      </w:r>
      <w:r w:rsidRPr="00102C51">
        <w:rPr>
          <w:sz w:val="22"/>
          <w:szCs w:val="22"/>
        </w:rPr>
        <w:t>юни 2025 г. администрацията на НКБТХ и експертите от ПРГ са били в пряко взаимодействие и сътрудничество по линия на мерките и дейностите за противодействие на трафика на хора, заложени в Националната програма и други, възникнали в процеса на работа</w:t>
      </w:r>
    </w:p>
    <w:p w14:paraId="7A08EEEA" w14:textId="77777777" w:rsidR="008D5B64" w:rsidRPr="008D5B64" w:rsidRDefault="008D5B64" w:rsidP="00D91CDB">
      <w:pPr>
        <w:pStyle w:val="ListParagraph"/>
        <w:numPr>
          <w:ilvl w:val="0"/>
          <w:numId w:val="52"/>
        </w:numPr>
        <w:shd w:val="clear" w:color="auto" w:fill="FFFFFF" w:themeFill="background1"/>
        <w:ind w:left="0" w:firstLine="425"/>
        <w:contextualSpacing/>
        <w:jc w:val="both"/>
        <w:rPr>
          <w:b/>
          <w:bCs/>
          <w:i/>
          <w:iCs/>
          <w:sz w:val="22"/>
          <w:szCs w:val="22"/>
          <w:lang w:bidi="my-MM"/>
        </w:rPr>
      </w:pPr>
      <w:r w:rsidRPr="008D5B64">
        <w:rPr>
          <w:b/>
          <w:bCs/>
          <w:i/>
          <w:iCs/>
          <w:sz w:val="22"/>
          <w:szCs w:val="22"/>
          <w:lang w:bidi="my-MM"/>
        </w:rPr>
        <w:t>Повишаване на осведомеността на обществото и считаните за уязвими групи (деца, жени, представители на етническите малцинства, безработни, социално слаби, хора с увреждания и граждани на трети страни) по проблемите на трафика на хора.</w:t>
      </w:r>
    </w:p>
    <w:p w14:paraId="174305F5" w14:textId="77777777" w:rsidR="008D5B64" w:rsidRPr="00442EE0" w:rsidRDefault="008D5B64" w:rsidP="00D91CDB">
      <w:pPr>
        <w:shd w:val="clear" w:color="auto" w:fill="FFFFFF" w:themeFill="background1"/>
        <w:ind w:firstLine="426"/>
        <w:jc w:val="both"/>
        <w:rPr>
          <w:bCs/>
          <w:color w:val="000000" w:themeColor="text1"/>
          <w:sz w:val="22"/>
          <w:szCs w:val="22"/>
          <w:lang w:bidi="my-MM"/>
        </w:rPr>
      </w:pPr>
      <w:r w:rsidRPr="00442EE0">
        <w:rPr>
          <w:bCs/>
          <w:color w:val="000000" w:themeColor="text1"/>
          <w:sz w:val="22"/>
          <w:szCs w:val="22"/>
          <w:lang w:bidi="my-MM"/>
        </w:rPr>
        <w:t>Дейностите по превенция, информиране и повишаване на осведомеността, включени в Националната програма за 2025 г., са осъществени в тясно сътрудничество между администрацията на НКБТХ, институциите членове на Комисията и Постоянната работна група, в ключово партньорство с неправителствени и международни организации, работещи в областта.</w:t>
      </w:r>
    </w:p>
    <w:p w14:paraId="01483304" w14:textId="188F3513" w:rsidR="008D5B64" w:rsidRPr="00442EE0" w:rsidRDefault="008D5B64" w:rsidP="00D91CDB">
      <w:pPr>
        <w:shd w:val="clear" w:color="auto" w:fill="FFFFFF" w:themeFill="background1"/>
        <w:ind w:firstLine="426"/>
        <w:jc w:val="both"/>
        <w:rPr>
          <w:bCs/>
          <w:color w:val="000000" w:themeColor="text1"/>
          <w:sz w:val="22"/>
          <w:szCs w:val="22"/>
          <w:lang w:bidi="my-MM"/>
        </w:rPr>
      </w:pPr>
      <w:r w:rsidRPr="00442EE0">
        <w:rPr>
          <w:bCs/>
          <w:color w:val="000000" w:themeColor="text1"/>
          <w:sz w:val="22"/>
          <w:szCs w:val="22"/>
          <w:lang w:bidi="my-MM"/>
        </w:rPr>
        <w:t>За първото шестмесечие на 2025 г. администрацията на НКБТХ и местните комисии, в партньорство с институциите, членуващи в Комисията както и институциите, международните организации и НПО, членуващи в Постоянната работна група, проведоха различни дейности за повишаване на осведомеността с цел създаване на обществена нетърпимост към трафика на хора, както и фокусиране върху целенасочена превенция сред уязвимите групи, включително:</w:t>
      </w:r>
    </w:p>
    <w:p w14:paraId="49D9DDF8" w14:textId="59F34313" w:rsidR="008D5B64" w:rsidRPr="00442EE0" w:rsidRDefault="008D5B64" w:rsidP="00D91CDB">
      <w:pPr>
        <w:pStyle w:val="ListParagraph"/>
        <w:numPr>
          <w:ilvl w:val="0"/>
          <w:numId w:val="53"/>
        </w:numPr>
        <w:shd w:val="clear" w:color="auto" w:fill="FFFFFF" w:themeFill="background1"/>
        <w:ind w:left="0" w:firstLine="426"/>
        <w:contextualSpacing/>
        <w:jc w:val="both"/>
        <w:rPr>
          <w:sz w:val="22"/>
          <w:szCs w:val="22"/>
        </w:rPr>
      </w:pPr>
      <w:r w:rsidRPr="00442EE0">
        <w:rPr>
          <w:sz w:val="22"/>
          <w:szCs w:val="22"/>
        </w:rPr>
        <w:t xml:space="preserve">На </w:t>
      </w:r>
      <w:r w:rsidR="00E027BB">
        <w:rPr>
          <w:sz w:val="22"/>
          <w:szCs w:val="22"/>
          <w:lang w:val="bg-BG"/>
        </w:rPr>
        <w:t>0</w:t>
      </w:r>
      <w:r w:rsidRPr="00442EE0">
        <w:rPr>
          <w:sz w:val="22"/>
          <w:szCs w:val="22"/>
        </w:rPr>
        <w:t>6</w:t>
      </w:r>
      <w:r w:rsidR="00E027BB">
        <w:rPr>
          <w:sz w:val="22"/>
          <w:szCs w:val="22"/>
          <w:lang w:val="bg-BG"/>
        </w:rPr>
        <w:t>.02.</w:t>
      </w:r>
      <w:r w:rsidRPr="00442EE0">
        <w:rPr>
          <w:sz w:val="22"/>
          <w:szCs w:val="22"/>
        </w:rPr>
        <w:t xml:space="preserve">2025 г. Националната комисия за борба с трафика на хора (НКБТХ), в сътрудничество с международната организация „International Justice Mission“ (IJM), организира </w:t>
      </w:r>
      <w:r w:rsidRPr="00442EE0">
        <w:rPr>
          <w:b/>
          <w:sz w:val="22"/>
          <w:szCs w:val="22"/>
        </w:rPr>
        <w:t>международна конференция</w:t>
      </w:r>
      <w:r w:rsidRPr="00442EE0">
        <w:rPr>
          <w:sz w:val="22"/>
          <w:szCs w:val="22"/>
        </w:rPr>
        <w:t xml:space="preserve"> на тема: </w:t>
      </w:r>
      <w:r w:rsidRPr="00442EE0">
        <w:rPr>
          <w:bCs/>
          <w:i/>
          <w:sz w:val="22"/>
          <w:szCs w:val="22"/>
        </w:rPr>
        <w:t>„Трафик на хора: пътят на трудовата миграция – клопки и възможности за граждани на трети страни“</w:t>
      </w:r>
      <w:r w:rsidRPr="00442EE0">
        <w:rPr>
          <w:sz w:val="22"/>
          <w:szCs w:val="22"/>
        </w:rPr>
        <w:t>, която се проведе в гр. София. Конференцията беше открита от г-н Атанас Зафиров – заместник министър-председател и председател на НКБТХ. Към високото политическо и експертно ниво от българска страна, в конференцията се присъединиха също Европейският Анти-трафик координатор, изпълнителният секретар на Конвенцията на Съвета на Европа за борба с трафика на хора,</w:t>
      </w:r>
      <w:r w:rsidRPr="00442EE0">
        <w:rPr>
          <w:sz w:val="22"/>
          <w:szCs w:val="22"/>
          <w:lang w:val="en-US"/>
        </w:rPr>
        <w:t xml:space="preserve"> </w:t>
      </w:r>
      <w:r w:rsidRPr="00442EE0">
        <w:rPr>
          <w:sz w:val="22"/>
          <w:szCs w:val="22"/>
        </w:rPr>
        <w:t>специалният представител и координатор за борба с трафика на хора на Организацията за сигурност и сътрудничество в Европа (ОССЕ), ръководителят на отдел „Правоприлагане и анализ“ на Европейския орган по труда, член на парламента на Обединеното кралство и съпредседател на Общопартийната парламентарна група по въпросите на трафика на хора и съвременното робство, директорът на Националната агенция за борба с трафика на хора на Румъния и др. Общо 180 души присъстваха на място, а 100 участници се присъединиха онлайн.</w:t>
      </w:r>
    </w:p>
    <w:p w14:paraId="20C0218E" w14:textId="77777777" w:rsidR="008D5B64" w:rsidRPr="00442EE0" w:rsidRDefault="008D5B64" w:rsidP="00D91CDB">
      <w:pPr>
        <w:pStyle w:val="ListParagraph"/>
        <w:numPr>
          <w:ilvl w:val="0"/>
          <w:numId w:val="53"/>
        </w:numPr>
        <w:shd w:val="clear" w:color="auto" w:fill="FFFFFF" w:themeFill="background1"/>
        <w:ind w:left="0" w:firstLine="426"/>
        <w:contextualSpacing/>
        <w:jc w:val="both"/>
        <w:rPr>
          <w:sz w:val="22"/>
          <w:szCs w:val="22"/>
        </w:rPr>
      </w:pPr>
      <w:r w:rsidRPr="00442EE0">
        <w:rPr>
          <w:sz w:val="22"/>
          <w:szCs w:val="22"/>
        </w:rPr>
        <w:t xml:space="preserve">В рамките на конференцията, на </w:t>
      </w:r>
      <w:r w:rsidRPr="00E027BB">
        <w:rPr>
          <w:sz w:val="22"/>
          <w:szCs w:val="22"/>
        </w:rPr>
        <w:t>7 февруари</w:t>
      </w:r>
      <w:r w:rsidRPr="00442EE0">
        <w:rPr>
          <w:sz w:val="22"/>
          <w:szCs w:val="22"/>
        </w:rPr>
        <w:t xml:space="preserve">, се проведе и </w:t>
      </w:r>
      <w:r w:rsidRPr="00596B03">
        <w:rPr>
          <w:b/>
          <w:bCs/>
          <w:sz w:val="22"/>
          <w:szCs w:val="22"/>
        </w:rPr>
        <w:t>среща за обмен на опит и практики</w:t>
      </w:r>
      <w:r w:rsidRPr="00442EE0">
        <w:rPr>
          <w:sz w:val="22"/>
          <w:szCs w:val="22"/>
        </w:rPr>
        <w:t xml:space="preserve"> в областта на законодателството и обсъждането на възможности за засилване на националните политики за противодействие на трафика на хора. В срещата участваха членове на Европейския парламент и народни представители от България, изпълнителният секретар на Конвенцията на Съвета на Европа за действия срещу трафика на хора, специалният представител и координатор за борба с трафика на хора на Организацията за сигурност и сътрудничество в Европа (ОССЕ), членът на парламента на Обединеното кралство и заместник-председател на Общопартийната парламентарна група по въпросите на трафика на хора и съвременното робство, представители на парламента на Румъния, които са и членове на С</w:t>
      </w:r>
      <w:r w:rsidRPr="00E027BB">
        <w:rPr>
          <w:sz w:val="22"/>
          <w:szCs w:val="22"/>
        </w:rPr>
        <w:t>пециална</w:t>
      </w:r>
      <w:r w:rsidRPr="00442EE0">
        <w:rPr>
          <w:sz w:val="22"/>
          <w:szCs w:val="22"/>
        </w:rPr>
        <w:t>та</w:t>
      </w:r>
      <w:r w:rsidRPr="00E027BB">
        <w:rPr>
          <w:sz w:val="22"/>
          <w:szCs w:val="22"/>
        </w:rPr>
        <w:t xml:space="preserve"> парламентарна комисия за борба с трафика на хора,</w:t>
      </w:r>
      <w:r w:rsidRPr="00442EE0">
        <w:rPr>
          <w:sz w:val="22"/>
          <w:szCs w:val="22"/>
        </w:rPr>
        <w:t xml:space="preserve"> както и секретарят и експертния състав на НКБТХ, заедно с представители на организация IJM Румъния.</w:t>
      </w:r>
    </w:p>
    <w:p w14:paraId="34751AB8" w14:textId="6CCF87CD" w:rsidR="008D5B64" w:rsidRPr="00442EE0" w:rsidRDefault="008D5B64" w:rsidP="00D91CDB">
      <w:pPr>
        <w:pStyle w:val="ListParagraph"/>
        <w:numPr>
          <w:ilvl w:val="0"/>
          <w:numId w:val="53"/>
        </w:numPr>
        <w:shd w:val="clear" w:color="auto" w:fill="FFFFFF" w:themeFill="background1"/>
        <w:ind w:left="0" w:firstLine="426"/>
        <w:contextualSpacing/>
        <w:jc w:val="both"/>
        <w:rPr>
          <w:sz w:val="22"/>
          <w:szCs w:val="22"/>
        </w:rPr>
      </w:pPr>
      <w:r w:rsidRPr="00442EE0">
        <w:rPr>
          <w:sz w:val="22"/>
          <w:szCs w:val="22"/>
        </w:rPr>
        <w:t>В периода от 23</w:t>
      </w:r>
      <w:r w:rsidR="00FB1F04">
        <w:rPr>
          <w:sz w:val="22"/>
          <w:szCs w:val="22"/>
          <w:lang w:val="bg-BG"/>
        </w:rPr>
        <w:t>.02</w:t>
      </w:r>
      <w:r w:rsidRPr="00442EE0">
        <w:rPr>
          <w:sz w:val="22"/>
          <w:szCs w:val="22"/>
        </w:rPr>
        <w:t xml:space="preserve"> до </w:t>
      </w:r>
      <w:r w:rsidR="00FB1F04">
        <w:rPr>
          <w:sz w:val="22"/>
          <w:szCs w:val="22"/>
          <w:lang w:val="bg-BG"/>
        </w:rPr>
        <w:t>01.03.</w:t>
      </w:r>
      <w:r w:rsidRPr="00442EE0">
        <w:rPr>
          <w:sz w:val="22"/>
          <w:szCs w:val="22"/>
        </w:rPr>
        <w:t>2025 г. в гр. София, Националната комисия за борба с трафика на хора (НКБТХ), в партньорство с фондация „Open space“, организира „Академия за доброволци. Участие взеха над 150 деца и младежи от различни градове в страната.</w:t>
      </w:r>
    </w:p>
    <w:p w14:paraId="03ED66A5" w14:textId="77777777" w:rsidR="008D5B64" w:rsidRPr="00442EE0" w:rsidRDefault="008D5B64" w:rsidP="00D91CDB">
      <w:pPr>
        <w:pStyle w:val="ListParagraph"/>
        <w:numPr>
          <w:ilvl w:val="0"/>
          <w:numId w:val="53"/>
        </w:numPr>
        <w:shd w:val="clear" w:color="auto" w:fill="FFFFFF" w:themeFill="background1"/>
        <w:ind w:left="0" w:firstLine="426"/>
        <w:contextualSpacing/>
        <w:jc w:val="both"/>
        <w:rPr>
          <w:sz w:val="22"/>
          <w:szCs w:val="22"/>
        </w:rPr>
      </w:pPr>
      <w:r w:rsidRPr="00442EE0">
        <w:rPr>
          <w:sz w:val="22"/>
          <w:szCs w:val="22"/>
        </w:rPr>
        <w:t>Националната комисия за борба с трафика на хора (НКБТХ)</w:t>
      </w:r>
      <w:r w:rsidRPr="00596B03">
        <w:rPr>
          <w:sz w:val="22"/>
          <w:szCs w:val="22"/>
        </w:rPr>
        <w:t xml:space="preserve"> </w:t>
      </w:r>
      <w:r w:rsidRPr="00442EE0">
        <w:rPr>
          <w:sz w:val="22"/>
          <w:szCs w:val="22"/>
        </w:rPr>
        <w:t xml:space="preserve">и Европейския орган по труда (ЕОТ), проведоха събитие за взаимно обучение и обмен на информация </w:t>
      </w:r>
      <w:r w:rsidRPr="00596B03">
        <w:rPr>
          <w:i/>
          <w:iCs/>
          <w:sz w:val="22"/>
          <w:szCs w:val="22"/>
        </w:rPr>
        <w:t>„Осигуряване на безопасна трудова миграция в рамките на ЕС“</w:t>
      </w:r>
      <w:r w:rsidRPr="00442EE0">
        <w:rPr>
          <w:sz w:val="22"/>
          <w:szCs w:val="22"/>
        </w:rPr>
        <w:t xml:space="preserve">. Събитието беше насочено към повишаване на информираността на потенциалните трудови мигранти, особено сред общностите с преобладаващо ромско население в България, относно техните трудови и осигурителни права, както и рисковете, </w:t>
      </w:r>
      <w:r w:rsidRPr="00442EE0">
        <w:rPr>
          <w:sz w:val="22"/>
          <w:szCs w:val="22"/>
        </w:rPr>
        <w:lastRenderedPageBreak/>
        <w:t>свързани с трудова миграция в други държави-членки (ДЧ) на ЕС. Особено внимание беше отделено на предоставянето на предварителна информация на уязвимите групи преди заминаване на работа в чужбина. В инициативата взеха участие експерти от България, Белгия, Гърция и Испания.</w:t>
      </w:r>
    </w:p>
    <w:p w14:paraId="7A9EFDA4" w14:textId="77777777" w:rsidR="008D5B64" w:rsidRPr="00596B03" w:rsidRDefault="008D5B64" w:rsidP="00D91CDB">
      <w:pPr>
        <w:pStyle w:val="ListParagraph"/>
        <w:numPr>
          <w:ilvl w:val="0"/>
          <w:numId w:val="53"/>
        </w:numPr>
        <w:shd w:val="clear" w:color="auto" w:fill="FFFFFF" w:themeFill="background1"/>
        <w:ind w:left="0" w:firstLine="426"/>
        <w:contextualSpacing/>
        <w:jc w:val="both"/>
        <w:rPr>
          <w:sz w:val="22"/>
          <w:szCs w:val="22"/>
        </w:rPr>
      </w:pPr>
      <w:r w:rsidRPr="00596B03">
        <w:rPr>
          <w:sz w:val="22"/>
          <w:szCs w:val="22"/>
        </w:rPr>
        <w:t xml:space="preserve">НКБТХ в партньорство с А21 България стартираха </w:t>
      </w:r>
      <w:r w:rsidRPr="00596B03">
        <w:rPr>
          <w:b/>
          <w:bCs/>
          <w:sz w:val="22"/>
          <w:szCs w:val="22"/>
        </w:rPr>
        <w:t>последваща кампания</w:t>
      </w:r>
      <w:r w:rsidRPr="00596B03">
        <w:rPr>
          <w:sz w:val="22"/>
          <w:szCs w:val="22"/>
        </w:rPr>
        <w:t xml:space="preserve"> за повишаване на осведомеността, насочена към превенция на всички форми на трафик на хора, насочена към широката общественост със специален фокус върху учениците от средните училища и студентите, част от продължението на кампанията </w:t>
      </w:r>
      <w:r w:rsidRPr="00596B03">
        <w:rPr>
          <w:b/>
          <w:bCs/>
          <w:sz w:val="22"/>
          <w:szCs w:val="22"/>
        </w:rPr>
        <w:t>"Виждаш ли ме?"</w:t>
      </w:r>
      <w:r w:rsidRPr="00596B03">
        <w:rPr>
          <w:sz w:val="22"/>
          <w:szCs w:val="22"/>
        </w:rPr>
        <w:t xml:space="preserve"> Кампанията ще бъде активна до средата на лятото и включва офлайн и онлайн промоционални инструменти, информационни сесии. През отчетния период в софийското метро бяха позиционирани офлайн реклами/информационни стикери. Освен това бяха проведени поредица информационни сесии в Националната гимназия по полиграфия и фотография, София и в департамент "Изящни изкуства" към Нов български университет.</w:t>
      </w:r>
    </w:p>
    <w:p w14:paraId="76DC0F6B" w14:textId="77777777" w:rsidR="008D5B64" w:rsidRPr="00442EE0" w:rsidRDefault="008D5B64" w:rsidP="00D91CDB">
      <w:pPr>
        <w:pStyle w:val="ListParagraph"/>
        <w:numPr>
          <w:ilvl w:val="0"/>
          <w:numId w:val="53"/>
        </w:numPr>
        <w:shd w:val="clear" w:color="auto" w:fill="FFFFFF" w:themeFill="background1"/>
        <w:ind w:left="0" w:firstLine="426"/>
        <w:contextualSpacing/>
        <w:jc w:val="both"/>
        <w:rPr>
          <w:sz w:val="22"/>
          <w:szCs w:val="22"/>
        </w:rPr>
      </w:pPr>
      <w:r w:rsidRPr="00442EE0">
        <w:rPr>
          <w:sz w:val="22"/>
          <w:szCs w:val="22"/>
        </w:rPr>
        <w:t>През месец март 2025 г. беше дадено началото на подготвителната фаза по реализирането на превантивна, информационна кампания, в партньорство между администрацията на Националната комисия за борба с трафика на хора (НКБТХ), представители Националната полиция и Посолството на Кралство Нидерландия. На 4 март се проведе работна среща с участието на българските партньорски организации: Международната организация по миграция – МОМ България, А21 България, Българската асоциация по семейно планиране и сексуално здраве (БАСП) и Мрежата на здравните медиатори. Инициативата Escape Truck, която в България е именувана „Ескейп стая на колела“, е планирана за реализация през месец септември – октомври 2025 г. и цели повишаване на осведомеността сред различни уязвими групи, относно рисковете от трафик на хора, чрез иновативен, интерактивен подход, с 13 локации в 12 града в страната.</w:t>
      </w:r>
    </w:p>
    <w:p w14:paraId="3B2C4059" w14:textId="77777777" w:rsidR="008D5B64" w:rsidRPr="00596B03" w:rsidRDefault="008D5B64" w:rsidP="00D91CDB">
      <w:pPr>
        <w:pStyle w:val="ListParagraph"/>
        <w:numPr>
          <w:ilvl w:val="0"/>
          <w:numId w:val="53"/>
        </w:numPr>
        <w:shd w:val="clear" w:color="auto" w:fill="FFFFFF" w:themeFill="background1"/>
        <w:ind w:left="0" w:firstLine="426"/>
        <w:contextualSpacing/>
        <w:jc w:val="both"/>
        <w:rPr>
          <w:sz w:val="22"/>
          <w:szCs w:val="22"/>
        </w:rPr>
      </w:pPr>
      <w:r w:rsidRPr="00596B03">
        <w:rPr>
          <w:sz w:val="22"/>
          <w:szCs w:val="22"/>
        </w:rPr>
        <w:t>Администрацията на НКБТХ проведе лекции по темата за трафика на хора със студенти и ученици от различни специалности на няколко висши и средни учебни заведения в страната.</w:t>
      </w:r>
    </w:p>
    <w:p w14:paraId="35E92E59" w14:textId="77777777" w:rsidR="008D5B64" w:rsidRPr="00596B03" w:rsidRDefault="008D5B64" w:rsidP="00D91CDB">
      <w:pPr>
        <w:pStyle w:val="ListParagraph"/>
        <w:numPr>
          <w:ilvl w:val="0"/>
          <w:numId w:val="53"/>
        </w:numPr>
        <w:shd w:val="clear" w:color="auto" w:fill="FFFFFF" w:themeFill="background1"/>
        <w:ind w:left="0" w:firstLine="426"/>
        <w:contextualSpacing/>
        <w:jc w:val="both"/>
        <w:rPr>
          <w:sz w:val="22"/>
          <w:szCs w:val="22"/>
        </w:rPr>
      </w:pPr>
      <w:r w:rsidRPr="00596B03">
        <w:rPr>
          <w:sz w:val="22"/>
          <w:szCs w:val="22"/>
        </w:rPr>
        <w:t>Представители на АНКБТХ се включиха в годишните скрининги и информационни сесии, съвместно с Главна Дирекция „Гранична полиция – Аерогари“. Бяха проверени 10 самолета и бяха проведени беседи с повече от 80 пътника.</w:t>
      </w:r>
    </w:p>
    <w:p w14:paraId="24C4AC05" w14:textId="3DD812A7" w:rsidR="008D5B64" w:rsidRPr="00596B03" w:rsidRDefault="008D5B64" w:rsidP="00D91CDB">
      <w:pPr>
        <w:pStyle w:val="ListParagraph"/>
        <w:numPr>
          <w:ilvl w:val="0"/>
          <w:numId w:val="53"/>
        </w:numPr>
        <w:shd w:val="clear" w:color="auto" w:fill="FFFFFF" w:themeFill="background1"/>
        <w:ind w:left="0" w:firstLine="426"/>
        <w:contextualSpacing/>
        <w:jc w:val="both"/>
        <w:rPr>
          <w:sz w:val="22"/>
          <w:szCs w:val="22"/>
        </w:rPr>
      </w:pPr>
      <w:r w:rsidRPr="00596B03">
        <w:rPr>
          <w:sz w:val="22"/>
          <w:szCs w:val="22"/>
        </w:rPr>
        <w:t>Фондация „Кампания А21“</w:t>
      </w:r>
      <w:r w:rsidR="00596B03" w:rsidRPr="00596B03">
        <w:rPr>
          <w:sz w:val="22"/>
          <w:szCs w:val="22"/>
        </w:rPr>
        <w:t xml:space="preserve"> – </w:t>
      </w:r>
      <w:r w:rsidRPr="00596B03">
        <w:rPr>
          <w:sz w:val="22"/>
          <w:szCs w:val="22"/>
        </w:rPr>
        <w:t xml:space="preserve">България организира пролетна стажантска програма, насочена към повишаване на осведомеността и изграждане на капацитет в борбата с трафика на хора. Програмата цели ангажиране на млади хора с интерес към темата чрез предоставяне на базови знания, практически умения и възможности за включване в дейности по превенция и застъпничество. В едноседмичното въвеждащо обучение, експерти от администрацията на НКБТХ се включиха като лектори, които запознаха кандидат-стажантите с проблема „трафик на хора“, националната рамка за противодействие, ролята на различните институции и организации, както и добри практики от работата на терен. </w:t>
      </w:r>
    </w:p>
    <w:p w14:paraId="554B4CB5" w14:textId="04093D05" w:rsidR="008D5B64" w:rsidRPr="00730E90" w:rsidRDefault="008D5B64" w:rsidP="00D91CDB">
      <w:pPr>
        <w:pStyle w:val="ListParagraph"/>
        <w:numPr>
          <w:ilvl w:val="0"/>
          <w:numId w:val="53"/>
        </w:numPr>
        <w:shd w:val="clear" w:color="auto" w:fill="FFFFFF" w:themeFill="background1"/>
        <w:ind w:left="0" w:firstLine="426"/>
        <w:contextualSpacing/>
        <w:jc w:val="both"/>
        <w:rPr>
          <w:sz w:val="22"/>
          <w:szCs w:val="22"/>
        </w:rPr>
      </w:pPr>
      <w:r w:rsidRPr="00730E90">
        <w:rPr>
          <w:sz w:val="22"/>
          <w:szCs w:val="22"/>
        </w:rPr>
        <w:t>В рамките на съвместна инициатива между Фондация„Кампания А21“</w:t>
      </w:r>
      <w:r w:rsidR="00730E90">
        <w:rPr>
          <w:sz w:val="22"/>
          <w:szCs w:val="22"/>
          <w:lang w:val="bg-BG"/>
        </w:rPr>
        <w:t xml:space="preserve"> </w:t>
      </w:r>
      <w:r w:rsidR="00730E90">
        <w:rPr>
          <w:sz w:val="22"/>
          <w:szCs w:val="22"/>
        </w:rPr>
        <w:t>–</w:t>
      </w:r>
      <w:r w:rsidR="00730E90">
        <w:rPr>
          <w:sz w:val="22"/>
          <w:szCs w:val="22"/>
          <w:lang w:val="bg-BG"/>
        </w:rPr>
        <w:t xml:space="preserve"> </w:t>
      </w:r>
      <w:r w:rsidRPr="00730E90">
        <w:rPr>
          <w:sz w:val="22"/>
          <w:szCs w:val="22"/>
        </w:rPr>
        <w:t>България и Националната комисия за борба с трафика на хора (НКБТХ) беше организирана и в момента е активна, мини кампания, насочена към повишаване на осведомеността относно онлайн рисковете, свързани с трафика на хора, а акцент онлайн сексуалната злоупотреба с деца. За целите на кампанията е създаден аудиоспот, който се излъчва по Българското национално радио, както и в софийското метро, с цел достигане до широка и разнообразна публика. Аудиоспотът използва достъпен език и въздействащо послание, което приканва към бдителност и търсене на помощ при нужда. НКБТХ участва активно в кампанията чрез експертна подкрепа, координация и разпространение на посланията, в съответствие с националните приоритети в областта на превенцията на трафика на хора за 2025 г.</w:t>
      </w:r>
    </w:p>
    <w:p w14:paraId="2CFBE152" w14:textId="18F78E29" w:rsidR="008D5B64" w:rsidRPr="00442EE0" w:rsidRDefault="008D5B64" w:rsidP="00D91CDB">
      <w:pPr>
        <w:shd w:val="clear" w:color="auto" w:fill="FFFFFF" w:themeFill="background1"/>
        <w:ind w:firstLine="426"/>
        <w:jc w:val="both"/>
        <w:rPr>
          <w:bCs/>
          <w:sz w:val="22"/>
          <w:szCs w:val="22"/>
        </w:rPr>
      </w:pPr>
      <w:r w:rsidRPr="00442EE0">
        <w:rPr>
          <w:bCs/>
          <w:sz w:val="22"/>
          <w:szCs w:val="22"/>
        </w:rPr>
        <w:t>На местно ниво са проведени редица кампании и информационни сесии за превенция на рисковете от въвличане в различни форми на експлоатация, в т. ч. трафик на хора с цел сексуална експлоатация, превенция на трафика на бременни жени, с цел продажба на новороденото, рисковете в дигиталното пространство, безопасен интернет и др., насочени към уязвими групи, включващи ученици, студенти, деца, лишени от родите</w:t>
      </w:r>
      <w:r w:rsidR="00730E90">
        <w:rPr>
          <w:bCs/>
          <w:sz w:val="22"/>
          <w:szCs w:val="22"/>
        </w:rPr>
        <w:t>л</w:t>
      </w:r>
      <w:r w:rsidRPr="00442EE0">
        <w:rPr>
          <w:bCs/>
          <w:sz w:val="22"/>
          <w:szCs w:val="22"/>
        </w:rPr>
        <w:t>ска грижа, лица със специални потребности, жени, лишени от свобода, представители на ромската общност и др., в т.ч.:</w:t>
      </w:r>
    </w:p>
    <w:p w14:paraId="51EC6E18" w14:textId="77777777" w:rsidR="008D5B64" w:rsidRPr="00442EE0" w:rsidRDefault="008D5B64" w:rsidP="00D91CDB">
      <w:pPr>
        <w:pStyle w:val="ListParagraph"/>
        <w:numPr>
          <w:ilvl w:val="0"/>
          <w:numId w:val="53"/>
        </w:numPr>
        <w:shd w:val="clear" w:color="auto" w:fill="FFFFFF" w:themeFill="background1"/>
        <w:ind w:left="0" w:firstLine="426"/>
        <w:contextualSpacing/>
        <w:jc w:val="both"/>
        <w:rPr>
          <w:sz w:val="22"/>
          <w:szCs w:val="22"/>
        </w:rPr>
      </w:pPr>
      <w:r w:rsidRPr="00442EE0">
        <w:rPr>
          <w:sz w:val="22"/>
          <w:szCs w:val="22"/>
        </w:rPr>
        <w:t xml:space="preserve">В рамките на проект </w:t>
      </w:r>
      <w:r w:rsidRPr="002959D4">
        <w:rPr>
          <w:i/>
          <w:iCs/>
          <w:sz w:val="22"/>
          <w:szCs w:val="22"/>
        </w:rPr>
        <w:t>„Координиран подход за противодействие на насилието и трафика на деца в ромските общности“</w:t>
      </w:r>
      <w:r w:rsidRPr="00442EE0">
        <w:rPr>
          <w:sz w:val="22"/>
          <w:szCs w:val="22"/>
        </w:rPr>
        <w:t xml:space="preserve"> на общините Бургас, Камено, Созопол и Сунгурларе, се проведе </w:t>
      </w:r>
      <w:r w:rsidRPr="00442EE0">
        <w:rPr>
          <w:sz w:val="22"/>
          <w:szCs w:val="22"/>
        </w:rPr>
        <w:lastRenderedPageBreak/>
        <w:t>обучение на ученици от 8-11 клас на тема „Превенция на насилието и трафика на хора в младежка среда”, участници – 15 младежи.</w:t>
      </w:r>
    </w:p>
    <w:p w14:paraId="53F9BAF2" w14:textId="4B9A22D5" w:rsidR="008D5B64" w:rsidRPr="00442EE0" w:rsidRDefault="008D5B64" w:rsidP="00D91CDB">
      <w:pPr>
        <w:pStyle w:val="ListParagraph"/>
        <w:numPr>
          <w:ilvl w:val="0"/>
          <w:numId w:val="53"/>
        </w:numPr>
        <w:shd w:val="clear" w:color="auto" w:fill="FFFFFF" w:themeFill="background1"/>
        <w:ind w:left="0" w:firstLine="426"/>
        <w:contextualSpacing/>
        <w:jc w:val="both"/>
        <w:rPr>
          <w:bCs/>
          <w:color w:val="000000" w:themeColor="text1"/>
          <w:sz w:val="22"/>
          <w:szCs w:val="22"/>
          <w:lang w:bidi="my-MM"/>
        </w:rPr>
      </w:pPr>
      <w:r w:rsidRPr="00442EE0">
        <w:rPr>
          <w:bCs/>
          <w:color w:val="000000" w:themeColor="text1"/>
          <w:sz w:val="22"/>
          <w:szCs w:val="22"/>
          <w:lang w:bidi="my-MM"/>
        </w:rPr>
        <w:t xml:space="preserve">Десетте местни координатори за борба с трафика на хора взеха участие в програмата на Министерството на вътрешните работи за повишаване на осведомеността </w:t>
      </w:r>
      <w:r w:rsidRPr="00442EE0">
        <w:rPr>
          <w:b/>
          <w:bCs/>
          <w:color w:val="000000" w:themeColor="text1"/>
          <w:sz w:val="22"/>
          <w:szCs w:val="22"/>
          <w:lang w:bidi="my-MM"/>
        </w:rPr>
        <w:t>"Превенция на престъпността сред младите хора"</w:t>
      </w:r>
      <w:r w:rsidRPr="00442EE0">
        <w:rPr>
          <w:bCs/>
          <w:color w:val="000000" w:themeColor="text1"/>
          <w:sz w:val="22"/>
          <w:szCs w:val="22"/>
          <w:lang w:bidi="my-MM"/>
        </w:rPr>
        <w:t xml:space="preserve"> по теми, свързани с трафика на хора. Програмата се състоя на регионално ниво, като в нея участваха повече от 1</w:t>
      </w:r>
      <w:r w:rsidR="00BC5E06">
        <w:rPr>
          <w:bCs/>
          <w:color w:val="000000" w:themeColor="text1"/>
          <w:sz w:val="22"/>
          <w:szCs w:val="22"/>
          <w:lang w:val="bg-BG" w:bidi="my-MM"/>
        </w:rPr>
        <w:t xml:space="preserve"> </w:t>
      </w:r>
      <w:r w:rsidRPr="00442EE0">
        <w:rPr>
          <w:bCs/>
          <w:color w:val="000000" w:themeColor="text1"/>
          <w:sz w:val="22"/>
          <w:szCs w:val="22"/>
          <w:lang w:bidi="my-MM"/>
        </w:rPr>
        <w:t>700 ученици.</w:t>
      </w:r>
    </w:p>
    <w:p w14:paraId="5C5AB243" w14:textId="5C3FE554" w:rsidR="008D5B64" w:rsidRPr="00442EE0" w:rsidRDefault="008D5B64" w:rsidP="00D91CDB">
      <w:pPr>
        <w:pStyle w:val="ListParagraph"/>
        <w:numPr>
          <w:ilvl w:val="0"/>
          <w:numId w:val="53"/>
        </w:numPr>
        <w:shd w:val="clear" w:color="auto" w:fill="FFFFFF" w:themeFill="background1"/>
        <w:ind w:left="0" w:firstLine="426"/>
        <w:contextualSpacing/>
        <w:jc w:val="both"/>
        <w:rPr>
          <w:bCs/>
          <w:color w:val="000000" w:themeColor="text1"/>
          <w:sz w:val="22"/>
          <w:szCs w:val="22"/>
          <w:lang w:bidi="my-MM"/>
        </w:rPr>
      </w:pPr>
      <w:r w:rsidRPr="00442EE0">
        <w:rPr>
          <w:bCs/>
          <w:color w:val="000000" w:themeColor="text1"/>
          <w:sz w:val="22"/>
          <w:szCs w:val="22"/>
          <w:lang w:bidi="my-MM"/>
        </w:rPr>
        <w:t>МКБТХ проведоха целенасочени информационно-обучителни сесии сред ученици, като се включиха повече от 1</w:t>
      </w:r>
      <w:r w:rsidR="00BC5E06">
        <w:rPr>
          <w:bCs/>
          <w:color w:val="000000" w:themeColor="text1"/>
          <w:sz w:val="22"/>
          <w:szCs w:val="22"/>
          <w:lang w:val="bg-BG" w:bidi="my-MM"/>
        </w:rPr>
        <w:t xml:space="preserve"> </w:t>
      </w:r>
      <w:r w:rsidRPr="00442EE0">
        <w:rPr>
          <w:bCs/>
          <w:color w:val="000000" w:themeColor="text1"/>
          <w:sz w:val="22"/>
          <w:szCs w:val="22"/>
          <w:lang w:bidi="my-MM"/>
        </w:rPr>
        <w:t>200 ученика.</w:t>
      </w:r>
    </w:p>
    <w:p w14:paraId="2285623A" w14:textId="77777777" w:rsidR="008D5B64" w:rsidRPr="00442EE0" w:rsidRDefault="008D5B64" w:rsidP="00D91CDB">
      <w:pPr>
        <w:pStyle w:val="ListParagraph"/>
        <w:numPr>
          <w:ilvl w:val="0"/>
          <w:numId w:val="53"/>
        </w:numPr>
        <w:shd w:val="clear" w:color="auto" w:fill="FFFFFF" w:themeFill="background1"/>
        <w:ind w:left="0" w:firstLine="426"/>
        <w:contextualSpacing/>
        <w:jc w:val="both"/>
        <w:rPr>
          <w:bCs/>
          <w:color w:val="000000" w:themeColor="text1"/>
          <w:sz w:val="22"/>
          <w:szCs w:val="22"/>
          <w:lang w:bidi="my-MM"/>
        </w:rPr>
      </w:pPr>
      <w:r w:rsidRPr="00442EE0">
        <w:rPr>
          <w:bCs/>
          <w:color w:val="000000" w:themeColor="text1"/>
          <w:sz w:val="22"/>
          <w:szCs w:val="22"/>
          <w:lang w:bidi="my-MM"/>
        </w:rPr>
        <w:t>МКБТХ проведоха обучителни сесии за повече от 300 студенти.</w:t>
      </w:r>
    </w:p>
    <w:p w14:paraId="50A5149A" w14:textId="77777777" w:rsidR="008D5B64" w:rsidRPr="00442EE0" w:rsidRDefault="008D5B64" w:rsidP="00D91CDB">
      <w:pPr>
        <w:pStyle w:val="ListParagraph"/>
        <w:numPr>
          <w:ilvl w:val="0"/>
          <w:numId w:val="53"/>
        </w:numPr>
        <w:shd w:val="clear" w:color="auto" w:fill="FFFFFF" w:themeFill="background1"/>
        <w:ind w:left="0" w:firstLine="426"/>
        <w:contextualSpacing/>
        <w:jc w:val="both"/>
        <w:rPr>
          <w:bCs/>
          <w:color w:val="000000" w:themeColor="text1"/>
          <w:sz w:val="22"/>
          <w:szCs w:val="22"/>
          <w:lang w:bidi="my-MM"/>
        </w:rPr>
      </w:pPr>
      <w:r w:rsidRPr="00442EE0">
        <w:rPr>
          <w:bCs/>
          <w:color w:val="000000" w:themeColor="text1"/>
          <w:sz w:val="22"/>
          <w:szCs w:val="22"/>
          <w:lang w:bidi="my-MM"/>
        </w:rPr>
        <w:t>МКБТХ проведоха целенасочени превантивни дейности към лица със специални потребности, като са обхванати 43 лица със специални потребности.</w:t>
      </w:r>
    </w:p>
    <w:p w14:paraId="681D50D4" w14:textId="77777777" w:rsidR="008D5B64" w:rsidRPr="00442EE0" w:rsidRDefault="008D5B64" w:rsidP="00D91CDB">
      <w:pPr>
        <w:pStyle w:val="ListParagraph"/>
        <w:numPr>
          <w:ilvl w:val="0"/>
          <w:numId w:val="53"/>
        </w:numPr>
        <w:shd w:val="clear" w:color="auto" w:fill="FFFFFF" w:themeFill="background1"/>
        <w:ind w:left="0" w:firstLine="426"/>
        <w:contextualSpacing/>
        <w:jc w:val="both"/>
        <w:rPr>
          <w:bCs/>
          <w:color w:val="000000" w:themeColor="text1"/>
          <w:sz w:val="22"/>
          <w:szCs w:val="22"/>
          <w:lang w:bidi="my-MM"/>
        </w:rPr>
      </w:pPr>
      <w:r w:rsidRPr="00442EE0">
        <w:rPr>
          <w:bCs/>
          <w:color w:val="000000" w:themeColor="text1"/>
          <w:sz w:val="22"/>
          <w:szCs w:val="22"/>
          <w:lang w:bidi="my-MM"/>
        </w:rPr>
        <w:t>МКБТХ проведоха информационни сесии, посветени на безопасна трудова мобилност – 2 срещи с 40 лица</w:t>
      </w:r>
      <w:r w:rsidRPr="00BC5E06">
        <w:rPr>
          <w:bCs/>
          <w:color w:val="000000" w:themeColor="text1"/>
          <w:sz w:val="22"/>
          <w:szCs w:val="22"/>
          <w:lang w:bidi="my-MM"/>
        </w:rPr>
        <w:t>.</w:t>
      </w:r>
    </w:p>
    <w:p w14:paraId="3203DE85" w14:textId="77777777" w:rsidR="008D5B64" w:rsidRPr="00442EE0" w:rsidRDefault="008D5B64" w:rsidP="00D91CDB">
      <w:pPr>
        <w:pStyle w:val="ListParagraph"/>
        <w:numPr>
          <w:ilvl w:val="0"/>
          <w:numId w:val="53"/>
        </w:numPr>
        <w:shd w:val="clear" w:color="auto" w:fill="FFFFFF" w:themeFill="background1"/>
        <w:ind w:left="0" w:firstLine="426"/>
        <w:contextualSpacing/>
        <w:jc w:val="both"/>
        <w:rPr>
          <w:bCs/>
          <w:color w:val="000000" w:themeColor="text1"/>
          <w:sz w:val="22"/>
          <w:szCs w:val="22"/>
          <w:lang w:bidi="my-MM"/>
        </w:rPr>
      </w:pPr>
      <w:r w:rsidRPr="00442EE0">
        <w:rPr>
          <w:bCs/>
          <w:color w:val="000000" w:themeColor="text1"/>
          <w:sz w:val="22"/>
          <w:szCs w:val="22"/>
          <w:lang w:bidi="my-MM"/>
        </w:rPr>
        <w:t>МКБТХ организираха Фокус групи с безработни лица в неравностойно положение на пазара на труда – 33 обхванати лица</w:t>
      </w:r>
      <w:r w:rsidRPr="00BC5E06">
        <w:rPr>
          <w:bCs/>
          <w:color w:val="000000" w:themeColor="text1"/>
          <w:sz w:val="22"/>
          <w:szCs w:val="22"/>
          <w:lang w:bidi="my-MM"/>
        </w:rPr>
        <w:t>.</w:t>
      </w:r>
    </w:p>
    <w:p w14:paraId="111CF9F0" w14:textId="77777777" w:rsidR="008D5B64" w:rsidRPr="00442EE0" w:rsidRDefault="008D5B64" w:rsidP="00D91CDB">
      <w:pPr>
        <w:pStyle w:val="ListParagraph"/>
        <w:numPr>
          <w:ilvl w:val="0"/>
          <w:numId w:val="53"/>
        </w:numPr>
        <w:shd w:val="clear" w:color="auto" w:fill="FFFFFF" w:themeFill="background1"/>
        <w:ind w:left="0" w:firstLine="426"/>
        <w:contextualSpacing/>
        <w:jc w:val="both"/>
        <w:rPr>
          <w:bCs/>
          <w:color w:val="000000" w:themeColor="text1"/>
          <w:sz w:val="22"/>
          <w:szCs w:val="22"/>
          <w:lang w:bidi="my-MM"/>
        </w:rPr>
      </w:pPr>
      <w:r w:rsidRPr="00442EE0">
        <w:rPr>
          <w:bCs/>
          <w:color w:val="000000" w:themeColor="text1"/>
          <w:sz w:val="22"/>
          <w:szCs w:val="22"/>
          <w:lang w:bidi="my-MM"/>
        </w:rPr>
        <w:t>МКБТХ взеха участие в организирани трудови борси – бяха обхванати 425 кандидати, търсещи успешна професионална реализация.</w:t>
      </w:r>
    </w:p>
    <w:p w14:paraId="4F655146" w14:textId="4CF48930" w:rsidR="008D5B64" w:rsidRPr="00442EE0" w:rsidRDefault="008D5B64" w:rsidP="00D91CDB">
      <w:pPr>
        <w:pStyle w:val="ListParagraph"/>
        <w:numPr>
          <w:ilvl w:val="0"/>
          <w:numId w:val="53"/>
        </w:numPr>
        <w:shd w:val="clear" w:color="auto" w:fill="FFFFFF" w:themeFill="background1"/>
        <w:ind w:left="0" w:firstLine="426"/>
        <w:contextualSpacing/>
        <w:jc w:val="both"/>
        <w:rPr>
          <w:bCs/>
          <w:color w:val="000000" w:themeColor="text1"/>
          <w:sz w:val="22"/>
          <w:szCs w:val="22"/>
          <w:lang w:bidi="my-MM"/>
        </w:rPr>
      </w:pPr>
      <w:r w:rsidRPr="00BC5E06">
        <w:rPr>
          <w:bCs/>
          <w:color w:val="000000" w:themeColor="text1"/>
          <w:sz w:val="22"/>
          <w:szCs w:val="22"/>
          <w:lang w:bidi="my-MM"/>
        </w:rPr>
        <w:t>МКБТХ Сливен проведе целенасочени дейности по превенция на престъплението трафик на хора, с фокус обхващане на жени лишени от свобода</w:t>
      </w:r>
      <w:r w:rsidR="00BC5E06">
        <w:rPr>
          <w:bCs/>
          <w:color w:val="000000" w:themeColor="text1"/>
          <w:sz w:val="22"/>
          <w:szCs w:val="22"/>
          <w:lang w:val="bg-BG" w:bidi="my-MM"/>
        </w:rPr>
        <w:t xml:space="preserve"> </w:t>
      </w:r>
      <w:r w:rsidR="00BC5E06">
        <w:rPr>
          <w:bCs/>
          <w:color w:val="000000" w:themeColor="text1"/>
          <w:sz w:val="22"/>
          <w:szCs w:val="22"/>
          <w:lang w:bidi="my-MM"/>
        </w:rPr>
        <w:t>–</w:t>
      </w:r>
      <w:r w:rsidRPr="00BC5E06">
        <w:rPr>
          <w:bCs/>
          <w:color w:val="000000" w:themeColor="text1"/>
          <w:sz w:val="22"/>
          <w:szCs w:val="22"/>
          <w:lang w:bidi="my-MM"/>
        </w:rPr>
        <w:t xml:space="preserve"> 62 жени, лишени от свобода.</w:t>
      </w:r>
    </w:p>
    <w:p w14:paraId="7DDAC575" w14:textId="2D249E74" w:rsidR="008D5B64" w:rsidRPr="00442EE0" w:rsidRDefault="008D5B64" w:rsidP="00D91CDB">
      <w:pPr>
        <w:pStyle w:val="ListParagraph"/>
        <w:numPr>
          <w:ilvl w:val="0"/>
          <w:numId w:val="53"/>
        </w:numPr>
        <w:shd w:val="clear" w:color="auto" w:fill="FFFFFF" w:themeFill="background1"/>
        <w:ind w:left="0" w:firstLine="426"/>
        <w:contextualSpacing/>
        <w:jc w:val="both"/>
        <w:rPr>
          <w:sz w:val="22"/>
          <w:szCs w:val="22"/>
        </w:rPr>
      </w:pPr>
      <w:r w:rsidRPr="00442EE0">
        <w:rPr>
          <w:sz w:val="22"/>
          <w:szCs w:val="22"/>
        </w:rPr>
        <w:t>МКБТХ проведоха дискусионни срещи в ромска общност на тема „</w:t>
      </w:r>
      <w:r w:rsidRPr="00442EE0">
        <w:rPr>
          <w:i/>
          <w:sz w:val="22"/>
          <w:szCs w:val="22"/>
        </w:rPr>
        <w:t>Ранна бременност – деца раждат деца</w:t>
      </w:r>
      <w:r w:rsidRPr="00442EE0">
        <w:rPr>
          <w:sz w:val="22"/>
          <w:szCs w:val="22"/>
        </w:rPr>
        <w:t xml:space="preserve"> ”</w:t>
      </w:r>
      <w:r w:rsidR="00BD2433">
        <w:rPr>
          <w:sz w:val="22"/>
          <w:szCs w:val="22"/>
          <w:lang w:val="bg-BG"/>
        </w:rPr>
        <w:t xml:space="preserve"> </w:t>
      </w:r>
      <w:r w:rsidR="00BD2433">
        <w:rPr>
          <w:sz w:val="22"/>
          <w:szCs w:val="22"/>
        </w:rPr>
        <w:t>–</w:t>
      </w:r>
      <w:r w:rsidR="00BD2433">
        <w:rPr>
          <w:sz w:val="22"/>
          <w:szCs w:val="22"/>
          <w:lang w:val="bg-BG"/>
        </w:rPr>
        <w:t xml:space="preserve"> </w:t>
      </w:r>
      <w:r w:rsidRPr="00442EE0">
        <w:rPr>
          <w:sz w:val="22"/>
          <w:szCs w:val="22"/>
        </w:rPr>
        <w:t>20 младежи</w:t>
      </w:r>
      <w:r w:rsidRPr="00442EE0">
        <w:rPr>
          <w:sz w:val="22"/>
          <w:szCs w:val="22"/>
          <w:lang w:val="en-US"/>
        </w:rPr>
        <w:t>.</w:t>
      </w:r>
    </w:p>
    <w:p w14:paraId="4AAB1D43" w14:textId="77777777" w:rsidR="008D5B64" w:rsidRPr="00442EE0" w:rsidRDefault="008D5B64" w:rsidP="00D91CDB">
      <w:pPr>
        <w:pStyle w:val="ListParagraph"/>
        <w:numPr>
          <w:ilvl w:val="0"/>
          <w:numId w:val="53"/>
        </w:numPr>
        <w:shd w:val="clear" w:color="auto" w:fill="FFFFFF" w:themeFill="background1"/>
        <w:ind w:left="0" w:firstLine="426"/>
        <w:contextualSpacing/>
        <w:jc w:val="both"/>
        <w:rPr>
          <w:sz w:val="22"/>
          <w:szCs w:val="22"/>
        </w:rPr>
      </w:pPr>
      <w:r w:rsidRPr="00442EE0">
        <w:rPr>
          <w:sz w:val="22"/>
          <w:szCs w:val="22"/>
        </w:rPr>
        <w:t>МКБТХ Бургас проведе ежегодната информационна кампания за превенция на трафика на бременни жени с цел продажба на новородени - достигнати лица – 80 ученици и родители</w:t>
      </w:r>
      <w:r w:rsidRPr="00723405">
        <w:rPr>
          <w:sz w:val="22"/>
          <w:szCs w:val="22"/>
        </w:rPr>
        <w:t>.</w:t>
      </w:r>
    </w:p>
    <w:p w14:paraId="706F6A56" w14:textId="007101E4" w:rsidR="008D5B64" w:rsidRPr="00442EE0" w:rsidRDefault="008D5B64" w:rsidP="00D91CDB">
      <w:pPr>
        <w:pStyle w:val="ListParagraph"/>
        <w:numPr>
          <w:ilvl w:val="0"/>
          <w:numId w:val="53"/>
        </w:numPr>
        <w:shd w:val="clear" w:color="auto" w:fill="FFFFFF" w:themeFill="background1"/>
        <w:ind w:left="0" w:firstLine="426"/>
        <w:contextualSpacing/>
        <w:jc w:val="both"/>
        <w:rPr>
          <w:sz w:val="22"/>
          <w:szCs w:val="22"/>
        </w:rPr>
      </w:pPr>
      <w:r w:rsidRPr="00442EE0">
        <w:rPr>
          <w:sz w:val="22"/>
          <w:szCs w:val="22"/>
        </w:rPr>
        <w:t xml:space="preserve">Местната комисия за борба с трафика на хора </w:t>
      </w:r>
      <w:r w:rsidR="00723405">
        <w:rPr>
          <w:sz w:val="22"/>
          <w:szCs w:val="22"/>
        </w:rPr>
        <w:t>–</w:t>
      </w:r>
      <w:r w:rsidRPr="00442EE0">
        <w:rPr>
          <w:sz w:val="22"/>
          <w:szCs w:val="22"/>
        </w:rPr>
        <w:t xml:space="preserve"> Варна и дирекция „Превенции“ към Община Варна, съвместно с Националната комисия за борба с трафика на хора, проведоха ежегодната кампания за превенция на трафика на хора с цел трудова експлоатация „Закъде пътуваш“. Достигнати бяха 3</w:t>
      </w:r>
      <w:r w:rsidR="00723405">
        <w:rPr>
          <w:sz w:val="22"/>
          <w:szCs w:val="22"/>
          <w:lang w:val="bg-BG"/>
        </w:rPr>
        <w:t xml:space="preserve"> </w:t>
      </w:r>
      <w:r w:rsidRPr="00442EE0">
        <w:rPr>
          <w:sz w:val="22"/>
          <w:szCs w:val="22"/>
        </w:rPr>
        <w:t>110 ученици.</w:t>
      </w:r>
    </w:p>
    <w:p w14:paraId="68CB8568" w14:textId="649D8D1F" w:rsidR="008D5B64" w:rsidRPr="00442EE0" w:rsidRDefault="008D5B64" w:rsidP="00D91CDB">
      <w:pPr>
        <w:pStyle w:val="ListParagraph"/>
        <w:numPr>
          <w:ilvl w:val="0"/>
          <w:numId w:val="53"/>
        </w:numPr>
        <w:shd w:val="clear" w:color="auto" w:fill="FFFFFF" w:themeFill="background1"/>
        <w:ind w:left="0" w:firstLine="426"/>
        <w:contextualSpacing/>
        <w:jc w:val="both"/>
        <w:rPr>
          <w:i/>
          <w:sz w:val="22"/>
          <w:szCs w:val="22"/>
        </w:rPr>
      </w:pPr>
      <w:r w:rsidRPr="00442EE0">
        <w:rPr>
          <w:sz w:val="22"/>
          <w:szCs w:val="22"/>
        </w:rPr>
        <w:t xml:space="preserve">МКБТХ – Велико Търново, в сътрудничество с Национална комисия за борба с трафика на хора, Фондация „Кампания А21“ проведоха </w:t>
      </w:r>
      <w:r w:rsidRPr="00442EE0">
        <w:rPr>
          <w:i/>
          <w:sz w:val="22"/>
          <w:szCs w:val="22"/>
        </w:rPr>
        <w:t xml:space="preserve">Информационна кампания за превенция на трафика на хора, в контекста на използването на интернет за набиране, експлоатация и контрол на уязвими лица. </w:t>
      </w:r>
      <w:r w:rsidRPr="00442EE0">
        <w:rPr>
          <w:sz w:val="22"/>
          <w:szCs w:val="22"/>
        </w:rPr>
        <w:t>В рамките на инициативите са реализирани дейности с потребители на КСУ</w:t>
      </w:r>
      <w:r w:rsidR="00927188">
        <w:rPr>
          <w:sz w:val="22"/>
          <w:szCs w:val="22"/>
          <w:lang w:val="bg-BG"/>
        </w:rPr>
        <w:t xml:space="preserve"> </w:t>
      </w:r>
      <w:r w:rsidRPr="00442EE0">
        <w:rPr>
          <w:sz w:val="22"/>
          <w:szCs w:val="22"/>
        </w:rPr>
        <w:t>“Търновград“ и КЦД с.</w:t>
      </w:r>
      <w:r w:rsidR="00927188">
        <w:rPr>
          <w:sz w:val="22"/>
          <w:szCs w:val="22"/>
          <w:lang w:val="bg-BG"/>
        </w:rPr>
        <w:t xml:space="preserve"> </w:t>
      </w:r>
      <w:r w:rsidRPr="00442EE0">
        <w:rPr>
          <w:sz w:val="22"/>
          <w:szCs w:val="22"/>
        </w:rPr>
        <w:t>Балван под формата на индивидуални консултации и групови работи. В хода на превантивна работа с децата, информацията, която споделят показва, че по-голямата част от тях имат регистрация поне в три социални мрежи в интернет и са склонни да приемат покани за приятелства от непознати лица. Много от децата съобщават, че са получавали съобщения в чат приложения от хора, които не познават в реалния живот, както и това, че в някакъв момент са получавали неподходящи снимки или видео клипове със сексуално съдържание. В дискусиите участниците бяха запознати с различните форми на трафик на хора: с цел насилствена проституция, принудителен труд, държане в принудително подчинение, експлоатация с цел просия и джебчийство, отнемане на телесни органи, тъкани и клетки, трафик на бременни жени с цел продажба на новородените им.</w:t>
      </w:r>
    </w:p>
    <w:p w14:paraId="713FE1CF" w14:textId="138A6E5D" w:rsidR="008D5B64" w:rsidRPr="00927188" w:rsidRDefault="008D5B64" w:rsidP="00D91CDB">
      <w:pPr>
        <w:pStyle w:val="ListParagraph"/>
        <w:numPr>
          <w:ilvl w:val="0"/>
          <w:numId w:val="53"/>
        </w:numPr>
        <w:shd w:val="clear" w:color="auto" w:fill="FFFFFF" w:themeFill="background1"/>
        <w:ind w:left="0" w:firstLine="426"/>
        <w:contextualSpacing/>
        <w:jc w:val="both"/>
        <w:rPr>
          <w:sz w:val="22"/>
          <w:szCs w:val="22"/>
        </w:rPr>
      </w:pPr>
      <w:r w:rsidRPr="00442EE0">
        <w:rPr>
          <w:sz w:val="22"/>
          <w:szCs w:val="22"/>
        </w:rPr>
        <w:t>МКБТХ Велико Търново, НКБТХ и Фондация „Кампания А21“ организираха и проведоха дискусионна лекция и прожекция на образователни късометражни филми пред ученици от горен курс,</w:t>
      </w:r>
      <w:r w:rsidRPr="00927188">
        <w:rPr>
          <w:sz w:val="22"/>
          <w:szCs w:val="22"/>
        </w:rPr>
        <w:t xml:space="preserve"> </w:t>
      </w:r>
      <w:r w:rsidRPr="00442EE0">
        <w:rPr>
          <w:sz w:val="22"/>
          <w:szCs w:val="22"/>
        </w:rPr>
        <w:t>и</w:t>
      </w:r>
      <w:r w:rsidRPr="00927188">
        <w:rPr>
          <w:sz w:val="22"/>
          <w:szCs w:val="22"/>
        </w:rPr>
        <w:t xml:space="preserve"> </w:t>
      </w:r>
      <w:r w:rsidRPr="00442EE0">
        <w:rPr>
          <w:sz w:val="22"/>
          <w:szCs w:val="22"/>
        </w:rPr>
        <w:t>представители на различни институции, които имаха възможност да обсъдят чрез реални примери механизмите на въвличане в престъплението, хода на разследването, превантивни мерки, както и закрилата на жертвите на трафик на хора</w:t>
      </w:r>
      <w:r w:rsidRPr="00927188">
        <w:rPr>
          <w:sz w:val="22"/>
          <w:szCs w:val="22"/>
        </w:rPr>
        <w:t xml:space="preserve">. </w:t>
      </w:r>
      <w:r w:rsidRPr="00442EE0">
        <w:rPr>
          <w:sz w:val="22"/>
          <w:szCs w:val="22"/>
        </w:rPr>
        <w:t>По присъствен списък са участвали 131 души.</w:t>
      </w:r>
    </w:p>
    <w:p w14:paraId="75FFFC74" w14:textId="3EDC33CC" w:rsidR="008D5B64" w:rsidRPr="00442EE0" w:rsidRDefault="008D5B64" w:rsidP="00D91CDB">
      <w:pPr>
        <w:pStyle w:val="ListParagraph"/>
        <w:numPr>
          <w:ilvl w:val="0"/>
          <w:numId w:val="53"/>
        </w:numPr>
        <w:shd w:val="clear" w:color="auto" w:fill="FFFFFF" w:themeFill="background1"/>
        <w:ind w:left="0" w:firstLine="426"/>
        <w:contextualSpacing/>
        <w:jc w:val="both"/>
        <w:rPr>
          <w:sz w:val="22"/>
          <w:szCs w:val="22"/>
        </w:rPr>
      </w:pPr>
      <w:r w:rsidRPr="00442EE0">
        <w:rPr>
          <w:sz w:val="22"/>
          <w:szCs w:val="22"/>
        </w:rPr>
        <w:t>През 2025 г. сдружение „Лекари на света”, сключва меморандум за сътрудничество с „Център за обществена подкрепа” – гр. Сливен. Дейностите по превенция на трафика на хора, чрез индивидуална и колективна работа по предоставяне на психосоциална подкрепа за деца и жени във висок риск от експлоатация и насилие в кв. „Надежда”, гр. Сливен включват сесии, където децата споделят свободно своето ежедневие, своите цели, мечти и проблеми. Брой сесии и обхванати деца: 8 сесии, достигнали до 34 момчета и 26 момичета.</w:t>
      </w:r>
    </w:p>
    <w:p w14:paraId="201FC77A" w14:textId="3D966143" w:rsidR="008D5B64" w:rsidRPr="00442EE0" w:rsidRDefault="008D5B64" w:rsidP="00D91CDB">
      <w:pPr>
        <w:pStyle w:val="ListParagraph"/>
        <w:numPr>
          <w:ilvl w:val="0"/>
          <w:numId w:val="53"/>
        </w:numPr>
        <w:shd w:val="clear" w:color="auto" w:fill="FFFFFF" w:themeFill="background1"/>
        <w:ind w:left="0" w:firstLine="426"/>
        <w:contextualSpacing/>
        <w:jc w:val="both"/>
        <w:rPr>
          <w:sz w:val="22"/>
          <w:szCs w:val="22"/>
        </w:rPr>
      </w:pPr>
      <w:r w:rsidRPr="00442EE0">
        <w:rPr>
          <w:sz w:val="22"/>
          <w:szCs w:val="22"/>
        </w:rPr>
        <w:t xml:space="preserve">Сдружение „Лекари на света” разполага с екип от 3 общностни мобилизатори, които са от общността и бенефициентите им имат изградена доверителна връзка с тях. Използвайки центъра на </w:t>
      </w:r>
      <w:r w:rsidRPr="00442EE0">
        <w:rPr>
          <w:sz w:val="22"/>
          <w:szCs w:val="22"/>
        </w:rPr>
        <w:lastRenderedPageBreak/>
        <w:t>сдружението в кв. Надежда, ползвателите имат възможност да посещават сигурна среда, да говорят и споделят, достигайки до разумно решение на техните проблеми, ако е необходимо. За децата това е място където се откъснат от ежедневието си, могат да творят, да споделят и да развиват своите качества. Брой сесии и обхванати деца: 91 сесии, достигнали до 291 момчета и 375 момичета.</w:t>
      </w:r>
    </w:p>
    <w:p w14:paraId="39C8AC89" w14:textId="77777777" w:rsidR="008D5B64" w:rsidRPr="00442EE0" w:rsidRDefault="008D5B64" w:rsidP="00D91CDB">
      <w:pPr>
        <w:shd w:val="clear" w:color="auto" w:fill="FFFFFF" w:themeFill="background1"/>
        <w:spacing w:after="120"/>
        <w:ind w:firstLine="426"/>
        <w:jc w:val="both"/>
        <w:rPr>
          <w:bCs/>
          <w:sz w:val="22"/>
          <w:szCs w:val="22"/>
          <w:lang w:bidi="my-MM"/>
        </w:rPr>
      </w:pPr>
      <w:r w:rsidRPr="00442EE0">
        <w:rPr>
          <w:sz w:val="22"/>
          <w:szCs w:val="22"/>
          <w:lang w:bidi="my-MM"/>
        </w:rPr>
        <w:t>Дейностите по превенция на Националната комисия и на местните комисии, и свързаните с тях информационни материали (видеоспотове, информационни визуализации, публикации в медии и др.) се публикуват регулярно в официалните профили на Комисията в социалните мрежи (</w:t>
      </w:r>
      <w:r w:rsidRPr="00442EE0">
        <w:rPr>
          <w:sz w:val="22"/>
          <w:szCs w:val="22"/>
          <w:lang w:val="en-US" w:bidi="my-MM"/>
        </w:rPr>
        <w:t xml:space="preserve">Facebook, Instagram, Twitter </w:t>
      </w:r>
      <w:r w:rsidRPr="00442EE0">
        <w:rPr>
          <w:sz w:val="22"/>
          <w:szCs w:val="22"/>
          <w:lang w:bidi="my-MM"/>
        </w:rPr>
        <w:t xml:space="preserve">и </w:t>
      </w:r>
      <w:r w:rsidRPr="00442EE0">
        <w:rPr>
          <w:sz w:val="22"/>
          <w:szCs w:val="22"/>
          <w:lang w:val="en-US" w:bidi="my-MM"/>
        </w:rPr>
        <w:t>YouTube</w:t>
      </w:r>
      <w:r w:rsidRPr="00442EE0">
        <w:rPr>
          <w:sz w:val="22"/>
          <w:szCs w:val="22"/>
          <w:lang w:bidi="my-MM"/>
        </w:rPr>
        <w:t>).</w:t>
      </w:r>
    </w:p>
    <w:p w14:paraId="3CE1E5EC" w14:textId="77777777" w:rsidR="008229AB" w:rsidRPr="005A4416" w:rsidRDefault="008229AB" w:rsidP="00D91CDB">
      <w:pPr>
        <w:pStyle w:val="ListParagraph"/>
        <w:numPr>
          <w:ilvl w:val="0"/>
          <w:numId w:val="52"/>
        </w:numPr>
        <w:shd w:val="clear" w:color="auto" w:fill="FFFFFF" w:themeFill="background1"/>
        <w:ind w:left="0" w:firstLine="425"/>
        <w:contextualSpacing/>
        <w:jc w:val="both"/>
        <w:rPr>
          <w:b/>
          <w:bCs/>
          <w:i/>
          <w:iCs/>
          <w:sz w:val="22"/>
          <w:szCs w:val="22"/>
          <w:lang w:bidi="my-MM"/>
        </w:rPr>
      </w:pPr>
      <w:r w:rsidRPr="005A4416">
        <w:rPr>
          <w:b/>
          <w:bCs/>
          <w:i/>
          <w:iCs/>
          <w:sz w:val="22"/>
          <w:szCs w:val="22"/>
          <w:lang w:bidi="my-MM"/>
        </w:rPr>
        <w:t>Обучения и награждане капацитета на служителите на структурите и членовете на НКБТХ.</w:t>
      </w:r>
    </w:p>
    <w:p w14:paraId="12D9DA18" w14:textId="77777777" w:rsidR="008229AB" w:rsidRPr="00076A90" w:rsidRDefault="008229AB" w:rsidP="00D91CDB">
      <w:pPr>
        <w:shd w:val="clear" w:color="auto" w:fill="FFFFFF" w:themeFill="background1"/>
        <w:ind w:firstLine="426"/>
        <w:jc w:val="both"/>
        <w:rPr>
          <w:bCs/>
          <w:sz w:val="22"/>
          <w:szCs w:val="22"/>
          <w:lang w:bidi="my-MM"/>
        </w:rPr>
      </w:pPr>
      <w:r w:rsidRPr="00076A90">
        <w:rPr>
          <w:bCs/>
          <w:sz w:val="22"/>
          <w:szCs w:val="22"/>
          <w:lang w:bidi="my-MM"/>
        </w:rPr>
        <w:t xml:space="preserve">В рамките на отчетния период НКБТХ и МКБТХ проведоха </w:t>
      </w:r>
      <w:r w:rsidRPr="00076A90">
        <w:rPr>
          <w:bCs/>
          <w:color w:val="000000" w:themeColor="text1"/>
          <w:sz w:val="22"/>
          <w:szCs w:val="22"/>
          <w:lang w:bidi="my-MM"/>
        </w:rPr>
        <w:t xml:space="preserve">поредица от събития </w:t>
      </w:r>
      <w:r w:rsidRPr="00076A90">
        <w:rPr>
          <w:bCs/>
          <w:sz w:val="22"/>
          <w:szCs w:val="22"/>
          <w:lang w:bidi="my-MM"/>
        </w:rPr>
        <w:t xml:space="preserve">за надграждане на капацитета на професионалисти по линия на идентификацията и насочването на жертви на трафик на хора, както и специализирани мултидисциплинарни обучения за представителите на правоприлагащите и правоохранителните органи. </w:t>
      </w:r>
      <w:r w:rsidRPr="00076A90">
        <w:rPr>
          <w:bCs/>
          <w:sz w:val="22"/>
          <w:szCs w:val="22"/>
          <w:u w:val="single"/>
          <w:lang w:bidi="my-MM"/>
        </w:rPr>
        <w:t>Акценти:</w:t>
      </w:r>
    </w:p>
    <w:p w14:paraId="4A908563" w14:textId="77777777" w:rsidR="008229AB" w:rsidRPr="00076A90" w:rsidRDefault="008229AB" w:rsidP="00D91CDB">
      <w:pPr>
        <w:pStyle w:val="ListParagraph"/>
        <w:numPr>
          <w:ilvl w:val="0"/>
          <w:numId w:val="53"/>
        </w:numPr>
        <w:shd w:val="clear" w:color="auto" w:fill="FFFFFF" w:themeFill="background1"/>
        <w:ind w:left="0" w:firstLine="426"/>
        <w:contextualSpacing/>
        <w:jc w:val="both"/>
        <w:rPr>
          <w:sz w:val="22"/>
          <w:szCs w:val="22"/>
        </w:rPr>
      </w:pPr>
      <w:r w:rsidRPr="00076A90">
        <w:rPr>
          <w:sz w:val="22"/>
          <w:szCs w:val="22"/>
        </w:rPr>
        <w:t xml:space="preserve">През месец май администрацията на НКБТХ, съвместно с фондация „Асоциация Анимус“ организира първото от поредицата планирани обучения за социални работници и адвокати към адвокатските колегии от София-град и областите Перник, Кюстендил, Благоевград и Пазарджик, на тема </w:t>
      </w:r>
      <w:r w:rsidRPr="00076A90">
        <w:rPr>
          <w:i/>
          <w:sz w:val="22"/>
          <w:szCs w:val="22"/>
        </w:rPr>
        <w:t>„Холистичен и съобразен с травмата подход в идентификацията, закрилата и защита правата на жертви на трафик“</w:t>
      </w:r>
      <w:r w:rsidRPr="00076A90">
        <w:rPr>
          <w:sz w:val="22"/>
          <w:szCs w:val="22"/>
        </w:rPr>
        <w:t xml:space="preserve">, включващо и темите за достъпа до правна помощ и финансови компенсации за жертвите на трафик. Участваха 52 души. </w:t>
      </w:r>
    </w:p>
    <w:p w14:paraId="0A2841A4" w14:textId="77777777" w:rsidR="008229AB" w:rsidRPr="00076A90" w:rsidRDefault="008229AB" w:rsidP="00D91CDB">
      <w:pPr>
        <w:pStyle w:val="ListParagraph"/>
        <w:numPr>
          <w:ilvl w:val="0"/>
          <w:numId w:val="53"/>
        </w:numPr>
        <w:shd w:val="clear" w:color="auto" w:fill="FFFFFF" w:themeFill="background1"/>
        <w:ind w:left="0" w:firstLine="426"/>
        <w:contextualSpacing/>
        <w:jc w:val="both"/>
        <w:rPr>
          <w:sz w:val="22"/>
          <w:szCs w:val="22"/>
        </w:rPr>
      </w:pPr>
      <w:r w:rsidRPr="00076A90">
        <w:rPr>
          <w:sz w:val="22"/>
          <w:szCs w:val="22"/>
        </w:rPr>
        <w:t>Представители на администрацията на НКБТХ участваха като лектори в различни събития за повишаване на капацитета на професионалисти, реализирани от фондация „Дигнита“, в рамките на същата програма, както и като гост-лектори в магистърския курс "Миграция и права на човека" в Академията на МВР</w:t>
      </w:r>
      <w:r w:rsidRPr="00A30A13">
        <w:rPr>
          <w:sz w:val="22"/>
          <w:szCs w:val="22"/>
        </w:rPr>
        <w:t>.</w:t>
      </w:r>
    </w:p>
    <w:p w14:paraId="2EA236F1" w14:textId="77777777" w:rsidR="008229AB" w:rsidRPr="00076A90" w:rsidRDefault="008229AB" w:rsidP="00D91CDB">
      <w:pPr>
        <w:pStyle w:val="ListParagraph"/>
        <w:numPr>
          <w:ilvl w:val="0"/>
          <w:numId w:val="53"/>
        </w:numPr>
        <w:shd w:val="clear" w:color="auto" w:fill="FFFFFF" w:themeFill="background1"/>
        <w:ind w:left="0" w:firstLine="426"/>
        <w:contextualSpacing/>
        <w:jc w:val="both"/>
        <w:rPr>
          <w:sz w:val="22"/>
          <w:szCs w:val="22"/>
        </w:rPr>
      </w:pPr>
      <w:r w:rsidRPr="00076A90">
        <w:rPr>
          <w:sz w:val="22"/>
          <w:szCs w:val="22"/>
        </w:rPr>
        <w:t xml:space="preserve">Поради високия интерес, съвместно с Европейския орган по труда, бяха проведени две допълнителни информационни сесии с фокус Германия, като държава на дестинация за трудова мобилност, насочени към мрежите на трудовите, образователните и здравните медиатори в градовете София и Монтана. </w:t>
      </w:r>
    </w:p>
    <w:p w14:paraId="6A3A09F4" w14:textId="77777777" w:rsidR="008229AB" w:rsidRPr="00076A90" w:rsidRDefault="008229AB" w:rsidP="00D91CDB">
      <w:pPr>
        <w:pStyle w:val="ListParagraph"/>
        <w:numPr>
          <w:ilvl w:val="0"/>
          <w:numId w:val="53"/>
        </w:numPr>
        <w:shd w:val="clear" w:color="auto" w:fill="FFFFFF" w:themeFill="background1"/>
        <w:ind w:left="0" w:firstLine="426"/>
        <w:contextualSpacing/>
        <w:jc w:val="both"/>
        <w:rPr>
          <w:sz w:val="22"/>
          <w:szCs w:val="22"/>
        </w:rPr>
      </w:pPr>
      <w:r w:rsidRPr="00076A90">
        <w:rPr>
          <w:sz w:val="22"/>
          <w:szCs w:val="22"/>
        </w:rPr>
        <w:t xml:space="preserve">В Берлин беше проведено обучение за българоговорящи трудови консултанти и социални работници, с фокус върху трудовите и осигурителни права, сравнение на законодателството в областта, както и относно ефективното прилагане на </w:t>
      </w:r>
      <w:r w:rsidRPr="00076A90">
        <w:rPr>
          <w:i/>
          <w:sz w:val="22"/>
          <w:szCs w:val="22"/>
        </w:rPr>
        <w:t>Националния механизъм за насочване и подпомагане на жертви на трафик</w:t>
      </w:r>
      <w:r w:rsidRPr="00076A90">
        <w:rPr>
          <w:sz w:val="22"/>
          <w:szCs w:val="22"/>
        </w:rPr>
        <w:t xml:space="preserve"> и </w:t>
      </w:r>
      <w:r w:rsidRPr="00076A90">
        <w:rPr>
          <w:i/>
          <w:sz w:val="22"/>
          <w:szCs w:val="22"/>
        </w:rPr>
        <w:t>Двустранния механизъм за насочване и координация на случаите на трафик на хора с цел принудителен труд и трудова експлоатация между България и Германия.</w:t>
      </w:r>
      <w:r w:rsidRPr="00076A90">
        <w:rPr>
          <w:sz w:val="22"/>
          <w:szCs w:val="22"/>
        </w:rPr>
        <w:t xml:space="preserve"> </w:t>
      </w:r>
    </w:p>
    <w:p w14:paraId="4D9C7E76" w14:textId="5617243A" w:rsidR="008229AB" w:rsidRPr="00FA5ACF" w:rsidRDefault="008229AB" w:rsidP="00D91CDB">
      <w:pPr>
        <w:pStyle w:val="ListParagraph"/>
        <w:numPr>
          <w:ilvl w:val="0"/>
          <w:numId w:val="53"/>
        </w:numPr>
        <w:shd w:val="clear" w:color="auto" w:fill="FFFFFF" w:themeFill="background1"/>
        <w:ind w:left="0" w:firstLine="426"/>
        <w:contextualSpacing/>
        <w:jc w:val="both"/>
        <w:rPr>
          <w:color w:val="000000" w:themeColor="text1"/>
          <w:sz w:val="22"/>
          <w:szCs w:val="22"/>
          <w:lang w:val="bg-BG"/>
        </w:rPr>
      </w:pPr>
      <w:r w:rsidRPr="00076A90">
        <w:rPr>
          <w:color w:val="000000" w:themeColor="text1"/>
          <w:sz w:val="22"/>
          <w:szCs w:val="22"/>
        </w:rPr>
        <w:t>Експерти от администрацията на НКБТХ ежегодно се включват като лектори в о</w:t>
      </w:r>
      <w:r w:rsidRPr="00076A90">
        <w:rPr>
          <w:color w:val="000000" w:themeColor="text1"/>
          <w:sz w:val="22"/>
          <w:szCs w:val="22"/>
          <w:lang w:val="en-US"/>
        </w:rPr>
        <w:t>бучение</w:t>
      </w:r>
      <w:r w:rsidRPr="00076A90">
        <w:rPr>
          <w:color w:val="000000" w:themeColor="text1"/>
          <w:sz w:val="22"/>
          <w:szCs w:val="22"/>
        </w:rPr>
        <w:t>то</w:t>
      </w:r>
      <w:r w:rsidRPr="00076A90">
        <w:rPr>
          <w:color w:val="000000" w:themeColor="text1"/>
          <w:sz w:val="22"/>
          <w:szCs w:val="22"/>
          <w:lang w:val="en-US"/>
        </w:rPr>
        <w:t xml:space="preserve"> </w:t>
      </w:r>
      <w:r w:rsidRPr="00FA5ACF">
        <w:rPr>
          <w:color w:val="000000" w:themeColor="text1"/>
          <w:sz w:val="22"/>
          <w:szCs w:val="22"/>
          <w:lang w:val="bg-BG"/>
        </w:rPr>
        <w:t xml:space="preserve">на здравни медиатори </w:t>
      </w:r>
      <w:r w:rsidR="00D6614E">
        <w:rPr>
          <w:color w:val="000000" w:themeColor="text1"/>
          <w:sz w:val="22"/>
          <w:szCs w:val="22"/>
          <w:lang w:val="bg-BG"/>
        </w:rPr>
        <w:t>–</w:t>
      </w:r>
      <w:r w:rsidRPr="00FA5ACF">
        <w:rPr>
          <w:color w:val="000000" w:themeColor="text1"/>
          <w:sz w:val="22"/>
          <w:szCs w:val="22"/>
          <w:lang w:val="bg-BG"/>
        </w:rPr>
        <w:t xml:space="preserve"> Факултет по обществено здраве към МУ- София и Българската асоциация за семейно планиране (БАСП)</w:t>
      </w:r>
    </w:p>
    <w:p w14:paraId="78A1E3EE" w14:textId="77777777" w:rsidR="008229AB" w:rsidRPr="00076A90" w:rsidRDefault="008229AB" w:rsidP="00D91CDB">
      <w:pPr>
        <w:pStyle w:val="ListParagraph"/>
        <w:numPr>
          <w:ilvl w:val="0"/>
          <w:numId w:val="53"/>
        </w:numPr>
        <w:shd w:val="clear" w:color="auto" w:fill="FFFFFF" w:themeFill="background1"/>
        <w:ind w:left="0" w:firstLine="426"/>
        <w:contextualSpacing/>
        <w:jc w:val="both"/>
        <w:rPr>
          <w:sz w:val="22"/>
          <w:szCs w:val="22"/>
        </w:rPr>
      </w:pPr>
      <w:r w:rsidRPr="00076A90">
        <w:rPr>
          <w:sz w:val="22"/>
          <w:szCs w:val="22"/>
        </w:rPr>
        <w:t>МКБТХ Бургас</w:t>
      </w:r>
      <w:r w:rsidRPr="00076A90">
        <w:rPr>
          <w:sz w:val="22"/>
          <w:szCs w:val="22"/>
          <w:lang w:val="en-US"/>
        </w:rPr>
        <w:t xml:space="preserve">, </w:t>
      </w:r>
      <w:r w:rsidRPr="00076A90">
        <w:rPr>
          <w:sz w:val="22"/>
          <w:szCs w:val="22"/>
        </w:rPr>
        <w:t xml:space="preserve">съвместно с Националната комисия за борба с трафика на хора и и с финансовата подкрепа на Фондация „Ханс Зайдел“ проведоха три обучения за районни инспектори от РУ Бургас и Несебър на тема: </w:t>
      </w:r>
      <w:r w:rsidRPr="00076A90">
        <w:rPr>
          <w:i/>
          <w:sz w:val="22"/>
          <w:szCs w:val="22"/>
        </w:rPr>
        <w:t>Трафик на хора и домашно насилие. Идентификация, разследване и насочване на пострадалите</w:t>
      </w:r>
      <w:r w:rsidRPr="00076A90">
        <w:rPr>
          <w:sz w:val="22"/>
          <w:szCs w:val="22"/>
        </w:rPr>
        <w:t>“. Участници – 96 лица.</w:t>
      </w:r>
    </w:p>
    <w:p w14:paraId="4E43A29C" w14:textId="77777777" w:rsidR="008229AB" w:rsidRPr="00076A90" w:rsidRDefault="008229AB" w:rsidP="00D91CDB">
      <w:pPr>
        <w:pStyle w:val="ListParagraph"/>
        <w:numPr>
          <w:ilvl w:val="0"/>
          <w:numId w:val="53"/>
        </w:numPr>
        <w:shd w:val="clear" w:color="auto" w:fill="FFFFFF" w:themeFill="background1"/>
        <w:ind w:left="0" w:firstLine="426"/>
        <w:contextualSpacing/>
        <w:jc w:val="both"/>
        <w:rPr>
          <w:sz w:val="22"/>
          <w:szCs w:val="22"/>
        </w:rPr>
      </w:pPr>
      <w:r w:rsidRPr="00076A90">
        <w:rPr>
          <w:sz w:val="22"/>
          <w:szCs w:val="22"/>
        </w:rPr>
        <w:t>МКБТХ Сливен проведе специализирано обучение „</w:t>
      </w:r>
      <w:r w:rsidRPr="00076A90">
        <w:rPr>
          <w:i/>
          <w:sz w:val="22"/>
          <w:szCs w:val="22"/>
        </w:rPr>
        <w:t>Превенция на трафика на хора в училищна среда с акцент специфики на работния процес насочен към деца и младежи със специални образователни потребности</w:t>
      </w:r>
      <w:r w:rsidRPr="00076A90">
        <w:rPr>
          <w:sz w:val="22"/>
          <w:szCs w:val="22"/>
        </w:rPr>
        <w:t>”. Обхванати 32 педагогически специалисти.</w:t>
      </w:r>
    </w:p>
    <w:p w14:paraId="187FACEB" w14:textId="77777777" w:rsidR="008229AB" w:rsidRPr="002E6ECE" w:rsidRDefault="008229AB" w:rsidP="00D91CDB">
      <w:pPr>
        <w:pStyle w:val="ListParagraph"/>
        <w:numPr>
          <w:ilvl w:val="0"/>
          <w:numId w:val="53"/>
        </w:numPr>
        <w:shd w:val="clear" w:color="auto" w:fill="FFFFFF" w:themeFill="background1"/>
        <w:ind w:left="0" w:firstLine="426"/>
        <w:contextualSpacing/>
        <w:jc w:val="both"/>
        <w:rPr>
          <w:bCs/>
          <w:sz w:val="22"/>
          <w:szCs w:val="22"/>
          <w:lang w:val="bg-BG"/>
        </w:rPr>
      </w:pPr>
      <w:r w:rsidRPr="00076A90">
        <w:rPr>
          <w:sz w:val="22"/>
          <w:szCs w:val="22"/>
        </w:rPr>
        <w:t>МКБТХ Сливен проведе три с</w:t>
      </w:r>
      <w:r w:rsidRPr="00076A90">
        <w:rPr>
          <w:sz w:val="22"/>
          <w:szCs w:val="22"/>
          <w:lang w:val="ru-RU"/>
        </w:rPr>
        <w:t xml:space="preserve">пециализирани </w:t>
      </w:r>
      <w:r w:rsidRPr="002E6ECE">
        <w:rPr>
          <w:sz w:val="22"/>
          <w:szCs w:val="22"/>
          <w:lang w:val="bg-BG"/>
        </w:rPr>
        <w:t>обучения „</w:t>
      </w:r>
      <w:r w:rsidRPr="002E6ECE">
        <w:rPr>
          <w:i/>
          <w:sz w:val="22"/>
          <w:szCs w:val="22"/>
          <w:lang w:val="bg-BG"/>
        </w:rPr>
        <w:t>Опорни точки в прилагането на принципите за неприкосновеност на тялото – ролята на деликатната употреба на езика”</w:t>
      </w:r>
      <w:r w:rsidRPr="002E6ECE">
        <w:rPr>
          <w:rStyle w:val="Strong"/>
          <w:color w:val="000000"/>
          <w:sz w:val="22"/>
          <w:szCs w:val="22"/>
          <w:lang w:val="bg-BG"/>
        </w:rPr>
        <w:t xml:space="preserve">. </w:t>
      </w:r>
      <w:r w:rsidRPr="002E6ECE">
        <w:rPr>
          <w:rFonts w:eastAsia="Calibri"/>
          <w:sz w:val="22"/>
          <w:szCs w:val="22"/>
          <w:lang w:val="bg-BG"/>
        </w:rPr>
        <w:t>Обхванати 58 педагогически специалисти.</w:t>
      </w:r>
    </w:p>
    <w:p w14:paraId="6CD00A61" w14:textId="77777777" w:rsidR="008229AB" w:rsidRPr="00076A90" w:rsidRDefault="008229AB" w:rsidP="00D91CDB">
      <w:pPr>
        <w:pStyle w:val="ListParagraph"/>
        <w:numPr>
          <w:ilvl w:val="0"/>
          <w:numId w:val="53"/>
        </w:numPr>
        <w:shd w:val="clear" w:color="auto" w:fill="FFFFFF" w:themeFill="background1"/>
        <w:ind w:left="0" w:firstLine="426"/>
        <w:contextualSpacing/>
        <w:jc w:val="both"/>
        <w:rPr>
          <w:sz w:val="22"/>
          <w:szCs w:val="22"/>
        </w:rPr>
      </w:pPr>
      <w:r w:rsidRPr="00076A90">
        <w:rPr>
          <w:sz w:val="22"/>
          <w:szCs w:val="22"/>
        </w:rPr>
        <w:t xml:space="preserve">МКБТХ Варна съвместно с Националната комисия за борба с трафика на хора и дирекция „Превенции“, Община Варна </w:t>
      </w:r>
      <w:r w:rsidRPr="00076A90">
        <w:rPr>
          <w:rFonts w:eastAsia="Calibri"/>
          <w:sz w:val="22"/>
          <w:szCs w:val="22"/>
        </w:rPr>
        <w:t xml:space="preserve">проведоха </w:t>
      </w:r>
      <w:r w:rsidRPr="00076A90">
        <w:rPr>
          <w:sz w:val="22"/>
          <w:szCs w:val="22"/>
        </w:rPr>
        <w:t>двудневно обучение на 30 доброволци от варненските гимназии на тема: „</w:t>
      </w:r>
      <w:r w:rsidRPr="00076A90">
        <w:rPr>
          <w:i/>
          <w:sz w:val="22"/>
          <w:szCs w:val="22"/>
        </w:rPr>
        <w:t>Трафик на хора в дигиталната ера – разпознаване и превенция на престъплението и рисково онлайн поведение</w:t>
      </w:r>
      <w:r w:rsidRPr="00076A90">
        <w:rPr>
          <w:sz w:val="22"/>
          <w:szCs w:val="22"/>
        </w:rPr>
        <w:t>“.</w:t>
      </w:r>
    </w:p>
    <w:p w14:paraId="03180EE0" w14:textId="77777777" w:rsidR="008229AB" w:rsidRPr="00EA5B81" w:rsidRDefault="008229AB" w:rsidP="00D91CDB">
      <w:pPr>
        <w:pStyle w:val="ListParagraph"/>
        <w:numPr>
          <w:ilvl w:val="0"/>
          <w:numId w:val="53"/>
        </w:numPr>
        <w:shd w:val="clear" w:color="auto" w:fill="FFFFFF" w:themeFill="background1"/>
        <w:spacing w:before="120"/>
        <w:ind w:left="0" w:firstLine="426"/>
        <w:contextualSpacing/>
        <w:jc w:val="both"/>
        <w:rPr>
          <w:color w:val="000000" w:themeColor="text1"/>
          <w:sz w:val="22"/>
          <w:szCs w:val="22"/>
        </w:rPr>
      </w:pPr>
      <w:r w:rsidRPr="00EA5B81">
        <w:rPr>
          <w:color w:val="000000" w:themeColor="text1"/>
          <w:sz w:val="22"/>
          <w:szCs w:val="22"/>
        </w:rPr>
        <w:lastRenderedPageBreak/>
        <w:t xml:space="preserve">Администрацията на НКБТХ беше включена като лектор в обученията за новоизбраните секретари на Местните комисии за борба с противообществени прояви на малолетни и непълнолетни. </w:t>
      </w:r>
    </w:p>
    <w:p w14:paraId="675A97D4" w14:textId="34085D25" w:rsidR="006340B0" w:rsidRPr="00EC444A" w:rsidRDefault="006340B0" w:rsidP="00D91CDB">
      <w:pPr>
        <w:pStyle w:val="ListParagraph"/>
        <w:numPr>
          <w:ilvl w:val="0"/>
          <w:numId w:val="52"/>
        </w:numPr>
        <w:shd w:val="clear" w:color="auto" w:fill="FFFFFF" w:themeFill="background1"/>
        <w:ind w:left="0" w:firstLine="425"/>
        <w:contextualSpacing/>
        <w:jc w:val="both"/>
        <w:rPr>
          <w:b/>
          <w:bCs/>
          <w:i/>
          <w:iCs/>
          <w:sz w:val="22"/>
          <w:szCs w:val="22"/>
          <w:lang w:bidi="my-MM"/>
        </w:rPr>
      </w:pPr>
      <w:r w:rsidRPr="006340B0">
        <w:rPr>
          <w:b/>
          <w:bCs/>
          <w:i/>
          <w:iCs/>
          <w:sz w:val="22"/>
          <w:szCs w:val="22"/>
          <w:lang w:bidi="my-MM"/>
        </w:rPr>
        <w:t xml:space="preserve">Преодоляване на последиците от </w:t>
      </w:r>
      <w:r w:rsidRPr="00EC444A">
        <w:rPr>
          <w:b/>
          <w:bCs/>
          <w:i/>
          <w:iCs/>
          <w:sz w:val="22"/>
          <w:szCs w:val="22"/>
          <w:lang w:bidi="my-MM"/>
        </w:rPr>
        <w:t>трафика на хора и реинтегриране на жертвите в обществото чрез оказване на помощ, подкрепа и защита</w:t>
      </w:r>
    </w:p>
    <w:p w14:paraId="4D697617" w14:textId="77777777" w:rsidR="006340B0" w:rsidRPr="006340B0" w:rsidRDefault="006340B0" w:rsidP="00D91CDB">
      <w:pPr>
        <w:shd w:val="clear" w:color="auto" w:fill="FFFFFF" w:themeFill="background1"/>
        <w:ind w:firstLine="426"/>
        <w:jc w:val="both"/>
        <w:rPr>
          <w:sz w:val="22"/>
          <w:szCs w:val="22"/>
        </w:rPr>
      </w:pPr>
      <w:r w:rsidRPr="006340B0">
        <w:rPr>
          <w:sz w:val="22"/>
          <w:szCs w:val="22"/>
        </w:rPr>
        <w:t>Една от функциите на НКБТХ, съгласно Закона за борба с трафика на хора (ЗБТХ) е координацията на Националния механизъм за насочване и подпомагане на жертви на трафик на хора (НМН), която се осъществява от администрацията на Националната комисия. В тази връзка, са разкрити специализираните приюти и центровете за закрила на жертви на трафик на хора.</w:t>
      </w:r>
    </w:p>
    <w:p w14:paraId="61E41BF5" w14:textId="4D6A9F35" w:rsidR="006340B0" w:rsidRPr="006340B0" w:rsidRDefault="006340B0" w:rsidP="00D91CDB">
      <w:pPr>
        <w:shd w:val="clear" w:color="auto" w:fill="FFFFFF" w:themeFill="background1"/>
        <w:ind w:firstLine="426"/>
        <w:jc w:val="both"/>
        <w:rPr>
          <w:sz w:val="22"/>
          <w:szCs w:val="22"/>
        </w:rPr>
      </w:pPr>
      <w:bookmarkStart w:id="80" w:name="_Hlk206163795"/>
      <w:r w:rsidRPr="006340B0">
        <w:rPr>
          <w:sz w:val="22"/>
          <w:szCs w:val="22"/>
        </w:rPr>
        <w:t xml:space="preserve">За първото шестмесечие на 2025 г., към НКБТХ функционират 7 специализирани услуги за жертви на трафик на хора: 4 услуги от резидентен тип и 3 консултативни услуги в гр. Варна, Бургас и София, които се финансират изцяло от бюджета на НКБТХ. </w:t>
      </w:r>
      <w:bookmarkEnd w:id="80"/>
      <w:r w:rsidRPr="006340B0">
        <w:rPr>
          <w:sz w:val="22"/>
          <w:szCs w:val="22"/>
        </w:rPr>
        <w:t>На основание РМС №</w:t>
      </w:r>
      <w:r>
        <w:rPr>
          <w:sz w:val="22"/>
          <w:szCs w:val="22"/>
          <w:lang w:val="en-US"/>
        </w:rPr>
        <w:t xml:space="preserve"> </w:t>
      </w:r>
      <w:r w:rsidRPr="006340B0">
        <w:rPr>
          <w:sz w:val="22"/>
          <w:szCs w:val="22"/>
        </w:rPr>
        <w:t xml:space="preserve">77 от </w:t>
      </w:r>
      <w:r>
        <w:rPr>
          <w:sz w:val="22"/>
          <w:szCs w:val="22"/>
          <w:lang w:val="en-US"/>
        </w:rPr>
        <w:br/>
      </w:r>
      <w:r w:rsidRPr="006340B0">
        <w:rPr>
          <w:sz w:val="22"/>
          <w:szCs w:val="22"/>
        </w:rPr>
        <w:t xml:space="preserve">20.02.2025 г. са сключени договори по „Де </w:t>
      </w:r>
      <w:proofErr w:type="spellStart"/>
      <w:r w:rsidRPr="006340B0">
        <w:rPr>
          <w:sz w:val="22"/>
          <w:szCs w:val="22"/>
        </w:rPr>
        <w:t>минимис</w:t>
      </w:r>
      <w:proofErr w:type="spellEnd"/>
      <w:r w:rsidRPr="006340B0">
        <w:rPr>
          <w:sz w:val="22"/>
          <w:szCs w:val="22"/>
        </w:rPr>
        <w:t>“ за срок до 2 месеца за издръжка на седемте специализирани услуги за жертви на трафик на хора, които в предходни години са били издържани от помощи, дарения, спонсорства и европейски. Проведени са и сключени договори, считано от 01.04.2025 г., с процедури по ЗОП за издръжка на горепосочените услуги в размер на 499 080 лв. за 12 месеца. Услугите се ръководят от неправителствени организации с многогодишен опит в предоставянето на подкрепа и закрила на жертви на трафик и насилие – фондация „SOS – семейства в риск“ и асоциация „Деметра“ и приети Минимални стандарти на работа на Приюти за временно настаняване и Центрове за закрила и помощ на жертви на трафик на хора към НКБТХ.</w:t>
      </w:r>
    </w:p>
    <w:p w14:paraId="3A2B9DCC" w14:textId="07116A69" w:rsidR="0091463D" w:rsidRPr="006340B0" w:rsidRDefault="006340B0" w:rsidP="00D91CDB">
      <w:pPr>
        <w:shd w:val="clear" w:color="auto" w:fill="FFFFFF" w:themeFill="background1"/>
        <w:spacing w:after="120"/>
        <w:ind w:firstLine="426"/>
        <w:jc w:val="both"/>
        <w:rPr>
          <w:sz w:val="22"/>
          <w:szCs w:val="22"/>
        </w:rPr>
      </w:pPr>
      <w:bookmarkStart w:id="81" w:name="_Hlk206163871"/>
      <w:r w:rsidRPr="006340B0">
        <w:rPr>
          <w:sz w:val="22"/>
          <w:szCs w:val="22"/>
        </w:rPr>
        <w:t xml:space="preserve">Общо 30 лица са получили подкрепа в специализираните услуги към 30 юни 2025 г. При част от случаите е предприето и настаняване на пострадали лица заедно с децата им (2 </w:t>
      </w:r>
      <w:proofErr w:type="spellStart"/>
      <w:r w:rsidRPr="006340B0">
        <w:rPr>
          <w:sz w:val="22"/>
          <w:szCs w:val="22"/>
        </w:rPr>
        <w:t>обгрижени</w:t>
      </w:r>
      <w:proofErr w:type="spellEnd"/>
      <w:r w:rsidRPr="006340B0">
        <w:rPr>
          <w:sz w:val="22"/>
          <w:szCs w:val="22"/>
        </w:rPr>
        <w:t xml:space="preserve"> деца), с оглед необходимостта от защита.</w:t>
      </w:r>
      <w:bookmarkEnd w:id="81"/>
      <w:r w:rsidRPr="006340B0">
        <w:rPr>
          <w:sz w:val="22"/>
          <w:szCs w:val="22"/>
        </w:rPr>
        <w:t xml:space="preserve"> През отчетният период експерти от администрацията на НКБТХ проведоха мониторинг на специализираните услуги за жертви на трафик в гр. София.</w:t>
      </w:r>
    </w:p>
    <w:p w14:paraId="39C51D1A" w14:textId="59E461B7" w:rsidR="00EC444A" w:rsidRPr="00EC444A" w:rsidRDefault="00EC444A" w:rsidP="00D91CDB">
      <w:pPr>
        <w:pStyle w:val="ListParagraph"/>
        <w:numPr>
          <w:ilvl w:val="0"/>
          <w:numId w:val="52"/>
        </w:numPr>
        <w:shd w:val="clear" w:color="auto" w:fill="FFFFFF" w:themeFill="background1"/>
        <w:ind w:left="0" w:firstLine="425"/>
        <w:contextualSpacing/>
        <w:jc w:val="both"/>
        <w:rPr>
          <w:b/>
          <w:bCs/>
          <w:i/>
          <w:iCs/>
          <w:sz w:val="22"/>
          <w:szCs w:val="22"/>
          <w:lang w:bidi="my-MM"/>
        </w:rPr>
      </w:pPr>
      <w:r w:rsidRPr="00EC444A">
        <w:rPr>
          <w:b/>
          <w:bCs/>
          <w:i/>
          <w:iCs/>
          <w:sz w:val="22"/>
          <w:szCs w:val="22"/>
          <w:lang w:bidi="my-MM"/>
        </w:rPr>
        <w:t xml:space="preserve">Анализ на развитието и тенденциите при престъплението, предотвратяването и противодействието на трафика на хора </w:t>
      </w:r>
    </w:p>
    <w:p w14:paraId="709A36DD" w14:textId="5D89F33C" w:rsidR="00EC444A" w:rsidRPr="00ED57FE" w:rsidRDefault="00EC444A" w:rsidP="00D91CDB">
      <w:pPr>
        <w:shd w:val="clear" w:color="auto" w:fill="FFFFFF" w:themeFill="background1"/>
        <w:ind w:firstLine="425"/>
        <w:jc w:val="both"/>
        <w:rPr>
          <w:sz w:val="22"/>
          <w:szCs w:val="22"/>
          <w:lang w:val="en-US"/>
        </w:rPr>
      </w:pPr>
      <w:r w:rsidRPr="00EC444A">
        <w:rPr>
          <w:sz w:val="22"/>
          <w:szCs w:val="22"/>
        </w:rPr>
        <w:t xml:space="preserve">Проследяването на развитието и тенденциите при престъплението трафик на хора е ключово с цел планиране на политики и мерки за неговото предотвратяване и противодействие. В последните години се наблюдават промени в тенденциите, например увеличаване на идентифицираните случаи на трудова експлоатация и принудителна престъпност. Все повече са и случаите на жертви на трафик, които не са граждани на ЕС, които остават неформално идентифицирани. Влиянието на онлайн измерението на трафика на хора продължава да дава негативно отражение, което в бъдеще може да бъде допълнително утежнено и от изкуствения интелект. Тези предизвикателства изискват незабавен отговор, за да бъде прекъснат бизнес моделът на трафикантите. Ето защо от особено значение е системният подход – базиран на добра координация, експертен потенциал и компетенции, както и на институционална отговорност. Тези тенденции се потвърждават напълно в европейски и световен план. </w:t>
      </w:r>
    </w:p>
    <w:p w14:paraId="6737A9E7" w14:textId="77777777" w:rsidR="00EC444A" w:rsidRPr="00EC444A" w:rsidRDefault="00EC444A" w:rsidP="00D91CDB">
      <w:pPr>
        <w:shd w:val="clear" w:color="auto" w:fill="FFFFFF" w:themeFill="background1"/>
        <w:ind w:firstLine="425"/>
        <w:jc w:val="both"/>
        <w:rPr>
          <w:sz w:val="22"/>
          <w:szCs w:val="22"/>
        </w:rPr>
      </w:pPr>
      <w:r w:rsidRPr="00EC444A">
        <w:rPr>
          <w:sz w:val="22"/>
          <w:szCs w:val="22"/>
        </w:rPr>
        <w:t xml:space="preserve">В качеството си на координатор на НМН, администрацията на НКБТХ приема сигнали за случаи на трафик на хора и предприема действия за подкрепа и закрила на жертвите. За периода 01.01.2025 г. – 30.06.2025 г. са получени общо </w:t>
      </w:r>
      <w:bookmarkStart w:id="82" w:name="_Hlk206164276"/>
      <w:r w:rsidRPr="00EC444A">
        <w:rPr>
          <w:sz w:val="22"/>
          <w:szCs w:val="22"/>
        </w:rPr>
        <w:t>32 сигнала за трафик на хора, като общият брой лица по всички сигнали за трафик, формално или неформално идентифицирани, включително и децата, на жертвите на трафик е 45 (2 деца на жертви на трафик на хора), разделени по форми на експлоатация:</w:t>
      </w:r>
    </w:p>
    <w:p w14:paraId="5D7DF93A" w14:textId="65201A08" w:rsidR="00EC444A" w:rsidRPr="00D91CDB" w:rsidRDefault="00EC444A" w:rsidP="00D91CDB">
      <w:pPr>
        <w:pStyle w:val="ListParagraph"/>
        <w:numPr>
          <w:ilvl w:val="3"/>
          <w:numId w:val="27"/>
        </w:numPr>
        <w:shd w:val="clear" w:color="auto" w:fill="FFFFFF" w:themeFill="background1"/>
        <w:tabs>
          <w:tab w:val="left" w:pos="709"/>
        </w:tabs>
        <w:ind w:hanging="2094"/>
        <w:jc w:val="both"/>
        <w:rPr>
          <w:sz w:val="22"/>
          <w:szCs w:val="22"/>
        </w:rPr>
      </w:pPr>
      <w:r w:rsidRPr="00D91CDB">
        <w:rPr>
          <w:sz w:val="22"/>
          <w:szCs w:val="22"/>
        </w:rPr>
        <w:t>18 пострадали лица от сексуална експлоатация;</w:t>
      </w:r>
    </w:p>
    <w:p w14:paraId="44CF1F01" w14:textId="434DC8B8" w:rsidR="00EC444A" w:rsidRPr="00EC444A" w:rsidRDefault="00EC444A" w:rsidP="00D91CDB">
      <w:pPr>
        <w:pStyle w:val="ListParagraph"/>
        <w:numPr>
          <w:ilvl w:val="3"/>
          <w:numId w:val="27"/>
        </w:numPr>
        <w:shd w:val="clear" w:color="auto" w:fill="FFFFFF" w:themeFill="background1"/>
        <w:tabs>
          <w:tab w:val="left" w:pos="709"/>
        </w:tabs>
        <w:ind w:hanging="2094"/>
        <w:jc w:val="both"/>
        <w:rPr>
          <w:sz w:val="22"/>
          <w:szCs w:val="22"/>
        </w:rPr>
      </w:pPr>
      <w:r w:rsidRPr="00EC444A">
        <w:rPr>
          <w:sz w:val="22"/>
          <w:szCs w:val="22"/>
        </w:rPr>
        <w:t>14 пострадали лица с цел принудителен труд;</w:t>
      </w:r>
    </w:p>
    <w:p w14:paraId="58E549A5" w14:textId="18B9299A" w:rsidR="00EC444A" w:rsidRPr="00EC444A" w:rsidRDefault="00EC444A" w:rsidP="00D91CDB">
      <w:pPr>
        <w:pStyle w:val="ListParagraph"/>
        <w:numPr>
          <w:ilvl w:val="3"/>
          <w:numId w:val="27"/>
        </w:numPr>
        <w:shd w:val="clear" w:color="auto" w:fill="FFFFFF" w:themeFill="background1"/>
        <w:tabs>
          <w:tab w:val="left" w:pos="709"/>
        </w:tabs>
        <w:ind w:hanging="2094"/>
        <w:jc w:val="both"/>
        <w:rPr>
          <w:sz w:val="22"/>
          <w:szCs w:val="22"/>
        </w:rPr>
      </w:pPr>
      <w:r w:rsidRPr="00EC444A">
        <w:rPr>
          <w:sz w:val="22"/>
          <w:szCs w:val="22"/>
        </w:rPr>
        <w:t xml:space="preserve">просия – 1 </w:t>
      </w:r>
      <w:r w:rsidR="00D91CDB" w:rsidRPr="00EC444A">
        <w:rPr>
          <w:sz w:val="22"/>
          <w:szCs w:val="22"/>
        </w:rPr>
        <w:t>потърпевш</w:t>
      </w:r>
      <w:r w:rsidR="00D91CDB">
        <w:rPr>
          <w:sz w:val="22"/>
          <w:szCs w:val="22"/>
          <w:lang w:val="bg-BG"/>
        </w:rPr>
        <w:t>о</w:t>
      </w:r>
      <w:r w:rsidRPr="00EC444A">
        <w:rPr>
          <w:sz w:val="22"/>
          <w:szCs w:val="22"/>
        </w:rPr>
        <w:t xml:space="preserve"> лице</w:t>
      </w:r>
    </w:p>
    <w:p w14:paraId="6B685DD2" w14:textId="554EA334" w:rsidR="0091463D" w:rsidRPr="00EC444A" w:rsidRDefault="00EC444A" w:rsidP="00D91CDB">
      <w:pPr>
        <w:pStyle w:val="ListParagraph"/>
        <w:numPr>
          <w:ilvl w:val="3"/>
          <w:numId w:val="27"/>
        </w:numPr>
        <w:shd w:val="clear" w:color="auto" w:fill="FFFFFF" w:themeFill="background1"/>
        <w:tabs>
          <w:tab w:val="clear" w:pos="2520"/>
          <w:tab w:val="left" w:pos="426"/>
        </w:tabs>
        <w:ind w:left="426" w:firstLine="0"/>
        <w:jc w:val="both"/>
        <w:rPr>
          <w:sz w:val="22"/>
          <w:szCs w:val="22"/>
        </w:rPr>
      </w:pPr>
      <w:r w:rsidRPr="00EC444A">
        <w:rPr>
          <w:sz w:val="22"/>
          <w:szCs w:val="22"/>
        </w:rPr>
        <w:t>пострадали лица от други форми на трафик – 12 (4 от тях са с цел принудително задържане в подчинение)</w:t>
      </w:r>
    </w:p>
    <w:bookmarkEnd w:id="82"/>
    <w:p w14:paraId="5529659B" w14:textId="572BABB6" w:rsidR="00F55BEC" w:rsidRPr="00F55BEC" w:rsidRDefault="00F55BEC" w:rsidP="00D91CDB">
      <w:pPr>
        <w:pStyle w:val="ListParagraph"/>
        <w:numPr>
          <w:ilvl w:val="0"/>
          <w:numId w:val="52"/>
        </w:numPr>
        <w:shd w:val="clear" w:color="auto" w:fill="FFFFFF" w:themeFill="background1"/>
        <w:spacing w:after="120"/>
        <w:ind w:left="0" w:firstLine="425"/>
        <w:contextualSpacing/>
        <w:jc w:val="both"/>
        <w:rPr>
          <w:b/>
          <w:bCs/>
          <w:i/>
          <w:iCs/>
          <w:sz w:val="22"/>
          <w:szCs w:val="22"/>
          <w:lang w:bidi="my-MM"/>
        </w:rPr>
      </w:pPr>
      <w:r w:rsidRPr="00F55BEC">
        <w:rPr>
          <w:b/>
          <w:bCs/>
          <w:i/>
          <w:iCs/>
          <w:sz w:val="22"/>
          <w:szCs w:val="22"/>
          <w:lang w:bidi="my-MM"/>
        </w:rPr>
        <w:t>Развитие на международното сътрудничество чрез обмен на добри практики в областта на предотвратяването и противодействието на трафика на хора.</w:t>
      </w:r>
    </w:p>
    <w:p w14:paraId="1E0E2840" w14:textId="392B57F5" w:rsidR="00F55BEC" w:rsidRPr="00F55BEC" w:rsidRDefault="00F55BEC" w:rsidP="00D91CDB">
      <w:pPr>
        <w:shd w:val="clear" w:color="auto" w:fill="FFFFFF" w:themeFill="background1"/>
        <w:ind w:firstLine="425"/>
        <w:jc w:val="both"/>
        <w:rPr>
          <w:sz w:val="22"/>
          <w:szCs w:val="22"/>
        </w:rPr>
      </w:pPr>
      <w:r w:rsidRPr="00F55BEC">
        <w:rPr>
          <w:sz w:val="22"/>
          <w:szCs w:val="22"/>
        </w:rPr>
        <w:lastRenderedPageBreak/>
        <w:t>В качеството си на национален докладчик и координатор на НМН, през отчетния период, представители на НКБТХ и администрацията са участвали в редица събития, инициативи и обсъждания, във връзка с противодействието на трафика на хора на международно ниво, в т. ч.:</w:t>
      </w:r>
    </w:p>
    <w:p w14:paraId="2752EAB1" w14:textId="1E94711A" w:rsidR="00F55BEC" w:rsidRPr="00F55BEC" w:rsidRDefault="00F55BEC" w:rsidP="00C95CAB">
      <w:pPr>
        <w:pStyle w:val="ListParagraph"/>
        <w:numPr>
          <w:ilvl w:val="3"/>
          <w:numId w:val="27"/>
        </w:numPr>
        <w:shd w:val="clear" w:color="auto" w:fill="FFFFFF" w:themeFill="background1"/>
        <w:tabs>
          <w:tab w:val="clear" w:pos="2520"/>
          <w:tab w:val="left" w:pos="426"/>
        </w:tabs>
        <w:ind w:left="0" w:firstLine="426"/>
        <w:jc w:val="both"/>
        <w:rPr>
          <w:sz w:val="22"/>
          <w:szCs w:val="22"/>
        </w:rPr>
      </w:pPr>
      <w:r w:rsidRPr="00F55BEC">
        <w:rPr>
          <w:sz w:val="22"/>
          <w:szCs w:val="22"/>
        </w:rPr>
        <w:t xml:space="preserve">През отчетния период бяха проведени 4 двустранни срещи между администрацията на </w:t>
      </w:r>
      <w:r w:rsidRPr="00C95CAB">
        <w:rPr>
          <w:rFonts w:eastAsia="Times New Roman"/>
          <w:sz w:val="22"/>
          <w:szCs w:val="22"/>
          <w:lang w:val="bg-BG" w:eastAsia="bg-BG"/>
        </w:rPr>
        <w:t>НКБТХ, други релевантни български институции (част от Постоянната работна група към НКБТХ) и представители на дипломатическия корпус и/или компетентните национални институции с цел обмяна на опит и проучване на възможностите за двустранно сътрудничество в областта, включително представители на Великобритания (Британското посолство и Британския</w:t>
      </w:r>
      <w:r w:rsidRPr="00F55BEC">
        <w:rPr>
          <w:sz w:val="22"/>
          <w:szCs w:val="22"/>
        </w:rPr>
        <w:t xml:space="preserve"> съвет), Нидерландия и Германия.</w:t>
      </w:r>
    </w:p>
    <w:p w14:paraId="791AC32F" w14:textId="2222C8A1" w:rsidR="00F55BEC" w:rsidRPr="00F55BEC" w:rsidRDefault="00F55BEC" w:rsidP="0042127A">
      <w:pPr>
        <w:pStyle w:val="ListParagraph"/>
        <w:numPr>
          <w:ilvl w:val="3"/>
          <w:numId w:val="27"/>
        </w:numPr>
        <w:shd w:val="clear" w:color="auto" w:fill="FFFFFF" w:themeFill="background1"/>
        <w:tabs>
          <w:tab w:val="clear" w:pos="2520"/>
          <w:tab w:val="left" w:pos="426"/>
        </w:tabs>
        <w:ind w:left="0" w:firstLine="426"/>
        <w:jc w:val="both"/>
        <w:rPr>
          <w:sz w:val="22"/>
          <w:szCs w:val="22"/>
        </w:rPr>
      </w:pPr>
      <w:r w:rsidRPr="00F55BEC">
        <w:rPr>
          <w:sz w:val="22"/>
          <w:szCs w:val="22"/>
        </w:rPr>
        <w:t xml:space="preserve">Секретарят на НКБТХ взе участие в Регионална конференция „Противодействие на трафика на хора с цел сексуална и трудова експлоатация в Югоизточна Европа: предизвикателства, добри практики и ролята на съвременните технологии“, Дубровник, Република Хърватска. </w:t>
      </w:r>
    </w:p>
    <w:p w14:paraId="3F4F174D" w14:textId="130A4B12" w:rsidR="00F55BEC" w:rsidRPr="0042127A" w:rsidRDefault="00F55BEC" w:rsidP="0042127A">
      <w:pPr>
        <w:pStyle w:val="ListParagraph"/>
        <w:numPr>
          <w:ilvl w:val="3"/>
          <w:numId w:val="27"/>
        </w:numPr>
        <w:shd w:val="clear" w:color="auto" w:fill="FFFFFF" w:themeFill="background1"/>
        <w:tabs>
          <w:tab w:val="clear" w:pos="2520"/>
          <w:tab w:val="left" w:pos="426"/>
        </w:tabs>
        <w:ind w:left="0" w:firstLine="426"/>
        <w:jc w:val="both"/>
        <w:rPr>
          <w:sz w:val="22"/>
          <w:szCs w:val="22"/>
        </w:rPr>
      </w:pPr>
      <w:r w:rsidRPr="00F55BEC">
        <w:rPr>
          <w:sz w:val="22"/>
          <w:szCs w:val="22"/>
        </w:rPr>
        <w:t xml:space="preserve">Представители на администрацията на НКБТХ участваха в международна конференция на тема „Иновативни изследователски подходи в борбата с трафика на хора“/ </w:t>
      </w:r>
      <w:r w:rsidRPr="0042127A">
        <w:rPr>
          <w:sz w:val="22"/>
          <w:szCs w:val="22"/>
        </w:rPr>
        <w:t>Innovative Research Approaches in Combating Human Trafficking“</w:t>
      </w:r>
      <w:r w:rsidRPr="00F55BEC">
        <w:rPr>
          <w:sz w:val="22"/>
          <w:szCs w:val="22"/>
        </w:rPr>
        <w:t>, която се проведе в Печ, Унгария. Събитието събра представители на държавни институции, международни организации, научни среди и неправителствени организации от различни държави, в това число България, Румъния, Молдова, Нидерландия, Португалия, Германия, Ирландия и други, с цел да се обсъдят съвременни и интердисциплинарни изследователски подходи за противодействие на трафика на хора, подобряване на политиките и укрепване на междуинституционалното сътрудничество. По време на конференцията единият от експертите от НКБТХ се включи в организираната Кръгла маса, като представи като добра практика, българския модел за институционално и междуведомствено сътрудничество, с акцент върху взаимодействието между правоприлагащи органи и неправителствения сектор. В своето изказване тя подчерта значението на базираните на доказателства политики и нуждата от целенасочени изследвания върху уязвимите групи и новите форми на експлоатация. Другият експерт представи своето изследване на тема "</w:t>
      </w:r>
      <w:r w:rsidRPr="0042127A">
        <w:rPr>
          <w:sz w:val="22"/>
          <w:szCs w:val="22"/>
        </w:rPr>
        <w:t>Can prevention be standardised? Research on Public awareness and prevention campaigns on human trafficking and the Bulgarian experience".</w:t>
      </w:r>
    </w:p>
    <w:p w14:paraId="5197BCB6" w14:textId="7578E224" w:rsidR="00F55BEC" w:rsidRPr="00F55BEC" w:rsidRDefault="00F55BEC" w:rsidP="0042127A">
      <w:pPr>
        <w:pStyle w:val="ListParagraph"/>
        <w:numPr>
          <w:ilvl w:val="3"/>
          <w:numId w:val="27"/>
        </w:numPr>
        <w:shd w:val="clear" w:color="auto" w:fill="FFFFFF" w:themeFill="background1"/>
        <w:tabs>
          <w:tab w:val="clear" w:pos="2520"/>
          <w:tab w:val="left" w:pos="426"/>
        </w:tabs>
        <w:ind w:left="0" w:firstLine="426"/>
        <w:jc w:val="both"/>
        <w:rPr>
          <w:sz w:val="22"/>
          <w:szCs w:val="22"/>
        </w:rPr>
      </w:pPr>
      <w:r w:rsidRPr="00F55BEC">
        <w:rPr>
          <w:sz w:val="22"/>
          <w:szCs w:val="22"/>
        </w:rPr>
        <w:t>Представител на администрацията на НКБТХ присъства на срещата на Мрежата на националните координатори за борба с трафика на хора в Югоизточна Европа (NATC SEE), която се проведе в Словения.</w:t>
      </w:r>
    </w:p>
    <w:p w14:paraId="482ABDB8" w14:textId="4475AFD7" w:rsidR="00F55BEC" w:rsidRPr="00F55BEC" w:rsidRDefault="00F55BEC" w:rsidP="0042127A">
      <w:pPr>
        <w:pStyle w:val="ListParagraph"/>
        <w:numPr>
          <w:ilvl w:val="3"/>
          <w:numId w:val="27"/>
        </w:numPr>
        <w:shd w:val="clear" w:color="auto" w:fill="FFFFFF" w:themeFill="background1"/>
        <w:tabs>
          <w:tab w:val="clear" w:pos="2520"/>
          <w:tab w:val="left" w:pos="426"/>
        </w:tabs>
        <w:ind w:left="0" w:firstLine="426"/>
        <w:jc w:val="both"/>
        <w:rPr>
          <w:sz w:val="22"/>
          <w:szCs w:val="22"/>
        </w:rPr>
      </w:pPr>
      <w:r w:rsidRPr="00F55BEC">
        <w:rPr>
          <w:sz w:val="22"/>
          <w:szCs w:val="22"/>
        </w:rPr>
        <w:t xml:space="preserve">International </w:t>
      </w:r>
      <w:r w:rsidRPr="0042127A">
        <w:rPr>
          <w:sz w:val="22"/>
          <w:szCs w:val="22"/>
        </w:rPr>
        <w:t>Justice Mission</w:t>
      </w:r>
      <w:r w:rsidRPr="00F55BEC">
        <w:rPr>
          <w:sz w:val="22"/>
          <w:szCs w:val="22"/>
        </w:rPr>
        <w:t xml:space="preserve"> (IJM) организира двудневно обучение за създаване на концепция за мащабно базово проучване. Целта на събитието беше да се гарантира, че методологията на изследването е научно обоснована, съобразена с контекста и отразява реалностите на терен. Експерти от администрацията на НКБТХ участваха и в двата дни.</w:t>
      </w:r>
    </w:p>
    <w:p w14:paraId="3154DF00" w14:textId="038501E4" w:rsidR="00F55BEC" w:rsidRPr="00F55BEC" w:rsidRDefault="00F55BEC" w:rsidP="0042127A">
      <w:pPr>
        <w:pStyle w:val="ListParagraph"/>
        <w:numPr>
          <w:ilvl w:val="3"/>
          <w:numId w:val="27"/>
        </w:numPr>
        <w:shd w:val="clear" w:color="auto" w:fill="FFFFFF" w:themeFill="background1"/>
        <w:tabs>
          <w:tab w:val="clear" w:pos="2520"/>
          <w:tab w:val="left" w:pos="426"/>
        </w:tabs>
        <w:ind w:left="0" w:firstLine="426"/>
        <w:jc w:val="both"/>
        <w:rPr>
          <w:sz w:val="22"/>
          <w:szCs w:val="22"/>
        </w:rPr>
      </w:pPr>
      <w:r w:rsidRPr="00F55BEC">
        <w:rPr>
          <w:sz w:val="22"/>
          <w:szCs w:val="22"/>
        </w:rPr>
        <w:t xml:space="preserve">Администрацията на НКБТХ участва в организирането и провеждането на видеосреща с </w:t>
      </w:r>
      <w:r w:rsidRPr="0042127A">
        <w:rPr>
          <w:sz w:val="22"/>
          <w:szCs w:val="22"/>
        </w:rPr>
        <w:br/>
      </w:r>
      <w:r w:rsidRPr="00F55BEC">
        <w:rPr>
          <w:sz w:val="22"/>
          <w:szCs w:val="22"/>
        </w:rPr>
        <w:t>ФР Германия на тема: „Подобряване на достъпа до информация за мобилните работници, с фокус върху надеждните агенции за подбор на персонал и гарантиране на социална закрила“. Видеосрещата беше посветена на предизвикателствата, свързани с достъпа до информация за мобилните работници от уязвими общности, които се насочват към заетост в друга държава – особено в сферата на сезонната и нискоквалифицирана работа.</w:t>
      </w:r>
    </w:p>
    <w:p w14:paraId="19D2F29F" w14:textId="2D444E9B" w:rsidR="00F55BEC" w:rsidRPr="00F55BEC" w:rsidRDefault="00F55BEC" w:rsidP="0042127A">
      <w:pPr>
        <w:pStyle w:val="ListParagraph"/>
        <w:numPr>
          <w:ilvl w:val="3"/>
          <w:numId w:val="27"/>
        </w:numPr>
        <w:shd w:val="clear" w:color="auto" w:fill="FFFFFF" w:themeFill="background1"/>
        <w:tabs>
          <w:tab w:val="clear" w:pos="2520"/>
          <w:tab w:val="left" w:pos="426"/>
        </w:tabs>
        <w:ind w:left="0" w:firstLine="426"/>
        <w:jc w:val="both"/>
        <w:rPr>
          <w:sz w:val="22"/>
          <w:szCs w:val="22"/>
        </w:rPr>
      </w:pPr>
      <w:r w:rsidRPr="00F55BEC">
        <w:rPr>
          <w:sz w:val="22"/>
          <w:szCs w:val="22"/>
        </w:rPr>
        <w:t>Експерт от администрацията на НКБТХ се включи в организираната от Върховния комисариат на ООН за бежанците (ВКБООН) кръгла маса на тема: „</w:t>
      </w:r>
      <w:r w:rsidR="004631E5" w:rsidRPr="00F55BEC">
        <w:rPr>
          <w:sz w:val="22"/>
          <w:szCs w:val="22"/>
        </w:rPr>
        <w:t>Ефективно</w:t>
      </w:r>
      <w:r w:rsidRPr="00F55BEC">
        <w:rPr>
          <w:sz w:val="22"/>
          <w:szCs w:val="22"/>
        </w:rPr>
        <w:t xml:space="preserve"> настойничество за непридружени деца, търсещи и получили международна закрила в България.“, в която участваха повече от 5 държави.</w:t>
      </w:r>
    </w:p>
    <w:p w14:paraId="7B127FF0" w14:textId="7AF7B824" w:rsidR="00F55BEC" w:rsidRPr="0042127A" w:rsidRDefault="00F55BEC" w:rsidP="0042127A">
      <w:pPr>
        <w:pStyle w:val="ListParagraph"/>
        <w:numPr>
          <w:ilvl w:val="3"/>
          <w:numId w:val="27"/>
        </w:numPr>
        <w:shd w:val="clear" w:color="auto" w:fill="FFFFFF" w:themeFill="background1"/>
        <w:tabs>
          <w:tab w:val="clear" w:pos="2520"/>
          <w:tab w:val="left" w:pos="426"/>
        </w:tabs>
        <w:ind w:left="0" w:firstLine="426"/>
        <w:jc w:val="both"/>
        <w:rPr>
          <w:sz w:val="22"/>
          <w:szCs w:val="22"/>
        </w:rPr>
      </w:pPr>
      <w:r w:rsidRPr="00F55BEC">
        <w:rPr>
          <w:sz w:val="22"/>
          <w:szCs w:val="22"/>
        </w:rPr>
        <w:t>Експерт от администрацията взе участие в Конференция на високо равнище „Сила за промяна: технология и изкуствения интелект в борбата срещу трафика на хора“ – Малта. Събитието беше посветено на 20-та годишнина на Конвенцията на СЕ за борба с трафика на хора.</w:t>
      </w:r>
    </w:p>
    <w:p w14:paraId="0FC303EA" w14:textId="2D925EEC" w:rsidR="00F55BEC" w:rsidRPr="00F55BEC" w:rsidRDefault="00F55BEC" w:rsidP="0042127A">
      <w:pPr>
        <w:pStyle w:val="ListParagraph"/>
        <w:numPr>
          <w:ilvl w:val="3"/>
          <w:numId w:val="27"/>
        </w:numPr>
        <w:shd w:val="clear" w:color="auto" w:fill="FFFFFF" w:themeFill="background1"/>
        <w:tabs>
          <w:tab w:val="clear" w:pos="2520"/>
          <w:tab w:val="left" w:pos="426"/>
        </w:tabs>
        <w:ind w:left="0" w:firstLine="426"/>
        <w:jc w:val="both"/>
        <w:rPr>
          <w:sz w:val="22"/>
          <w:szCs w:val="22"/>
        </w:rPr>
      </w:pPr>
      <w:r w:rsidRPr="00F55BEC">
        <w:rPr>
          <w:sz w:val="22"/>
          <w:szCs w:val="22"/>
        </w:rPr>
        <w:t>Центърът за изследване на демокрацията (ЦИД) съвместно с организации от още осем държави членки на ЕС изпълняват проекта „Укрепване на капацитета съдебната власт и работещите на първа линия за борба с трафика на деца“ (</w:t>
      </w:r>
      <w:r w:rsidRPr="0042127A">
        <w:rPr>
          <w:sz w:val="22"/>
          <w:szCs w:val="22"/>
        </w:rPr>
        <w:t>SafeBorders)</w:t>
      </w:r>
      <w:r w:rsidRPr="00F55BEC">
        <w:rPr>
          <w:sz w:val="22"/>
          <w:szCs w:val="22"/>
        </w:rPr>
        <w:t xml:space="preserve">. Проектът е финансиран от Европейската комисия и ще продължи до края на 2026 г., като основните дейности включват организиране на поредица обучения, провеждане на кампания за повишаване на информираността и разработване на </w:t>
      </w:r>
      <w:r w:rsidRPr="00F55BEC">
        <w:rPr>
          <w:sz w:val="22"/>
          <w:szCs w:val="22"/>
        </w:rPr>
        <w:lastRenderedPageBreak/>
        <w:t>платформа, базирана на изкуствен интелект, която да подпомага работата на компетентните органи. Националната комисия за борба с трафика на хора е основният държавен орган, отговарящ за прилагането на националната политика и стратегия в областта на противодействието на трафика на хора, и за организирането и координирането на взаимодействието между отделните ведомства и организации в тази област. С оглед на ключовата си роля, НКБТХ беше активно въвлечена в хода на изпълнение на проекта. Представители на Комисията – секретарят и експерти от администрацията – взеха участие в откриващото събитие по проекта, като представиха институционалната рамка, добри практики и националните приоритети в борбата с трафика на хора. В допълнение, в рамките на проекта ще бъдат проведени срещи в четири местни комисии за борба с трафика на хора, с цел засилване на сътрудничеството на местно ниво и ангажиране на всички ключови заинтересовани страни. Срещите дават възможност за обмен на информация, идентифициране на специфични местни предизвикателства и обсъждане на съвместни действия в подкрепа на превенцията и подпомагането на уязвими групи.</w:t>
      </w:r>
    </w:p>
    <w:p w14:paraId="2A9AE210" w14:textId="322F6C17" w:rsidR="00F55BEC" w:rsidRPr="00F55BEC" w:rsidRDefault="00F55BEC" w:rsidP="0042127A">
      <w:pPr>
        <w:pStyle w:val="ListParagraph"/>
        <w:numPr>
          <w:ilvl w:val="3"/>
          <w:numId w:val="27"/>
        </w:numPr>
        <w:shd w:val="clear" w:color="auto" w:fill="FFFFFF" w:themeFill="background1"/>
        <w:tabs>
          <w:tab w:val="clear" w:pos="2520"/>
          <w:tab w:val="left" w:pos="426"/>
        </w:tabs>
        <w:ind w:left="0" w:firstLine="426"/>
        <w:jc w:val="both"/>
        <w:rPr>
          <w:sz w:val="22"/>
          <w:szCs w:val="22"/>
        </w:rPr>
      </w:pPr>
      <w:r w:rsidRPr="00F55BEC">
        <w:rPr>
          <w:sz w:val="22"/>
          <w:szCs w:val="22"/>
        </w:rPr>
        <w:t xml:space="preserve">Във връзка с подготовката на предстоящата превенционна кампания </w:t>
      </w:r>
      <w:r w:rsidRPr="0042127A">
        <w:rPr>
          <w:sz w:val="22"/>
          <w:szCs w:val="22"/>
        </w:rPr>
        <w:t>„Escape Truck“</w:t>
      </w:r>
      <w:r w:rsidRPr="00F55BEC">
        <w:rPr>
          <w:sz w:val="22"/>
          <w:szCs w:val="22"/>
        </w:rPr>
        <w:t xml:space="preserve"> (интерактивно преживяване в специално оборудван мобилен камион), реализирана в партньорство между Националната комисия за борба с трафика на хора (НКБТХ), Министерството на правосъдието, Националната полиция и Посолството в България на Кралство Нидерландия, бяха проведени четири координационни срещи с участието на международните и българските партньори по проекта. Срещите бяха насочени към планиране на логистиката, уточняване на съдържанието и посланията на кампанията, както и координиране на дейностите между различните институции и организации, ангажирани в реализацията ѝ. </w:t>
      </w:r>
    </w:p>
    <w:p w14:paraId="1B8B03D8" w14:textId="349FC97D" w:rsidR="00F55BEC" w:rsidRPr="00F55BEC" w:rsidRDefault="00F55BEC" w:rsidP="0042127A">
      <w:pPr>
        <w:pStyle w:val="ListParagraph"/>
        <w:numPr>
          <w:ilvl w:val="3"/>
          <w:numId w:val="27"/>
        </w:numPr>
        <w:shd w:val="clear" w:color="auto" w:fill="FFFFFF" w:themeFill="background1"/>
        <w:tabs>
          <w:tab w:val="clear" w:pos="2520"/>
          <w:tab w:val="left" w:pos="426"/>
        </w:tabs>
        <w:ind w:left="0" w:firstLine="426"/>
        <w:jc w:val="both"/>
        <w:rPr>
          <w:sz w:val="22"/>
          <w:szCs w:val="22"/>
        </w:rPr>
      </w:pPr>
      <w:r w:rsidRPr="00F55BEC">
        <w:rPr>
          <w:sz w:val="22"/>
          <w:szCs w:val="22"/>
        </w:rPr>
        <w:t xml:space="preserve">Фондация „УоманЪп“ – феминистка организация, в партньорство с международния австрийско-италиански колектив BILOURA </w:t>
      </w:r>
      <w:r w:rsidRPr="0042127A">
        <w:rPr>
          <w:sz w:val="22"/>
          <w:szCs w:val="22"/>
        </w:rPr>
        <w:t>Collective,</w:t>
      </w:r>
      <w:r w:rsidRPr="00F55BEC">
        <w:rPr>
          <w:sz w:val="22"/>
          <w:szCs w:val="22"/>
        </w:rPr>
        <w:t xml:space="preserve"> разработва художествен проект и спектакъл, посветени на темата за трафика на жени. Проектът цели да даде глас на жени, засегнати от трафика на хора, като инкорпорира техните лични истории във финалния артистичен продукт. Националната комисия за борба с трафика на хора беше идентифицирана като подходящ партньор за сътрудничество в рамките на проекта. В тази връзка беше проведена среща между представители на АНКБТХ и екипа на проекта, на която бяха обсъдени възможности за взаимодействие. В допълнение, представители на Комисията имаха възможност да присъстват на представянето на спектакъла, което допринесе за по-добро разбиране на артистичния подход към темата и въздействието му върху общественото съзнание.</w:t>
      </w:r>
    </w:p>
    <w:p w14:paraId="2D5AF095" w14:textId="59FF1B4D" w:rsidR="00F55BEC" w:rsidRPr="00F55BEC" w:rsidRDefault="00F55BEC" w:rsidP="0042127A">
      <w:pPr>
        <w:pStyle w:val="ListParagraph"/>
        <w:numPr>
          <w:ilvl w:val="3"/>
          <w:numId w:val="27"/>
        </w:numPr>
        <w:shd w:val="clear" w:color="auto" w:fill="FFFFFF" w:themeFill="background1"/>
        <w:tabs>
          <w:tab w:val="clear" w:pos="2520"/>
          <w:tab w:val="left" w:pos="426"/>
        </w:tabs>
        <w:ind w:left="0" w:firstLine="426"/>
        <w:jc w:val="both"/>
        <w:rPr>
          <w:sz w:val="22"/>
          <w:szCs w:val="22"/>
        </w:rPr>
      </w:pPr>
      <w:r w:rsidRPr="00F55BEC">
        <w:rPr>
          <w:sz w:val="22"/>
          <w:szCs w:val="22"/>
        </w:rPr>
        <w:t xml:space="preserve">Стратегическо партньорство и финансова подкрепа за дейности от национален приоритет, изпълнявани от неправителствени организации, част от Постоянната работна група към НКБТХ – фондация Асоциация Анимус, фондация Дигнита и Център за изследване на демокрацията, е осигурена от американската организация International </w:t>
      </w:r>
      <w:r w:rsidRPr="0042127A">
        <w:rPr>
          <w:sz w:val="22"/>
          <w:szCs w:val="22"/>
        </w:rPr>
        <w:t>Justice Mission</w:t>
      </w:r>
      <w:r w:rsidRPr="00F55BEC">
        <w:rPr>
          <w:sz w:val="22"/>
          <w:szCs w:val="22"/>
        </w:rPr>
        <w:t xml:space="preserve"> (IJM). В рамките на тригодишна програма тя ще подкрепи с общо 1.6 млн. долара дейности за превенция и борба с трафика на хора в България и Румъния. В тази връзка през отчетния период между администрацията на НКБТХ, IJM и партньорите по програмата от българска страна, бяха проведени 6 координационни срещи.</w:t>
      </w:r>
    </w:p>
    <w:p w14:paraId="7CF91EE3" w14:textId="688A9E1E" w:rsidR="00F55BEC" w:rsidRPr="00F55BEC" w:rsidRDefault="00F55BEC" w:rsidP="0042127A">
      <w:pPr>
        <w:pStyle w:val="ListParagraph"/>
        <w:numPr>
          <w:ilvl w:val="3"/>
          <w:numId w:val="27"/>
        </w:numPr>
        <w:shd w:val="clear" w:color="auto" w:fill="FFFFFF" w:themeFill="background1"/>
        <w:tabs>
          <w:tab w:val="clear" w:pos="2520"/>
          <w:tab w:val="left" w:pos="426"/>
        </w:tabs>
        <w:ind w:left="0" w:firstLine="426"/>
        <w:jc w:val="both"/>
        <w:rPr>
          <w:sz w:val="22"/>
          <w:szCs w:val="22"/>
        </w:rPr>
      </w:pPr>
      <w:r w:rsidRPr="00F55BEC">
        <w:rPr>
          <w:sz w:val="22"/>
          <w:szCs w:val="22"/>
        </w:rPr>
        <w:t>Стартира Швейцарско-българската програма за сътрудничество, която включва като компонент мерки и дейности за противодействие на трафика на хора, чието изпълнение ще бъде част от ангажиментите на администрацията на НКБТХ. През м. юни беше подписано Споразумение за мярка за подкрепа „Осигуряване на подкрепа за управлението на миграцията и насърчаване на мерки за интеграция“ между НКБТХ, Швейцария и Дирекция „Международни проекти“ към МВР.</w:t>
      </w:r>
    </w:p>
    <w:p w14:paraId="60C5888F" w14:textId="4455321D" w:rsidR="00F55BEC" w:rsidRPr="00F55BEC" w:rsidRDefault="00F55BEC" w:rsidP="0042127A">
      <w:pPr>
        <w:pStyle w:val="ListParagraph"/>
        <w:numPr>
          <w:ilvl w:val="3"/>
          <w:numId w:val="27"/>
        </w:numPr>
        <w:shd w:val="clear" w:color="auto" w:fill="FFFFFF" w:themeFill="background1"/>
        <w:tabs>
          <w:tab w:val="clear" w:pos="2520"/>
          <w:tab w:val="left" w:pos="426"/>
        </w:tabs>
        <w:ind w:left="0" w:firstLine="426"/>
        <w:jc w:val="both"/>
        <w:rPr>
          <w:sz w:val="22"/>
          <w:szCs w:val="22"/>
        </w:rPr>
      </w:pPr>
      <w:r w:rsidRPr="00F55BEC">
        <w:rPr>
          <w:sz w:val="22"/>
          <w:szCs w:val="22"/>
        </w:rPr>
        <w:t xml:space="preserve">Както всяка година, Националната комисия за борба с трафика на хора координира целия процес по събирането и предоставянето на информация по въпросника на Държавния департамент на САЩ във връзка с изготвянето на Годишния доклад за трафика на хора за периода 2024 – 2025 г. В рамките на отчетния период, секретарят на НКБТХ и експерт от администрацията проведоха работна среща с представители на Посолството на САЩ в София по повод предстоящото публикуване на доклада и обсъдиха ключови теми, свързани с напредъка и предизвикателствата пред България в борбата с трафика на хора. Освен това, експерти от администрацията на НКБТХ изготвиха обобщен тематичен доклад относно състоянието и тенденциите на трафика на хора в България през последните години. Документът беше подготвен за министъра на вътрешните работи </w:t>
      </w:r>
      <w:r w:rsidRPr="00F55BEC">
        <w:rPr>
          <w:sz w:val="22"/>
          <w:szCs w:val="22"/>
        </w:rPr>
        <w:lastRenderedPageBreak/>
        <w:t>г-н Даниел Митов по повод неговото официално посещение в САЩ, с цел предоставяне на актуална информация и представяне на усилията на страната в тази сфера на международно ниво.</w:t>
      </w:r>
    </w:p>
    <w:p w14:paraId="052CD05C" w14:textId="7495FDCC" w:rsidR="00F55BEC" w:rsidRPr="00F55BEC" w:rsidRDefault="00F55BEC" w:rsidP="0042127A">
      <w:pPr>
        <w:pStyle w:val="ListParagraph"/>
        <w:numPr>
          <w:ilvl w:val="3"/>
          <w:numId w:val="27"/>
        </w:numPr>
        <w:shd w:val="clear" w:color="auto" w:fill="FFFFFF" w:themeFill="background1"/>
        <w:tabs>
          <w:tab w:val="clear" w:pos="2520"/>
          <w:tab w:val="left" w:pos="426"/>
        </w:tabs>
        <w:ind w:left="0" w:firstLine="426"/>
        <w:jc w:val="both"/>
        <w:rPr>
          <w:sz w:val="22"/>
          <w:szCs w:val="22"/>
        </w:rPr>
      </w:pPr>
      <w:r w:rsidRPr="00F55BEC">
        <w:rPr>
          <w:sz w:val="22"/>
          <w:szCs w:val="22"/>
        </w:rPr>
        <w:t>Администрацията на НКБТХ организира и координира цялостното докладване по 4-тия кръг на оценка, относно прилагането на Конвенцията на Съвета на Европа за борба с трафика на хора от страна на Р България (ГРЕТА).</w:t>
      </w:r>
    </w:p>
    <w:p w14:paraId="578EFDA8" w14:textId="44F5B716" w:rsidR="0091463D" w:rsidRPr="00EC444A" w:rsidRDefault="00F55BEC" w:rsidP="00D91CDB">
      <w:pPr>
        <w:shd w:val="clear" w:color="auto" w:fill="FFFFFF" w:themeFill="background1"/>
        <w:tabs>
          <w:tab w:val="left" w:pos="426"/>
        </w:tabs>
        <w:spacing w:after="120"/>
        <w:ind w:firstLine="425"/>
        <w:jc w:val="both"/>
        <w:rPr>
          <w:sz w:val="22"/>
          <w:szCs w:val="22"/>
        </w:rPr>
      </w:pPr>
      <w:r w:rsidRPr="00F55BEC">
        <w:rPr>
          <w:sz w:val="22"/>
          <w:szCs w:val="22"/>
        </w:rPr>
        <w:tab/>
        <w:t>Администрацията на НКБТХ и представители на ПРГ, бяха част от редица международни събития, насочени към специфични проблеми, свързани с противодействието на трафика на хора и закрилата на жертвите.</w:t>
      </w:r>
    </w:p>
    <w:p w14:paraId="3C4BA7EE" w14:textId="77777777" w:rsidR="00EA6DA9" w:rsidRPr="00EA6DA9" w:rsidRDefault="00EA6DA9" w:rsidP="00D91CDB">
      <w:pPr>
        <w:pStyle w:val="ListParagraph"/>
        <w:numPr>
          <w:ilvl w:val="0"/>
          <w:numId w:val="52"/>
        </w:numPr>
        <w:shd w:val="clear" w:color="auto" w:fill="FFFFFF" w:themeFill="background1"/>
        <w:spacing w:after="120"/>
        <w:ind w:left="0" w:firstLine="425"/>
        <w:contextualSpacing/>
        <w:jc w:val="both"/>
        <w:rPr>
          <w:b/>
          <w:bCs/>
          <w:i/>
          <w:iCs/>
          <w:sz w:val="22"/>
          <w:szCs w:val="22"/>
          <w:lang w:bidi="my-MM"/>
        </w:rPr>
      </w:pPr>
      <w:r w:rsidRPr="00EA6DA9">
        <w:rPr>
          <w:b/>
          <w:bCs/>
          <w:i/>
          <w:iCs/>
          <w:sz w:val="22"/>
          <w:szCs w:val="22"/>
          <w:lang w:bidi="my-MM"/>
        </w:rPr>
        <w:t>Осъвременяване на законодателните мерки с цел подобряване на ефективното противодействие на трафика на хора в България, в контекста на международната и европейска политика за борба с това престъпление.</w:t>
      </w:r>
    </w:p>
    <w:p w14:paraId="78DC3BD5" w14:textId="77777777" w:rsidR="00EA6DA9" w:rsidRPr="00A8722A" w:rsidRDefault="00EA6DA9" w:rsidP="00D91CDB">
      <w:pPr>
        <w:pStyle w:val="ListParagraph"/>
        <w:numPr>
          <w:ilvl w:val="0"/>
          <w:numId w:val="54"/>
        </w:numPr>
        <w:shd w:val="clear" w:color="auto" w:fill="FFFFFF" w:themeFill="background1"/>
        <w:spacing w:after="200"/>
        <w:ind w:left="0" w:firstLine="426"/>
        <w:contextualSpacing/>
        <w:jc w:val="both"/>
        <w:rPr>
          <w:sz w:val="22"/>
          <w:szCs w:val="22"/>
        </w:rPr>
      </w:pPr>
      <w:r w:rsidRPr="00A8722A">
        <w:rPr>
          <w:sz w:val="22"/>
          <w:szCs w:val="22"/>
        </w:rPr>
        <w:t xml:space="preserve">Предвид важността на идентифицирането на специфичните уязвимости в национален контекст за разработване на по-ефективни мерки за превенция и закрила/реинтеграция, администрацията на НКБТХ предложи да бъде направена оценка и актуализация на Националния механизъм за насочване и подкрепа на жертвите на трафик (НМН), като дейност в рамките на следващия период на Българо-швейцарската програма за сътрудничество /вторият швейцарски принос по Рамковото споразумение, подписано между Федералния съвет на Швейцария и правителството на България през септември 2022 г. </w:t>
      </w:r>
    </w:p>
    <w:p w14:paraId="33F0587C" w14:textId="77777777" w:rsidR="00EA6DA9" w:rsidRPr="0014189E" w:rsidRDefault="00EA6DA9" w:rsidP="00D91CDB">
      <w:pPr>
        <w:pStyle w:val="ListParagraph"/>
        <w:numPr>
          <w:ilvl w:val="0"/>
          <w:numId w:val="54"/>
        </w:numPr>
        <w:shd w:val="clear" w:color="auto" w:fill="FFFFFF" w:themeFill="background1"/>
        <w:spacing w:after="200"/>
        <w:ind w:left="0" w:firstLine="426"/>
        <w:contextualSpacing/>
        <w:jc w:val="both"/>
        <w:rPr>
          <w:sz w:val="22"/>
          <w:szCs w:val="22"/>
        </w:rPr>
      </w:pPr>
      <w:r w:rsidRPr="00A8722A">
        <w:rPr>
          <w:sz w:val="22"/>
          <w:szCs w:val="22"/>
        </w:rPr>
        <w:t>Във връзка с въвеждането в националното законодателство на изискванията на Директива (ЕС) 2024/1712 на Европейския парламент и на Съвета от 13 юни 2024 година за изменение на Директива 2011/36/ЕС относно предотвратяването и борбата с трафика на хора и защитата на жертвите от него, със заповед на министъра на правосъдието е сформирана междуведомствена работна група, в която експерти от администрацията на Националната комисия за борба с трафика на хора са членове. От предварителния анализ направен от Министерството на правосъдието във връзка с въвеждането в националното законодателство на изискванията на Директива (ЕС) 2024/1712 се установява, че</w:t>
      </w:r>
      <w:r w:rsidRPr="0014189E">
        <w:rPr>
          <w:sz w:val="22"/>
          <w:szCs w:val="22"/>
        </w:rPr>
        <w:t xml:space="preserve"> </w:t>
      </w:r>
      <w:r w:rsidRPr="00A8722A">
        <w:rPr>
          <w:sz w:val="22"/>
          <w:szCs w:val="22"/>
        </w:rPr>
        <w:t>измененията в Директива 2011/36/ЕС са всеобхватни, поради което засягат дейността на широк кръг институции, като от гледна точка на националното ни право, тези аспекти засягат уредба в редица нормативни актове, както наказателната уредба, така и превенция, помощ за пострадалите, събиране на статистика и др.</w:t>
      </w:r>
      <w:r w:rsidRPr="0014189E">
        <w:rPr>
          <w:sz w:val="22"/>
          <w:szCs w:val="22"/>
        </w:rPr>
        <w:t xml:space="preserve"> </w:t>
      </w:r>
      <w:r w:rsidRPr="00A8722A">
        <w:rPr>
          <w:sz w:val="22"/>
          <w:szCs w:val="22"/>
        </w:rPr>
        <w:t>Окончателната преценка за нормативните актове, които ще се изменят или допълнят във връзка с транспонирането на директивата, ще се установи в хода на работата на работната група. За отчетният период за проведени 4 заседания на работната група и едн</w:t>
      </w:r>
      <w:r w:rsidRPr="0014189E">
        <w:rPr>
          <w:sz w:val="22"/>
          <w:szCs w:val="22"/>
        </w:rPr>
        <w:t xml:space="preserve">a Работна среща по транспониране на изменената Директива за противодействие на трафика на хора, </w:t>
      </w:r>
      <w:r w:rsidRPr="00A8722A">
        <w:rPr>
          <w:sz w:val="22"/>
          <w:szCs w:val="22"/>
        </w:rPr>
        <w:t>с цел да се подпомогне на държавите членки при транспонирането на Директивата и по никакъв начин не е правно обвързваща. През м. септември т.г. предстои втора такава международна среща.</w:t>
      </w:r>
    </w:p>
    <w:p w14:paraId="5E7EF0C7" w14:textId="77777777" w:rsidR="00BF51DE" w:rsidRDefault="00BF51DE" w:rsidP="002F6E1B">
      <w:pPr>
        <w:shd w:val="clear" w:color="auto" w:fill="FFFFFF" w:themeFill="background1"/>
        <w:ind w:left="357"/>
        <w:jc w:val="both"/>
        <w:rPr>
          <w:i/>
          <w:sz w:val="22"/>
          <w:szCs w:val="22"/>
        </w:rPr>
      </w:pPr>
      <w:r w:rsidRPr="00C54A85">
        <w:rPr>
          <w:i/>
          <w:sz w:val="22"/>
          <w:szCs w:val="22"/>
        </w:rPr>
        <w:t>Целеви стойности по показателите за изпълнение</w:t>
      </w:r>
    </w:p>
    <w:tbl>
      <w:tblPr>
        <w:tblW w:w="4701" w:type="pct"/>
        <w:tblInd w:w="279" w:type="dxa"/>
        <w:tblLayout w:type="fixed"/>
        <w:tblCellMar>
          <w:left w:w="70" w:type="dxa"/>
          <w:right w:w="70" w:type="dxa"/>
        </w:tblCellMar>
        <w:tblLook w:val="0000" w:firstRow="0" w:lastRow="0" w:firstColumn="0" w:lastColumn="0" w:noHBand="0" w:noVBand="0"/>
      </w:tblPr>
      <w:tblGrid>
        <w:gridCol w:w="5523"/>
        <w:gridCol w:w="996"/>
        <w:gridCol w:w="1134"/>
        <w:gridCol w:w="1134"/>
      </w:tblGrid>
      <w:tr w:rsidR="00955FA8" w:rsidRPr="00955FA8" w14:paraId="2CE43175" w14:textId="77777777" w:rsidTr="00C54A85">
        <w:trPr>
          <w:trHeight w:val="270"/>
        </w:trPr>
        <w:tc>
          <w:tcPr>
            <w:tcW w:w="3143" w:type="pct"/>
            <w:tcBorders>
              <w:top w:val="single" w:sz="4" w:space="0" w:color="auto"/>
              <w:left w:val="single" w:sz="4" w:space="0" w:color="auto"/>
              <w:bottom w:val="single" w:sz="4" w:space="0" w:color="auto"/>
              <w:right w:val="single" w:sz="4" w:space="0" w:color="auto"/>
            </w:tcBorders>
            <w:shd w:val="clear" w:color="auto" w:fill="F6C5AC" w:themeFill="accent2" w:themeFillTint="66"/>
            <w:vAlign w:val="center"/>
          </w:tcPr>
          <w:p w14:paraId="4E5BFD1D" w14:textId="7FAFDEAB" w:rsidR="00252894" w:rsidRPr="00955FA8" w:rsidRDefault="00252894" w:rsidP="00AB52EF">
            <w:pPr>
              <w:jc w:val="center"/>
              <w:rPr>
                <w:b/>
                <w:bCs/>
                <w:sz w:val="18"/>
                <w:szCs w:val="18"/>
              </w:rPr>
            </w:pPr>
            <w:r w:rsidRPr="00955FA8">
              <w:rPr>
                <w:b/>
                <w:bCs/>
                <w:sz w:val="18"/>
                <w:szCs w:val="18"/>
              </w:rPr>
              <w:t>П</w:t>
            </w:r>
            <w:r w:rsidR="00AB52EF">
              <w:rPr>
                <w:b/>
                <w:bCs/>
                <w:sz w:val="18"/>
                <w:szCs w:val="18"/>
              </w:rPr>
              <w:t>оказатели за</w:t>
            </w:r>
            <w:r w:rsidRPr="00955FA8">
              <w:rPr>
                <w:b/>
                <w:bCs/>
                <w:sz w:val="18"/>
                <w:szCs w:val="18"/>
              </w:rPr>
              <w:t xml:space="preserve"> </w:t>
            </w:r>
            <w:r w:rsidR="00AB52EF">
              <w:rPr>
                <w:b/>
                <w:bCs/>
                <w:sz w:val="18"/>
                <w:szCs w:val="18"/>
              </w:rPr>
              <w:t>изпълнение</w:t>
            </w:r>
          </w:p>
        </w:tc>
        <w:tc>
          <w:tcPr>
            <w:tcW w:w="567" w:type="pct"/>
            <w:tcBorders>
              <w:top w:val="single" w:sz="4" w:space="0" w:color="auto"/>
              <w:left w:val="single" w:sz="4" w:space="0" w:color="auto"/>
              <w:bottom w:val="single" w:sz="4" w:space="0" w:color="auto"/>
              <w:right w:val="single" w:sz="4" w:space="0" w:color="auto"/>
            </w:tcBorders>
            <w:shd w:val="clear" w:color="auto" w:fill="F6C5AC" w:themeFill="accent2" w:themeFillTint="66"/>
            <w:vAlign w:val="center"/>
          </w:tcPr>
          <w:p w14:paraId="30AF24B6" w14:textId="566587B8" w:rsidR="00252894" w:rsidRPr="00FE599C" w:rsidRDefault="00252894" w:rsidP="00AB52EF">
            <w:pPr>
              <w:jc w:val="center"/>
              <w:rPr>
                <w:b/>
                <w:bCs/>
                <w:sz w:val="18"/>
                <w:szCs w:val="18"/>
              </w:rPr>
            </w:pPr>
            <w:r w:rsidRPr="00FE599C">
              <w:rPr>
                <w:b/>
                <w:bCs/>
                <w:sz w:val="18"/>
                <w:szCs w:val="18"/>
              </w:rPr>
              <w:t>Мерна единица</w:t>
            </w:r>
          </w:p>
        </w:tc>
        <w:tc>
          <w:tcPr>
            <w:tcW w:w="645" w:type="pct"/>
            <w:tcBorders>
              <w:top w:val="single" w:sz="4" w:space="0" w:color="auto"/>
              <w:left w:val="single" w:sz="4" w:space="0" w:color="auto"/>
              <w:bottom w:val="single" w:sz="4" w:space="0" w:color="auto"/>
              <w:right w:val="single" w:sz="4" w:space="0" w:color="auto"/>
            </w:tcBorders>
            <w:shd w:val="clear" w:color="auto" w:fill="F6C5AC" w:themeFill="accent2" w:themeFillTint="66"/>
            <w:vAlign w:val="center"/>
          </w:tcPr>
          <w:p w14:paraId="73F0B5C0" w14:textId="47E7BCF3" w:rsidR="00252894" w:rsidRPr="00FE599C" w:rsidRDefault="00252894" w:rsidP="00AB52EF">
            <w:pPr>
              <w:jc w:val="center"/>
              <w:rPr>
                <w:b/>
                <w:bCs/>
                <w:sz w:val="18"/>
                <w:szCs w:val="18"/>
              </w:rPr>
            </w:pPr>
            <w:r w:rsidRPr="00FE599C">
              <w:rPr>
                <w:b/>
                <w:bCs/>
                <w:sz w:val="18"/>
                <w:szCs w:val="18"/>
              </w:rPr>
              <w:t>Целева стойност</w:t>
            </w:r>
          </w:p>
        </w:tc>
        <w:tc>
          <w:tcPr>
            <w:tcW w:w="645" w:type="pct"/>
            <w:tcBorders>
              <w:top w:val="single" w:sz="4" w:space="0" w:color="auto"/>
              <w:left w:val="single" w:sz="4" w:space="0" w:color="auto"/>
              <w:bottom w:val="single" w:sz="4" w:space="0" w:color="auto"/>
              <w:right w:val="single" w:sz="4" w:space="0" w:color="auto"/>
            </w:tcBorders>
            <w:shd w:val="clear" w:color="auto" w:fill="F6C5AC" w:themeFill="accent2" w:themeFillTint="66"/>
            <w:vAlign w:val="center"/>
          </w:tcPr>
          <w:p w14:paraId="27ACD7EC" w14:textId="10148E9D" w:rsidR="00252894" w:rsidRPr="00FE599C" w:rsidRDefault="00252894" w:rsidP="00AB52EF">
            <w:pPr>
              <w:jc w:val="center"/>
              <w:rPr>
                <w:b/>
                <w:bCs/>
                <w:sz w:val="18"/>
                <w:szCs w:val="18"/>
              </w:rPr>
            </w:pPr>
            <w:r w:rsidRPr="00FE599C">
              <w:rPr>
                <w:b/>
                <w:bCs/>
                <w:sz w:val="18"/>
                <w:szCs w:val="18"/>
              </w:rPr>
              <w:t>Отчет</w:t>
            </w:r>
          </w:p>
        </w:tc>
      </w:tr>
      <w:tr w:rsidR="00955FA8" w:rsidRPr="00955FA8" w14:paraId="0BBAD674" w14:textId="77777777" w:rsidTr="00494A4D">
        <w:trPr>
          <w:trHeight w:val="338"/>
        </w:trPr>
        <w:tc>
          <w:tcPr>
            <w:tcW w:w="3143" w:type="pct"/>
            <w:tcBorders>
              <w:top w:val="single" w:sz="4" w:space="0" w:color="auto"/>
              <w:left w:val="single" w:sz="8" w:space="0" w:color="auto"/>
              <w:bottom w:val="single" w:sz="8" w:space="0" w:color="auto"/>
              <w:right w:val="single" w:sz="8" w:space="0" w:color="auto"/>
            </w:tcBorders>
          </w:tcPr>
          <w:p w14:paraId="494A1C3C" w14:textId="77777777" w:rsidR="00252894" w:rsidRPr="00955FA8" w:rsidRDefault="00252894" w:rsidP="00EF46CA">
            <w:pPr>
              <w:rPr>
                <w:sz w:val="18"/>
                <w:szCs w:val="18"/>
              </w:rPr>
            </w:pPr>
            <w:r w:rsidRPr="00955FA8">
              <w:rPr>
                <w:sz w:val="18"/>
                <w:szCs w:val="18"/>
                <w:lang w:val="en-US"/>
              </w:rPr>
              <w:t>1.</w:t>
            </w:r>
            <w:r w:rsidRPr="00955FA8">
              <w:rPr>
                <w:sz w:val="18"/>
                <w:szCs w:val="18"/>
              </w:rPr>
              <w:t>Заседания на НКБТХ, МКБТХ и междуведомствени експертни групи</w:t>
            </w:r>
          </w:p>
        </w:tc>
        <w:tc>
          <w:tcPr>
            <w:tcW w:w="567" w:type="pct"/>
            <w:tcBorders>
              <w:top w:val="single" w:sz="4" w:space="0" w:color="auto"/>
              <w:left w:val="nil"/>
              <w:bottom w:val="single" w:sz="8" w:space="0" w:color="auto"/>
              <w:right w:val="single" w:sz="8" w:space="0" w:color="auto"/>
            </w:tcBorders>
          </w:tcPr>
          <w:p w14:paraId="3B2A159F" w14:textId="77777777" w:rsidR="00252894" w:rsidRPr="00955FA8" w:rsidRDefault="00252894" w:rsidP="00EF46CA">
            <w:pPr>
              <w:jc w:val="center"/>
              <w:rPr>
                <w:sz w:val="18"/>
                <w:szCs w:val="18"/>
              </w:rPr>
            </w:pPr>
            <w:r w:rsidRPr="00955FA8">
              <w:rPr>
                <w:sz w:val="18"/>
                <w:szCs w:val="18"/>
              </w:rPr>
              <w:t>брой</w:t>
            </w:r>
          </w:p>
        </w:tc>
        <w:tc>
          <w:tcPr>
            <w:tcW w:w="645" w:type="pct"/>
            <w:tcBorders>
              <w:top w:val="nil"/>
              <w:left w:val="nil"/>
              <w:bottom w:val="single" w:sz="8" w:space="0" w:color="auto"/>
              <w:right w:val="single" w:sz="8" w:space="0" w:color="auto"/>
            </w:tcBorders>
            <w:shd w:val="clear" w:color="auto" w:fill="auto"/>
          </w:tcPr>
          <w:p w14:paraId="588C36D9" w14:textId="77777777" w:rsidR="00252894" w:rsidRPr="00955FA8" w:rsidRDefault="00252894" w:rsidP="00EF46CA">
            <w:pPr>
              <w:tabs>
                <w:tab w:val="left" w:pos="545"/>
                <w:tab w:val="center" w:pos="638"/>
              </w:tabs>
              <w:jc w:val="center"/>
              <w:rPr>
                <w:sz w:val="18"/>
                <w:szCs w:val="18"/>
              </w:rPr>
            </w:pPr>
            <w:r w:rsidRPr="00955FA8">
              <w:rPr>
                <w:sz w:val="18"/>
                <w:szCs w:val="18"/>
              </w:rPr>
              <w:t>35</w:t>
            </w:r>
          </w:p>
        </w:tc>
        <w:tc>
          <w:tcPr>
            <w:tcW w:w="645" w:type="pct"/>
            <w:tcBorders>
              <w:top w:val="single" w:sz="4" w:space="0" w:color="auto"/>
              <w:left w:val="nil"/>
              <w:bottom w:val="single" w:sz="8" w:space="0" w:color="auto"/>
              <w:right w:val="single" w:sz="8" w:space="0" w:color="auto"/>
            </w:tcBorders>
            <w:shd w:val="clear" w:color="auto" w:fill="auto"/>
          </w:tcPr>
          <w:p w14:paraId="1621049E" w14:textId="77777777" w:rsidR="00252894" w:rsidRPr="00955FA8" w:rsidRDefault="00252894" w:rsidP="00EF46CA">
            <w:pPr>
              <w:jc w:val="center"/>
              <w:rPr>
                <w:sz w:val="18"/>
                <w:szCs w:val="18"/>
              </w:rPr>
            </w:pPr>
            <w:r w:rsidRPr="00955FA8">
              <w:rPr>
                <w:sz w:val="18"/>
                <w:szCs w:val="18"/>
              </w:rPr>
              <w:t>17</w:t>
            </w:r>
          </w:p>
        </w:tc>
      </w:tr>
      <w:tr w:rsidR="00955FA8" w:rsidRPr="00955FA8" w14:paraId="4F1B9570" w14:textId="77777777" w:rsidTr="00494A4D">
        <w:trPr>
          <w:trHeight w:val="191"/>
        </w:trPr>
        <w:tc>
          <w:tcPr>
            <w:tcW w:w="3143" w:type="pct"/>
            <w:tcBorders>
              <w:top w:val="nil"/>
              <w:left w:val="single" w:sz="8" w:space="0" w:color="auto"/>
              <w:bottom w:val="single" w:sz="8" w:space="0" w:color="auto"/>
              <w:right w:val="single" w:sz="8" w:space="0" w:color="auto"/>
            </w:tcBorders>
          </w:tcPr>
          <w:p w14:paraId="19C1C455" w14:textId="77777777" w:rsidR="00252894" w:rsidRPr="00955FA8" w:rsidRDefault="00252894" w:rsidP="00EF46CA">
            <w:pPr>
              <w:rPr>
                <w:sz w:val="18"/>
                <w:szCs w:val="18"/>
              </w:rPr>
            </w:pPr>
            <w:r w:rsidRPr="00955FA8">
              <w:rPr>
                <w:sz w:val="18"/>
                <w:szCs w:val="18"/>
                <w:lang w:val="en-US"/>
              </w:rPr>
              <w:t>2.</w:t>
            </w:r>
            <w:r w:rsidRPr="00955FA8">
              <w:rPr>
                <w:sz w:val="18"/>
                <w:szCs w:val="18"/>
              </w:rPr>
              <w:t xml:space="preserve">Проучвания и анализи в областта на трафика на хора </w:t>
            </w:r>
          </w:p>
        </w:tc>
        <w:tc>
          <w:tcPr>
            <w:tcW w:w="567" w:type="pct"/>
            <w:tcBorders>
              <w:top w:val="nil"/>
              <w:left w:val="nil"/>
              <w:bottom w:val="single" w:sz="8" w:space="0" w:color="auto"/>
              <w:right w:val="single" w:sz="8" w:space="0" w:color="auto"/>
            </w:tcBorders>
          </w:tcPr>
          <w:p w14:paraId="3995C074" w14:textId="77777777" w:rsidR="00252894" w:rsidRPr="00955FA8" w:rsidRDefault="00252894" w:rsidP="00EF46CA">
            <w:pPr>
              <w:jc w:val="center"/>
              <w:rPr>
                <w:sz w:val="18"/>
                <w:szCs w:val="18"/>
              </w:rPr>
            </w:pPr>
            <w:r w:rsidRPr="00955FA8">
              <w:rPr>
                <w:sz w:val="18"/>
                <w:szCs w:val="18"/>
              </w:rPr>
              <w:t>брой</w:t>
            </w:r>
          </w:p>
        </w:tc>
        <w:tc>
          <w:tcPr>
            <w:tcW w:w="645" w:type="pct"/>
            <w:tcBorders>
              <w:top w:val="nil"/>
              <w:left w:val="nil"/>
              <w:bottom w:val="single" w:sz="8" w:space="0" w:color="auto"/>
              <w:right w:val="single" w:sz="8" w:space="0" w:color="auto"/>
            </w:tcBorders>
            <w:shd w:val="clear" w:color="auto" w:fill="auto"/>
          </w:tcPr>
          <w:p w14:paraId="4104F83C" w14:textId="77777777" w:rsidR="00252894" w:rsidRPr="00955FA8" w:rsidRDefault="00252894" w:rsidP="00EF46CA">
            <w:pPr>
              <w:tabs>
                <w:tab w:val="left" w:pos="545"/>
                <w:tab w:val="center" w:pos="638"/>
              </w:tabs>
              <w:jc w:val="center"/>
              <w:rPr>
                <w:sz w:val="18"/>
                <w:szCs w:val="18"/>
              </w:rPr>
            </w:pPr>
            <w:r w:rsidRPr="00955FA8">
              <w:rPr>
                <w:sz w:val="18"/>
                <w:szCs w:val="18"/>
              </w:rPr>
              <w:t>5</w:t>
            </w:r>
          </w:p>
        </w:tc>
        <w:tc>
          <w:tcPr>
            <w:tcW w:w="645" w:type="pct"/>
            <w:tcBorders>
              <w:top w:val="nil"/>
              <w:left w:val="nil"/>
              <w:bottom w:val="single" w:sz="8" w:space="0" w:color="auto"/>
              <w:right w:val="single" w:sz="8" w:space="0" w:color="auto"/>
            </w:tcBorders>
            <w:shd w:val="clear" w:color="auto" w:fill="auto"/>
          </w:tcPr>
          <w:p w14:paraId="6E4B056A" w14:textId="058A169B" w:rsidR="00252894" w:rsidRPr="00955FA8" w:rsidRDefault="00252894" w:rsidP="00494A4D">
            <w:pPr>
              <w:jc w:val="center"/>
              <w:rPr>
                <w:sz w:val="18"/>
                <w:szCs w:val="18"/>
              </w:rPr>
            </w:pPr>
            <w:r w:rsidRPr="00955FA8">
              <w:rPr>
                <w:sz w:val="18"/>
                <w:szCs w:val="18"/>
              </w:rPr>
              <w:t>1</w:t>
            </w:r>
          </w:p>
        </w:tc>
      </w:tr>
      <w:tr w:rsidR="00955FA8" w:rsidRPr="00955FA8" w14:paraId="6F7B2872" w14:textId="77777777" w:rsidTr="00494A4D">
        <w:trPr>
          <w:trHeight w:val="126"/>
        </w:trPr>
        <w:tc>
          <w:tcPr>
            <w:tcW w:w="3143" w:type="pct"/>
            <w:tcBorders>
              <w:top w:val="nil"/>
              <w:left w:val="single" w:sz="8" w:space="0" w:color="auto"/>
              <w:bottom w:val="single" w:sz="8" w:space="0" w:color="auto"/>
              <w:right w:val="single" w:sz="8" w:space="0" w:color="auto"/>
            </w:tcBorders>
          </w:tcPr>
          <w:p w14:paraId="7040D31C" w14:textId="77777777" w:rsidR="00252894" w:rsidRPr="00955FA8" w:rsidRDefault="00252894" w:rsidP="00EF46CA">
            <w:pPr>
              <w:rPr>
                <w:sz w:val="18"/>
                <w:szCs w:val="18"/>
              </w:rPr>
            </w:pPr>
            <w:r w:rsidRPr="00955FA8">
              <w:rPr>
                <w:sz w:val="18"/>
                <w:szCs w:val="18"/>
                <w:lang w:val="en-US"/>
              </w:rPr>
              <w:t>3.</w:t>
            </w:r>
            <w:r w:rsidRPr="00955FA8">
              <w:rPr>
                <w:sz w:val="18"/>
                <w:szCs w:val="18"/>
              </w:rPr>
              <w:t xml:space="preserve">Обучения на специалисти </w:t>
            </w:r>
          </w:p>
        </w:tc>
        <w:tc>
          <w:tcPr>
            <w:tcW w:w="567" w:type="pct"/>
            <w:tcBorders>
              <w:top w:val="nil"/>
              <w:left w:val="nil"/>
              <w:bottom w:val="single" w:sz="8" w:space="0" w:color="auto"/>
              <w:right w:val="single" w:sz="8" w:space="0" w:color="auto"/>
            </w:tcBorders>
          </w:tcPr>
          <w:p w14:paraId="01EFC8D2" w14:textId="77777777" w:rsidR="00252894" w:rsidRPr="00955FA8" w:rsidRDefault="00252894" w:rsidP="00EF46CA">
            <w:pPr>
              <w:jc w:val="center"/>
              <w:rPr>
                <w:sz w:val="18"/>
                <w:szCs w:val="18"/>
              </w:rPr>
            </w:pPr>
            <w:r w:rsidRPr="00955FA8">
              <w:rPr>
                <w:sz w:val="18"/>
                <w:szCs w:val="18"/>
              </w:rPr>
              <w:t> брой</w:t>
            </w:r>
          </w:p>
        </w:tc>
        <w:tc>
          <w:tcPr>
            <w:tcW w:w="645" w:type="pct"/>
            <w:tcBorders>
              <w:top w:val="nil"/>
              <w:left w:val="nil"/>
              <w:bottom w:val="single" w:sz="8" w:space="0" w:color="auto"/>
              <w:right w:val="single" w:sz="8" w:space="0" w:color="auto"/>
            </w:tcBorders>
            <w:shd w:val="clear" w:color="auto" w:fill="auto"/>
          </w:tcPr>
          <w:p w14:paraId="66F7C647" w14:textId="77777777" w:rsidR="00252894" w:rsidRPr="00955FA8" w:rsidRDefault="00252894" w:rsidP="00EF46CA">
            <w:pPr>
              <w:tabs>
                <w:tab w:val="left" w:pos="545"/>
                <w:tab w:val="center" w:pos="638"/>
              </w:tabs>
              <w:jc w:val="center"/>
              <w:rPr>
                <w:sz w:val="18"/>
                <w:szCs w:val="18"/>
                <w:lang w:val="en-US"/>
              </w:rPr>
            </w:pPr>
            <w:r w:rsidRPr="00955FA8">
              <w:rPr>
                <w:sz w:val="18"/>
                <w:szCs w:val="18"/>
              </w:rPr>
              <w:t>35</w:t>
            </w:r>
          </w:p>
        </w:tc>
        <w:tc>
          <w:tcPr>
            <w:tcW w:w="645" w:type="pct"/>
            <w:tcBorders>
              <w:top w:val="nil"/>
              <w:left w:val="nil"/>
              <w:bottom w:val="single" w:sz="8" w:space="0" w:color="auto"/>
              <w:right w:val="single" w:sz="8" w:space="0" w:color="auto"/>
            </w:tcBorders>
            <w:shd w:val="clear" w:color="auto" w:fill="auto"/>
          </w:tcPr>
          <w:p w14:paraId="4A7E6F28" w14:textId="77777777" w:rsidR="00252894" w:rsidRPr="00955FA8" w:rsidRDefault="00252894" w:rsidP="00EF46CA">
            <w:pPr>
              <w:jc w:val="center"/>
              <w:rPr>
                <w:sz w:val="18"/>
                <w:szCs w:val="18"/>
                <w:highlight w:val="yellow"/>
              </w:rPr>
            </w:pPr>
            <w:r w:rsidRPr="00955FA8">
              <w:rPr>
                <w:sz w:val="18"/>
                <w:szCs w:val="18"/>
              </w:rPr>
              <w:t>17</w:t>
            </w:r>
          </w:p>
        </w:tc>
      </w:tr>
      <w:tr w:rsidR="00955FA8" w:rsidRPr="00955FA8" w14:paraId="1B86FEE2" w14:textId="77777777" w:rsidTr="00494A4D">
        <w:trPr>
          <w:trHeight w:val="155"/>
        </w:trPr>
        <w:tc>
          <w:tcPr>
            <w:tcW w:w="3143" w:type="pct"/>
            <w:tcBorders>
              <w:top w:val="nil"/>
              <w:left w:val="single" w:sz="8" w:space="0" w:color="auto"/>
              <w:bottom w:val="single" w:sz="8" w:space="0" w:color="auto"/>
              <w:right w:val="single" w:sz="8" w:space="0" w:color="auto"/>
            </w:tcBorders>
          </w:tcPr>
          <w:p w14:paraId="62CB923A" w14:textId="12528B1C" w:rsidR="00252894" w:rsidRPr="00955FA8" w:rsidRDefault="00252894" w:rsidP="00EF46CA">
            <w:pPr>
              <w:rPr>
                <w:sz w:val="18"/>
                <w:szCs w:val="18"/>
              </w:rPr>
            </w:pPr>
            <w:r w:rsidRPr="00955FA8">
              <w:rPr>
                <w:sz w:val="18"/>
                <w:szCs w:val="18"/>
              </w:rPr>
              <w:t>4.Превенционно-информационни дейности</w:t>
            </w:r>
          </w:p>
        </w:tc>
        <w:tc>
          <w:tcPr>
            <w:tcW w:w="567" w:type="pct"/>
            <w:tcBorders>
              <w:top w:val="nil"/>
              <w:left w:val="nil"/>
              <w:bottom w:val="single" w:sz="8" w:space="0" w:color="auto"/>
              <w:right w:val="single" w:sz="8" w:space="0" w:color="auto"/>
            </w:tcBorders>
          </w:tcPr>
          <w:p w14:paraId="36B59BCE" w14:textId="77777777" w:rsidR="00252894" w:rsidRPr="00955FA8" w:rsidRDefault="00252894" w:rsidP="00EF46CA">
            <w:pPr>
              <w:jc w:val="center"/>
              <w:rPr>
                <w:sz w:val="18"/>
                <w:szCs w:val="18"/>
              </w:rPr>
            </w:pPr>
            <w:r w:rsidRPr="00955FA8">
              <w:rPr>
                <w:sz w:val="18"/>
                <w:szCs w:val="18"/>
              </w:rPr>
              <w:t>брой</w:t>
            </w:r>
          </w:p>
        </w:tc>
        <w:tc>
          <w:tcPr>
            <w:tcW w:w="645" w:type="pct"/>
            <w:tcBorders>
              <w:top w:val="nil"/>
              <w:left w:val="nil"/>
              <w:bottom w:val="single" w:sz="8" w:space="0" w:color="auto"/>
              <w:right w:val="single" w:sz="8" w:space="0" w:color="auto"/>
            </w:tcBorders>
            <w:shd w:val="clear" w:color="auto" w:fill="auto"/>
          </w:tcPr>
          <w:p w14:paraId="7026F46A" w14:textId="77777777" w:rsidR="00252894" w:rsidRPr="00955FA8" w:rsidRDefault="00252894" w:rsidP="00EF46CA">
            <w:pPr>
              <w:jc w:val="center"/>
              <w:rPr>
                <w:sz w:val="18"/>
                <w:szCs w:val="18"/>
              </w:rPr>
            </w:pPr>
            <w:r w:rsidRPr="00955FA8">
              <w:rPr>
                <w:sz w:val="18"/>
                <w:szCs w:val="18"/>
              </w:rPr>
              <w:t>50</w:t>
            </w:r>
          </w:p>
        </w:tc>
        <w:tc>
          <w:tcPr>
            <w:tcW w:w="645" w:type="pct"/>
            <w:tcBorders>
              <w:top w:val="nil"/>
              <w:left w:val="nil"/>
              <w:bottom w:val="single" w:sz="8" w:space="0" w:color="auto"/>
              <w:right w:val="single" w:sz="8" w:space="0" w:color="auto"/>
            </w:tcBorders>
            <w:shd w:val="clear" w:color="auto" w:fill="FFFFFF" w:themeFill="background1"/>
          </w:tcPr>
          <w:p w14:paraId="217B8AC2" w14:textId="77777777" w:rsidR="00252894" w:rsidRPr="00955FA8" w:rsidRDefault="00252894" w:rsidP="00EF46CA">
            <w:pPr>
              <w:jc w:val="center"/>
              <w:rPr>
                <w:sz w:val="18"/>
                <w:szCs w:val="18"/>
                <w:highlight w:val="yellow"/>
              </w:rPr>
            </w:pPr>
            <w:r w:rsidRPr="00955FA8">
              <w:rPr>
                <w:sz w:val="18"/>
                <w:szCs w:val="18"/>
              </w:rPr>
              <w:t>33</w:t>
            </w:r>
          </w:p>
        </w:tc>
      </w:tr>
      <w:tr w:rsidR="00955FA8" w:rsidRPr="00955FA8" w14:paraId="11ABDB45" w14:textId="77777777" w:rsidTr="00494A4D">
        <w:trPr>
          <w:trHeight w:val="216"/>
        </w:trPr>
        <w:tc>
          <w:tcPr>
            <w:tcW w:w="3143" w:type="pct"/>
            <w:tcBorders>
              <w:top w:val="nil"/>
              <w:left w:val="single" w:sz="8" w:space="0" w:color="auto"/>
              <w:bottom w:val="single" w:sz="8" w:space="0" w:color="auto"/>
              <w:right w:val="single" w:sz="8" w:space="0" w:color="auto"/>
            </w:tcBorders>
          </w:tcPr>
          <w:p w14:paraId="24ECE5BE" w14:textId="77777777" w:rsidR="00252894" w:rsidRPr="00955FA8" w:rsidRDefault="00252894" w:rsidP="00EF46CA">
            <w:pPr>
              <w:rPr>
                <w:sz w:val="18"/>
                <w:szCs w:val="18"/>
              </w:rPr>
            </w:pPr>
            <w:r w:rsidRPr="00955FA8">
              <w:rPr>
                <w:sz w:val="18"/>
                <w:szCs w:val="18"/>
              </w:rPr>
              <w:t xml:space="preserve">5.Функциониращи Местни комисии </w:t>
            </w:r>
          </w:p>
        </w:tc>
        <w:tc>
          <w:tcPr>
            <w:tcW w:w="567" w:type="pct"/>
            <w:tcBorders>
              <w:top w:val="nil"/>
              <w:left w:val="nil"/>
              <w:bottom w:val="single" w:sz="8" w:space="0" w:color="auto"/>
              <w:right w:val="single" w:sz="8" w:space="0" w:color="auto"/>
            </w:tcBorders>
          </w:tcPr>
          <w:p w14:paraId="2F3661FF" w14:textId="77777777" w:rsidR="00252894" w:rsidRPr="00955FA8" w:rsidRDefault="00252894" w:rsidP="00EF46CA">
            <w:pPr>
              <w:jc w:val="center"/>
              <w:rPr>
                <w:sz w:val="18"/>
                <w:szCs w:val="18"/>
              </w:rPr>
            </w:pPr>
            <w:r w:rsidRPr="00955FA8">
              <w:rPr>
                <w:sz w:val="18"/>
                <w:szCs w:val="18"/>
              </w:rPr>
              <w:t>брой</w:t>
            </w:r>
          </w:p>
        </w:tc>
        <w:tc>
          <w:tcPr>
            <w:tcW w:w="645" w:type="pct"/>
            <w:tcBorders>
              <w:top w:val="nil"/>
              <w:left w:val="nil"/>
              <w:bottom w:val="single" w:sz="8" w:space="0" w:color="auto"/>
              <w:right w:val="single" w:sz="8" w:space="0" w:color="auto"/>
            </w:tcBorders>
            <w:shd w:val="clear" w:color="auto" w:fill="auto"/>
          </w:tcPr>
          <w:p w14:paraId="545A4169" w14:textId="77777777" w:rsidR="00252894" w:rsidRPr="00955FA8" w:rsidRDefault="00252894" w:rsidP="00EF46CA">
            <w:pPr>
              <w:jc w:val="center"/>
              <w:rPr>
                <w:sz w:val="18"/>
                <w:szCs w:val="18"/>
              </w:rPr>
            </w:pPr>
            <w:r w:rsidRPr="00955FA8">
              <w:rPr>
                <w:sz w:val="18"/>
                <w:szCs w:val="18"/>
              </w:rPr>
              <w:t>11</w:t>
            </w:r>
          </w:p>
        </w:tc>
        <w:tc>
          <w:tcPr>
            <w:tcW w:w="645" w:type="pct"/>
            <w:tcBorders>
              <w:top w:val="nil"/>
              <w:left w:val="nil"/>
              <w:bottom w:val="single" w:sz="8" w:space="0" w:color="auto"/>
              <w:right w:val="single" w:sz="8" w:space="0" w:color="auto"/>
            </w:tcBorders>
            <w:shd w:val="clear" w:color="auto" w:fill="auto"/>
          </w:tcPr>
          <w:p w14:paraId="258C47D1" w14:textId="77777777" w:rsidR="00252894" w:rsidRPr="00955FA8" w:rsidRDefault="00252894" w:rsidP="00EF46CA">
            <w:pPr>
              <w:jc w:val="center"/>
              <w:rPr>
                <w:sz w:val="18"/>
                <w:szCs w:val="18"/>
              </w:rPr>
            </w:pPr>
            <w:r w:rsidRPr="00955FA8">
              <w:rPr>
                <w:sz w:val="18"/>
                <w:szCs w:val="18"/>
              </w:rPr>
              <w:t>10</w:t>
            </w:r>
          </w:p>
        </w:tc>
      </w:tr>
      <w:tr w:rsidR="00955FA8" w:rsidRPr="00955FA8" w14:paraId="35656DCC" w14:textId="77777777" w:rsidTr="00FE599C">
        <w:trPr>
          <w:trHeight w:val="120"/>
        </w:trPr>
        <w:tc>
          <w:tcPr>
            <w:tcW w:w="3143" w:type="pct"/>
            <w:tcBorders>
              <w:top w:val="nil"/>
              <w:left w:val="single" w:sz="8" w:space="0" w:color="auto"/>
              <w:bottom w:val="single" w:sz="8" w:space="0" w:color="auto"/>
              <w:right w:val="single" w:sz="8" w:space="0" w:color="auto"/>
            </w:tcBorders>
          </w:tcPr>
          <w:p w14:paraId="09079E57" w14:textId="77777777" w:rsidR="00252894" w:rsidRPr="00955FA8" w:rsidRDefault="00252894" w:rsidP="00EF46CA">
            <w:pPr>
              <w:rPr>
                <w:sz w:val="18"/>
                <w:szCs w:val="18"/>
              </w:rPr>
            </w:pPr>
            <w:r w:rsidRPr="00955FA8">
              <w:rPr>
                <w:sz w:val="18"/>
                <w:szCs w:val="18"/>
              </w:rPr>
              <w:t>6.Функциониращи центрове и приюти за жертви на трафик</w:t>
            </w:r>
          </w:p>
        </w:tc>
        <w:tc>
          <w:tcPr>
            <w:tcW w:w="567" w:type="pct"/>
            <w:tcBorders>
              <w:top w:val="nil"/>
              <w:left w:val="nil"/>
              <w:bottom w:val="single" w:sz="8" w:space="0" w:color="auto"/>
              <w:right w:val="single" w:sz="8" w:space="0" w:color="auto"/>
            </w:tcBorders>
          </w:tcPr>
          <w:p w14:paraId="045232E5" w14:textId="77777777" w:rsidR="00252894" w:rsidRPr="00955FA8" w:rsidRDefault="00252894" w:rsidP="00EF46CA">
            <w:pPr>
              <w:jc w:val="center"/>
              <w:rPr>
                <w:sz w:val="18"/>
                <w:szCs w:val="18"/>
              </w:rPr>
            </w:pPr>
            <w:r w:rsidRPr="00955FA8">
              <w:rPr>
                <w:sz w:val="18"/>
                <w:szCs w:val="18"/>
              </w:rPr>
              <w:t>брой</w:t>
            </w:r>
          </w:p>
        </w:tc>
        <w:tc>
          <w:tcPr>
            <w:tcW w:w="645" w:type="pct"/>
            <w:tcBorders>
              <w:top w:val="nil"/>
              <w:left w:val="nil"/>
              <w:bottom w:val="single" w:sz="8" w:space="0" w:color="auto"/>
              <w:right w:val="single" w:sz="8" w:space="0" w:color="auto"/>
            </w:tcBorders>
            <w:shd w:val="clear" w:color="auto" w:fill="auto"/>
          </w:tcPr>
          <w:p w14:paraId="60773303" w14:textId="77777777" w:rsidR="00252894" w:rsidRPr="00955FA8" w:rsidRDefault="00252894" w:rsidP="00EF46CA">
            <w:pPr>
              <w:jc w:val="center"/>
              <w:rPr>
                <w:sz w:val="18"/>
                <w:szCs w:val="18"/>
              </w:rPr>
            </w:pPr>
            <w:r w:rsidRPr="00955FA8">
              <w:rPr>
                <w:sz w:val="18"/>
                <w:szCs w:val="18"/>
              </w:rPr>
              <w:t>9</w:t>
            </w:r>
          </w:p>
        </w:tc>
        <w:tc>
          <w:tcPr>
            <w:tcW w:w="645" w:type="pct"/>
            <w:tcBorders>
              <w:top w:val="nil"/>
              <w:left w:val="nil"/>
              <w:bottom w:val="single" w:sz="8" w:space="0" w:color="auto"/>
              <w:right w:val="single" w:sz="8" w:space="0" w:color="auto"/>
            </w:tcBorders>
            <w:shd w:val="clear" w:color="auto" w:fill="auto"/>
          </w:tcPr>
          <w:p w14:paraId="57ECE04A" w14:textId="77777777" w:rsidR="00252894" w:rsidRPr="00955FA8" w:rsidRDefault="00252894" w:rsidP="00EF46CA">
            <w:pPr>
              <w:jc w:val="center"/>
              <w:rPr>
                <w:sz w:val="18"/>
                <w:szCs w:val="18"/>
              </w:rPr>
            </w:pPr>
            <w:r w:rsidRPr="00955FA8">
              <w:rPr>
                <w:sz w:val="18"/>
                <w:szCs w:val="18"/>
              </w:rPr>
              <w:t>7</w:t>
            </w:r>
          </w:p>
        </w:tc>
      </w:tr>
      <w:tr w:rsidR="00955FA8" w:rsidRPr="00955FA8" w14:paraId="452AF3F9" w14:textId="77777777" w:rsidTr="00FE599C">
        <w:trPr>
          <w:trHeight w:val="179"/>
        </w:trPr>
        <w:tc>
          <w:tcPr>
            <w:tcW w:w="3143" w:type="pct"/>
            <w:tcBorders>
              <w:top w:val="nil"/>
              <w:left w:val="single" w:sz="8" w:space="0" w:color="auto"/>
              <w:bottom w:val="single" w:sz="8" w:space="0" w:color="auto"/>
              <w:right w:val="single" w:sz="8" w:space="0" w:color="auto"/>
            </w:tcBorders>
          </w:tcPr>
          <w:p w14:paraId="0F31E8B4" w14:textId="77777777" w:rsidR="00252894" w:rsidRPr="00955FA8" w:rsidRDefault="00252894" w:rsidP="00EF46CA">
            <w:pPr>
              <w:rPr>
                <w:sz w:val="18"/>
                <w:szCs w:val="18"/>
              </w:rPr>
            </w:pPr>
            <w:r w:rsidRPr="00955FA8">
              <w:rPr>
                <w:sz w:val="18"/>
                <w:szCs w:val="18"/>
              </w:rPr>
              <w:t>7.Брой сигнали преминали през националния механизъм за насочване</w:t>
            </w:r>
          </w:p>
        </w:tc>
        <w:tc>
          <w:tcPr>
            <w:tcW w:w="567" w:type="pct"/>
            <w:tcBorders>
              <w:top w:val="nil"/>
              <w:left w:val="nil"/>
              <w:bottom w:val="single" w:sz="8" w:space="0" w:color="auto"/>
              <w:right w:val="single" w:sz="8" w:space="0" w:color="auto"/>
            </w:tcBorders>
          </w:tcPr>
          <w:p w14:paraId="08B900B5" w14:textId="77777777" w:rsidR="00252894" w:rsidRPr="00955FA8" w:rsidRDefault="00252894" w:rsidP="00EF46CA">
            <w:pPr>
              <w:jc w:val="center"/>
              <w:rPr>
                <w:sz w:val="18"/>
                <w:szCs w:val="18"/>
              </w:rPr>
            </w:pPr>
            <w:r w:rsidRPr="00955FA8">
              <w:rPr>
                <w:sz w:val="18"/>
                <w:szCs w:val="18"/>
              </w:rPr>
              <w:t>брой</w:t>
            </w:r>
          </w:p>
        </w:tc>
        <w:tc>
          <w:tcPr>
            <w:tcW w:w="645" w:type="pct"/>
            <w:tcBorders>
              <w:top w:val="nil"/>
              <w:left w:val="nil"/>
              <w:bottom w:val="single" w:sz="8" w:space="0" w:color="auto"/>
              <w:right w:val="single" w:sz="8" w:space="0" w:color="auto"/>
            </w:tcBorders>
            <w:shd w:val="clear" w:color="auto" w:fill="auto"/>
          </w:tcPr>
          <w:p w14:paraId="3C5CE5E3" w14:textId="77777777" w:rsidR="00252894" w:rsidRPr="00955FA8" w:rsidRDefault="00252894" w:rsidP="00EF46CA">
            <w:pPr>
              <w:jc w:val="center"/>
              <w:rPr>
                <w:sz w:val="18"/>
                <w:szCs w:val="18"/>
              </w:rPr>
            </w:pPr>
            <w:r w:rsidRPr="00955FA8">
              <w:rPr>
                <w:sz w:val="18"/>
                <w:szCs w:val="18"/>
              </w:rPr>
              <w:t>100</w:t>
            </w:r>
          </w:p>
        </w:tc>
        <w:tc>
          <w:tcPr>
            <w:tcW w:w="645" w:type="pct"/>
            <w:tcBorders>
              <w:top w:val="nil"/>
              <w:left w:val="nil"/>
              <w:bottom w:val="single" w:sz="8" w:space="0" w:color="auto"/>
              <w:right w:val="single" w:sz="8" w:space="0" w:color="auto"/>
            </w:tcBorders>
            <w:shd w:val="clear" w:color="auto" w:fill="auto"/>
          </w:tcPr>
          <w:p w14:paraId="52EC0FE7" w14:textId="77777777" w:rsidR="00252894" w:rsidRPr="00955FA8" w:rsidRDefault="00252894" w:rsidP="00EF46CA">
            <w:pPr>
              <w:jc w:val="center"/>
              <w:rPr>
                <w:sz w:val="18"/>
                <w:szCs w:val="18"/>
              </w:rPr>
            </w:pPr>
            <w:r w:rsidRPr="00955FA8">
              <w:rPr>
                <w:sz w:val="18"/>
                <w:szCs w:val="18"/>
              </w:rPr>
              <w:t>32</w:t>
            </w:r>
          </w:p>
        </w:tc>
      </w:tr>
      <w:tr w:rsidR="00955FA8" w:rsidRPr="00955FA8" w14:paraId="057BE81A" w14:textId="77777777" w:rsidTr="00FE599C">
        <w:trPr>
          <w:trHeight w:val="170"/>
        </w:trPr>
        <w:tc>
          <w:tcPr>
            <w:tcW w:w="3143" w:type="pct"/>
            <w:tcBorders>
              <w:top w:val="nil"/>
              <w:left w:val="single" w:sz="8" w:space="0" w:color="auto"/>
              <w:bottom w:val="single" w:sz="8" w:space="0" w:color="auto"/>
              <w:right w:val="single" w:sz="8" w:space="0" w:color="auto"/>
            </w:tcBorders>
          </w:tcPr>
          <w:p w14:paraId="1BDE763E" w14:textId="77777777" w:rsidR="00252894" w:rsidRPr="00955FA8" w:rsidRDefault="00252894" w:rsidP="00EF46CA">
            <w:pPr>
              <w:rPr>
                <w:sz w:val="18"/>
                <w:szCs w:val="18"/>
              </w:rPr>
            </w:pPr>
            <w:r w:rsidRPr="00955FA8">
              <w:rPr>
                <w:sz w:val="18"/>
                <w:szCs w:val="18"/>
              </w:rPr>
              <w:t>8.Брой жертви преминали през приютите и центровете на НКБТХ</w:t>
            </w:r>
          </w:p>
        </w:tc>
        <w:tc>
          <w:tcPr>
            <w:tcW w:w="567" w:type="pct"/>
            <w:tcBorders>
              <w:top w:val="nil"/>
              <w:left w:val="nil"/>
              <w:bottom w:val="single" w:sz="8" w:space="0" w:color="auto"/>
              <w:right w:val="single" w:sz="8" w:space="0" w:color="auto"/>
            </w:tcBorders>
          </w:tcPr>
          <w:p w14:paraId="406AF9BF" w14:textId="77777777" w:rsidR="00252894" w:rsidRPr="00955FA8" w:rsidRDefault="00252894" w:rsidP="00EF46CA">
            <w:pPr>
              <w:jc w:val="center"/>
              <w:rPr>
                <w:sz w:val="18"/>
                <w:szCs w:val="18"/>
              </w:rPr>
            </w:pPr>
            <w:r w:rsidRPr="00955FA8">
              <w:rPr>
                <w:sz w:val="18"/>
                <w:szCs w:val="18"/>
              </w:rPr>
              <w:t>брой</w:t>
            </w:r>
          </w:p>
        </w:tc>
        <w:tc>
          <w:tcPr>
            <w:tcW w:w="645" w:type="pct"/>
            <w:tcBorders>
              <w:top w:val="nil"/>
              <w:left w:val="nil"/>
              <w:bottom w:val="single" w:sz="8" w:space="0" w:color="auto"/>
              <w:right w:val="single" w:sz="8" w:space="0" w:color="auto"/>
            </w:tcBorders>
            <w:shd w:val="clear" w:color="auto" w:fill="auto"/>
          </w:tcPr>
          <w:p w14:paraId="62FBEA54" w14:textId="77777777" w:rsidR="00252894" w:rsidRPr="00955FA8" w:rsidRDefault="00252894" w:rsidP="00EF46CA">
            <w:pPr>
              <w:jc w:val="center"/>
              <w:rPr>
                <w:sz w:val="18"/>
                <w:szCs w:val="18"/>
              </w:rPr>
            </w:pPr>
            <w:r w:rsidRPr="00955FA8">
              <w:rPr>
                <w:sz w:val="18"/>
                <w:szCs w:val="18"/>
              </w:rPr>
              <w:t>55</w:t>
            </w:r>
          </w:p>
        </w:tc>
        <w:tc>
          <w:tcPr>
            <w:tcW w:w="645" w:type="pct"/>
            <w:tcBorders>
              <w:top w:val="nil"/>
              <w:left w:val="nil"/>
              <w:bottom w:val="single" w:sz="8" w:space="0" w:color="auto"/>
              <w:right w:val="single" w:sz="8" w:space="0" w:color="auto"/>
            </w:tcBorders>
            <w:shd w:val="clear" w:color="auto" w:fill="auto"/>
          </w:tcPr>
          <w:p w14:paraId="75597F77" w14:textId="77777777" w:rsidR="00252894" w:rsidRPr="00955FA8" w:rsidRDefault="00252894" w:rsidP="00EF46CA">
            <w:pPr>
              <w:jc w:val="center"/>
              <w:rPr>
                <w:sz w:val="18"/>
                <w:szCs w:val="18"/>
                <w:highlight w:val="yellow"/>
              </w:rPr>
            </w:pPr>
            <w:r w:rsidRPr="00955FA8">
              <w:rPr>
                <w:sz w:val="18"/>
                <w:szCs w:val="18"/>
              </w:rPr>
              <w:t>30</w:t>
            </w:r>
          </w:p>
        </w:tc>
      </w:tr>
      <w:tr w:rsidR="00955FA8" w:rsidRPr="00955FA8" w14:paraId="65905588" w14:textId="77777777" w:rsidTr="00FE599C">
        <w:trPr>
          <w:trHeight w:val="285"/>
        </w:trPr>
        <w:tc>
          <w:tcPr>
            <w:tcW w:w="3143" w:type="pct"/>
            <w:tcBorders>
              <w:top w:val="nil"/>
              <w:left w:val="single" w:sz="8" w:space="0" w:color="auto"/>
              <w:bottom w:val="single" w:sz="8" w:space="0" w:color="auto"/>
              <w:right w:val="single" w:sz="8" w:space="0" w:color="auto"/>
            </w:tcBorders>
          </w:tcPr>
          <w:p w14:paraId="7D83E843" w14:textId="77777777" w:rsidR="00252894" w:rsidRPr="00955FA8" w:rsidRDefault="00252894" w:rsidP="00EF46CA">
            <w:pPr>
              <w:rPr>
                <w:sz w:val="18"/>
                <w:szCs w:val="18"/>
                <w:highlight w:val="yellow"/>
              </w:rPr>
            </w:pPr>
            <w:r w:rsidRPr="00955FA8">
              <w:rPr>
                <w:sz w:val="18"/>
                <w:szCs w:val="18"/>
              </w:rPr>
              <w:t>9.Международно сътрудничество (проведени срещи, предоставени позиции и доклади)</w:t>
            </w:r>
          </w:p>
        </w:tc>
        <w:tc>
          <w:tcPr>
            <w:tcW w:w="567" w:type="pct"/>
            <w:tcBorders>
              <w:top w:val="nil"/>
              <w:left w:val="nil"/>
              <w:bottom w:val="single" w:sz="8" w:space="0" w:color="auto"/>
              <w:right w:val="single" w:sz="8" w:space="0" w:color="auto"/>
            </w:tcBorders>
          </w:tcPr>
          <w:p w14:paraId="487242BB" w14:textId="77777777" w:rsidR="00252894" w:rsidRPr="00955FA8" w:rsidRDefault="00252894" w:rsidP="00EF46CA">
            <w:pPr>
              <w:jc w:val="center"/>
              <w:rPr>
                <w:sz w:val="18"/>
                <w:szCs w:val="18"/>
                <w:highlight w:val="yellow"/>
              </w:rPr>
            </w:pPr>
            <w:r w:rsidRPr="00955FA8">
              <w:rPr>
                <w:sz w:val="18"/>
                <w:szCs w:val="18"/>
              </w:rPr>
              <w:t>брой</w:t>
            </w:r>
          </w:p>
        </w:tc>
        <w:tc>
          <w:tcPr>
            <w:tcW w:w="645" w:type="pct"/>
            <w:tcBorders>
              <w:top w:val="nil"/>
              <w:left w:val="nil"/>
              <w:bottom w:val="single" w:sz="8" w:space="0" w:color="auto"/>
              <w:right w:val="single" w:sz="8" w:space="0" w:color="auto"/>
            </w:tcBorders>
            <w:shd w:val="clear" w:color="auto" w:fill="auto"/>
          </w:tcPr>
          <w:p w14:paraId="6276EB74" w14:textId="77777777" w:rsidR="00252894" w:rsidRPr="00955FA8" w:rsidRDefault="00252894" w:rsidP="00EF46CA">
            <w:pPr>
              <w:jc w:val="center"/>
              <w:rPr>
                <w:sz w:val="18"/>
                <w:szCs w:val="18"/>
              </w:rPr>
            </w:pPr>
            <w:r w:rsidRPr="00955FA8">
              <w:rPr>
                <w:sz w:val="18"/>
                <w:szCs w:val="18"/>
              </w:rPr>
              <w:t>45</w:t>
            </w:r>
          </w:p>
        </w:tc>
        <w:tc>
          <w:tcPr>
            <w:tcW w:w="645" w:type="pct"/>
            <w:tcBorders>
              <w:top w:val="nil"/>
              <w:left w:val="nil"/>
              <w:bottom w:val="single" w:sz="8" w:space="0" w:color="auto"/>
              <w:right w:val="single" w:sz="8" w:space="0" w:color="auto"/>
            </w:tcBorders>
            <w:shd w:val="clear" w:color="auto" w:fill="auto"/>
          </w:tcPr>
          <w:p w14:paraId="0733B416" w14:textId="77777777" w:rsidR="00252894" w:rsidRPr="00955FA8" w:rsidRDefault="00252894" w:rsidP="00EF46CA">
            <w:pPr>
              <w:jc w:val="center"/>
              <w:rPr>
                <w:sz w:val="18"/>
                <w:szCs w:val="18"/>
                <w:lang w:val="en-US"/>
              </w:rPr>
            </w:pPr>
            <w:r w:rsidRPr="00955FA8">
              <w:rPr>
                <w:sz w:val="18"/>
                <w:szCs w:val="18"/>
              </w:rPr>
              <w:t>22</w:t>
            </w:r>
          </w:p>
        </w:tc>
      </w:tr>
    </w:tbl>
    <w:p w14:paraId="36FDCCC4" w14:textId="0E78F6E2" w:rsidR="00310C5A" w:rsidRDefault="00834E88" w:rsidP="002F6E1B">
      <w:pPr>
        <w:shd w:val="clear" w:color="auto" w:fill="FFFFFF" w:themeFill="background1"/>
        <w:spacing w:before="120"/>
        <w:ind w:firstLine="425"/>
        <w:jc w:val="both"/>
        <w:rPr>
          <w:bCs/>
          <w:sz w:val="22"/>
          <w:szCs w:val="22"/>
        </w:rPr>
      </w:pPr>
      <w:r w:rsidRPr="00F25305">
        <w:rPr>
          <w:bCs/>
          <w:sz w:val="22"/>
          <w:szCs w:val="22"/>
        </w:rPr>
        <w:t xml:space="preserve">През отчетния период НКБТХ </w:t>
      </w:r>
      <w:r w:rsidR="00ED15D3" w:rsidRPr="00F25305">
        <w:rPr>
          <w:bCs/>
          <w:sz w:val="22"/>
          <w:szCs w:val="22"/>
        </w:rPr>
        <w:t>н</w:t>
      </w:r>
      <w:r w:rsidRPr="00F25305">
        <w:rPr>
          <w:bCs/>
          <w:sz w:val="22"/>
          <w:szCs w:val="22"/>
        </w:rPr>
        <w:t xml:space="preserve">е </w:t>
      </w:r>
      <w:r w:rsidR="00ED15D3" w:rsidRPr="00F25305">
        <w:rPr>
          <w:bCs/>
          <w:sz w:val="22"/>
          <w:szCs w:val="22"/>
        </w:rPr>
        <w:t xml:space="preserve">е </w:t>
      </w:r>
      <w:r w:rsidRPr="00F25305">
        <w:rPr>
          <w:bCs/>
          <w:sz w:val="22"/>
          <w:szCs w:val="22"/>
        </w:rPr>
        <w:t>извършвала дейности по оперативни програми</w:t>
      </w:r>
      <w:r w:rsidR="00CC1283" w:rsidRPr="00F25305">
        <w:rPr>
          <w:bCs/>
          <w:sz w:val="22"/>
          <w:szCs w:val="22"/>
        </w:rPr>
        <w:t>.</w:t>
      </w:r>
    </w:p>
    <w:p w14:paraId="51A3F891" w14:textId="77777777" w:rsidR="00310C5A" w:rsidRDefault="00310C5A">
      <w:pPr>
        <w:rPr>
          <w:bCs/>
          <w:sz w:val="22"/>
          <w:szCs w:val="22"/>
        </w:rPr>
      </w:pPr>
      <w:r>
        <w:rPr>
          <w:bCs/>
          <w:sz w:val="22"/>
          <w:szCs w:val="22"/>
        </w:rPr>
        <w:br w:type="page"/>
      </w:r>
    </w:p>
    <w:p w14:paraId="03D7F259" w14:textId="77777777" w:rsidR="00ED15D3" w:rsidRPr="00F25305" w:rsidRDefault="00ED15D3" w:rsidP="002F6E1B">
      <w:pPr>
        <w:shd w:val="clear" w:color="auto" w:fill="FFFFFF" w:themeFill="background1"/>
        <w:spacing w:before="120"/>
        <w:ind w:firstLine="425"/>
        <w:jc w:val="both"/>
        <w:rPr>
          <w:bCs/>
          <w:sz w:val="22"/>
          <w:szCs w:val="22"/>
        </w:rPr>
      </w:pPr>
    </w:p>
    <w:p w14:paraId="7ADB5613" w14:textId="77777777" w:rsidR="00357D9E" w:rsidRPr="002F6E1B" w:rsidRDefault="00357D9E" w:rsidP="002F6E1B">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2F6E1B">
        <w:rPr>
          <w:b/>
          <w:bCs/>
          <w:i/>
          <w:iCs/>
          <w:color w:val="215E99" w:themeColor="text2" w:themeTint="BF"/>
          <w:sz w:val="22"/>
          <w:szCs w:val="22"/>
        </w:rPr>
        <w:t>Обучение за професионално и служебно развитие на служителите в държавната администрация</w:t>
      </w:r>
    </w:p>
    <w:p w14:paraId="4B8201AD" w14:textId="77777777" w:rsidR="00C32417" w:rsidRPr="00667B09" w:rsidRDefault="007717BE" w:rsidP="00913AC1">
      <w:pPr>
        <w:shd w:val="clear" w:color="auto" w:fill="FFFFFF" w:themeFill="background1"/>
        <w:ind w:firstLine="426"/>
        <w:jc w:val="both"/>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2A480750" w14:textId="5BD68D6E" w:rsidR="00714BE5" w:rsidRPr="00E01E5A" w:rsidRDefault="00714BE5" w:rsidP="00913AC1">
      <w:pPr>
        <w:shd w:val="clear" w:color="auto" w:fill="FFFFFF" w:themeFill="background1"/>
        <w:ind w:firstLine="426"/>
        <w:jc w:val="both"/>
        <w:rPr>
          <w:b/>
          <w:iCs/>
          <w:sz w:val="22"/>
          <w:szCs w:val="22"/>
        </w:rPr>
      </w:pPr>
      <w:r w:rsidRPr="00E01E5A">
        <w:rPr>
          <w:b/>
          <w:iCs/>
          <w:sz w:val="22"/>
          <w:szCs w:val="22"/>
        </w:rPr>
        <w:t xml:space="preserve">Институтът по публична администрация </w:t>
      </w:r>
      <w:r w:rsidR="00E01E5A" w:rsidRPr="00E01E5A">
        <w:rPr>
          <w:b/>
          <w:iCs/>
          <w:sz w:val="22"/>
          <w:szCs w:val="22"/>
        </w:rPr>
        <w:t xml:space="preserve">(ИПА) </w:t>
      </w:r>
      <w:r w:rsidRPr="00E01E5A">
        <w:rPr>
          <w:b/>
          <w:iCs/>
          <w:sz w:val="22"/>
          <w:szCs w:val="22"/>
        </w:rPr>
        <w:t>е създаден за обучение за професионално и служебно развитие на служителите в държавната администрация и има водеща роля в обучението на служителите от всички нива на администрацията. Резултатите от дейността му в периода 01.01-30.06. 2025 г. са представени по следните основни дейности:</w:t>
      </w:r>
    </w:p>
    <w:p w14:paraId="284D473B" w14:textId="77777777" w:rsidR="00714BE5" w:rsidRPr="004B7B9F" w:rsidRDefault="00714BE5" w:rsidP="00913AC1">
      <w:pPr>
        <w:shd w:val="clear" w:color="auto" w:fill="FFFFFF" w:themeFill="background1"/>
        <w:ind w:firstLine="426"/>
        <w:jc w:val="both"/>
        <w:rPr>
          <w:b/>
          <w:iCs/>
          <w:sz w:val="22"/>
          <w:szCs w:val="22"/>
        </w:rPr>
      </w:pPr>
      <w:r w:rsidRPr="00714BE5">
        <w:rPr>
          <w:bCs/>
          <w:iCs/>
          <w:sz w:val="22"/>
          <w:szCs w:val="22"/>
        </w:rPr>
        <w:t>●</w:t>
      </w:r>
      <w:r w:rsidRPr="00714BE5">
        <w:rPr>
          <w:bCs/>
          <w:iCs/>
          <w:sz w:val="22"/>
          <w:szCs w:val="22"/>
        </w:rPr>
        <w:tab/>
      </w:r>
      <w:r w:rsidRPr="004B7B9F">
        <w:rPr>
          <w:b/>
          <w:iCs/>
          <w:sz w:val="22"/>
          <w:szCs w:val="22"/>
        </w:rPr>
        <w:t>Проучвания и оценка на потребностите от обучение, както за администрацията като цяло, така и за отделни професионални групи или организации в нея;</w:t>
      </w:r>
    </w:p>
    <w:p w14:paraId="37B25AA1" w14:textId="77777777" w:rsidR="00714BE5" w:rsidRPr="00714BE5" w:rsidRDefault="00714BE5" w:rsidP="00913AC1">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 xml:space="preserve">Във връзка със заложените ангажименти на ИПА в Плана за действие към Националния план за въвеждане на еврото в Република България, бяха реализирани процесите по изпълнението на мярка “обучение в администрацията”. Всички поети ангажименти се изпълняват в срок и според насоките на Министерство на финансите, като основен отговорник за изпълнението на мерките. Бяха разработени две електронни обучения, едното от които с информативен характер, целящо да запознае държавните служители с промените, които предстоят, а второто е електронен модул за самообучение, разработен съвместно с експерти от Министерство на финансите, базиран на Закона за въвеждане на еврото и неговото практическо приложение. До 30.06.2025 г. обучените по темата са 652. </w:t>
      </w:r>
    </w:p>
    <w:p w14:paraId="504BB52B" w14:textId="54EAE2D4" w:rsidR="00714BE5" w:rsidRPr="00714BE5" w:rsidRDefault="00714BE5" w:rsidP="00913AC1">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 xml:space="preserve">Бе проведено седмото ежегодно национално проучване за нагласите на служителите в държавната администрация </w:t>
      </w:r>
      <w:r w:rsidR="002D5606">
        <w:rPr>
          <w:bCs/>
          <w:iCs/>
          <w:sz w:val="22"/>
          <w:szCs w:val="22"/>
        </w:rPr>
        <w:t>–</w:t>
      </w:r>
      <w:r w:rsidRPr="00714BE5">
        <w:rPr>
          <w:bCs/>
          <w:iCs/>
          <w:sz w:val="22"/>
          <w:szCs w:val="22"/>
        </w:rPr>
        <w:t xml:space="preserve"> "Барометър на ангажираността". Барометърът оценява мнението и нагласите на служителите към ключовите аспекти на работата в администрацията </w:t>
      </w:r>
      <w:r w:rsidR="002D5606">
        <w:rPr>
          <w:bCs/>
          <w:iCs/>
          <w:sz w:val="22"/>
          <w:szCs w:val="22"/>
        </w:rPr>
        <w:t>–</w:t>
      </w:r>
      <w:r w:rsidRPr="00714BE5">
        <w:rPr>
          <w:bCs/>
          <w:iCs/>
          <w:sz w:val="22"/>
          <w:szCs w:val="22"/>
        </w:rPr>
        <w:t xml:space="preserve"> лидерство, екипност, ангажираност, удовлетвореност, мотивация и др. За целите на проучването е използван затвърдилият се през последното десетилетие във Великобритания модел </w:t>
      </w:r>
      <w:r w:rsidRPr="002D5606">
        <w:rPr>
          <w:bCs/>
          <w:iCs/>
          <w:sz w:val="22"/>
          <w:szCs w:val="22"/>
          <w:lang w:val="en-US"/>
        </w:rPr>
        <w:t>The Civil</w:t>
      </w:r>
      <w:r w:rsidRPr="00714BE5">
        <w:rPr>
          <w:bCs/>
          <w:iCs/>
          <w:sz w:val="22"/>
          <w:szCs w:val="22"/>
        </w:rPr>
        <w:t xml:space="preserve"> Service </w:t>
      </w:r>
      <w:r w:rsidRPr="002D5606">
        <w:rPr>
          <w:bCs/>
          <w:iCs/>
          <w:sz w:val="22"/>
          <w:szCs w:val="22"/>
          <w:lang w:val="en-US"/>
        </w:rPr>
        <w:t>People Survey</w:t>
      </w:r>
      <w:r w:rsidRPr="00714BE5">
        <w:rPr>
          <w:bCs/>
          <w:iCs/>
          <w:sz w:val="22"/>
          <w:szCs w:val="22"/>
        </w:rPr>
        <w:t>. Проучването се проведе в периода 22 април – 9 май 2025, като участие в него взеха 6</w:t>
      </w:r>
      <w:r w:rsidR="004B7DF8">
        <w:rPr>
          <w:bCs/>
          <w:iCs/>
          <w:sz w:val="22"/>
          <w:szCs w:val="22"/>
        </w:rPr>
        <w:t xml:space="preserve"> </w:t>
      </w:r>
      <w:r w:rsidRPr="00714BE5">
        <w:rPr>
          <w:bCs/>
          <w:iCs/>
          <w:sz w:val="22"/>
          <w:szCs w:val="22"/>
        </w:rPr>
        <w:t xml:space="preserve">254 Тази година ИПА състави 47 индивидуални доклада с резултати от проучването за отделни администрации. </w:t>
      </w:r>
    </w:p>
    <w:p w14:paraId="037214EE" w14:textId="77777777" w:rsidR="00714BE5" w:rsidRPr="00714BE5" w:rsidRDefault="00714BE5" w:rsidP="00913AC1">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 xml:space="preserve"> ИПА публикува първото по рода си изследване за готовността на българската държавна администрация за използване на изкуствен интелект (ИИ). Общият индекс на готовност е 49 от 100, което съответства на фаза на „изграждащ се капацитет“. Резултатът показва, че макар да са положени важни основи, са необходими допълнителни действия за ускоряване на процеса на внедряване на ИИ в управлението. Публикуваният индекс има за цел да бъде основа за стратегически решения и дава възможност за проследяване на напредъка по пътя към интелигентна, ефективна и устойчива публична администрация.</w:t>
      </w:r>
    </w:p>
    <w:p w14:paraId="4A99ADED" w14:textId="16F85154" w:rsidR="00714BE5" w:rsidRPr="00714BE5" w:rsidRDefault="00714BE5" w:rsidP="00913AC1">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 xml:space="preserve">За поредна година ИПА бе партньор в проучването </w:t>
      </w:r>
      <w:r w:rsidR="004B7DF8">
        <w:rPr>
          <w:bCs/>
          <w:iCs/>
          <w:sz w:val="22"/>
          <w:szCs w:val="22"/>
        </w:rPr>
        <w:t>–</w:t>
      </w:r>
      <w:r w:rsidRPr="00714BE5">
        <w:rPr>
          <w:bCs/>
          <w:iCs/>
          <w:sz w:val="22"/>
          <w:szCs w:val="22"/>
        </w:rPr>
        <w:t xml:space="preserve"> Индекс на административния капацитет на държавната администрация в Република България за 2024 г. Този документ представя резултатите от изследването на административния капацитет на държавната администрация през 2024 година, проведено през периода 20</w:t>
      </w:r>
      <w:r w:rsidR="004B7DF8">
        <w:rPr>
          <w:bCs/>
          <w:iCs/>
          <w:sz w:val="22"/>
          <w:szCs w:val="22"/>
        </w:rPr>
        <w:t>.02</w:t>
      </w:r>
      <w:r w:rsidRPr="00714BE5">
        <w:rPr>
          <w:bCs/>
          <w:iCs/>
          <w:sz w:val="22"/>
          <w:szCs w:val="22"/>
        </w:rPr>
        <w:t xml:space="preserve"> – 15</w:t>
      </w:r>
      <w:r w:rsidR="004B7DF8">
        <w:rPr>
          <w:bCs/>
          <w:iCs/>
          <w:sz w:val="22"/>
          <w:szCs w:val="22"/>
        </w:rPr>
        <w:t>.03.</w:t>
      </w:r>
      <w:r w:rsidRPr="00714BE5">
        <w:rPr>
          <w:bCs/>
          <w:iCs/>
          <w:sz w:val="22"/>
          <w:szCs w:val="22"/>
        </w:rPr>
        <w:t xml:space="preserve">2025 г. </w:t>
      </w:r>
      <w:r w:rsidR="004B7DF8">
        <w:rPr>
          <w:bCs/>
          <w:iCs/>
          <w:sz w:val="22"/>
          <w:szCs w:val="22"/>
        </w:rPr>
        <w:br/>
      </w:r>
      <w:r w:rsidRPr="00714BE5">
        <w:rPr>
          <w:bCs/>
          <w:iCs/>
          <w:sz w:val="22"/>
          <w:szCs w:val="22"/>
        </w:rPr>
        <w:t>На официално представяне бяха обявени резултатите от тази година и е публикувано на сайта на ИПА.</w:t>
      </w:r>
    </w:p>
    <w:p w14:paraId="04B2312C" w14:textId="1C16D718" w:rsidR="00714BE5" w:rsidRPr="00714BE5" w:rsidRDefault="00714BE5" w:rsidP="00913AC1">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Р</w:t>
      </w:r>
      <w:r w:rsidR="004B7DF8">
        <w:rPr>
          <w:bCs/>
          <w:iCs/>
          <w:sz w:val="22"/>
          <w:szCs w:val="22"/>
        </w:rPr>
        <w:t>а</w:t>
      </w:r>
      <w:r w:rsidRPr="00714BE5">
        <w:rPr>
          <w:bCs/>
          <w:iCs/>
          <w:sz w:val="22"/>
          <w:szCs w:val="22"/>
        </w:rPr>
        <w:t xml:space="preserve">зработено бе и специално издание, което обобщава опита на ИПА в сферата на прилагането на нови технологии в работата. Статията представя опита на ИПА при внедряване на </w:t>
      </w:r>
      <w:proofErr w:type="spellStart"/>
      <w:r w:rsidRPr="00714BE5">
        <w:rPr>
          <w:bCs/>
          <w:iCs/>
          <w:sz w:val="22"/>
          <w:szCs w:val="22"/>
        </w:rPr>
        <w:t>чатбот</w:t>
      </w:r>
      <w:proofErr w:type="spellEnd"/>
      <w:r w:rsidRPr="00714BE5">
        <w:rPr>
          <w:bCs/>
          <w:iCs/>
          <w:sz w:val="22"/>
          <w:szCs w:val="22"/>
        </w:rPr>
        <w:t xml:space="preserve"> с изкуствен интелект, като акцентира върху установените в хода на реализирането на идеята предизвикателства и добри практики.</w:t>
      </w:r>
    </w:p>
    <w:p w14:paraId="1A3305BC" w14:textId="77777777" w:rsidR="00714BE5" w:rsidRPr="00714BE5" w:rsidRDefault="00714BE5" w:rsidP="00913AC1">
      <w:pPr>
        <w:shd w:val="clear" w:color="auto" w:fill="FFFFFF" w:themeFill="background1"/>
        <w:ind w:firstLine="426"/>
        <w:jc w:val="both"/>
        <w:rPr>
          <w:bCs/>
          <w:iCs/>
          <w:sz w:val="22"/>
          <w:szCs w:val="22"/>
        </w:rPr>
      </w:pPr>
      <w:r w:rsidRPr="00714BE5">
        <w:rPr>
          <w:bCs/>
          <w:iCs/>
          <w:sz w:val="22"/>
          <w:szCs w:val="22"/>
        </w:rPr>
        <w:t>●</w:t>
      </w:r>
      <w:r w:rsidRPr="00714BE5">
        <w:rPr>
          <w:bCs/>
          <w:iCs/>
          <w:sz w:val="22"/>
          <w:szCs w:val="22"/>
        </w:rPr>
        <w:tab/>
      </w:r>
      <w:r w:rsidRPr="004B7B9F">
        <w:rPr>
          <w:b/>
          <w:iCs/>
          <w:sz w:val="22"/>
          <w:szCs w:val="22"/>
        </w:rPr>
        <w:t>Ежегодно актуализиране на програмите за обучение чрез разработване на нови курсове и по-широко прилагане на дигитални форми на учене;</w:t>
      </w:r>
      <w:r w:rsidRPr="00714BE5">
        <w:rPr>
          <w:bCs/>
          <w:iCs/>
          <w:sz w:val="22"/>
          <w:szCs w:val="22"/>
        </w:rPr>
        <w:t xml:space="preserve"> </w:t>
      </w:r>
    </w:p>
    <w:p w14:paraId="326FAEAD" w14:textId="77777777" w:rsidR="00714BE5" w:rsidRPr="00714BE5" w:rsidRDefault="00714BE5" w:rsidP="00913AC1">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 xml:space="preserve">До момента по Каталога на ИПА за 2025 г. са разработени 3 нови обучения в присъствена/електронна форма и 4 е-модула за самообучение, a 1 курс бе актуализиран. По Каталога на Академията на фондовете бяха разработени 11 нови обучения в присъствена и електронна форма. В отговор на възникнали потребности от обучение от страна на администрациите, бяха разработени и 2 обучения по поръчка. В Каталог 25 на ИПА бе разработена чисто нова програма за обучения – Интелигентно управление на данни и ИИ, </w:t>
      </w:r>
      <w:r w:rsidRPr="00714BE5">
        <w:rPr>
          <w:bCs/>
          <w:iCs/>
          <w:sz w:val="22"/>
          <w:szCs w:val="22"/>
        </w:rPr>
        <w:lastRenderedPageBreak/>
        <w:t xml:space="preserve">която е разработена в отговор на нарастващите нужди от надграждане и задълбочаване на компетентностите, свързани с данните и новите технологии в държавната администрация. </w:t>
      </w:r>
    </w:p>
    <w:p w14:paraId="170EF166" w14:textId="07E03438" w:rsidR="00714BE5" w:rsidRPr="00714BE5" w:rsidRDefault="00714BE5" w:rsidP="00913AC1">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 xml:space="preserve">Бяха проведени 3 процедури за подбор на  лектори/лекторски екипи за разработване на нови курсове и електронни модули за самообучение, включени в Каталог 2025 на ИПА и Каталога на Академията на фондовете на ЕС. Избраните нови лектори успешно разработиха всички нови курсове и през пролетния цикъл на обучения </w:t>
      </w:r>
      <w:r w:rsidR="00D60AE4">
        <w:rPr>
          <w:bCs/>
          <w:iCs/>
          <w:sz w:val="22"/>
          <w:szCs w:val="22"/>
        </w:rPr>
        <w:t>–</w:t>
      </w:r>
      <w:r w:rsidRPr="00714BE5">
        <w:rPr>
          <w:bCs/>
          <w:iCs/>
          <w:sz w:val="22"/>
          <w:szCs w:val="22"/>
        </w:rPr>
        <w:t xml:space="preserve"> същите бяха проведени. </w:t>
      </w:r>
    </w:p>
    <w:p w14:paraId="0FCBC785" w14:textId="77777777" w:rsidR="00714BE5" w:rsidRPr="00714BE5" w:rsidRDefault="00714BE5" w:rsidP="00913AC1">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Повишаването на качеството на обученията чрез разширено прилагане на дигитални форми на учене продължава да е сред стратегическите приоритети на Института по публична администрация. В отговор на динамичното развитие на технологиите и нарастващата потребност от гъвкави и достъпни форми на обучение, се реализират мерки за повишаване на интерактивността и ефективността на учебния процес. Разработват се видео-ресурси към обучителните материали, както и кратки анимации с цел по-добра визуализация. Лекторите имат възможност за използване на възможностите на платформи за провеждане на обучения, упражнения и онлайн дискусии. Разполагаме с възможността за провеждане на хибридни обучения чрез видеоконферентни системи, с цел включване в курсовете на администрации, които по-рядко са обучаеми по различни причини. Гъвкавите дигитални методи и решения, които прилагаме увеличават интереса и ангажираността по време на обученията. Ежегодно се правят актуализации на пакета с учебни материали за нови/актуализирани курсове, както и се внедряват различни технологии и софтуерни приложения за разработване и провеждане на обученията, както и в работата на служителите на ИПА.</w:t>
      </w:r>
    </w:p>
    <w:p w14:paraId="202DA57A" w14:textId="77777777" w:rsidR="00714BE5" w:rsidRPr="004B7B9F" w:rsidRDefault="00714BE5" w:rsidP="00913AC1">
      <w:pPr>
        <w:shd w:val="clear" w:color="auto" w:fill="FFFFFF" w:themeFill="background1"/>
        <w:ind w:firstLine="426"/>
        <w:jc w:val="both"/>
        <w:rPr>
          <w:b/>
          <w:iCs/>
          <w:sz w:val="22"/>
          <w:szCs w:val="22"/>
        </w:rPr>
      </w:pPr>
      <w:r w:rsidRPr="00714BE5">
        <w:rPr>
          <w:bCs/>
          <w:iCs/>
          <w:sz w:val="22"/>
          <w:szCs w:val="22"/>
        </w:rPr>
        <w:t>●</w:t>
      </w:r>
      <w:r w:rsidRPr="00714BE5">
        <w:rPr>
          <w:bCs/>
          <w:iCs/>
          <w:sz w:val="22"/>
          <w:szCs w:val="22"/>
        </w:rPr>
        <w:tab/>
      </w:r>
      <w:r w:rsidRPr="004B7B9F">
        <w:rPr>
          <w:b/>
          <w:iCs/>
          <w:sz w:val="22"/>
          <w:szCs w:val="22"/>
        </w:rPr>
        <w:t>Организиране и провеждане на задължително обучение за назначени за първи път на държавна служба и за държавни служители, назначени за първи път на ръководна длъжност;</w:t>
      </w:r>
    </w:p>
    <w:p w14:paraId="1231F4EE" w14:textId="526E3005" w:rsidR="00714BE5" w:rsidRPr="00714BE5" w:rsidRDefault="00714BE5" w:rsidP="00913AC1">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За периода на първото 6-месечие на 2025 г. по курс „Въведение в държавната служба“ бяха проведени 58 обучения, успешно преминати от 1</w:t>
      </w:r>
      <w:r w:rsidR="00D60AE4">
        <w:rPr>
          <w:bCs/>
          <w:iCs/>
          <w:sz w:val="22"/>
          <w:szCs w:val="22"/>
        </w:rPr>
        <w:t xml:space="preserve"> </w:t>
      </w:r>
      <w:r w:rsidRPr="00714BE5">
        <w:rPr>
          <w:bCs/>
          <w:iCs/>
          <w:sz w:val="22"/>
          <w:szCs w:val="22"/>
        </w:rPr>
        <w:t>260 служители в администрацията.</w:t>
      </w:r>
    </w:p>
    <w:p w14:paraId="218E01C0" w14:textId="77777777" w:rsidR="00714BE5" w:rsidRPr="00714BE5" w:rsidRDefault="00714BE5" w:rsidP="00101E90">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Задължителното обучение на новоназначени ръководители в администрацията „Предизвикателството да управляваш“ бе преминато от 261 служителя в 14 сформирани групи за обучение.</w:t>
      </w:r>
    </w:p>
    <w:p w14:paraId="14223996" w14:textId="77777777" w:rsidR="00714BE5" w:rsidRPr="004B7B9F" w:rsidRDefault="00714BE5" w:rsidP="00101E90">
      <w:pPr>
        <w:shd w:val="clear" w:color="auto" w:fill="FFFFFF" w:themeFill="background1"/>
        <w:ind w:firstLine="426"/>
        <w:jc w:val="both"/>
        <w:rPr>
          <w:b/>
          <w:iCs/>
          <w:sz w:val="22"/>
          <w:szCs w:val="22"/>
        </w:rPr>
      </w:pPr>
      <w:r w:rsidRPr="00714BE5">
        <w:rPr>
          <w:bCs/>
          <w:iCs/>
          <w:sz w:val="22"/>
          <w:szCs w:val="22"/>
        </w:rPr>
        <w:t>●</w:t>
      </w:r>
      <w:r w:rsidRPr="00714BE5">
        <w:rPr>
          <w:bCs/>
          <w:iCs/>
          <w:sz w:val="22"/>
          <w:szCs w:val="22"/>
        </w:rPr>
        <w:tab/>
      </w:r>
      <w:r w:rsidRPr="004B7B9F">
        <w:rPr>
          <w:b/>
          <w:iCs/>
          <w:sz w:val="22"/>
          <w:szCs w:val="22"/>
        </w:rPr>
        <w:t>Оценка на качеството и ефективността на проведените обучения;</w:t>
      </w:r>
    </w:p>
    <w:p w14:paraId="4D7AC926" w14:textId="77777777" w:rsidR="00714BE5" w:rsidRPr="00714BE5" w:rsidRDefault="00714BE5" w:rsidP="00101E90">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Екипът по качество на обученията в ИПА изготви Доклад за оценка на проведените обучения за 2024 г., базиран на обобщение на попълнените анкетни карти след всяко проведено обучение. Изводите в Доклада препращат към подобрения и актуализации на някои курсове. Също така изготви специален Доклад от последваща оценка от обученията, базиран на проучване сред служителите, които са преминали обучения по Каталога на Академията на фондовете. Целта на докладите е да реализират промени и актуализации в курсовете в каталозите, взимайки в предвид обратната връзка на самите участници. В срок от 1 месец бяха изпълнени необходимите корекции и промени.</w:t>
      </w:r>
    </w:p>
    <w:p w14:paraId="7A838DDF" w14:textId="77777777" w:rsidR="00714BE5" w:rsidRPr="00714BE5" w:rsidRDefault="00714BE5" w:rsidP="00101E90">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На всички нови/актуализирани курсове в периода е направена предварителна оценка за съответствие със стандартите за качество.</w:t>
      </w:r>
    </w:p>
    <w:p w14:paraId="23E68E0A" w14:textId="77777777" w:rsidR="00714BE5" w:rsidRPr="00714BE5" w:rsidRDefault="00714BE5" w:rsidP="00101E90">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 xml:space="preserve">На всеки 6 месеца отговорните мениджъри по програми изготвят обобщение на получените анкетни карти от страна на участниците и дават своите препоръки за подобряване качеството на предлаганите от ИПА обучения. Екипът по качество на обученията в Института разглежда получената информация и реализира действия за подобряване качеството на обученията. </w:t>
      </w:r>
    </w:p>
    <w:p w14:paraId="5EE3CA02" w14:textId="77777777" w:rsidR="00714BE5" w:rsidRPr="004B7B9F" w:rsidRDefault="00714BE5" w:rsidP="00101E90">
      <w:pPr>
        <w:shd w:val="clear" w:color="auto" w:fill="FFFFFF" w:themeFill="background1"/>
        <w:ind w:firstLine="426"/>
        <w:jc w:val="both"/>
        <w:rPr>
          <w:b/>
          <w:iCs/>
          <w:sz w:val="22"/>
          <w:szCs w:val="22"/>
        </w:rPr>
      </w:pPr>
      <w:r w:rsidRPr="00714BE5">
        <w:rPr>
          <w:bCs/>
          <w:iCs/>
          <w:sz w:val="22"/>
          <w:szCs w:val="22"/>
        </w:rPr>
        <w:t>●</w:t>
      </w:r>
      <w:r w:rsidRPr="00714BE5">
        <w:rPr>
          <w:bCs/>
          <w:iCs/>
          <w:sz w:val="22"/>
          <w:szCs w:val="22"/>
        </w:rPr>
        <w:tab/>
      </w:r>
      <w:r w:rsidRPr="004B7B9F">
        <w:rPr>
          <w:b/>
          <w:iCs/>
          <w:sz w:val="22"/>
          <w:szCs w:val="22"/>
        </w:rPr>
        <w:t>Сътрудничество с институти, университети и други образователни институции в България и чужбина по въпроси, свързани с квалификацията на работещите в държавната администрация;</w:t>
      </w:r>
    </w:p>
    <w:p w14:paraId="63C9874A" w14:textId="77777777" w:rsidR="00714BE5" w:rsidRPr="00714BE5" w:rsidRDefault="00714BE5" w:rsidP="00101E90">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По Програма „Еразъм за публична администрация“ бе проведена 1 процедура за подбор и е избран 1 кандидат за участие в програмата на Европейското училище по администрация (EUSA) в Брюксел</w:t>
      </w:r>
    </w:p>
    <w:p w14:paraId="4558168C" w14:textId="6E3B270C" w:rsidR="00714BE5" w:rsidRPr="00714BE5" w:rsidRDefault="00714BE5" w:rsidP="00101E90">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През 2025 г. ИПА стана партньор и участва активно в разработването на предложение за международен проект по TSI (</w:t>
      </w:r>
      <w:r w:rsidRPr="002A70BE">
        <w:rPr>
          <w:bCs/>
          <w:iCs/>
          <w:sz w:val="22"/>
          <w:szCs w:val="22"/>
          <w:lang w:val="en-US"/>
        </w:rPr>
        <w:t>Technical support instrument</w:t>
      </w:r>
      <w:r w:rsidRPr="00714BE5">
        <w:rPr>
          <w:bCs/>
          <w:iCs/>
          <w:sz w:val="22"/>
          <w:szCs w:val="22"/>
        </w:rPr>
        <w:t xml:space="preserve">) на Европейската комисия. Той е насочен към разработването, изпълнението и оценката на специална международна програма за управленски кадри в държавната администрация </w:t>
      </w:r>
      <w:r w:rsidRPr="002A70BE">
        <w:rPr>
          <w:bCs/>
          <w:iCs/>
          <w:sz w:val="22"/>
          <w:szCs w:val="22"/>
          <w:lang w:val="en-US"/>
        </w:rPr>
        <w:t xml:space="preserve">„European Public Administration </w:t>
      </w:r>
      <w:r w:rsidRPr="002A70BE">
        <w:rPr>
          <w:bCs/>
          <w:iCs/>
          <w:sz w:val="22"/>
          <w:szCs w:val="22"/>
          <w:lang w:val="en-US"/>
        </w:rPr>
        <w:lastRenderedPageBreak/>
        <w:t xml:space="preserve">Leadership </w:t>
      </w:r>
      <w:proofErr w:type="spellStart"/>
      <w:r w:rsidRPr="002A70BE">
        <w:rPr>
          <w:bCs/>
          <w:iCs/>
          <w:sz w:val="22"/>
          <w:szCs w:val="22"/>
          <w:lang w:val="en-US"/>
        </w:rPr>
        <w:t>Programme</w:t>
      </w:r>
      <w:proofErr w:type="spellEnd"/>
      <w:r w:rsidRPr="002A70BE">
        <w:rPr>
          <w:bCs/>
          <w:iCs/>
          <w:sz w:val="22"/>
          <w:szCs w:val="22"/>
          <w:lang w:val="en-US"/>
        </w:rPr>
        <w:t>“</w:t>
      </w:r>
      <w:r w:rsidRPr="00714BE5">
        <w:rPr>
          <w:bCs/>
          <w:iCs/>
          <w:sz w:val="22"/>
          <w:szCs w:val="22"/>
        </w:rPr>
        <w:t xml:space="preserve"> като се планира в нея да участват висши държавни служители от 6 държави </w:t>
      </w:r>
      <w:r w:rsidR="002A70BE">
        <w:rPr>
          <w:bCs/>
          <w:iCs/>
          <w:sz w:val="22"/>
          <w:szCs w:val="22"/>
        </w:rPr>
        <w:t>–</w:t>
      </w:r>
      <w:r w:rsidRPr="00714BE5">
        <w:rPr>
          <w:bCs/>
          <w:iCs/>
          <w:sz w:val="22"/>
          <w:szCs w:val="22"/>
        </w:rPr>
        <w:t xml:space="preserve"> България, Полша, Хърватия, Латвия, Румъния и Гърция. В рамките на проекта се предвижда: да бъде изготвен международен модел относно компетентността на ръководните кадри в публичната администрация, да бъде разработена специална програма за обмяна на опит и споделяне информация по ключови въпроси за управлението в държавната администрация, да се организира провеждането на програмата с участието на висши държавни служители от посочените държави (като във всяка страна се провежда по една сесия от програмата), да бъде оценена проведената програма и нейния ефект, и да се осигури устойчивост на програмата в бъдеще под различни форми. В резултат на поредица от срещи за обсъждане с Европейската комисия, Европейския университетски институт във Флоренц</w:t>
      </w:r>
      <w:r w:rsidR="002A70BE">
        <w:rPr>
          <w:bCs/>
          <w:iCs/>
          <w:sz w:val="22"/>
          <w:szCs w:val="22"/>
        </w:rPr>
        <w:t>и</w:t>
      </w:r>
      <w:r w:rsidRPr="00714BE5">
        <w:rPr>
          <w:bCs/>
          <w:iCs/>
          <w:sz w:val="22"/>
          <w:szCs w:val="22"/>
        </w:rPr>
        <w:t>я (който е определен за координатор на проекта) и екипите от 6-те държави, както и работа по версиите на проекта, техническото предложение бе изготвено и внесено в Европейската комисия. Очаква се проектът да стартира през тази есен (м.</w:t>
      </w:r>
      <w:r w:rsidR="002A70BE">
        <w:rPr>
          <w:bCs/>
          <w:iCs/>
          <w:sz w:val="22"/>
          <w:szCs w:val="22"/>
        </w:rPr>
        <w:t xml:space="preserve"> </w:t>
      </w:r>
      <w:r w:rsidRPr="00714BE5">
        <w:rPr>
          <w:bCs/>
          <w:iCs/>
          <w:sz w:val="22"/>
          <w:szCs w:val="22"/>
        </w:rPr>
        <w:t>септември).</w:t>
      </w:r>
    </w:p>
    <w:p w14:paraId="5F65CB94" w14:textId="77777777" w:rsidR="00714BE5" w:rsidRPr="00714BE5" w:rsidRDefault="00714BE5" w:rsidP="00101E90">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 xml:space="preserve">По проект на ИПА, свързан с развитие на Академия за фондовете на ЕС, ИПА поддържа партньорски взаимоотношения с Централно координационно звено, ИА „Одит на средствата от ЕС“, Дирекция „Национален фонд“ и Агенцията по обществени поръчки, с чието участие се провеждат част от курсовете в Каталога на Академията, както и различни събития (форуми, комуникационни срещи, семинари) за целевата група на Академията. </w:t>
      </w:r>
    </w:p>
    <w:p w14:paraId="5F3FDAFC" w14:textId="77777777" w:rsidR="00714BE5" w:rsidRPr="00714BE5" w:rsidRDefault="00714BE5" w:rsidP="00101E90">
      <w:pPr>
        <w:shd w:val="clear" w:color="auto" w:fill="FFFFFF" w:themeFill="background1"/>
        <w:ind w:left="709"/>
        <w:jc w:val="both"/>
        <w:rPr>
          <w:bCs/>
          <w:iCs/>
          <w:sz w:val="22"/>
          <w:szCs w:val="22"/>
        </w:rPr>
      </w:pPr>
      <w:r w:rsidRPr="00714BE5">
        <w:rPr>
          <w:bCs/>
          <w:iCs/>
          <w:sz w:val="22"/>
          <w:szCs w:val="22"/>
        </w:rPr>
        <w:t>Наред с международната дейност, ИПА продължи да развива и своята национална партньорска мрежа като тази година разработи обучение по инициатива на Комисията за защита на личните данни, свързано, което е съобразено с изискванията на чл. 10, ал. 1, точка 6 от Закона за защита на личните. Обучението предоставя необходимите знания за нормативните и техническите изисквания при защитата на неприкосновеността на личния живот и защитата на личните данни съгласно разпоредбите на GDPR. Курсът е разработен от лектори на Комисията за защита на личните данни, а целевата група са ръководители и служители на експертни длъжности, които отговарят за обработването и защитата на личните данни.</w:t>
      </w:r>
    </w:p>
    <w:p w14:paraId="13FD6DD6" w14:textId="77777777" w:rsidR="00714BE5" w:rsidRPr="004B7B9F" w:rsidRDefault="00714BE5" w:rsidP="00101E90">
      <w:pPr>
        <w:shd w:val="clear" w:color="auto" w:fill="FFFFFF" w:themeFill="background1"/>
        <w:ind w:firstLine="426"/>
        <w:jc w:val="both"/>
        <w:rPr>
          <w:b/>
          <w:iCs/>
          <w:sz w:val="22"/>
          <w:szCs w:val="22"/>
        </w:rPr>
      </w:pPr>
      <w:r w:rsidRPr="004B7B9F">
        <w:rPr>
          <w:b/>
          <w:iCs/>
          <w:sz w:val="22"/>
          <w:szCs w:val="22"/>
        </w:rPr>
        <w:t>●</w:t>
      </w:r>
      <w:r w:rsidRPr="004B7B9F">
        <w:rPr>
          <w:b/>
          <w:iCs/>
          <w:sz w:val="22"/>
          <w:szCs w:val="22"/>
        </w:rPr>
        <w:tab/>
        <w:t>Провеждане на конкурси за добри практики и подпомагане на въвеждането на европейския модел за качество CAF;</w:t>
      </w:r>
    </w:p>
    <w:p w14:paraId="7C6B6BC7" w14:textId="77777777" w:rsidR="00714BE5" w:rsidRPr="00714BE5" w:rsidRDefault="00714BE5" w:rsidP="00101E90">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Кампанията за подбор на добри практики за 2025 г. ще стартира през м. септември. Администрациите имат възможност да изпращат своите кандидатури до 30 септември, като тази година няма да бъдат ограничени в определени категории, а ще имат възможност да изпращат добрите практики на екипа на ИПА, който чрез специално създадена комисия ще ги разпредели в категории и ще бъдат наградени.</w:t>
      </w:r>
    </w:p>
    <w:p w14:paraId="4012A49C" w14:textId="751C68DE" w:rsidR="00714BE5" w:rsidRPr="00714BE5" w:rsidRDefault="00714BE5" w:rsidP="00101E90">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В периода 11</w:t>
      </w:r>
      <w:r w:rsidR="002D50A7">
        <w:rPr>
          <w:bCs/>
          <w:iCs/>
          <w:sz w:val="22"/>
          <w:szCs w:val="22"/>
        </w:rPr>
        <w:t>.03</w:t>
      </w:r>
      <w:r w:rsidRPr="00714BE5">
        <w:rPr>
          <w:bCs/>
          <w:iCs/>
          <w:sz w:val="22"/>
          <w:szCs w:val="22"/>
        </w:rPr>
        <w:t xml:space="preserve"> – </w:t>
      </w:r>
      <w:r w:rsidR="002D50A7">
        <w:rPr>
          <w:bCs/>
          <w:iCs/>
          <w:sz w:val="22"/>
          <w:szCs w:val="22"/>
        </w:rPr>
        <w:t>0</w:t>
      </w:r>
      <w:r w:rsidRPr="00714BE5">
        <w:rPr>
          <w:bCs/>
          <w:iCs/>
          <w:sz w:val="22"/>
          <w:szCs w:val="22"/>
        </w:rPr>
        <w:t>9</w:t>
      </w:r>
      <w:r w:rsidR="002D50A7">
        <w:rPr>
          <w:bCs/>
          <w:iCs/>
          <w:sz w:val="22"/>
          <w:szCs w:val="22"/>
        </w:rPr>
        <w:t>.05.</w:t>
      </w:r>
      <w:r w:rsidRPr="00714BE5">
        <w:rPr>
          <w:bCs/>
          <w:iCs/>
          <w:sz w:val="22"/>
          <w:szCs w:val="22"/>
        </w:rPr>
        <w:t xml:space="preserve">2025 г ИПА проведе третото издание на Конкурс за иновации в държавната администрация, в който бяха получени 11 предложения. Предстои оценяване на получените предложения и церемония по награждаване на победителите. </w:t>
      </w:r>
    </w:p>
    <w:p w14:paraId="2641BD21" w14:textId="5DF008A7" w:rsidR="00714BE5" w:rsidRPr="00714BE5" w:rsidRDefault="00714BE5" w:rsidP="00101E90">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ИПА продължава с усилията си по популяризиране и подпомагане на въвеждането на европейския модел за качество CAF сред българските администрации. Екипът по CAF в Института взе активно участие в обсъждането и редактирането на проекта на новата Процедура за външна обратна връзка по CAF, разработван от международен екип под ръководството на Европейския CAF ресурсен център. Извършва се регулярен преглед и изготвяне на новини и информация за събития и работата по CAF в специалната рубрика „CAF“ на страницата на ИПА.</w:t>
      </w:r>
    </w:p>
    <w:p w14:paraId="43016744" w14:textId="12E8009B" w:rsidR="00F25305" w:rsidRDefault="00714BE5" w:rsidP="00101E90">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Ръководителят на CAF ресурсния център в ИПА взе участие в регулярната среща на международната група на CAF кореспондентите, проведена на 11</w:t>
      </w:r>
      <w:r w:rsidR="002D50A7">
        <w:rPr>
          <w:bCs/>
          <w:iCs/>
          <w:sz w:val="22"/>
          <w:szCs w:val="22"/>
        </w:rPr>
        <w:t>.04.</w:t>
      </w:r>
      <w:r w:rsidRPr="00714BE5">
        <w:rPr>
          <w:bCs/>
          <w:iCs/>
          <w:sz w:val="22"/>
          <w:szCs w:val="22"/>
        </w:rPr>
        <w:t>2025 г. в гр. Варшава, Полша – по време на Полското председателство на Съвета на ЕС. Също така в 10-тата международна среща на потребителите на модел CAF, проведена на 10</w:t>
      </w:r>
      <w:r w:rsidR="002D50A7">
        <w:rPr>
          <w:bCs/>
          <w:iCs/>
          <w:sz w:val="22"/>
          <w:szCs w:val="22"/>
        </w:rPr>
        <w:t>.04.</w:t>
      </w:r>
      <w:r w:rsidRPr="00714BE5">
        <w:rPr>
          <w:bCs/>
          <w:iCs/>
          <w:sz w:val="22"/>
          <w:szCs w:val="22"/>
        </w:rPr>
        <w:t xml:space="preserve">2025 г. в </w:t>
      </w:r>
      <w:r w:rsidR="002D50A7">
        <w:rPr>
          <w:bCs/>
          <w:iCs/>
          <w:sz w:val="22"/>
          <w:szCs w:val="22"/>
        </w:rPr>
        <w:br/>
      </w:r>
      <w:r w:rsidRPr="00714BE5">
        <w:rPr>
          <w:bCs/>
          <w:iCs/>
          <w:sz w:val="22"/>
          <w:szCs w:val="22"/>
        </w:rPr>
        <w:t xml:space="preserve">гр. Варшава, Полша. В нея участваха 140 представители на организации и национални ресурсни центрове по CAF от 22 държави, включително и България. Събитието бе организирано от екипа на Полското председателство на Съвета на Европейския съюз със съдействието на Европейския CAF ресурсен център. По време на форума се обсъждаха актуални въпроси за публичната администрация като основният фокус бе представянето на </w:t>
      </w:r>
      <w:r w:rsidRPr="00714BE5">
        <w:rPr>
          <w:bCs/>
          <w:iCs/>
          <w:sz w:val="22"/>
          <w:szCs w:val="22"/>
        </w:rPr>
        <w:lastRenderedPageBreak/>
        <w:t>добри практики в областта на дигиталната трансформация, иновациите, екологичната насоченост и ангажираността на човешките ресурси и заинтересованите страни в публичната администрация. За първи път на такова голямо международно събитие беше представен успешен опит на български организации, приложили модел CAF – ИПА и Областна администрация – Ловеч. На ИПА бе връчен награден сертификат за иновативното постижение „ИПА – дигитална комуникативна революция“, базирано на изкуствен интелект.</w:t>
      </w:r>
    </w:p>
    <w:p w14:paraId="5B9CED1E" w14:textId="77777777" w:rsidR="00714BE5" w:rsidRPr="002D50A7" w:rsidRDefault="00714BE5" w:rsidP="00101E90">
      <w:pPr>
        <w:shd w:val="clear" w:color="auto" w:fill="FFFFFF" w:themeFill="background1"/>
        <w:ind w:firstLine="426"/>
        <w:jc w:val="both"/>
        <w:rPr>
          <w:b/>
          <w:iCs/>
          <w:sz w:val="22"/>
          <w:szCs w:val="22"/>
        </w:rPr>
      </w:pPr>
      <w:r w:rsidRPr="002D50A7">
        <w:rPr>
          <w:b/>
          <w:iCs/>
          <w:sz w:val="22"/>
          <w:szCs w:val="22"/>
        </w:rPr>
        <w:t>●</w:t>
      </w:r>
      <w:r w:rsidRPr="002D50A7">
        <w:rPr>
          <w:b/>
          <w:iCs/>
          <w:sz w:val="22"/>
          <w:szCs w:val="22"/>
        </w:rPr>
        <w:tab/>
        <w:t>Изследователска, издателска и информационна дейност в подкрепа на принципите на доброто управление;</w:t>
      </w:r>
    </w:p>
    <w:p w14:paraId="2E416F0B" w14:textId="77777777" w:rsidR="00714BE5" w:rsidRPr="00714BE5" w:rsidRDefault="00714BE5" w:rsidP="00101E90">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Издаден е сборник „Добри практики“ от конкурса за 2024 г.</w:t>
      </w:r>
    </w:p>
    <w:p w14:paraId="1F4DB5FD" w14:textId="77777777" w:rsidR="00714BE5" w:rsidRPr="00714BE5" w:rsidRDefault="00714BE5" w:rsidP="00101E90">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Публикуван е „Барометър на ангажираността“.</w:t>
      </w:r>
    </w:p>
    <w:p w14:paraId="034B7F35" w14:textId="77777777" w:rsidR="00714BE5" w:rsidRPr="00714BE5" w:rsidRDefault="00714BE5" w:rsidP="00101E90">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Публикуван е Индекс за готовност за ИИ.</w:t>
      </w:r>
    </w:p>
    <w:p w14:paraId="025BD4FF" w14:textId="77777777" w:rsidR="00714BE5" w:rsidRPr="00714BE5" w:rsidRDefault="00714BE5" w:rsidP="00101E90">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r>
      <w:proofErr w:type="spellStart"/>
      <w:r w:rsidRPr="00714BE5">
        <w:rPr>
          <w:bCs/>
          <w:iCs/>
          <w:sz w:val="22"/>
          <w:szCs w:val="22"/>
        </w:rPr>
        <w:t>Демистифициране</w:t>
      </w:r>
      <w:proofErr w:type="spellEnd"/>
      <w:r w:rsidRPr="00714BE5">
        <w:rPr>
          <w:bCs/>
          <w:iCs/>
          <w:sz w:val="22"/>
          <w:szCs w:val="22"/>
        </w:rPr>
        <w:t xml:space="preserve"> на процеса по създаване на дигитални асистенти.</w:t>
      </w:r>
    </w:p>
    <w:p w14:paraId="1806EBB8" w14:textId="77777777" w:rsidR="00714BE5" w:rsidRPr="00714BE5" w:rsidRDefault="00714BE5" w:rsidP="00101E90">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 xml:space="preserve">В рубриката в социалните мрежи на ИПА </w:t>
      </w:r>
      <w:r w:rsidRPr="002D50A7">
        <w:rPr>
          <w:sz w:val="22"/>
          <w:szCs w:val="22"/>
        </w:rPr>
        <w:t>#РазбериИзкуственияИнтелект</w:t>
      </w:r>
      <w:r w:rsidRPr="002D50A7">
        <w:rPr>
          <w:bCs/>
          <w:iCs/>
          <w:color w:val="215E99" w:themeColor="text2" w:themeTint="BF"/>
          <w:sz w:val="22"/>
          <w:szCs w:val="22"/>
        </w:rPr>
        <w:t xml:space="preserve"> </w:t>
      </w:r>
      <w:r w:rsidRPr="002D50A7">
        <w:rPr>
          <w:bCs/>
          <w:iCs/>
          <w:sz w:val="22"/>
          <w:szCs w:val="22"/>
        </w:rPr>
        <w:t xml:space="preserve">и </w:t>
      </w:r>
      <w:r w:rsidRPr="002D50A7">
        <w:rPr>
          <w:sz w:val="22"/>
          <w:szCs w:val="22"/>
        </w:rPr>
        <w:t>#Четяща сряда</w:t>
      </w:r>
      <w:r w:rsidRPr="002D50A7">
        <w:rPr>
          <w:bCs/>
          <w:iCs/>
          <w:sz w:val="22"/>
          <w:szCs w:val="22"/>
        </w:rPr>
        <w:t xml:space="preserve"> </w:t>
      </w:r>
      <w:r w:rsidRPr="00714BE5">
        <w:rPr>
          <w:bCs/>
          <w:iCs/>
          <w:sz w:val="22"/>
          <w:szCs w:val="22"/>
        </w:rPr>
        <w:t>има голям брой публикации, като всички ресурси са достъпни и на интернет-страницата на ИПА.</w:t>
      </w:r>
    </w:p>
    <w:p w14:paraId="5C8DBB58" w14:textId="77777777" w:rsidR="00714BE5" w:rsidRPr="00714BE5" w:rsidRDefault="00714BE5" w:rsidP="00101E90">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 xml:space="preserve">ИПА периодично актуализира своята интернет страница, поддържа свой профил във </w:t>
      </w:r>
      <w:proofErr w:type="spellStart"/>
      <w:r w:rsidRPr="00714BE5">
        <w:rPr>
          <w:bCs/>
          <w:iCs/>
          <w:sz w:val="22"/>
          <w:szCs w:val="22"/>
        </w:rPr>
        <w:t>Facebook</w:t>
      </w:r>
      <w:proofErr w:type="spellEnd"/>
      <w:r w:rsidRPr="00714BE5">
        <w:rPr>
          <w:bCs/>
          <w:iCs/>
          <w:sz w:val="22"/>
          <w:szCs w:val="22"/>
        </w:rPr>
        <w:t xml:space="preserve">, Вайбър и </w:t>
      </w:r>
      <w:proofErr w:type="spellStart"/>
      <w:r w:rsidRPr="00714BE5">
        <w:rPr>
          <w:bCs/>
          <w:iCs/>
          <w:sz w:val="22"/>
          <w:szCs w:val="22"/>
        </w:rPr>
        <w:t>LinkedIN</w:t>
      </w:r>
      <w:proofErr w:type="spellEnd"/>
      <w:r w:rsidRPr="00714BE5">
        <w:rPr>
          <w:bCs/>
          <w:iCs/>
          <w:sz w:val="22"/>
          <w:szCs w:val="22"/>
        </w:rPr>
        <w:t xml:space="preserve"> и публикува видео-материали в </w:t>
      </w:r>
      <w:proofErr w:type="spellStart"/>
      <w:r w:rsidRPr="00714BE5">
        <w:rPr>
          <w:bCs/>
          <w:iCs/>
          <w:sz w:val="22"/>
          <w:szCs w:val="22"/>
        </w:rPr>
        <w:t>Youtube</w:t>
      </w:r>
      <w:proofErr w:type="spellEnd"/>
      <w:r w:rsidRPr="00714BE5">
        <w:rPr>
          <w:bCs/>
          <w:iCs/>
          <w:sz w:val="22"/>
          <w:szCs w:val="22"/>
        </w:rPr>
        <w:t>. До момента е публикуван 1 брой е-бюлетин с полезна и актуална информация.</w:t>
      </w:r>
    </w:p>
    <w:p w14:paraId="24404778" w14:textId="4CEECC21" w:rsidR="00714BE5" w:rsidRPr="002D50A7" w:rsidRDefault="00714BE5" w:rsidP="00101E90">
      <w:pPr>
        <w:shd w:val="clear" w:color="auto" w:fill="FFFFFF" w:themeFill="background1"/>
        <w:ind w:firstLine="426"/>
        <w:jc w:val="both"/>
        <w:rPr>
          <w:b/>
          <w:iCs/>
          <w:sz w:val="22"/>
          <w:szCs w:val="22"/>
        </w:rPr>
      </w:pPr>
      <w:r w:rsidRPr="002D50A7">
        <w:rPr>
          <w:b/>
          <w:iCs/>
          <w:sz w:val="22"/>
          <w:szCs w:val="22"/>
        </w:rPr>
        <w:t>●</w:t>
      </w:r>
      <w:r w:rsidRPr="002D50A7">
        <w:rPr>
          <w:b/>
          <w:iCs/>
          <w:sz w:val="22"/>
          <w:szCs w:val="22"/>
        </w:rPr>
        <w:tab/>
        <w:t>Организиране на национални и международни конф</w:t>
      </w:r>
      <w:r w:rsidR="00F277F9">
        <w:rPr>
          <w:b/>
          <w:iCs/>
          <w:sz w:val="22"/>
          <w:szCs w:val="22"/>
        </w:rPr>
        <w:t xml:space="preserve">еренции, годишни срещи и други </w:t>
      </w:r>
      <w:r w:rsidRPr="002D50A7">
        <w:rPr>
          <w:b/>
          <w:iCs/>
          <w:sz w:val="22"/>
          <w:szCs w:val="22"/>
        </w:rPr>
        <w:t>форуми за трансфер на знания и изграждане на професионални мрежи сред служителите;</w:t>
      </w:r>
    </w:p>
    <w:p w14:paraId="69ACB835" w14:textId="77777777" w:rsidR="00714BE5" w:rsidRPr="00714BE5" w:rsidRDefault="00714BE5" w:rsidP="00101E90">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От началото на годината до момента са проведени 2 еднодневни форума в гр. София и 2 комуникационни срещи извън гр. София като поредица от събития, свързани с развитието на професионални общности в сферата на ЕСИФ/ЕФСУ, а именно – Мрежа на експертите по обществени поръчки в сферата на ЕСИФ/ЕФСУ и Мрежа на експертите по финансово управление на програми и проекти в сферата на ЕСИФ/ЕФСУ. Събитията бяха успешно реализирани, с помощта на партньорски организации и дългогодишни лектори на ИПА, с динамична и интересна програма, обмяна на опит, добри практики и най-вече възможност за среща на служителите от целевата група. ИПА е предоставил възможност за диалог на членовете на мрежата и в специален канал в социалните мрежи.</w:t>
      </w:r>
    </w:p>
    <w:p w14:paraId="2223A5A5" w14:textId="77777777" w:rsidR="00714BE5" w:rsidRPr="00714BE5" w:rsidRDefault="00714BE5" w:rsidP="00101E90">
      <w:pPr>
        <w:shd w:val="clear" w:color="auto" w:fill="FFFFFF" w:themeFill="background1"/>
        <w:ind w:left="709" w:hanging="283"/>
        <w:jc w:val="both"/>
        <w:rPr>
          <w:bCs/>
          <w:iCs/>
          <w:sz w:val="22"/>
          <w:szCs w:val="22"/>
        </w:rPr>
      </w:pPr>
      <w:r w:rsidRPr="00714BE5">
        <w:rPr>
          <w:bCs/>
          <w:iCs/>
          <w:sz w:val="22"/>
          <w:szCs w:val="22"/>
        </w:rPr>
        <w:t>-</w:t>
      </w:r>
      <w:r w:rsidRPr="00714BE5">
        <w:rPr>
          <w:bCs/>
          <w:iCs/>
          <w:sz w:val="22"/>
          <w:szCs w:val="22"/>
        </w:rPr>
        <w:tab/>
        <w:t>В периода 4-6 юни 2025 г. ,в град Несебър, се проведе 17-тата Годишна среща на специалистите по човешки ресурси в държавната администрация. В събитието взеха участие  над 170 представители. Форумът се отличи с динамична програма, която насърчаваше интерактивното участие, като всяка администрация представи своя презентация по актуални теми като „Политики за равнопоставеност и недискриминация“, Съвременни стандарти и стратегии за привличане на нови служители“, „Приложение на нововъзникващи технологии и изкуствен интелект в работата на човешките ресурси“, както и „Подходи в обучения и кариерно развитие на държавните служители“. Ключов елемент от събитието бе и работата по групи, под наслов „Градина на промените/решенията“, където участниците бяха разпределени в екипи, ръководени от ментори – специалисти с опит в конкретната област. Събитието премина с успех и отлични отзиви.</w:t>
      </w:r>
    </w:p>
    <w:p w14:paraId="3F7A6300" w14:textId="77777777" w:rsidR="00714BE5" w:rsidRPr="002D50A7" w:rsidRDefault="00714BE5" w:rsidP="00101E90">
      <w:pPr>
        <w:shd w:val="clear" w:color="auto" w:fill="FFFFFF" w:themeFill="background1"/>
        <w:ind w:firstLine="426"/>
        <w:jc w:val="both"/>
        <w:rPr>
          <w:b/>
          <w:iCs/>
          <w:sz w:val="22"/>
          <w:szCs w:val="22"/>
        </w:rPr>
      </w:pPr>
      <w:r w:rsidRPr="002D50A7">
        <w:rPr>
          <w:b/>
          <w:iCs/>
          <w:sz w:val="22"/>
          <w:szCs w:val="22"/>
        </w:rPr>
        <w:t>●</w:t>
      </w:r>
      <w:r w:rsidRPr="002D50A7">
        <w:rPr>
          <w:b/>
          <w:iCs/>
          <w:sz w:val="22"/>
          <w:szCs w:val="22"/>
        </w:rPr>
        <w:tab/>
        <w:t>Изпълнение на национални и международни проекти за професионално развитие на служителите в администрацията.</w:t>
      </w:r>
    </w:p>
    <w:p w14:paraId="43C8DAE0" w14:textId="7EA01D86" w:rsidR="00FE5CDF" w:rsidRDefault="00714BE5" w:rsidP="00396C2B">
      <w:pPr>
        <w:shd w:val="clear" w:color="auto" w:fill="FFFFFF" w:themeFill="background1"/>
        <w:spacing w:after="120"/>
        <w:ind w:left="709" w:hanging="284"/>
        <w:jc w:val="both"/>
        <w:rPr>
          <w:bCs/>
          <w:iCs/>
          <w:sz w:val="22"/>
          <w:szCs w:val="22"/>
        </w:rPr>
      </w:pPr>
      <w:r w:rsidRPr="00714BE5">
        <w:rPr>
          <w:bCs/>
          <w:iCs/>
          <w:sz w:val="22"/>
          <w:szCs w:val="22"/>
        </w:rPr>
        <w:t>-</w:t>
      </w:r>
      <w:r w:rsidRPr="00714BE5">
        <w:rPr>
          <w:bCs/>
          <w:iCs/>
          <w:sz w:val="22"/>
          <w:szCs w:val="22"/>
        </w:rPr>
        <w:tab/>
        <w:t xml:space="preserve">От 10.07.2024 г. Институтът по публична администрация изпълнява проект „ Развитие на Академия за фондовете на ЕС“ с финансовата подкрепата на Програма „Техническа помощ“ и съдействието на хоризонталните структури/звена за управление на средствата от ЕСИФ и ЕФСУ. Целта на Академията е целенасочено и регулярно повишаване на административния капацитет на служителите в Системата за управление на средствата от ЕСИФ и ЕФСУ, в административни структури, отговорни за отключващите условия и в административни структури – кандидати и бенефициенти по програмите, с цел повишаване на ефективността на европейските инвестиции, тяхната добавена стойност за развитие на българската икономика и общество, постигане на европейските приоритети и ангажименти. На този етап всички цели и дейности по проекта се реализират, не се наблюдават отклонения и </w:t>
      </w:r>
      <w:r w:rsidR="00396C2B">
        <w:rPr>
          <w:bCs/>
          <w:iCs/>
          <w:sz w:val="22"/>
          <w:szCs w:val="22"/>
        </w:rPr>
        <w:br/>
      </w:r>
      <w:r w:rsidRPr="00714BE5">
        <w:rPr>
          <w:bCs/>
          <w:iCs/>
          <w:sz w:val="22"/>
          <w:szCs w:val="22"/>
        </w:rPr>
        <w:lastRenderedPageBreak/>
        <w:t>забавяния, а обратната връзка от проведените обучения/форуми/срещи на служителите от Системата е висока.</w:t>
      </w:r>
    </w:p>
    <w:tbl>
      <w:tblPr>
        <w:tblW w:w="8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37"/>
        <w:gridCol w:w="1134"/>
        <w:gridCol w:w="992"/>
        <w:gridCol w:w="1134"/>
      </w:tblGrid>
      <w:tr w:rsidR="00E73A3A" w:rsidRPr="001F0B81" w14:paraId="3296B212" w14:textId="77777777" w:rsidTr="0044670F">
        <w:trPr>
          <w:trHeight w:val="318"/>
          <w:jc w:val="center"/>
        </w:trPr>
        <w:tc>
          <w:tcPr>
            <w:tcW w:w="5237" w:type="dxa"/>
            <w:shd w:val="clear" w:color="auto" w:fill="FFCC99"/>
            <w:vAlign w:val="center"/>
            <w:hideMark/>
          </w:tcPr>
          <w:p w14:paraId="062602ED" w14:textId="77777777" w:rsidR="00111B3B" w:rsidRPr="001F0B81" w:rsidRDefault="00111B3B" w:rsidP="00856212">
            <w:pPr>
              <w:spacing w:line="276" w:lineRule="auto"/>
              <w:jc w:val="center"/>
              <w:rPr>
                <w:b/>
                <w:bCs/>
                <w:sz w:val="18"/>
                <w:szCs w:val="18"/>
                <w:lang w:eastAsia="en-US"/>
              </w:rPr>
            </w:pPr>
            <w:r w:rsidRPr="001F0B81">
              <w:rPr>
                <w:b/>
                <w:bCs/>
                <w:sz w:val="18"/>
                <w:szCs w:val="18"/>
                <w:lang w:eastAsia="en-US"/>
              </w:rPr>
              <w:t>Показатели за изпълнение</w:t>
            </w:r>
          </w:p>
        </w:tc>
        <w:tc>
          <w:tcPr>
            <w:tcW w:w="1134" w:type="dxa"/>
            <w:shd w:val="clear" w:color="auto" w:fill="FFCC99"/>
            <w:vAlign w:val="center"/>
            <w:hideMark/>
          </w:tcPr>
          <w:p w14:paraId="7B4AE847" w14:textId="77777777" w:rsidR="00111B3B" w:rsidRPr="001F0B81" w:rsidRDefault="00111B3B" w:rsidP="00856212">
            <w:pPr>
              <w:spacing w:line="276" w:lineRule="auto"/>
              <w:jc w:val="center"/>
              <w:rPr>
                <w:b/>
                <w:bCs/>
                <w:sz w:val="18"/>
                <w:szCs w:val="18"/>
                <w:lang w:eastAsia="en-US"/>
              </w:rPr>
            </w:pPr>
            <w:r w:rsidRPr="001F0B81">
              <w:rPr>
                <w:b/>
                <w:bCs/>
                <w:sz w:val="18"/>
                <w:szCs w:val="18"/>
                <w:lang w:eastAsia="en-US"/>
              </w:rPr>
              <w:t>Мерна единица</w:t>
            </w:r>
          </w:p>
        </w:tc>
        <w:tc>
          <w:tcPr>
            <w:tcW w:w="992" w:type="dxa"/>
            <w:shd w:val="clear" w:color="auto" w:fill="FFCC99"/>
            <w:vAlign w:val="center"/>
            <w:hideMark/>
          </w:tcPr>
          <w:p w14:paraId="03BDF61D" w14:textId="77777777" w:rsidR="00111B3B" w:rsidRPr="001F0B81" w:rsidRDefault="001D3B48" w:rsidP="0008268B">
            <w:pPr>
              <w:spacing w:line="276" w:lineRule="auto"/>
              <w:jc w:val="center"/>
              <w:rPr>
                <w:b/>
                <w:bCs/>
                <w:sz w:val="18"/>
                <w:szCs w:val="18"/>
                <w:lang w:eastAsia="en-US"/>
              </w:rPr>
            </w:pPr>
            <w:r w:rsidRPr="001F0B81">
              <w:rPr>
                <w:b/>
                <w:bCs/>
                <w:sz w:val="18"/>
                <w:szCs w:val="18"/>
                <w:lang w:eastAsia="en-US"/>
              </w:rPr>
              <w:t>Целева стойност</w:t>
            </w:r>
          </w:p>
        </w:tc>
        <w:tc>
          <w:tcPr>
            <w:tcW w:w="1134" w:type="dxa"/>
            <w:shd w:val="clear" w:color="auto" w:fill="FFCC99"/>
            <w:vAlign w:val="center"/>
            <w:hideMark/>
          </w:tcPr>
          <w:p w14:paraId="29977600" w14:textId="77777777" w:rsidR="00111B3B" w:rsidRPr="001F0B81" w:rsidRDefault="001D3B48" w:rsidP="001D3B48">
            <w:pPr>
              <w:spacing w:line="276" w:lineRule="auto"/>
              <w:jc w:val="center"/>
              <w:rPr>
                <w:b/>
                <w:bCs/>
                <w:iCs/>
                <w:sz w:val="18"/>
                <w:szCs w:val="18"/>
                <w:lang w:eastAsia="en-US"/>
              </w:rPr>
            </w:pPr>
            <w:r w:rsidRPr="001F0B81">
              <w:rPr>
                <w:b/>
                <w:bCs/>
                <w:iCs/>
                <w:sz w:val="18"/>
                <w:szCs w:val="18"/>
                <w:lang w:eastAsia="en-US"/>
              </w:rPr>
              <w:t>Отчет</w:t>
            </w:r>
          </w:p>
        </w:tc>
      </w:tr>
      <w:tr w:rsidR="00D54FDE" w:rsidRPr="001F0B81" w14:paraId="2645EB41" w14:textId="77777777" w:rsidTr="0044670F">
        <w:trPr>
          <w:trHeight w:val="60"/>
          <w:jc w:val="center"/>
        </w:trPr>
        <w:tc>
          <w:tcPr>
            <w:tcW w:w="5237" w:type="dxa"/>
            <w:hideMark/>
          </w:tcPr>
          <w:p w14:paraId="5A3A2EBC" w14:textId="77777777" w:rsidR="00D54FDE" w:rsidRPr="001F0B81" w:rsidRDefault="00D54FDE" w:rsidP="00E14771">
            <w:pPr>
              <w:numPr>
                <w:ilvl w:val="0"/>
                <w:numId w:val="7"/>
              </w:numPr>
              <w:spacing w:line="276" w:lineRule="auto"/>
              <w:ind w:left="357" w:hanging="357"/>
              <w:jc w:val="both"/>
              <w:rPr>
                <w:sz w:val="18"/>
                <w:szCs w:val="18"/>
                <w:lang w:eastAsia="en-US"/>
              </w:rPr>
            </w:pPr>
            <w:r w:rsidRPr="001F0B81">
              <w:rPr>
                <w:sz w:val="18"/>
                <w:szCs w:val="18"/>
                <w:lang w:eastAsia="en-US"/>
              </w:rPr>
              <w:t>Обучени служители в курсове на ИПА</w:t>
            </w:r>
          </w:p>
        </w:tc>
        <w:tc>
          <w:tcPr>
            <w:tcW w:w="1134" w:type="dxa"/>
            <w:hideMark/>
          </w:tcPr>
          <w:p w14:paraId="051FC61B" w14:textId="77777777" w:rsidR="00D54FDE" w:rsidRPr="001F0B81" w:rsidRDefault="00D54FDE" w:rsidP="00FF6A8C">
            <w:pPr>
              <w:spacing w:line="276" w:lineRule="auto"/>
              <w:jc w:val="center"/>
              <w:rPr>
                <w:sz w:val="18"/>
                <w:szCs w:val="18"/>
                <w:lang w:eastAsia="en-US"/>
              </w:rPr>
            </w:pPr>
            <w:r w:rsidRPr="001F0B81">
              <w:rPr>
                <w:sz w:val="18"/>
                <w:szCs w:val="18"/>
                <w:lang w:eastAsia="en-US"/>
              </w:rPr>
              <w:t>брой</w:t>
            </w:r>
          </w:p>
        </w:tc>
        <w:tc>
          <w:tcPr>
            <w:tcW w:w="992" w:type="dxa"/>
          </w:tcPr>
          <w:p w14:paraId="2EFFAB30" w14:textId="23A70E21" w:rsidR="00D54FDE" w:rsidRPr="001F0B81" w:rsidRDefault="00D54FDE" w:rsidP="004A33C9">
            <w:pPr>
              <w:spacing w:line="276" w:lineRule="auto"/>
              <w:jc w:val="right"/>
              <w:rPr>
                <w:strike/>
                <w:sz w:val="18"/>
                <w:szCs w:val="18"/>
                <w:lang w:eastAsia="en-US"/>
              </w:rPr>
            </w:pPr>
            <w:r w:rsidRPr="001F0B81">
              <w:rPr>
                <w:sz w:val="18"/>
                <w:szCs w:val="18"/>
                <w:lang w:eastAsia="en-US"/>
              </w:rPr>
              <w:t>1</w:t>
            </w:r>
            <w:r w:rsidR="00B73E84">
              <w:rPr>
                <w:sz w:val="18"/>
                <w:szCs w:val="18"/>
                <w:lang w:eastAsia="en-US"/>
              </w:rPr>
              <w:t>2</w:t>
            </w:r>
            <w:r w:rsidRPr="001F0B81">
              <w:rPr>
                <w:sz w:val="18"/>
                <w:szCs w:val="18"/>
                <w:lang w:eastAsia="en-US"/>
              </w:rPr>
              <w:t xml:space="preserve"> 000</w:t>
            </w:r>
          </w:p>
        </w:tc>
        <w:tc>
          <w:tcPr>
            <w:tcW w:w="1134" w:type="dxa"/>
            <w:hideMark/>
          </w:tcPr>
          <w:p w14:paraId="21571ED1" w14:textId="731AF1E3" w:rsidR="00D54FDE" w:rsidRPr="001F0B81" w:rsidRDefault="004A33C9" w:rsidP="00D54FDE">
            <w:pPr>
              <w:spacing w:line="276" w:lineRule="auto"/>
              <w:jc w:val="right"/>
              <w:rPr>
                <w:sz w:val="18"/>
                <w:szCs w:val="18"/>
                <w:lang w:eastAsia="en-US"/>
              </w:rPr>
            </w:pPr>
            <w:r w:rsidRPr="001F0B81">
              <w:rPr>
                <w:sz w:val="18"/>
                <w:szCs w:val="18"/>
                <w:lang w:eastAsia="en-US"/>
              </w:rPr>
              <w:t xml:space="preserve">9 </w:t>
            </w:r>
            <w:r w:rsidR="00416B97" w:rsidRPr="001F0B81">
              <w:rPr>
                <w:sz w:val="18"/>
                <w:szCs w:val="18"/>
                <w:lang w:eastAsia="en-US"/>
              </w:rPr>
              <w:t>784</w:t>
            </w:r>
          </w:p>
        </w:tc>
      </w:tr>
      <w:tr w:rsidR="005A2863" w:rsidRPr="001F0B81" w14:paraId="3B2C018C" w14:textId="77777777" w:rsidTr="0044670F">
        <w:trPr>
          <w:trHeight w:val="86"/>
          <w:jc w:val="center"/>
        </w:trPr>
        <w:tc>
          <w:tcPr>
            <w:tcW w:w="5237" w:type="dxa"/>
          </w:tcPr>
          <w:p w14:paraId="635EE059" w14:textId="77777777" w:rsidR="00D54FDE" w:rsidRPr="001F0B81" w:rsidRDefault="00D54FDE" w:rsidP="00E14771">
            <w:pPr>
              <w:numPr>
                <w:ilvl w:val="0"/>
                <w:numId w:val="7"/>
              </w:numPr>
              <w:spacing w:line="276" w:lineRule="auto"/>
              <w:ind w:left="357" w:hanging="357"/>
              <w:jc w:val="both"/>
              <w:rPr>
                <w:sz w:val="18"/>
                <w:szCs w:val="18"/>
                <w:lang w:eastAsia="en-US"/>
              </w:rPr>
            </w:pPr>
            <w:r w:rsidRPr="001F0B81">
              <w:rPr>
                <w:sz w:val="18"/>
                <w:szCs w:val="18"/>
                <w:lang w:eastAsia="en-US"/>
              </w:rPr>
              <w:t xml:space="preserve">Дял на обучените в електронна форма служители  </w:t>
            </w:r>
          </w:p>
        </w:tc>
        <w:tc>
          <w:tcPr>
            <w:tcW w:w="1134" w:type="dxa"/>
          </w:tcPr>
          <w:p w14:paraId="49D197F7" w14:textId="77777777" w:rsidR="00D54FDE" w:rsidRPr="001F0B81" w:rsidRDefault="00D54FDE" w:rsidP="00FF6A8C">
            <w:pPr>
              <w:spacing w:line="276" w:lineRule="auto"/>
              <w:jc w:val="center"/>
              <w:rPr>
                <w:sz w:val="18"/>
                <w:szCs w:val="18"/>
                <w:lang w:eastAsia="en-US"/>
              </w:rPr>
            </w:pPr>
            <w:r w:rsidRPr="001F0B81">
              <w:rPr>
                <w:sz w:val="18"/>
                <w:szCs w:val="18"/>
                <w:lang w:eastAsia="en-US"/>
              </w:rPr>
              <w:t>процент</w:t>
            </w:r>
          </w:p>
        </w:tc>
        <w:tc>
          <w:tcPr>
            <w:tcW w:w="992" w:type="dxa"/>
          </w:tcPr>
          <w:p w14:paraId="08BFAC36" w14:textId="77777777" w:rsidR="00D54FDE" w:rsidRPr="001F0B81" w:rsidRDefault="00D54FDE" w:rsidP="00D54FDE">
            <w:pPr>
              <w:spacing w:line="276" w:lineRule="auto"/>
              <w:jc w:val="right"/>
              <w:rPr>
                <w:sz w:val="18"/>
                <w:szCs w:val="18"/>
                <w:lang w:eastAsia="en-US"/>
              </w:rPr>
            </w:pPr>
            <w:r w:rsidRPr="001F0B81">
              <w:rPr>
                <w:sz w:val="18"/>
                <w:szCs w:val="18"/>
                <w:lang w:eastAsia="en-US"/>
              </w:rPr>
              <w:t>70%</w:t>
            </w:r>
          </w:p>
        </w:tc>
        <w:tc>
          <w:tcPr>
            <w:tcW w:w="1134" w:type="dxa"/>
          </w:tcPr>
          <w:p w14:paraId="3C3E400D" w14:textId="77777777" w:rsidR="00D54FDE" w:rsidRPr="001F0B81" w:rsidRDefault="004A33C9" w:rsidP="00D54FDE">
            <w:pPr>
              <w:spacing w:line="276" w:lineRule="auto"/>
              <w:jc w:val="right"/>
              <w:rPr>
                <w:sz w:val="18"/>
                <w:szCs w:val="18"/>
                <w:lang w:eastAsia="en-US"/>
              </w:rPr>
            </w:pPr>
            <w:r w:rsidRPr="001F0B81">
              <w:rPr>
                <w:sz w:val="18"/>
                <w:szCs w:val="18"/>
                <w:lang w:eastAsia="en-US"/>
              </w:rPr>
              <w:t>68</w:t>
            </w:r>
            <w:r w:rsidR="007C3919" w:rsidRPr="001F0B81">
              <w:rPr>
                <w:sz w:val="18"/>
                <w:szCs w:val="18"/>
                <w:lang w:eastAsia="en-US"/>
              </w:rPr>
              <w:t>%</w:t>
            </w:r>
          </w:p>
        </w:tc>
      </w:tr>
      <w:tr w:rsidR="004A2128" w:rsidRPr="001F0B81" w14:paraId="0584EB13" w14:textId="77777777" w:rsidTr="00B648A3">
        <w:trPr>
          <w:trHeight w:val="288"/>
          <w:jc w:val="center"/>
        </w:trPr>
        <w:tc>
          <w:tcPr>
            <w:tcW w:w="5237" w:type="dxa"/>
            <w:hideMark/>
          </w:tcPr>
          <w:p w14:paraId="224434FF" w14:textId="77777777" w:rsidR="00D54FDE" w:rsidRPr="001F0B81" w:rsidRDefault="00D54FDE" w:rsidP="00E14771">
            <w:pPr>
              <w:numPr>
                <w:ilvl w:val="0"/>
                <w:numId w:val="7"/>
              </w:numPr>
              <w:spacing w:line="276" w:lineRule="auto"/>
              <w:ind w:left="357" w:hanging="357"/>
              <w:jc w:val="both"/>
              <w:rPr>
                <w:sz w:val="18"/>
                <w:szCs w:val="18"/>
                <w:lang w:eastAsia="en-US"/>
              </w:rPr>
            </w:pPr>
            <w:r w:rsidRPr="001F0B81">
              <w:rPr>
                <w:sz w:val="18"/>
                <w:szCs w:val="18"/>
                <w:lang w:eastAsia="en-US"/>
              </w:rPr>
              <w:t>Проведени конференции, годишни срещи и конкурси за добри практики</w:t>
            </w:r>
          </w:p>
        </w:tc>
        <w:tc>
          <w:tcPr>
            <w:tcW w:w="1134" w:type="dxa"/>
            <w:hideMark/>
          </w:tcPr>
          <w:p w14:paraId="2DB1EC03" w14:textId="77777777" w:rsidR="00D54FDE" w:rsidRPr="001F0B81" w:rsidRDefault="00D54FDE" w:rsidP="00FF6A8C">
            <w:pPr>
              <w:spacing w:line="276" w:lineRule="auto"/>
              <w:jc w:val="center"/>
              <w:rPr>
                <w:sz w:val="18"/>
                <w:szCs w:val="18"/>
                <w:lang w:eastAsia="en-US"/>
              </w:rPr>
            </w:pPr>
            <w:r w:rsidRPr="001F0B81">
              <w:rPr>
                <w:sz w:val="18"/>
                <w:szCs w:val="18"/>
                <w:lang w:eastAsia="en-US"/>
              </w:rPr>
              <w:t>брой</w:t>
            </w:r>
          </w:p>
        </w:tc>
        <w:tc>
          <w:tcPr>
            <w:tcW w:w="992" w:type="dxa"/>
          </w:tcPr>
          <w:p w14:paraId="1DB7EC9C" w14:textId="77777777" w:rsidR="00D54FDE" w:rsidRPr="001F0B81" w:rsidRDefault="00D54FDE" w:rsidP="00D54FDE">
            <w:pPr>
              <w:spacing w:line="276" w:lineRule="auto"/>
              <w:jc w:val="right"/>
              <w:rPr>
                <w:sz w:val="18"/>
                <w:szCs w:val="18"/>
                <w:lang w:eastAsia="en-US"/>
              </w:rPr>
            </w:pPr>
            <w:r w:rsidRPr="001F0B81">
              <w:rPr>
                <w:sz w:val="18"/>
                <w:szCs w:val="18"/>
                <w:lang w:eastAsia="en-US"/>
              </w:rPr>
              <w:t>мин. 5</w:t>
            </w:r>
          </w:p>
        </w:tc>
        <w:tc>
          <w:tcPr>
            <w:tcW w:w="1134" w:type="dxa"/>
            <w:hideMark/>
          </w:tcPr>
          <w:p w14:paraId="33FCD505" w14:textId="06A558F1" w:rsidR="00D54FDE" w:rsidRPr="001F0B81" w:rsidRDefault="00416B97" w:rsidP="00D54FDE">
            <w:pPr>
              <w:spacing w:line="276" w:lineRule="auto"/>
              <w:jc w:val="right"/>
              <w:rPr>
                <w:sz w:val="18"/>
                <w:szCs w:val="18"/>
                <w:lang w:eastAsia="en-US"/>
              </w:rPr>
            </w:pPr>
            <w:r w:rsidRPr="001F0B81">
              <w:rPr>
                <w:sz w:val="18"/>
                <w:szCs w:val="18"/>
                <w:lang w:eastAsia="en-US"/>
              </w:rPr>
              <w:t>3</w:t>
            </w:r>
          </w:p>
        </w:tc>
      </w:tr>
      <w:tr w:rsidR="00FF6A8C" w:rsidRPr="001F0B81" w14:paraId="54A505FF" w14:textId="77777777" w:rsidTr="00FF6A8C">
        <w:trPr>
          <w:trHeight w:val="269"/>
          <w:jc w:val="center"/>
        </w:trPr>
        <w:tc>
          <w:tcPr>
            <w:tcW w:w="5237" w:type="dxa"/>
            <w:hideMark/>
          </w:tcPr>
          <w:p w14:paraId="573AEB9A" w14:textId="65FA195C" w:rsidR="00D54FDE" w:rsidRPr="001F0B81" w:rsidRDefault="00D54FDE" w:rsidP="00E14771">
            <w:pPr>
              <w:numPr>
                <w:ilvl w:val="0"/>
                <w:numId w:val="7"/>
              </w:numPr>
              <w:spacing w:line="276" w:lineRule="auto"/>
              <w:ind w:left="357" w:hanging="357"/>
              <w:jc w:val="both"/>
              <w:rPr>
                <w:sz w:val="18"/>
                <w:szCs w:val="18"/>
                <w:lang w:eastAsia="en-US"/>
              </w:rPr>
            </w:pPr>
            <w:r w:rsidRPr="001F0B81">
              <w:rPr>
                <w:sz w:val="18"/>
                <w:szCs w:val="18"/>
                <w:lang w:eastAsia="en-US"/>
              </w:rPr>
              <w:t xml:space="preserve">Проведени </w:t>
            </w:r>
            <w:r w:rsidR="004A33C9" w:rsidRPr="001F0B81">
              <w:rPr>
                <w:sz w:val="18"/>
                <w:szCs w:val="18"/>
                <w:lang w:eastAsia="en-US"/>
              </w:rPr>
              <w:t>изследвания</w:t>
            </w:r>
            <w:r w:rsidR="00416B97" w:rsidRPr="001F0B81">
              <w:rPr>
                <w:sz w:val="18"/>
                <w:szCs w:val="18"/>
                <w:lang w:eastAsia="en-US"/>
              </w:rPr>
              <w:t>,</w:t>
            </w:r>
            <w:r w:rsidRPr="001F0B81">
              <w:rPr>
                <w:sz w:val="18"/>
                <w:szCs w:val="18"/>
                <w:lang w:eastAsia="en-US"/>
              </w:rPr>
              <w:t xml:space="preserve"> </w:t>
            </w:r>
            <w:r w:rsidR="00416B97" w:rsidRPr="001F0B81">
              <w:rPr>
                <w:sz w:val="18"/>
                <w:szCs w:val="18"/>
                <w:lang w:eastAsia="en-US"/>
              </w:rPr>
              <w:t xml:space="preserve">анализи </w:t>
            </w:r>
            <w:r w:rsidRPr="001F0B81">
              <w:rPr>
                <w:sz w:val="18"/>
                <w:szCs w:val="18"/>
                <w:lang w:eastAsia="en-US"/>
              </w:rPr>
              <w:t>и оценки в областта на публичното управление</w:t>
            </w:r>
          </w:p>
        </w:tc>
        <w:tc>
          <w:tcPr>
            <w:tcW w:w="1134" w:type="dxa"/>
            <w:hideMark/>
          </w:tcPr>
          <w:p w14:paraId="0A6D5987" w14:textId="77777777" w:rsidR="00D54FDE" w:rsidRPr="001F0B81" w:rsidRDefault="00D54FDE" w:rsidP="00FF6A8C">
            <w:pPr>
              <w:spacing w:line="276" w:lineRule="auto"/>
              <w:jc w:val="center"/>
              <w:rPr>
                <w:sz w:val="18"/>
                <w:szCs w:val="18"/>
                <w:lang w:eastAsia="en-US"/>
              </w:rPr>
            </w:pPr>
            <w:r w:rsidRPr="001F0B81">
              <w:rPr>
                <w:sz w:val="18"/>
                <w:szCs w:val="18"/>
                <w:lang w:eastAsia="en-US"/>
              </w:rPr>
              <w:t>брой</w:t>
            </w:r>
          </w:p>
        </w:tc>
        <w:tc>
          <w:tcPr>
            <w:tcW w:w="992" w:type="dxa"/>
          </w:tcPr>
          <w:p w14:paraId="201036B5" w14:textId="77777777" w:rsidR="00D54FDE" w:rsidRPr="001F0B81" w:rsidRDefault="00D54FDE" w:rsidP="00D54FDE">
            <w:pPr>
              <w:spacing w:line="276" w:lineRule="auto"/>
              <w:jc w:val="right"/>
              <w:rPr>
                <w:sz w:val="18"/>
                <w:szCs w:val="18"/>
                <w:lang w:eastAsia="en-US"/>
              </w:rPr>
            </w:pPr>
            <w:r w:rsidRPr="001F0B81">
              <w:rPr>
                <w:sz w:val="18"/>
                <w:szCs w:val="18"/>
                <w:lang w:eastAsia="en-US"/>
              </w:rPr>
              <w:t>мин. 3</w:t>
            </w:r>
          </w:p>
        </w:tc>
        <w:tc>
          <w:tcPr>
            <w:tcW w:w="1134" w:type="dxa"/>
            <w:hideMark/>
          </w:tcPr>
          <w:p w14:paraId="290F8D1B" w14:textId="2C4966D6" w:rsidR="00D54FDE" w:rsidRPr="001F0B81" w:rsidRDefault="00416B97" w:rsidP="00D54FDE">
            <w:pPr>
              <w:spacing w:line="276" w:lineRule="auto"/>
              <w:jc w:val="right"/>
              <w:rPr>
                <w:sz w:val="18"/>
                <w:szCs w:val="18"/>
                <w:lang w:eastAsia="en-US"/>
              </w:rPr>
            </w:pPr>
            <w:r w:rsidRPr="001F0B81">
              <w:rPr>
                <w:sz w:val="18"/>
                <w:szCs w:val="18"/>
                <w:lang w:eastAsia="en-US"/>
              </w:rPr>
              <w:t>2</w:t>
            </w:r>
          </w:p>
        </w:tc>
      </w:tr>
      <w:tr w:rsidR="00D54FDE" w:rsidRPr="001F0B81" w14:paraId="6C234077" w14:textId="77777777" w:rsidTr="0044670F">
        <w:trPr>
          <w:trHeight w:val="203"/>
          <w:jc w:val="center"/>
        </w:trPr>
        <w:tc>
          <w:tcPr>
            <w:tcW w:w="5237" w:type="dxa"/>
            <w:hideMark/>
          </w:tcPr>
          <w:p w14:paraId="59E3E286" w14:textId="77777777" w:rsidR="00D54FDE" w:rsidRPr="001F0B81" w:rsidRDefault="00D54FDE" w:rsidP="00E14771">
            <w:pPr>
              <w:numPr>
                <w:ilvl w:val="0"/>
                <w:numId w:val="7"/>
              </w:numPr>
              <w:spacing w:line="276" w:lineRule="auto"/>
              <w:ind w:left="357" w:hanging="357"/>
              <w:jc w:val="both"/>
              <w:rPr>
                <w:sz w:val="18"/>
                <w:szCs w:val="18"/>
                <w:lang w:eastAsia="en-US"/>
              </w:rPr>
            </w:pPr>
            <w:r w:rsidRPr="001F0B81">
              <w:rPr>
                <w:sz w:val="18"/>
                <w:szCs w:val="18"/>
                <w:lang w:eastAsia="en-US"/>
              </w:rPr>
              <w:t>Разработени нови курсове за присъствени и е-обучения</w:t>
            </w:r>
          </w:p>
        </w:tc>
        <w:tc>
          <w:tcPr>
            <w:tcW w:w="1134" w:type="dxa"/>
            <w:hideMark/>
          </w:tcPr>
          <w:p w14:paraId="1676152F" w14:textId="77777777" w:rsidR="00D54FDE" w:rsidRPr="001F0B81" w:rsidRDefault="00D54FDE" w:rsidP="00FF6A8C">
            <w:pPr>
              <w:spacing w:line="276" w:lineRule="auto"/>
              <w:jc w:val="center"/>
              <w:rPr>
                <w:sz w:val="18"/>
                <w:szCs w:val="18"/>
                <w:lang w:eastAsia="en-US"/>
              </w:rPr>
            </w:pPr>
            <w:r w:rsidRPr="001F0B81">
              <w:rPr>
                <w:sz w:val="18"/>
                <w:szCs w:val="18"/>
                <w:lang w:eastAsia="en-US"/>
              </w:rPr>
              <w:t>брой</w:t>
            </w:r>
          </w:p>
        </w:tc>
        <w:tc>
          <w:tcPr>
            <w:tcW w:w="992" w:type="dxa"/>
          </w:tcPr>
          <w:p w14:paraId="4B177222" w14:textId="77777777" w:rsidR="00D54FDE" w:rsidRPr="001F0B81" w:rsidRDefault="00D54FDE" w:rsidP="00D54FDE">
            <w:pPr>
              <w:spacing w:line="276" w:lineRule="auto"/>
              <w:jc w:val="right"/>
              <w:rPr>
                <w:sz w:val="18"/>
                <w:szCs w:val="18"/>
                <w:lang w:eastAsia="en-US"/>
              </w:rPr>
            </w:pPr>
            <w:r w:rsidRPr="001F0B81">
              <w:rPr>
                <w:sz w:val="18"/>
                <w:szCs w:val="18"/>
                <w:lang w:eastAsia="en-US"/>
              </w:rPr>
              <w:t>мин. 15</w:t>
            </w:r>
          </w:p>
        </w:tc>
        <w:tc>
          <w:tcPr>
            <w:tcW w:w="1134" w:type="dxa"/>
            <w:hideMark/>
          </w:tcPr>
          <w:p w14:paraId="5D8255D2" w14:textId="353FDB0F" w:rsidR="00D54FDE" w:rsidRPr="001F0B81" w:rsidRDefault="004A33C9" w:rsidP="00D54FDE">
            <w:pPr>
              <w:spacing w:line="276" w:lineRule="auto"/>
              <w:jc w:val="right"/>
              <w:rPr>
                <w:sz w:val="18"/>
                <w:szCs w:val="18"/>
                <w:lang w:eastAsia="en-US"/>
              </w:rPr>
            </w:pPr>
            <w:r w:rsidRPr="001F0B81">
              <w:rPr>
                <w:sz w:val="18"/>
                <w:szCs w:val="18"/>
                <w:lang w:eastAsia="en-US"/>
              </w:rPr>
              <w:t>1</w:t>
            </w:r>
            <w:r w:rsidR="00416B97" w:rsidRPr="001F0B81">
              <w:rPr>
                <w:sz w:val="18"/>
                <w:szCs w:val="18"/>
                <w:lang w:eastAsia="en-US"/>
              </w:rPr>
              <w:t>8</w:t>
            </w:r>
          </w:p>
        </w:tc>
      </w:tr>
    </w:tbl>
    <w:p w14:paraId="6671E783" w14:textId="77777777" w:rsidR="00B34954" w:rsidRPr="00B73E84" w:rsidRDefault="00B34954" w:rsidP="00B73E84">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B73E84">
        <w:rPr>
          <w:b/>
          <w:bCs/>
          <w:i/>
          <w:iCs/>
          <w:color w:val="215E99" w:themeColor="text2" w:themeTint="BF"/>
          <w:sz w:val="22"/>
          <w:szCs w:val="22"/>
        </w:rPr>
        <w:t>Борба срещу противообществените прояви на малолетните и непълнолетните</w:t>
      </w:r>
    </w:p>
    <w:p w14:paraId="3ACB7E42" w14:textId="77777777" w:rsidR="00B34954" w:rsidRPr="00667B09" w:rsidRDefault="00B34954" w:rsidP="00B73E84">
      <w:pPr>
        <w:pStyle w:val="ListParagraph"/>
        <w:shd w:val="clear" w:color="auto" w:fill="FFFFFF" w:themeFill="background1"/>
        <w:ind w:left="0" w:firstLine="425"/>
        <w:contextualSpacing/>
        <w:jc w:val="both"/>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2BB77282" w14:textId="77777777" w:rsidR="00B34954" w:rsidRPr="00CC1283" w:rsidRDefault="00B34954" w:rsidP="00B73E84">
      <w:pPr>
        <w:pStyle w:val="ListParagraph"/>
        <w:shd w:val="clear" w:color="auto" w:fill="FFFFFF" w:themeFill="background1"/>
        <w:ind w:left="0" w:firstLine="425"/>
        <w:contextualSpacing/>
        <w:jc w:val="both"/>
        <w:rPr>
          <w:sz w:val="22"/>
          <w:szCs w:val="22"/>
        </w:rPr>
      </w:pPr>
      <w:r w:rsidRPr="00CC1283">
        <w:rPr>
          <w:sz w:val="22"/>
          <w:szCs w:val="22"/>
        </w:rPr>
        <w:t xml:space="preserve">Основните функции на Централната комисия за борба срещу противообществените прояви на малолетните и непълнолетните </w:t>
      </w:r>
      <w:r>
        <w:rPr>
          <w:sz w:val="22"/>
          <w:szCs w:val="22"/>
          <w:lang w:val="bg-BG"/>
        </w:rPr>
        <w:t xml:space="preserve">(ЦКБППМН) </w:t>
      </w:r>
      <w:r w:rsidRPr="00CC1283">
        <w:rPr>
          <w:sz w:val="22"/>
          <w:szCs w:val="22"/>
        </w:rPr>
        <w:t>са регламентирани в Закона за борба срещу противообществените прояви на малолетните и непълнолетните (ЗБППМН). Комисията осъществява методическо ръководство и контрол върху местните комисии за БППМН в страната, както и анализ на данни, изготвяне на прогнози, провеждане на изследвания, програми за превенция и противодействие на детското асоциално поведение, координация на действията на държавните органи и юридическите лица с нестопанска цел по отношение на превенцията и противодействието на противообществените прояви и престъпността при ненавършилите пълнолетие лица.</w:t>
      </w:r>
    </w:p>
    <w:p w14:paraId="37B0B879" w14:textId="77777777" w:rsidR="00B34954" w:rsidRPr="00CC1283" w:rsidRDefault="00B34954" w:rsidP="00B73E84">
      <w:pPr>
        <w:pStyle w:val="ListParagraph"/>
        <w:shd w:val="clear" w:color="auto" w:fill="FFFFFF" w:themeFill="background1"/>
        <w:ind w:left="0" w:firstLine="426"/>
        <w:contextualSpacing/>
        <w:jc w:val="both"/>
        <w:rPr>
          <w:sz w:val="22"/>
          <w:szCs w:val="22"/>
        </w:rPr>
      </w:pPr>
      <w:r w:rsidRPr="00CC1283">
        <w:rPr>
          <w:sz w:val="22"/>
          <w:szCs w:val="22"/>
        </w:rPr>
        <w:t>Към настоящия момент в страната функционират 297 местни комисии.</w:t>
      </w:r>
    </w:p>
    <w:p w14:paraId="11A1CC3B" w14:textId="77777777" w:rsidR="00B34954" w:rsidRPr="007C4CD8" w:rsidRDefault="00B34954" w:rsidP="00B73E84">
      <w:pPr>
        <w:pStyle w:val="ListParagraph"/>
        <w:shd w:val="clear" w:color="auto" w:fill="FFFFFF" w:themeFill="background1"/>
        <w:ind w:left="0" w:firstLine="426"/>
        <w:contextualSpacing/>
        <w:jc w:val="both"/>
        <w:rPr>
          <w:sz w:val="22"/>
          <w:szCs w:val="22"/>
        </w:rPr>
      </w:pPr>
      <w:r w:rsidRPr="007C4CD8">
        <w:rPr>
          <w:sz w:val="22"/>
          <w:szCs w:val="22"/>
        </w:rPr>
        <w:t>Съгласно ЗБППМН, ежегодно местните комисии отчитат дейността си пред Централната комисия, а Централната комисия изготвя отчет, който представя в Министерския съвет. В изпълнение на тази своя функция и на утвърдената програма за дейността на администрацията на ЦКБППМН за 2025 г., на 22</w:t>
      </w:r>
      <w:r>
        <w:rPr>
          <w:sz w:val="22"/>
          <w:szCs w:val="22"/>
          <w:lang w:val="bg-BG"/>
        </w:rPr>
        <w:t>.04.</w:t>
      </w:r>
      <w:r w:rsidRPr="007C4CD8">
        <w:rPr>
          <w:sz w:val="22"/>
          <w:szCs w:val="22"/>
        </w:rPr>
        <w:t>2025 г. се проведе първо присъствено заседание на състава на ЦКБППМН, председателствано от г-н Атанас Зафиров – заместник министър-председател и председател на ЦКБППМН, при следния дневен ред: т. 1. Приемане на Отчетен доклад за дейността на Централната и Местните комисии за борба срещу противообществените прояви на малолетните и непълнолетните за 2023 г.; т.</w:t>
      </w:r>
      <w:r>
        <w:rPr>
          <w:sz w:val="22"/>
          <w:szCs w:val="22"/>
          <w:lang w:val="bg-BG"/>
        </w:rPr>
        <w:t xml:space="preserve"> </w:t>
      </w:r>
      <w:r w:rsidRPr="007C4CD8">
        <w:rPr>
          <w:sz w:val="22"/>
          <w:szCs w:val="22"/>
        </w:rPr>
        <w:t>2. Приемане на Анализ на състоянието и тенденциите на престъпността и противообществените прояви на малолетните и непълнолетните. Престъпления срещу тях. 2023 г.; и т. 3.</w:t>
      </w:r>
      <w:r>
        <w:rPr>
          <w:sz w:val="22"/>
          <w:szCs w:val="22"/>
          <w:lang w:val="bg-BG"/>
        </w:rPr>
        <w:t xml:space="preserve"> </w:t>
      </w:r>
      <w:r w:rsidRPr="007C4CD8">
        <w:rPr>
          <w:sz w:val="22"/>
          <w:szCs w:val="22"/>
        </w:rPr>
        <w:t xml:space="preserve">Разни. Горепосочените документи бяха съгласувани и приети от поименния състав на ЦКБППМН. В т. „Разни“ се обсъдиха и гласуваха два допълнителни въпроса: </w:t>
      </w:r>
      <w:r>
        <w:rPr>
          <w:sz w:val="22"/>
          <w:szCs w:val="22"/>
          <w:lang w:val="bg-BG"/>
        </w:rPr>
        <w:br/>
      </w:r>
      <w:r w:rsidRPr="007C4CD8">
        <w:rPr>
          <w:sz w:val="22"/>
          <w:szCs w:val="22"/>
        </w:rPr>
        <w:t>1. Възобновяване на издаването на списание „Обществено възпитание“ на хартиен носител и провеждане на изследване от ЦКБППМН през 2026 г. за ефективността на възпитателните мерки по чл. 13, ал. 1 от ЗБППМН. И двете предложения бяха приети от състава на ЦКБППМН с мнозинство.</w:t>
      </w:r>
    </w:p>
    <w:p w14:paraId="0724B7D9" w14:textId="77777777" w:rsidR="00B34954" w:rsidRPr="007C4CD8" w:rsidRDefault="00B34954" w:rsidP="00B73E84">
      <w:pPr>
        <w:pStyle w:val="ListParagraph"/>
        <w:shd w:val="clear" w:color="auto" w:fill="FFFFFF" w:themeFill="background1"/>
        <w:ind w:left="0" w:firstLine="426"/>
        <w:contextualSpacing/>
        <w:jc w:val="both"/>
        <w:rPr>
          <w:sz w:val="22"/>
          <w:szCs w:val="22"/>
        </w:rPr>
      </w:pPr>
      <w:r w:rsidRPr="007C4CD8">
        <w:rPr>
          <w:sz w:val="22"/>
          <w:szCs w:val="22"/>
        </w:rPr>
        <w:t xml:space="preserve">Към Централната комисия за БППМН функционира Център за квалификации на кадри, където се обучават служители от системата за детското девиантно и делинквентно поведение. За лектори се канят високо квалифицирани специалисти, свързани с проблематиката от академичните среди, университетски преподаватели, хора с опит в работата с деца. В изпълнение на функциите си за квалификация на специалистите в системата за БППМН и съгласно заложените дейности в програмата на администрацията на Централната комисия за 2025 г., в периода 09.04. – 11.04.2025 г. се проведе обучение за новоназначени секретари на местни комисии за БППМН от страната. Подготвиха се и се изпратиха покани на 40 новоназначени секретари на МКБППМН от цялата страна. За участие в обучението се регистрираха 18 секретари. Изготвената програма за обучението включи водещи теми и проблематики при работа с деца с девиантно поведение. Като лектори се включиха водещи специалисти, професори и академици от сферата на детското девиантно поведение – психолози, педагози, социални работници и други.  В обучението се проведоха лекции на теми: „Правна обезпеченост и организация при провеждане на възпитателни дела", „Кралството на наркотиците: тенденции, ефекти и още нещо.“, Обучение по оценка на риска и оценка на обществените възпитатели, „Употребата на наркотични вещества и превенция на зависимости при непълнолетни“, „За възможната среща с детето отвъд разказа за неговите трудности“, </w:t>
      </w:r>
      <w:r w:rsidRPr="007C4CD8">
        <w:rPr>
          <w:sz w:val="22"/>
          <w:szCs w:val="22"/>
        </w:rPr>
        <w:lastRenderedPageBreak/>
        <w:t>„Възпитанието като социален феномен. Фактори, оказващи въздействие върху девиантното поведение на децата“, „Подобряване на комуникативните умения“, „Отчитане на дейността на МКБППМН за статистически цели“, „Трафик на хора. Превенция“, „Взаимодействие на местните комисии за БППМН и ИДПС“, „Финансиране на местните комисии за БППМН и отчитане на изразходваните средства“, „Ролята на детския психиатър при деца и юноши с асоциално поведение“, „Характеристики на проблемното поведение на деца и юноши, провокирано от насилие в училище. Социално-психологически тренинги за превенция“, „Взаимодействие и координация между МКБППМН и органите за закрила на детето на местно и национално ниво при работа с детето и семейството“.</w:t>
      </w:r>
    </w:p>
    <w:p w14:paraId="26ADAD17" w14:textId="77777777" w:rsidR="00B34954" w:rsidRPr="00776061" w:rsidRDefault="00B34954" w:rsidP="00B73E84">
      <w:pPr>
        <w:pStyle w:val="ListParagraph"/>
        <w:shd w:val="clear" w:color="auto" w:fill="FFFFFF" w:themeFill="background1"/>
        <w:ind w:left="0" w:firstLine="426"/>
        <w:contextualSpacing/>
        <w:jc w:val="both"/>
        <w:rPr>
          <w:sz w:val="22"/>
          <w:szCs w:val="22"/>
        </w:rPr>
      </w:pPr>
      <w:r w:rsidRPr="00776061">
        <w:rPr>
          <w:sz w:val="22"/>
          <w:szCs w:val="22"/>
        </w:rPr>
        <w:t>В изпълнение на програмата за дейността на администрацията на ЦКБППМН за 2025 г.   през м. юни, в периода 22.06.</w:t>
      </w:r>
      <w:r>
        <w:rPr>
          <w:sz w:val="22"/>
          <w:szCs w:val="22"/>
          <w:lang w:val="bg-BG"/>
        </w:rPr>
        <w:t xml:space="preserve"> </w:t>
      </w:r>
      <w:r>
        <w:rPr>
          <w:sz w:val="22"/>
          <w:szCs w:val="22"/>
        </w:rPr>
        <w:t>–</w:t>
      </w:r>
      <w:r w:rsidRPr="00776061">
        <w:rPr>
          <w:sz w:val="22"/>
          <w:szCs w:val="22"/>
        </w:rPr>
        <w:t xml:space="preserve"> 28.06.2025 г., в гр. Ахелой се проведе Национална работна среща – семинар на местните комисии за БППМН в страната. Срещата се проведе при засилен интерес. Участие в Националното съвещание заявиха повече от 250 човека – председатели, секретари и членове на МКБППМН и обществени възпитатели. Участниците в работната среща се включиха активно и в частта с решаване на казуси от дейността на МКБППМН и супервизия по проблемни случаи в практиката на комисиите. В програмата бяха включени актуални теми като: реформата в детското правосъдие, взаимовръзка между личностни диспозиции и девиантни прояви при непълнолетните, представяне дейността на дирекция „Национална система 112“ и начини на взаимодействие с МКБППМН в страната, методите на възпитанието </w:t>
      </w:r>
      <w:r>
        <w:rPr>
          <w:sz w:val="22"/>
          <w:szCs w:val="22"/>
        </w:rPr>
        <w:t>–</w:t>
      </w:r>
      <w:r w:rsidRPr="00776061">
        <w:rPr>
          <w:sz w:val="22"/>
          <w:szCs w:val="22"/>
        </w:rPr>
        <w:t xml:space="preserve"> разказът като метод за възпитание, представяне на Национална кампания на ЗК </w:t>
      </w:r>
      <w:r>
        <w:rPr>
          <w:sz w:val="22"/>
          <w:szCs w:val="22"/>
          <w:lang w:val="bg-BG"/>
        </w:rPr>
        <w:t>„</w:t>
      </w:r>
      <w:r w:rsidRPr="00776061">
        <w:rPr>
          <w:sz w:val="22"/>
          <w:szCs w:val="22"/>
        </w:rPr>
        <w:t>Лев Инс</w:t>
      </w:r>
      <w:r>
        <w:rPr>
          <w:sz w:val="22"/>
          <w:szCs w:val="22"/>
          <w:lang w:val="bg-BG"/>
        </w:rPr>
        <w:t>“</w:t>
      </w:r>
      <w:r w:rsidRPr="00776061">
        <w:rPr>
          <w:sz w:val="22"/>
          <w:szCs w:val="22"/>
        </w:rPr>
        <w:t xml:space="preserve"> </w:t>
      </w:r>
      <w:r>
        <w:rPr>
          <w:sz w:val="22"/>
          <w:szCs w:val="22"/>
        </w:rPr>
        <w:t>–</w:t>
      </w:r>
      <w:r w:rsidRPr="00776061">
        <w:rPr>
          <w:sz w:val="22"/>
          <w:szCs w:val="22"/>
        </w:rPr>
        <w:t xml:space="preserve"> </w:t>
      </w:r>
      <w:r>
        <w:rPr>
          <w:sz w:val="22"/>
          <w:szCs w:val="22"/>
          <w:lang w:val="bg-BG"/>
        </w:rPr>
        <w:t>„</w:t>
      </w:r>
      <w:r w:rsidRPr="00776061">
        <w:rPr>
          <w:sz w:val="22"/>
          <w:szCs w:val="22"/>
        </w:rPr>
        <w:t>Пази детето в интернет</w:t>
      </w:r>
      <w:r>
        <w:rPr>
          <w:sz w:val="22"/>
          <w:szCs w:val="22"/>
          <w:lang w:val="bg-BG"/>
        </w:rPr>
        <w:t>“</w:t>
      </w:r>
      <w:r w:rsidRPr="00776061">
        <w:rPr>
          <w:sz w:val="22"/>
          <w:szCs w:val="22"/>
        </w:rPr>
        <w:t xml:space="preserve"> и други. Националното съвещание бе отразено в бюлетини на местни комисии.</w:t>
      </w:r>
    </w:p>
    <w:p w14:paraId="6FD61A1A" w14:textId="77777777" w:rsidR="00B34954" w:rsidRPr="00776061" w:rsidRDefault="00B34954" w:rsidP="00B73E84">
      <w:pPr>
        <w:pStyle w:val="ListParagraph"/>
        <w:shd w:val="clear" w:color="auto" w:fill="FFFFFF" w:themeFill="background1"/>
        <w:ind w:left="0" w:firstLine="426"/>
        <w:contextualSpacing/>
        <w:jc w:val="both"/>
        <w:rPr>
          <w:sz w:val="22"/>
          <w:szCs w:val="22"/>
        </w:rPr>
      </w:pPr>
      <w:r w:rsidRPr="00776061">
        <w:rPr>
          <w:sz w:val="22"/>
          <w:szCs w:val="22"/>
        </w:rPr>
        <w:t>Съгласно Правилника за устройството, организацията и дейността на ЦКБППМН, ежегодно Комисията издава специализирано списание „Обществено възпитание“, идентифициращо се с ISSN код, предназначено за специалисти, работещи с деца. За първото полугодие на 2025 г. е изготвен и предстои да бъде публикуван на електронната страница на ЦКБППМН първи брой за календарната година.</w:t>
      </w:r>
    </w:p>
    <w:p w14:paraId="03B453FB" w14:textId="77777777" w:rsidR="00B34954" w:rsidRPr="009033BF" w:rsidRDefault="00B34954" w:rsidP="00B73E84">
      <w:pPr>
        <w:pStyle w:val="ListParagraph"/>
        <w:shd w:val="clear" w:color="auto" w:fill="FFFFFF" w:themeFill="background1"/>
        <w:ind w:left="0" w:firstLine="426"/>
        <w:contextualSpacing/>
        <w:jc w:val="both"/>
        <w:rPr>
          <w:sz w:val="22"/>
          <w:szCs w:val="22"/>
        </w:rPr>
      </w:pPr>
      <w:r w:rsidRPr="009033BF">
        <w:rPr>
          <w:sz w:val="22"/>
          <w:szCs w:val="22"/>
        </w:rPr>
        <w:t>В изпълнение на функцията на ЦКБППМН за ръководство и контрол върху дейността на местните комисии, съгласно чл. 8, ал. 2, б. „а“ от ЗБППМН, в утвърдената програма за дейността на администрацията на ЦКБППМН за 2025 г. са заложени административно-методически проверки на МКБППМН в областите: Благоевградска, Видинска и Врачанска. На 03.02.2025 г. експерт на ЦКБППМН посети община Благоевград, където проведе среща с всички МКБППМН от област Благоевград (14 МКБППМН) и извърши проверка по документи на дейността на Местните комисии. След обстойно преглеждане на документацията, администрацията на ЦКБППМН изпрати писма с указания и препоръки за повишаване ефективността на работата на проверените МКБППМН. Извършена е проверка на дейността на МКБППМН при община Белоградчик по постъпил сигнал от физическо лице в администрацията на ЦКБППМН.</w:t>
      </w:r>
    </w:p>
    <w:p w14:paraId="38067377" w14:textId="77777777" w:rsidR="00B34954" w:rsidRPr="006A357B" w:rsidRDefault="00B34954" w:rsidP="00B73E84">
      <w:pPr>
        <w:pStyle w:val="ListParagraph"/>
        <w:shd w:val="clear" w:color="auto" w:fill="FFFFFF" w:themeFill="background1"/>
        <w:ind w:left="0" w:firstLine="426"/>
        <w:contextualSpacing/>
        <w:jc w:val="both"/>
        <w:rPr>
          <w:sz w:val="22"/>
          <w:szCs w:val="22"/>
        </w:rPr>
      </w:pPr>
      <w:r w:rsidRPr="006A357B">
        <w:rPr>
          <w:sz w:val="22"/>
          <w:szCs w:val="22"/>
        </w:rPr>
        <w:t>В изпълнение на функцията по методическо ръководство на работата на местните комисии и в изпълнение на разпоредбите на Правило 22 от Минималните стандартни правила за правораздаване при непълнолетните, което препоръчва непрестанно повишаване на квалификацията на работещите с деца с девиантно поведение, през отчетния период ЦКБППМН организира следните мероприятия:</w:t>
      </w:r>
    </w:p>
    <w:p w14:paraId="6A88674E" w14:textId="748F26D9" w:rsidR="00B34954" w:rsidRPr="006A357B" w:rsidRDefault="00B34954" w:rsidP="00B73E84">
      <w:pPr>
        <w:pStyle w:val="ListParagraph"/>
        <w:shd w:val="clear" w:color="auto" w:fill="FFFFFF" w:themeFill="background1"/>
        <w:ind w:left="0" w:firstLine="426"/>
        <w:contextualSpacing/>
        <w:jc w:val="both"/>
        <w:rPr>
          <w:sz w:val="22"/>
          <w:szCs w:val="22"/>
        </w:rPr>
      </w:pPr>
      <w:r w:rsidRPr="006A357B">
        <w:rPr>
          <w:sz w:val="22"/>
          <w:szCs w:val="22"/>
        </w:rPr>
        <w:t xml:space="preserve">В периода 16.03 – 20.03.2025 г. се проведе работна среща – семинар на председатели и секретари на МКБППМН по повод на извършените финансови инспекции от АДФИ в МКБППМН в страната и възникналите въпроси, относно финансирането на делегираната от държавата дейност. По инициатива на ЦКБППМН срещата се провежда за втори пореден път, поради засиленият интерес за участие. Срещата се откри лично от г-н Атанас Зафиров, в качеството му на председател на ЦКБППМН. На мероприятието се обсъдиха резултатите от извършените финансови проверки от АДФИ на МКБППМН до момента, законово регламентираните правила, ред и начин за разходване на средствата от бюджета на МКБППМН и други възникнали казуси при инспектирането на комисиите. За лектори бяха поканени експерти от Министерство на финансите за разяснение по горепосочените въпроси. Присъстваха над 150 участника – председатели, секретари на местни комисии, обществени възпитатели, финансисти и одитори от общинските структури. На срещата се представиха и допълнителни теми, като „Рискове и заплахи произтичащи от разпространението на наркотични и упойващи вещества сред подрастващото поколение и злоупотребата с тях. </w:t>
      </w:r>
      <w:r w:rsidRPr="006A357B">
        <w:rPr>
          <w:sz w:val="22"/>
          <w:szCs w:val="22"/>
        </w:rPr>
        <w:lastRenderedPageBreak/>
        <w:t xml:space="preserve">Национална кампания </w:t>
      </w:r>
      <w:r>
        <w:rPr>
          <w:sz w:val="22"/>
          <w:szCs w:val="22"/>
          <w:lang w:val="bg-BG"/>
        </w:rPr>
        <w:t>„</w:t>
      </w:r>
      <w:r w:rsidRPr="006A357B">
        <w:rPr>
          <w:sz w:val="22"/>
          <w:szCs w:val="22"/>
        </w:rPr>
        <w:t>Не</w:t>
      </w:r>
      <w:r>
        <w:rPr>
          <w:sz w:val="22"/>
          <w:szCs w:val="22"/>
          <w:lang w:val="bg-BG"/>
        </w:rPr>
        <w:t xml:space="preserve"> </w:t>
      </w:r>
      <w:r w:rsidRPr="006A357B">
        <w:rPr>
          <w:sz w:val="22"/>
          <w:szCs w:val="22"/>
        </w:rPr>
        <w:t>Дишай</w:t>
      </w:r>
      <w:r>
        <w:rPr>
          <w:sz w:val="22"/>
          <w:szCs w:val="22"/>
          <w:lang w:val="bg-BG"/>
        </w:rPr>
        <w:t xml:space="preserve"> </w:t>
      </w:r>
      <w:r w:rsidRPr="006A357B">
        <w:rPr>
          <w:sz w:val="22"/>
          <w:szCs w:val="22"/>
        </w:rPr>
        <w:t xml:space="preserve">Смърт“ и „Насилието от дете спрямо родител – един феномен, който често пренебрегваме“. </w:t>
      </w:r>
    </w:p>
    <w:p w14:paraId="0DF01BB1" w14:textId="77777777" w:rsidR="00B34954" w:rsidRPr="006453D9" w:rsidRDefault="00B34954" w:rsidP="00B73E84">
      <w:pPr>
        <w:pStyle w:val="ListParagraph"/>
        <w:shd w:val="clear" w:color="auto" w:fill="FFFFFF" w:themeFill="background1"/>
        <w:ind w:left="0" w:firstLine="426"/>
        <w:contextualSpacing/>
        <w:jc w:val="both"/>
        <w:rPr>
          <w:sz w:val="22"/>
          <w:szCs w:val="22"/>
        </w:rPr>
      </w:pPr>
      <w:r w:rsidRPr="006453D9">
        <w:rPr>
          <w:sz w:val="22"/>
          <w:szCs w:val="22"/>
        </w:rPr>
        <w:t>В периода 16</w:t>
      </w:r>
      <w:r>
        <w:rPr>
          <w:sz w:val="22"/>
          <w:szCs w:val="22"/>
          <w:lang w:val="bg-BG"/>
        </w:rPr>
        <w:t xml:space="preserve"> </w:t>
      </w:r>
      <w:r>
        <w:rPr>
          <w:sz w:val="22"/>
          <w:szCs w:val="22"/>
        </w:rPr>
        <w:t>–</w:t>
      </w:r>
      <w:r>
        <w:rPr>
          <w:sz w:val="22"/>
          <w:szCs w:val="22"/>
          <w:lang w:val="bg-BG"/>
        </w:rPr>
        <w:t xml:space="preserve"> </w:t>
      </w:r>
      <w:r w:rsidRPr="006453D9">
        <w:rPr>
          <w:sz w:val="22"/>
          <w:szCs w:val="22"/>
        </w:rPr>
        <w:t>17</w:t>
      </w:r>
      <w:r>
        <w:rPr>
          <w:sz w:val="22"/>
          <w:szCs w:val="22"/>
          <w:lang w:val="bg-BG"/>
        </w:rPr>
        <w:t>.05.</w:t>
      </w:r>
      <w:r w:rsidRPr="006453D9">
        <w:rPr>
          <w:sz w:val="22"/>
          <w:szCs w:val="22"/>
        </w:rPr>
        <w:t>2025 г. по покана на община Асеновград, Централната комисия за борба срещу противообществените прояви на малолетните и непълнолетните организира съвместна Национална конференция на която бяха поканени местни комисии за БППМН от областните градове на страната. Основната тема, която бе обсъдена на мероприятието е осъвременяване на българското законодателство, свързано с деца в конфликт със закона. За лектори бяха поканени съдии, прокурори, адвокати и доказани експерти от държавната администрация, които дискутираха с присъстващите необходимите промени в законодателството, основавайки се на проведени изследвания и констатации при осъществява на правоохранителните си задължения и работа с малолетните и непълнолетните. Съвместни конференции на ЦКБППМН и община Асеновград са провеждани назад през годините при засилен интерес от страна на председатели и секретари на МКБППМН от страната. На тазгодишната конференцията присъстваха 150 участника в т.ч. председатели, секретари, обществени възпитатели и членове на МКБППМН.</w:t>
      </w:r>
    </w:p>
    <w:p w14:paraId="4F630E8C" w14:textId="77777777" w:rsidR="00B34954" w:rsidRPr="00FB578E" w:rsidRDefault="00B34954" w:rsidP="00B73E84">
      <w:pPr>
        <w:pStyle w:val="ListParagraph"/>
        <w:shd w:val="clear" w:color="auto" w:fill="FFFFFF" w:themeFill="background1"/>
        <w:ind w:left="0" w:firstLine="426"/>
        <w:contextualSpacing/>
        <w:jc w:val="both"/>
        <w:rPr>
          <w:sz w:val="22"/>
          <w:szCs w:val="22"/>
        </w:rPr>
      </w:pPr>
      <w:r w:rsidRPr="00FB578E">
        <w:rPr>
          <w:sz w:val="22"/>
          <w:szCs w:val="22"/>
        </w:rPr>
        <w:t xml:space="preserve">Във връзка със зачестили случаи на противообществени прояви и престъпления, извършвани от малолетни и непълнолетни лица, които са обект на работа от страна на местните комисии за борба срещу противообществените прояви на малолетните и непълнолетните, както и неизпълнението на наложените възпитателни мерки, предвидени в чл. 13, ал. 1 и чл. 15 от ЗБППМН, на 17.06.2025 г. в сградата на Министерския съвет се проведе работна среща, на която бяха обсъдени отговорностите на институциите по отношение на работата с малолетни и непълнолетни лица </w:t>
      </w:r>
      <w:r>
        <w:rPr>
          <w:sz w:val="22"/>
          <w:szCs w:val="22"/>
        </w:rPr>
        <w:t>–</w:t>
      </w:r>
      <w:r w:rsidRPr="00FB578E">
        <w:rPr>
          <w:sz w:val="22"/>
          <w:szCs w:val="22"/>
        </w:rPr>
        <w:t xml:space="preserve"> извършители на противообществени прояви и престъпления, както и възможностите за подобряване на междуинституционалното взаимодействие на правоохранителните органи, работещи с деца в конфликт със закона. На срещата присъстваха и представители на: ДАЗД, сектор „Детска престъпност“ при ГДНП, сектор „Детска престъпност“ при СДВР, прокурор от Софийска районна прокуратура, зам. – председател на Софийски районен съд и секретари на Местни комисии за борба срещу противообществените прояви на малолетните и непълнолетните от София – град.</w:t>
      </w:r>
    </w:p>
    <w:p w14:paraId="2631E202" w14:textId="77777777" w:rsidR="00B34954" w:rsidRPr="00FB578E" w:rsidRDefault="00B34954" w:rsidP="00B73E84">
      <w:pPr>
        <w:pStyle w:val="ListParagraph"/>
        <w:shd w:val="clear" w:color="auto" w:fill="FFFFFF" w:themeFill="background1"/>
        <w:ind w:left="0" w:firstLine="426"/>
        <w:contextualSpacing/>
        <w:jc w:val="both"/>
        <w:rPr>
          <w:sz w:val="22"/>
          <w:szCs w:val="22"/>
        </w:rPr>
      </w:pPr>
      <w:r w:rsidRPr="00FB578E">
        <w:rPr>
          <w:sz w:val="22"/>
          <w:szCs w:val="22"/>
        </w:rPr>
        <w:t>ЦКБППМН и изградената система от МКБППМН в страната работят в тясно сътрудничество и взаимодействие със служителите на Министерство на вътрешните работи. ЦКБППМН поддържа постоянна връзка със служителите от сектор „Детска престъпност“ към ГДНП, обсъждат се случаи и казуси, организират се съвместни инициативи и работни срещи. Успешна практика от взаимната работа е реализирането на Национални програми „Работа на полицията в училищата“ и „Детска полицейска академия“. Същите се осъществяват с подкрепата и съдействието на училищата и на МКБППМН, с цел превенция по отношение на децата в училищна възраст, изграждане на модели за безопасно поведение, запознаване на учениците, съобразно възрастта им, с правни понятия, създаване на положително отношение към полицията. На 27</w:t>
      </w:r>
      <w:r>
        <w:rPr>
          <w:sz w:val="22"/>
          <w:szCs w:val="22"/>
          <w:lang w:val="bg-BG"/>
        </w:rPr>
        <w:t>.05.</w:t>
      </w:r>
      <w:r w:rsidRPr="00FB578E">
        <w:rPr>
          <w:sz w:val="22"/>
          <w:szCs w:val="22"/>
        </w:rPr>
        <w:t>2025 г. в СДВР се проведе заключително мероприятие под надслов „Ваканция здравей! Да играем безопасно!“ за учебната 2024/2025 г. ЦКБППМН се включи като партньор на СДВР при организирането и провеждането на заключителната викторина – състезание, в което деца от столични училища имаха възможност да демонстрират наученото по Програмата – да играят безопасно и да реагират правилно в рискови ситуации. Секретарите на МКБППМН от София – град подсигуриха награди и плакети за всички участници.</w:t>
      </w:r>
    </w:p>
    <w:p w14:paraId="62B835B3" w14:textId="77777777" w:rsidR="00B34954" w:rsidRPr="00FE1027" w:rsidRDefault="00B34954" w:rsidP="00B73E84">
      <w:pPr>
        <w:pStyle w:val="ListParagraph"/>
        <w:shd w:val="clear" w:color="auto" w:fill="FFFFFF" w:themeFill="background1"/>
        <w:ind w:left="0" w:firstLine="426"/>
        <w:contextualSpacing/>
        <w:jc w:val="both"/>
        <w:rPr>
          <w:sz w:val="22"/>
          <w:szCs w:val="22"/>
        </w:rPr>
      </w:pPr>
      <w:r w:rsidRPr="00FE1027">
        <w:rPr>
          <w:sz w:val="22"/>
          <w:szCs w:val="22"/>
        </w:rPr>
        <w:t xml:space="preserve">Централната комисия за БППМН е сключила договор за партньорство със Софийски университет „Св. Климент Охридски“ за обмяна на базови специалисти за обучения през учебната 2024/2025 г. Във връзка с изпълнение на договора, на 21.01.2025 г. Комисията бе посетена от студенти от Педагогическия факултет на СУ, специалност „Педагогика на девиантното поведение“. Секретарят на ЦКБППМН запозна студентите с основните дейности и функции на администрацията на ЦКБППМН и МКБППМН. По повод на съвместното ни сътрудничество, на 01.06.2025 г. в Аулата на Ректората на Софийския университет „Св. Климент Охридски“, ЦКБППМН участва в провеждането на Национална научнопрактическа конференция, посветена на Международния ден на детето – 1-ви юни „Детето и детския свят“ – 2025 г. Целта на конференцията е да събере учени, експерти и професионалисти от практиката на форум във Факултета по педагогика на Софийския университет, който да спомогне за създаване и задълбочаване на устойчиви и ползотворни изследователски и практикоприложни партньорства; за споделяне на опит, постижения и </w:t>
      </w:r>
      <w:r w:rsidRPr="00FE1027">
        <w:rPr>
          <w:sz w:val="22"/>
          <w:szCs w:val="22"/>
        </w:rPr>
        <w:lastRenderedPageBreak/>
        <w:t>предизвикателства; за търсене на решения, които да допринасят за създаването на адекватни на съвременната социална динамика политики за образование и възпитание на децата и младежите.</w:t>
      </w:r>
    </w:p>
    <w:p w14:paraId="4FF0FF19" w14:textId="77777777" w:rsidR="00B34954" w:rsidRPr="001D47C7" w:rsidRDefault="00B34954" w:rsidP="003705D0">
      <w:pPr>
        <w:pStyle w:val="ListParagraph"/>
        <w:shd w:val="clear" w:color="auto" w:fill="FFFFFF" w:themeFill="background1"/>
        <w:spacing w:after="120"/>
        <w:ind w:left="0" w:firstLine="426"/>
        <w:contextualSpacing/>
        <w:jc w:val="both"/>
        <w:rPr>
          <w:sz w:val="22"/>
          <w:szCs w:val="22"/>
          <w:lang w:val="bg-BG"/>
        </w:rPr>
      </w:pPr>
      <w:r w:rsidRPr="003705D0">
        <w:rPr>
          <w:sz w:val="22"/>
          <w:szCs w:val="22"/>
        </w:rPr>
        <w:t>През отчетния период секретарят и експертите от ЦКБППМН взеха участие в различни работни групи на Министерство на образованието и науката, Министерство на вътрешните работи, Министерство на правосъдието, Министерство на младежта и спорта, НКБТХ, Столична община, Държавна агенция за закрила на детето, Национален център по обществено здраве и анализи, Общински съвет по наркотични вещества – гр. София и други.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2"/>
        <w:gridCol w:w="1161"/>
        <w:gridCol w:w="1157"/>
        <w:gridCol w:w="936"/>
      </w:tblGrid>
      <w:tr w:rsidR="00B34954" w:rsidRPr="006A5EB4" w14:paraId="5321B9E6" w14:textId="77777777" w:rsidTr="00151B78">
        <w:trPr>
          <w:trHeight w:val="750"/>
        </w:trPr>
        <w:tc>
          <w:tcPr>
            <w:tcW w:w="3259" w:type="pct"/>
            <w:vMerge w:val="restart"/>
            <w:shd w:val="clear" w:color="auto" w:fill="FFCC99"/>
            <w:vAlign w:val="center"/>
            <w:hideMark/>
          </w:tcPr>
          <w:p w14:paraId="6B775193" w14:textId="77777777" w:rsidR="00B34954" w:rsidRPr="006A5EB4" w:rsidRDefault="00B34954" w:rsidP="00167913">
            <w:pPr>
              <w:spacing w:after="120"/>
              <w:jc w:val="center"/>
              <w:rPr>
                <w:b/>
                <w:bCs/>
                <w:sz w:val="18"/>
                <w:szCs w:val="18"/>
              </w:rPr>
            </w:pPr>
            <w:r w:rsidRPr="006A5EB4">
              <w:rPr>
                <w:b/>
                <w:bCs/>
                <w:sz w:val="18"/>
                <w:szCs w:val="18"/>
              </w:rPr>
              <w:t>Показатели за изпълнение</w:t>
            </w:r>
          </w:p>
        </w:tc>
        <w:tc>
          <w:tcPr>
            <w:tcW w:w="621" w:type="pct"/>
            <w:vMerge w:val="restart"/>
            <w:shd w:val="clear" w:color="auto" w:fill="FFCC99"/>
            <w:vAlign w:val="center"/>
            <w:hideMark/>
          </w:tcPr>
          <w:p w14:paraId="5B815908" w14:textId="77777777" w:rsidR="00B34954" w:rsidRPr="006A5EB4" w:rsidRDefault="00B34954" w:rsidP="00167913">
            <w:pPr>
              <w:spacing w:after="120"/>
              <w:jc w:val="center"/>
              <w:rPr>
                <w:b/>
                <w:bCs/>
                <w:sz w:val="18"/>
                <w:szCs w:val="18"/>
              </w:rPr>
            </w:pPr>
            <w:r w:rsidRPr="006A5EB4">
              <w:rPr>
                <w:b/>
                <w:bCs/>
                <w:sz w:val="18"/>
                <w:szCs w:val="18"/>
              </w:rPr>
              <w:t>Мерна единица</w:t>
            </w:r>
          </w:p>
        </w:tc>
        <w:tc>
          <w:tcPr>
            <w:tcW w:w="619" w:type="pct"/>
            <w:vMerge w:val="restart"/>
            <w:shd w:val="clear" w:color="auto" w:fill="FFCC99"/>
            <w:vAlign w:val="center"/>
            <w:hideMark/>
          </w:tcPr>
          <w:p w14:paraId="0C415FA7" w14:textId="77777777" w:rsidR="00B34954" w:rsidRPr="006A5EB4" w:rsidRDefault="00B34954" w:rsidP="00167913">
            <w:pPr>
              <w:spacing w:after="120"/>
              <w:jc w:val="center"/>
              <w:rPr>
                <w:b/>
                <w:bCs/>
                <w:iCs/>
                <w:sz w:val="18"/>
                <w:szCs w:val="18"/>
              </w:rPr>
            </w:pPr>
            <w:r w:rsidRPr="006A5EB4">
              <w:rPr>
                <w:b/>
                <w:bCs/>
                <w:iCs/>
                <w:sz w:val="18"/>
                <w:szCs w:val="18"/>
              </w:rPr>
              <w:t xml:space="preserve">Целева стойност </w:t>
            </w:r>
          </w:p>
        </w:tc>
        <w:tc>
          <w:tcPr>
            <w:tcW w:w="501" w:type="pct"/>
            <w:vMerge w:val="restart"/>
            <w:shd w:val="clear" w:color="auto" w:fill="FFCC99"/>
            <w:vAlign w:val="center"/>
            <w:hideMark/>
          </w:tcPr>
          <w:p w14:paraId="42FF31AE" w14:textId="77777777" w:rsidR="00B34954" w:rsidRPr="006A5EB4" w:rsidRDefault="00B34954" w:rsidP="00167913">
            <w:pPr>
              <w:spacing w:after="120"/>
              <w:jc w:val="center"/>
              <w:rPr>
                <w:b/>
                <w:bCs/>
                <w:iCs/>
                <w:sz w:val="18"/>
                <w:szCs w:val="18"/>
              </w:rPr>
            </w:pPr>
            <w:r w:rsidRPr="006A5EB4">
              <w:rPr>
                <w:b/>
                <w:bCs/>
                <w:iCs/>
                <w:sz w:val="18"/>
                <w:szCs w:val="18"/>
              </w:rPr>
              <w:t xml:space="preserve">Отчет </w:t>
            </w:r>
          </w:p>
        </w:tc>
      </w:tr>
      <w:tr w:rsidR="00B34954" w:rsidRPr="006A5EB4" w14:paraId="4940393A" w14:textId="77777777" w:rsidTr="006F2452">
        <w:trPr>
          <w:trHeight w:val="276"/>
        </w:trPr>
        <w:tc>
          <w:tcPr>
            <w:tcW w:w="3259" w:type="pct"/>
            <w:vMerge/>
            <w:vAlign w:val="center"/>
            <w:hideMark/>
          </w:tcPr>
          <w:p w14:paraId="4FE596A7" w14:textId="77777777" w:rsidR="00B34954" w:rsidRPr="006A5EB4" w:rsidRDefault="00B34954" w:rsidP="00167913">
            <w:pPr>
              <w:rPr>
                <w:b/>
                <w:bCs/>
                <w:sz w:val="18"/>
                <w:szCs w:val="18"/>
              </w:rPr>
            </w:pPr>
          </w:p>
        </w:tc>
        <w:tc>
          <w:tcPr>
            <w:tcW w:w="621" w:type="pct"/>
            <w:vMerge/>
            <w:vAlign w:val="center"/>
            <w:hideMark/>
          </w:tcPr>
          <w:p w14:paraId="35D1664D" w14:textId="77777777" w:rsidR="00B34954" w:rsidRPr="006A5EB4" w:rsidRDefault="00B34954" w:rsidP="00167913">
            <w:pPr>
              <w:rPr>
                <w:b/>
                <w:bCs/>
                <w:sz w:val="18"/>
                <w:szCs w:val="18"/>
              </w:rPr>
            </w:pPr>
          </w:p>
        </w:tc>
        <w:tc>
          <w:tcPr>
            <w:tcW w:w="619" w:type="pct"/>
            <w:vMerge/>
            <w:vAlign w:val="center"/>
            <w:hideMark/>
          </w:tcPr>
          <w:p w14:paraId="3D4E6573" w14:textId="77777777" w:rsidR="00B34954" w:rsidRPr="006A5EB4" w:rsidRDefault="00B34954" w:rsidP="00167913">
            <w:pPr>
              <w:rPr>
                <w:b/>
                <w:bCs/>
                <w:i/>
                <w:iCs/>
                <w:sz w:val="18"/>
                <w:szCs w:val="18"/>
              </w:rPr>
            </w:pPr>
          </w:p>
        </w:tc>
        <w:tc>
          <w:tcPr>
            <w:tcW w:w="501" w:type="pct"/>
            <w:vMerge/>
            <w:vAlign w:val="center"/>
            <w:hideMark/>
          </w:tcPr>
          <w:p w14:paraId="0396BF94" w14:textId="77777777" w:rsidR="00B34954" w:rsidRPr="006A5EB4" w:rsidRDefault="00B34954" w:rsidP="00167913">
            <w:pPr>
              <w:rPr>
                <w:b/>
                <w:bCs/>
                <w:i/>
                <w:iCs/>
                <w:sz w:val="18"/>
                <w:szCs w:val="18"/>
              </w:rPr>
            </w:pPr>
          </w:p>
        </w:tc>
      </w:tr>
      <w:tr w:rsidR="00B34954" w:rsidRPr="006A5EB4" w14:paraId="6D643F27" w14:textId="77777777" w:rsidTr="00151B78">
        <w:trPr>
          <w:trHeight w:val="497"/>
        </w:trPr>
        <w:tc>
          <w:tcPr>
            <w:tcW w:w="3259" w:type="pct"/>
            <w:hideMark/>
          </w:tcPr>
          <w:p w14:paraId="3FE04335" w14:textId="77777777" w:rsidR="00B34954" w:rsidRPr="006A5EB4" w:rsidRDefault="00B34954" w:rsidP="00167913">
            <w:pPr>
              <w:snapToGrid w:val="0"/>
              <w:jc w:val="both"/>
              <w:rPr>
                <w:b/>
                <w:sz w:val="18"/>
                <w:szCs w:val="18"/>
              </w:rPr>
            </w:pPr>
            <w:r w:rsidRPr="006A5EB4">
              <w:rPr>
                <w:sz w:val="18"/>
                <w:szCs w:val="18"/>
              </w:rPr>
              <w:t>1.</w:t>
            </w:r>
            <w:r w:rsidRPr="006A5EB4">
              <w:rPr>
                <w:bCs/>
                <w:sz w:val="18"/>
                <w:szCs w:val="18"/>
              </w:rPr>
              <w:t xml:space="preserve"> </w:t>
            </w:r>
            <w:r w:rsidRPr="006A5EB4">
              <w:rPr>
                <w:sz w:val="18"/>
                <w:szCs w:val="18"/>
              </w:rPr>
              <w:t>Организиране и провеждане на обучителни семинари на секретарите на местните комисии за БППМН в Центъра за квалификация на кадри към ЦКБППМН:</w:t>
            </w:r>
          </w:p>
        </w:tc>
        <w:tc>
          <w:tcPr>
            <w:tcW w:w="621" w:type="pct"/>
            <w:hideMark/>
          </w:tcPr>
          <w:p w14:paraId="197F19A1" w14:textId="77777777" w:rsidR="00B34954" w:rsidRPr="006A5EB4" w:rsidRDefault="00B34954" w:rsidP="00167913">
            <w:pPr>
              <w:jc w:val="center"/>
              <w:rPr>
                <w:sz w:val="18"/>
                <w:szCs w:val="18"/>
              </w:rPr>
            </w:pPr>
            <w:r w:rsidRPr="006A5EB4">
              <w:rPr>
                <w:sz w:val="18"/>
                <w:szCs w:val="18"/>
              </w:rPr>
              <w:t>Брой участници</w:t>
            </w:r>
          </w:p>
        </w:tc>
        <w:tc>
          <w:tcPr>
            <w:tcW w:w="619" w:type="pct"/>
            <w:hideMark/>
          </w:tcPr>
          <w:p w14:paraId="3C06F301" w14:textId="77777777" w:rsidR="00B34954" w:rsidRPr="006A5EB4" w:rsidRDefault="00B34954" w:rsidP="00167913">
            <w:pPr>
              <w:jc w:val="center"/>
              <w:rPr>
                <w:sz w:val="18"/>
                <w:szCs w:val="18"/>
              </w:rPr>
            </w:pPr>
            <w:r w:rsidRPr="006A5EB4">
              <w:rPr>
                <w:sz w:val="18"/>
                <w:szCs w:val="18"/>
              </w:rPr>
              <w:t>40</w:t>
            </w:r>
          </w:p>
        </w:tc>
        <w:tc>
          <w:tcPr>
            <w:tcW w:w="501" w:type="pct"/>
          </w:tcPr>
          <w:p w14:paraId="71A54C12" w14:textId="77777777" w:rsidR="00B34954" w:rsidRPr="006A5EB4" w:rsidRDefault="00B34954" w:rsidP="00167913">
            <w:pPr>
              <w:jc w:val="center"/>
              <w:rPr>
                <w:sz w:val="18"/>
                <w:szCs w:val="18"/>
              </w:rPr>
            </w:pPr>
            <w:r w:rsidRPr="006A5EB4">
              <w:rPr>
                <w:sz w:val="18"/>
                <w:szCs w:val="18"/>
              </w:rPr>
              <w:t>18</w:t>
            </w:r>
          </w:p>
        </w:tc>
      </w:tr>
      <w:tr w:rsidR="00B34954" w:rsidRPr="006A5EB4" w14:paraId="47072DEF" w14:textId="77777777" w:rsidTr="00151B78">
        <w:trPr>
          <w:trHeight w:val="363"/>
        </w:trPr>
        <w:tc>
          <w:tcPr>
            <w:tcW w:w="3259" w:type="pct"/>
            <w:hideMark/>
          </w:tcPr>
          <w:p w14:paraId="39D7BBAC" w14:textId="77777777" w:rsidR="00B34954" w:rsidRPr="006A5EB4" w:rsidRDefault="00B34954" w:rsidP="00167913">
            <w:pPr>
              <w:snapToGrid w:val="0"/>
              <w:jc w:val="both"/>
              <w:rPr>
                <w:sz w:val="18"/>
                <w:szCs w:val="18"/>
              </w:rPr>
            </w:pPr>
            <w:r w:rsidRPr="006A5EB4">
              <w:rPr>
                <w:sz w:val="18"/>
                <w:szCs w:val="18"/>
              </w:rPr>
              <w:t>2. Организиране и провеждане на Национално съвещание със секретарите на местните комисии за БППМН</w:t>
            </w:r>
          </w:p>
        </w:tc>
        <w:tc>
          <w:tcPr>
            <w:tcW w:w="621" w:type="pct"/>
            <w:hideMark/>
          </w:tcPr>
          <w:p w14:paraId="24477CBE" w14:textId="77777777" w:rsidR="00B34954" w:rsidRPr="006A5EB4" w:rsidRDefault="00B34954" w:rsidP="00167913">
            <w:pPr>
              <w:jc w:val="center"/>
              <w:rPr>
                <w:sz w:val="18"/>
                <w:szCs w:val="18"/>
              </w:rPr>
            </w:pPr>
            <w:r w:rsidRPr="006A5EB4">
              <w:rPr>
                <w:sz w:val="18"/>
                <w:szCs w:val="18"/>
              </w:rPr>
              <w:t>Брой участници</w:t>
            </w:r>
          </w:p>
        </w:tc>
        <w:tc>
          <w:tcPr>
            <w:tcW w:w="619" w:type="pct"/>
            <w:hideMark/>
          </w:tcPr>
          <w:p w14:paraId="658954E5" w14:textId="77777777" w:rsidR="00B34954" w:rsidRPr="006A5EB4" w:rsidRDefault="00B34954" w:rsidP="00167913">
            <w:pPr>
              <w:jc w:val="center"/>
              <w:rPr>
                <w:sz w:val="18"/>
                <w:szCs w:val="18"/>
              </w:rPr>
            </w:pPr>
            <w:r w:rsidRPr="006A5EB4">
              <w:rPr>
                <w:sz w:val="18"/>
                <w:szCs w:val="18"/>
              </w:rPr>
              <w:t>297</w:t>
            </w:r>
          </w:p>
        </w:tc>
        <w:tc>
          <w:tcPr>
            <w:tcW w:w="501" w:type="pct"/>
          </w:tcPr>
          <w:p w14:paraId="608AC728" w14:textId="77777777" w:rsidR="00B34954" w:rsidRPr="006A5EB4" w:rsidRDefault="00B34954" w:rsidP="00167913">
            <w:pPr>
              <w:jc w:val="center"/>
              <w:rPr>
                <w:sz w:val="18"/>
                <w:szCs w:val="18"/>
              </w:rPr>
            </w:pPr>
            <w:r w:rsidRPr="006A5EB4">
              <w:rPr>
                <w:sz w:val="18"/>
                <w:szCs w:val="18"/>
              </w:rPr>
              <w:t>250</w:t>
            </w:r>
          </w:p>
        </w:tc>
      </w:tr>
      <w:tr w:rsidR="00B34954" w:rsidRPr="006A5EB4" w14:paraId="4363258B" w14:textId="77777777" w:rsidTr="00151B78">
        <w:trPr>
          <w:trHeight w:val="363"/>
        </w:trPr>
        <w:tc>
          <w:tcPr>
            <w:tcW w:w="3259" w:type="pct"/>
          </w:tcPr>
          <w:p w14:paraId="797A12F2" w14:textId="77777777" w:rsidR="00B34954" w:rsidRPr="006A5EB4" w:rsidRDefault="00B34954" w:rsidP="00167913">
            <w:pPr>
              <w:snapToGrid w:val="0"/>
              <w:jc w:val="both"/>
              <w:rPr>
                <w:sz w:val="18"/>
                <w:szCs w:val="18"/>
              </w:rPr>
            </w:pPr>
            <w:r w:rsidRPr="006A5EB4">
              <w:rPr>
                <w:sz w:val="18"/>
                <w:szCs w:val="18"/>
              </w:rPr>
              <w:t>3. Извършване на проверки в местните комисии за БППМН.</w:t>
            </w:r>
          </w:p>
        </w:tc>
        <w:tc>
          <w:tcPr>
            <w:tcW w:w="621" w:type="pct"/>
          </w:tcPr>
          <w:p w14:paraId="5B35C80C" w14:textId="77777777" w:rsidR="00B34954" w:rsidRPr="006A5EB4" w:rsidRDefault="00B34954" w:rsidP="00167913">
            <w:pPr>
              <w:jc w:val="center"/>
              <w:rPr>
                <w:sz w:val="18"/>
                <w:szCs w:val="18"/>
              </w:rPr>
            </w:pPr>
            <w:r w:rsidRPr="006A5EB4">
              <w:rPr>
                <w:sz w:val="18"/>
                <w:szCs w:val="18"/>
              </w:rPr>
              <w:t>Брой проверки</w:t>
            </w:r>
          </w:p>
        </w:tc>
        <w:tc>
          <w:tcPr>
            <w:tcW w:w="619" w:type="pct"/>
          </w:tcPr>
          <w:p w14:paraId="39485132" w14:textId="2ADD214B" w:rsidR="00B34954" w:rsidRPr="006A5EB4" w:rsidRDefault="003E4BA2" w:rsidP="00167913">
            <w:pPr>
              <w:jc w:val="center"/>
              <w:rPr>
                <w:sz w:val="18"/>
                <w:szCs w:val="18"/>
              </w:rPr>
            </w:pPr>
            <w:r>
              <w:rPr>
                <w:sz w:val="18"/>
                <w:szCs w:val="18"/>
              </w:rPr>
              <w:t>4</w:t>
            </w:r>
          </w:p>
        </w:tc>
        <w:tc>
          <w:tcPr>
            <w:tcW w:w="501" w:type="pct"/>
          </w:tcPr>
          <w:p w14:paraId="265FC707" w14:textId="77777777" w:rsidR="00B34954" w:rsidRPr="006A5EB4" w:rsidRDefault="00B34954" w:rsidP="00167913">
            <w:pPr>
              <w:jc w:val="center"/>
              <w:rPr>
                <w:sz w:val="18"/>
                <w:szCs w:val="18"/>
              </w:rPr>
            </w:pPr>
            <w:r w:rsidRPr="006A5EB4">
              <w:rPr>
                <w:sz w:val="18"/>
                <w:szCs w:val="18"/>
              </w:rPr>
              <w:t>1</w:t>
            </w:r>
          </w:p>
        </w:tc>
      </w:tr>
      <w:tr w:rsidR="00B34954" w:rsidRPr="006A5EB4" w14:paraId="5BF35983" w14:textId="77777777" w:rsidTr="00151B78">
        <w:trPr>
          <w:trHeight w:val="363"/>
        </w:trPr>
        <w:tc>
          <w:tcPr>
            <w:tcW w:w="3259" w:type="pct"/>
          </w:tcPr>
          <w:p w14:paraId="4DA422B5" w14:textId="5950D4F5" w:rsidR="00B34954" w:rsidRPr="006A5EB4" w:rsidRDefault="00B34954" w:rsidP="00167913">
            <w:pPr>
              <w:snapToGrid w:val="0"/>
              <w:jc w:val="both"/>
              <w:rPr>
                <w:sz w:val="18"/>
                <w:szCs w:val="18"/>
              </w:rPr>
            </w:pPr>
            <w:r w:rsidRPr="006A5EB4">
              <w:rPr>
                <w:sz w:val="18"/>
                <w:szCs w:val="18"/>
              </w:rPr>
              <w:t xml:space="preserve">4. </w:t>
            </w:r>
            <w:r w:rsidR="00013F8F" w:rsidRPr="00F53CFC">
              <w:rPr>
                <w:sz w:val="16"/>
                <w:szCs w:val="16"/>
              </w:rPr>
              <w:t>Изследване на предизвикателства в работата на местните комисии в динамиката на междуинституционалното взаимодействие</w:t>
            </w:r>
            <w:r w:rsidR="00013F8F" w:rsidRPr="006A5EB4">
              <w:rPr>
                <w:rFonts w:eastAsia="Calibri"/>
                <w:sz w:val="18"/>
                <w:szCs w:val="18"/>
              </w:rPr>
              <w:t xml:space="preserve"> </w:t>
            </w:r>
            <w:r w:rsidR="00013F8F">
              <w:rPr>
                <w:rFonts w:eastAsia="Calibri"/>
                <w:sz w:val="18"/>
                <w:szCs w:val="18"/>
              </w:rPr>
              <w:t xml:space="preserve">– </w:t>
            </w:r>
            <w:r w:rsidRPr="006A5EB4">
              <w:rPr>
                <w:rFonts w:eastAsia="Calibri"/>
                <w:sz w:val="18"/>
                <w:szCs w:val="18"/>
              </w:rPr>
              <w:t>„</w:t>
            </w:r>
            <w:r w:rsidRPr="006A5EB4">
              <w:rPr>
                <w:sz w:val="18"/>
                <w:szCs w:val="18"/>
              </w:rPr>
              <w:t>Проучване на практиките за работа с проблема „домашно насилие“ и „насилие извън училищна среда“</w:t>
            </w:r>
          </w:p>
        </w:tc>
        <w:tc>
          <w:tcPr>
            <w:tcW w:w="621" w:type="pct"/>
          </w:tcPr>
          <w:p w14:paraId="2CD45219" w14:textId="77777777" w:rsidR="00B34954" w:rsidRPr="006A5EB4" w:rsidRDefault="00B34954" w:rsidP="00167913">
            <w:pPr>
              <w:jc w:val="center"/>
              <w:rPr>
                <w:sz w:val="18"/>
                <w:szCs w:val="18"/>
              </w:rPr>
            </w:pPr>
            <w:r w:rsidRPr="006A5EB4">
              <w:rPr>
                <w:sz w:val="18"/>
                <w:szCs w:val="18"/>
              </w:rPr>
              <w:t>Брой изследване</w:t>
            </w:r>
          </w:p>
        </w:tc>
        <w:tc>
          <w:tcPr>
            <w:tcW w:w="619" w:type="pct"/>
          </w:tcPr>
          <w:p w14:paraId="685E427A" w14:textId="77777777" w:rsidR="00B34954" w:rsidRPr="006A5EB4" w:rsidRDefault="00B34954" w:rsidP="00167913">
            <w:pPr>
              <w:jc w:val="center"/>
              <w:rPr>
                <w:sz w:val="18"/>
                <w:szCs w:val="18"/>
              </w:rPr>
            </w:pPr>
            <w:r w:rsidRPr="006A5EB4">
              <w:rPr>
                <w:sz w:val="18"/>
                <w:szCs w:val="18"/>
              </w:rPr>
              <w:t>1</w:t>
            </w:r>
          </w:p>
        </w:tc>
        <w:tc>
          <w:tcPr>
            <w:tcW w:w="501" w:type="pct"/>
          </w:tcPr>
          <w:p w14:paraId="03292169" w14:textId="77777777" w:rsidR="00B34954" w:rsidRPr="006A5EB4" w:rsidRDefault="00B34954" w:rsidP="00167913">
            <w:pPr>
              <w:jc w:val="center"/>
              <w:rPr>
                <w:sz w:val="18"/>
                <w:szCs w:val="18"/>
              </w:rPr>
            </w:pPr>
            <w:r w:rsidRPr="006A5EB4">
              <w:rPr>
                <w:sz w:val="18"/>
                <w:szCs w:val="18"/>
              </w:rPr>
              <w:t>0</w:t>
            </w:r>
          </w:p>
        </w:tc>
      </w:tr>
      <w:tr w:rsidR="00B34954" w:rsidRPr="006A5EB4" w14:paraId="4B35D14F" w14:textId="77777777" w:rsidTr="00151B78">
        <w:trPr>
          <w:trHeight w:val="266"/>
        </w:trPr>
        <w:tc>
          <w:tcPr>
            <w:tcW w:w="3259" w:type="pct"/>
          </w:tcPr>
          <w:p w14:paraId="21BDE26B" w14:textId="77777777" w:rsidR="00B34954" w:rsidRPr="006A5EB4" w:rsidRDefault="00B34954" w:rsidP="00167913">
            <w:pPr>
              <w:snapToGrid w:val="0"/>
              <w:jc w:val="both"/>
              <w:rPr>
                <w:sz w:val="18"/>
                <w:szCs w:val="18"/>
              </w:rPr>
            </w:pPr>
            <w:r w:rsidRPr="006A5EB4">
              <w:rPr>
                <w:sz w:val="18"/>
                <w:szCs w:val="18"/>
              </w:rPr>
              <w:t>5. Издаване на списание „Обществено възпитание“</w:t>
            </w:r>
          </w:p>
        </w:tc>
        <w:tc>
          <w:tcPr>
            <w:tcW w:w="621" w:type="pct"/>
          </w:tcPr>
          <w:p w14:paraId="0CA3D59A" w14:textId="77777777" w:rsidR="00B34954" w:rsidRPr="006A5EB4" w:rsidRDefault="00B34954" w:rsidP="00167913">
            <w:pPr>
              <w:jc w:val="center"/>
              <w:rPr>
                <w:sz w:val="18"/>
                <w:szCs w:val="18"/>
              </w:rPr>
            </w:pPr>
            <w:r w:rsidRPr="006A5EB4">
              <w:rPr>
                <w:sz w:val="18"/>
                <w:szCs w:val="18"/>
              </w:rPr>
              <w:t>Брой издания</w:t>
            </w:r>
          </w:p>
        </w:tc>
        <w:tc>
          <w:tcPr>
            <w:tcW w:w="619" w:type="pct"/>
          </w:tcPr>
          <w:p w14:paraId="0446274D" w14:textId="77777777" w:rsidR="00B34954" w:rsidRPr="006A5EB4" w:rsidRDefault="00B34954" w:rsidP="00167913">
            <w:pPr>
              <w:jc w:val="center"/>
              <w:rPr>
                <w:sz w:val="18"/>
                <w:szCs w:val="18"/>
              </w:rPr>
            </w:pPr>
            <w:r w:rsidRPr="006A5EB4">
              <w:rPr>
                <w:sz w:val="18"/>
                <w:szCs w:val="18"/>
              </w:rPr>
              <w:t>2</w:t>
            </w:r>
          </w:p>
        </w:tc>
        <w:tc>
          <w:tcPr>
            <w:tcW w:w="501" w:type="pct"/>
          </w:tcPr>
          <w:p w14:paraId="125E6AD9" w14:textId="77777777" w:rsidR="00B34954" w:rsidRPr="006A5EB4" w:rsidRDefault="00B34954" w:rsidP="00167913">
            <w:pPr>
              <w:jc w:val="center"/>
              <w:rPr>
                <w:sz w:val="18"/>
                <w:szCs w:val="18"/>
              </w:rPr>
            </w:pPr>
            <w:r w:rsidRPr="006A5EB4">
              <w:rPr>
                <w:sz w:val="18"/>
                <w:szCs w:val="18"/>
              </w:rPr>
              <w:t>0</w:t>
            </w:r>
          </w:p>
        </w:tc>
      </w:tr>
      <w:tr w:rsidR="00B34954" w:rsidRPr="006A5EB4" w14:paraId="763FB091" w14:textId="77777777" w:rsidTr="00F047A1">
        <w:trPr>
          <w:trHeight w:val="413"/>
        </w:trPr>
        <w:tc>
          <w:tcPr>
            <w:tcW w:w="3259" w:type="pct"/>
          </w:tcPr>
          <w:p w14:paraId="6AABB2AA" w14:textId="084F5141" w:rsidR="00B34954" w:rsidRPr="006A5EB4" w:rsidRDefault="00B34954" w:rsidP="00167913">
            <w:pPr>
              <w:snapToGrid w:val="0"/>
              <w:jc w:val="both"/>
              <w:rPr>
                <w:sz w:val="18"/>
                <w:szCs w:val="18"/>
              </w:rPr>
            </w:pPr>
            <w:r w:rsidRPr="006A5EB4">
              <w:rPr>
                <w:sz w:val="18"/>
                <w:szCs w:val="18"/>
              </w:rPr>
              <w:t>6. Закупуване на деловодна система „Архимед“</w:t>
            </w:r>
          </w:p>
        </w:tc>
        <w:tc>
          <w:tcPr>
            <w:tcW w:w="621" w:type="pct"/>
          </w:tcPr>
          <w:p w14:paraId="57F22455" w14:textId="77777777" w:rsidR="00B34954" w:rsidRPr="006A5EB4" w:rsidRDefault="00B34954" w:rsidP="00167913">
            <w:pPr>
              <w:jc w:val="center"/>
              <w:rPr>
                <w:sz w:val="18"/>
                <w:szCs w:val="18"/>
              </w:rPr>
            </w:pPr>
          </w:p>
        </w:tc>
        <w:tc>
          <w:tcPr>
            <w:tcW w:w="619" w:type="pct"/>
          </w:tcPr>
          <w:p w14:paraId="7F68C564" w14:textId="77777777" w:rsidR="00B34954" w:rsidRPr="006A5EB4" w:rsidRDefault="00B34954" w:rsidP="00167913">
            <w:pPr>
              <w:jc w:val="center"/>
              <w:rPr>
                <w:sz w:val="18"/>
                <w:szCs w:val="18"/>
              </w:rPr>
            </w:pPr>
            <w:r w:rsidRPr="006A5EB4">
              <w:rPr>
                <w:sz w:val="18"/>
                <w:szCs w:val="18"/>
              </w:rPr>
              <w:t>1</w:t>
            </w:r>
          </w:p>
        </w:tc>
        <w:tc>
          <w:tcPr>
            <w:tcW w:w="501" w:type="pct"/>
          </w:tcPr>
          <w:p w14:paraId="71697879" w14:textId="77777777" w:rsidR="00B34954" w:rsidRPr="006A5EB4" w:rsidRDefault="00B34954" w:rsidP="00167913">
            <w:pPr>
              <w:jc w:val="center"/>
              <w:rPr>
                <w:sz w:val="18"/>
                <w:szCs w:val="18"/>
              </w:rPr>
            </w:pPr>
            <w:r w:rsidRPr="006A5EB4">
              <w:rPr>
                <w:sz w:val="18"/>
                <w:szCs w:val="18"/>
              </w:rPr>
              <w:t>0</w:t>
            </w:r>
          </w:p>
        </w:tc>
      </w:tr>
      <w:tr w:rsidR="00B34954" w:rsidRPr="006A5EB4" w14:paraId="6ABB1C82" w14:textId="77777777" w:rsidTr="00151B78">
        <w:trPr>
          <w:trHeight w:val="415"/>
        </w:trPr>
        <w:tc>
          <w:tcPr>
            <w:tcW w:w="3259" w:type="pct"/>
          </w:tcPr>
          <w:p w14:paraId="04659933" w14:textId="77777777" w:rsidR="00B34954" w:rsidRPr="006A5EB4" w:rsidRDefault="00B34954" w:rsidP="00167913">
            <w:pPr>
              <w:snapToGrid w:val="0"/>
              <w:jc w:val="both"/>
              <w:rPr>
                <w:sz w:val="18"/>
                <w:szCs w:val="18"/>
              </w:rPr>
            </w:pPr>
            <w:r w:rsidRPr="006A5EB4">
              <w:rPr>
                <w:sz w:val="18"/>
                <w:szCs w:val="18"/>
              </w:rPr>
              <w:t>7. Актуализиране и поддръжка на сайт на ЦКБППМН</w:t>
            </w:r>
          </w:p>
        </w:tc>
        <w:tc>
          <w:tcPr>
            <w:tcW w:w="621" w:type="pct"/>
          </w:tcPr>
          <w:p w14:paraId="48B2EA01" w14:textId="77777777" w:rsidR="00B34954" w:rsidRPr="006A5EB4" w:rsidRDefault="00B34954" w:rsidP="00167913">
            <w:pPr>
              <w:jc w:val="center"/>
              <w:rPr>
                <w:sz w:val="18"/>
                <w:szCs w:val="18"/>
              </w:rPr>
            </w:pPr>
          </w:p>
        </w:tc>
        <w:tc>
          <w:tcPr>
            <w:tcW w:w="619" w:type="pct"/>
          </w:tcPr>
          <w:p w14:paraId="12C81636" w14:textId="77777777" w:rsidR="00B34954" w:rsidRPr="006A5EB4" w:rsidRDefault="00B34954" w:rsidP="00167913">
            <w:pPr>
              <w:jc w:val="center"/>
              <w:rPr>
                <w:sz w:val="18"/>
                <w:szCs w:val="18"/>
              </w:rPr>
            </w:pPr>
            <w:r w:rsidRPr="006A5EB4">
              <w:rPr>
                <w:sz w:val="18"/>
                <w:szCs w:val="18"/>
              </w:rPr>
              <w:t>1</w:t>
            </w:r>
          </w:p>
        </w:tc>
        <w:tc>
          <w:tcPr>
            <w:tcW w:w="501" w:type="pct"/>
          </w:tcPr>
          <w:p w14:paraId="2108D409" w14:textId="77777777" w:rsidR="00B34954" w:rsidRPr="006A5EB4" w:rsidRDefault="00B34954" w:rsidP="00167913">
            <w:pPr>
              <w:jc w:val="center"/>
              <w:rPr>
                <w:sz w:val="18"/>
                <w:szCs w:val="18"/>
              </w:rPr>
            </w:pPr>
            <w:r w:rsidRPr="006A5EB4">
              <w:rPr>
                <w:sz w:val="18"/>
                <w:szCs w:val="18"/>
              </w:rPr>
              <w:t>0</w:t>
            </w:r>
          </w:p>
        </w:tc>
      </w:tr>
    </w:tbl>
    <w:p w14:paraId="365DEC5D" w14:textId="3EDDAB32" w:rsidR="00284726" w:rsidRPr="00284726" w:rsidRDefault="00681938" w:rsidP="00681938">
      <w:pPr>
        <w:pStyle w:val="ListParagraph"/>
        <w:widowControl w:val="0"/>
        <w:shd w:val="clear" w:color="auto" w:fill="FFFFFF" w:themeFill="background1"/>
        <w:spacing w:before="120"/>
        <w:ind w:left="0" w:firstLine="425"/>
        <w:jc w:val="both"/>
        <w:outlineLvl w:val="3"/>
        <w:rPr>
          <w:sz w:val="22"/>
          <w:szCs w:val="22"/>
        </w:rPr>
      </w:pPr>
      <w:r w:rsidRPr="00681938">
        <w:rPr>
          <w:b/>
          <w:bCs/>
          <w:i/>
          <w:iCs/>
          <w:sz w:val="22"/>
          <w:szCs w:val="22"/>
        </w:rPr>
        <w:t>Забележка:</w:t>
      </w:r>
      <w:r w:rsidRPr="00681938">
        <w:rPr>
          <w:sz w:val="22"/>
          <w:szCs w:val="22"/>
        </w:rPr>
        <w:t xml:space="preserve"> т. 4 </w:t>
      </w:r>
      <w:r>
        <w:rPr>
          <w:sz w:val="22"/>
          <w:szCs w:val="22"/>
        </w:rPr>
        <w:t>–</w:t>
      </w:r>
      <w:r w:rsidRPr="00681938">
        <w:rPr>
          <w:sz w:val="22"/>
          <w:szCs w:val="22"/>
        </w:rPr>
        <w:t xml:space="preserve"> Във връзка с провеждане на изследването на предизвикателствата в работата на местните комисии в динамиката на междуинституционалното взаимодействие, в процеса на работа се откроиха два основни проблема, на които администрацията на ЦКБППМН прецени, че е необходимо да се обърне конкретно внимание, а именно: домашното насилие и насилие върху/между деца извън училищната среда. Поради това се наложи да се промени акцента на провежданото изследване, като придоби следното заглавие: „Проучване на практиките за работа с проблема „домашно насилие“ и „насилие извън училищна среда“.</w:t>
      </w:r>
    </w:p>
    <w:p w14:paraId="74DA8982" w14:textId="4D57A4E6" w:rsidR="004D68F7" w:rsidRPr="00B73E84" w:rsidRDefault="004D68F7" w:rsidP="00B73E84">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B73E84">
        <w:rPr>
          <w:b/>
          <w:bCs/>
          <w:i/>
          <w:iCs/>
          <w:color w:val="215E99" w:themeColor="text2" w:themeTint="BF"/>
          <w:sz w:val="22"/>
          <w:szCs w:val="22"/>
        </w:rPr>
        <w:t>Безопасност на движението по пътищата</w:t>
      </w:r>
    </w:p>
    <w:p w14:paraId="7EDA3FFA" w14:textId="77777777" w:rsidR="006A6F91" w:rsidRPr="002D40DD" w:rsidRDefault="006A6F91" w:rsidP="00B73E84">
      <w:pPr>
        <w:pStyle w:val="ListParagraph"/>
        <w:shd w:val="clear" w:color="auto" w:fill="FFFFFF" w:themeFill="background1"/>
        <w:ind w:left="0" w:firstLine="425"/>
        <w:contextualSpacing/>
        <w:jc w:val="both"/>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77E07884" w14:textId="541DC1A5" w:rsidR="00167913" w:rsidRDefault="00AF7D5C" w:rsidP="00B73E84">
      <w:pPr>
        <w:shd w:val="clear" w:color="auto" w:fill="FFFFFF" w:themeFill="background1"/>
        <w:tabs>
          <w:tab w:val="left" w:pos="851"/>
        </w:tabs>
        <w:ind w:firstLine="426"/>
        <w:jc w:val="both"/>
        <w:rPr>
          <w:sz w:val="22"/>
          <w:szCs w:val="22"/>
        </w:rPr>
      </w:pPr>
      <w:r w:rsidRPr="00AF7D5C">
        <w:rPr>
          <w:sz w:val="22"/>
          <w:szCs w:val="22"/>
        </w:rPr>
        <w:t>Правомощията и функциите на председателя на Държавна агенция „Безопасност на движението по пътищата“ (ДАБДП) са регламентирани в Устройствения правилник (УП) на Агенцията, приет с Постановление на Министерски съвет № 21 от 01.02.2019 г. (обн., ДВ, бр. 12 от 2019 г., изм. бр. 47 от 2022 г., изм. и доп. бр. 14 от 2023 г., доп. бр.</w:t>
      </w:r>
      <w:r>
        <w:rPr>
          <w:sz w:val="22"/>
          <w:szCs w:val="22"/>
        </w:rPr>
        <w:t xml:space="preserve"> </w:t>
      </w:r>
      <w:r w:rsidRPr="00AF7D5C">
        <w:rPr>
          <w:sz w:val="22"/>
          <w:szCs w:val="22"/>
        </w:rPr>
        <w:t>96 от 2024</w:t>
      </w:r>
      <w:r>
        <w:rPr>
          <w:sz w:val="22"/>
          <w:szCs w:val="22"/>
        </w:rPr>
        <w:t xml:space="preserve"> </w:t>
      </w:r>
      <w:r w:rsidRPr="00AF7D5C">
        <w:rPr>
          <w:sz w:val="22"/>
          <w:szCs w:val="22"/>
        </w:rPr>
        <w:t>г.). Чрез създаването на ДАБДП се въвежда нов модел за управление на безопасното движение по пътищата (БДП) в Република България, с важната роля на Агенцията като координационно звено, което да разработва, координира и контролира провеждането на приоритетна държавна политика в областта.</w:t>
      </w:r>
    </w:p>
    <w:p w14:paraId="70BAB5EC" w14:textId="65D1BE7E" w:rsidR="00B82BF8" w:rsidRPr="00B82BF8" w:rsidRDefault="00B82BF8" w:rsidP="00B73E84">
      <w:pPr>
        <w:shd w:val="clear" w:color="auto" w:fill="FFFFFF" w:themeFill="background1"/>
        <w:tabs>
          <w:tab w:val="left" w:pos="851"/>
        </w:tabs>
        <w:spacing w:before="120"/>
        <w:ind w:firstLine="425"/>
        <w:jc w:val="both"/>
        <w:rPr>
          <w:b/>
          <w:sz w:val="22"/>
          <w:szCs w:val="22"/>
        </w:rPr>
      </w:pPr>
      <w:r w:rsidRPr="00B82BF8">
        <w:rPr>
          <w:b/>
          <w:sz w:val="22"/>
          <w:szCs w:val="22"/>
        </w:rPr>
        <w:t>Д</w:t>
      </w:r>
      <w:r w:rsidR="00FE5CDF">
        <w:rPr>
          <w:b/>
          <w:sz w:val="22"/>
          <w:szCs w:val="22"/>
        </w:rPr>
        <w:t>ейности по основни направления</w:t>
      </w:r>
      <w:r w:rsidRPr="00B82BF8">
        <w:rPr>
          <w:b/>
          <w:sz w:val="22"/>
          <w:szCs w:val="22"/>
        </w:rPr>
        <w:t>:</w:t>
      </w:r>
    </w:p>
    <w:p w14:paraId="45E214D2" w14:textId="77777777" w:rsidR="00B82BF8" w:rsidRPr="00B82BF8" w:rsidRDefault="00B82BF8" w:rsidP="00B73E84">
      <w:pPr>
        <w:shd w:val="clear" w:color="auto" w:fill="FFFFFF" w:themeFill="background1"/>
        <w:tabs>
          <w:tab w:val="left" w:pos="851"/>
        </w:tabs>
        <w:ind w:firstLine="426"/>
        <w:jc w:val="both"/>
        <w:rPr>
          <w:b/>
          <w:sz w:val="22"/>
          <w:szCs w:val="22"/>
        </w:rPr>
      </w:pPr>
      <w:r w:rsidRPr="00B82BF8">
        <w:rPr>
          <w:b/>
          <w:sz w:val="22"/>
          <w:szCs w:val="22"/>
        </w:rPr>
        <w:t xml:space="preserve">Работа по проекти на нормативни актове, свързани с оптимизиране на законодателството в областта на БДП </w:t>
      </w:r>
    </w:p>
    <w:p w14:paraId="43243012" w14:textId="77777777" w:rsidR="00B82BF8" w:rsidRPr="00B82BF8" w:rsidRDefault="00B82BF8" w:rsidP="00B73E84">
      <w:pPr>
        <w:shd w:val="clear" w:color="auto" w:fill="FFFFFF" w:themeFill="background1"/>
        <w:tabs>
          <w:tab w:val="left" w:pos="567"/>
        </w:tabs>
        <w:ind w:firstLine="426"/>
        <w:jc w:val="both"/>
        <w:rPr>
          <w:sz w:val="22"/>
          <w:szCs w:val="22"/>
        </w:rPr>
      </w:pPr>
      <w:r w:rsidRPr="00B82BF8">
        <w:rPr>
          <w:sz w:val="22"/>
          <w:szCs w:val="22"/>
        </w:rPr>
        <w:t>•</w:t>
      </w:r>
      <w:r w:rsidRPr="00B82BF8">
        <w:rPr>
          <w:sz w:val="22"/>
          <w:szCs w:val="22"/>
        </w:rPr>
        <w:tab/>
      </w:r>
      <w:r w:rsidRPr="0036786F">
        <w:rPr>
          <w:b/>
          <w:sz w:val="22"/>
          <w:szCs w:val="22"/>
        </w:rPr>
        <w:t>Взето беше участие в междуведомствени работни групи за изготвянето на проекти на нормативни актове:</w:t>
      </w:r>
      <w:r w:rsidRPr="00B82BF8">
        <w:rPr>
          <w:sz w:val="22"/>
          <w:szCs w:val="22"/>
        </w:rPr>
        <w:t xml:space="preserve"> </w:t>
      </w:r>
    </w:p>
    <w:p w14:paraId="5E550AEA" w14:textId="77777777" w:rsidR="00B82BF8" w:rsidRPr="00B82BF8" w:rsidRDefault="00B82BF8" w:rsidP="00B73E84">
      <w:pPr>
        <w:shd w:val="clear" w:color="auto" w:fill="FFFFFF" w:themeFill="background1"/>
        <w:tabs>
          <w:tab w:val="left" w:pos="851"/>
        </w:tabs>
        <w:ind w:firstLine="567"/>
        <w:jc w:val="both"/>
        <w:rPr>
          <w:sz w:val="22"/>
          <w:szCs w:val="22"/>
        </w:rPr>
      </w:pPr>
      <w:r w:rsidRPr="00B82BF8">
        <w:rPr>
          <w:sz w:val="22"/>
          <w:szCs w:val="22"/>
        </w:rPr>
        <w:t>1.</w:t>
      </w:r>
      <w:r w:rsidRPr="00B82BF8">
        <w:rPr>
          <w:sz w:val="22"/>
          <w:szCs w:val="22"/>
        </w:rPr>
        <w:tab/>
        <w:t>работна група № 9 „Транспортна политика“ към Съвета по европейски въпроси;</w:t>
      </w:r>
    </w:p>
    <w:p w14:paraId="7F908DD1" w14:textId="77777777" w:rsidR="00B82BF8" w:rsidRPr="00B82BF8" w:rsidRDefault="00B82BF8" w:rsidP="00B73E84">
      <w:pPr>
        <w:shd w:val="clear" w:color="auto" w:fill="FFFFFF" w:themeFill="background1"/>
        <w:tabs>
          <w:tab w:val="left" w:pos="851"/>
        </w:tabs>
        <w:ind w:firstLine="567"/>
        <w:jc w:val="both"/>
        <w:rPr>
          <w:sz w:val="22"/>
          <w:szCs w:val="22"/>
        </w:rPr>
      </w:pPr>
      <w:r w:rsidRPr="00B82BF8">
        <w:rPr>
          <w:sz w:val="22"/>
          <w:szCs w:val="22"/>
        </w:rPr>
        <w:t>2.</w:t>
      </w:r>
      <w:r w:rsidRPr="00B82BF8">
        <w:rPr>
          <w:sz w:val="22"/>
          <w:szCs w:val="22"/>
        </w:rPr>
        <w:tab/>
        <w:t xml:space="preserve">проект на наредба за сигнализиране на пътищата с пътна маркировка, разработен на основание чл. 14, ал. 1 от Закона за движението по пътищата; </w:t>
      </w:r>
    </w:p>
    <w:p w14:paraId="679D90D2" w14:textId="77777777" w:rsidR="00B82BF8" w:rsidRPr="00B82BF8" w:rsidRDefault="00B82BF8" w:rsidP="00B73E84">
      <w:pPr>
        <w:shd w:val="clear" w:color="auto" w:fill="FFFFFF" w:themeFill="background1"/>
        <w:tabs>
          <w:tab w:val="left" w:pos="851"/>
        </w:tabs>
        <w:ind w:firstLine="567"/>
        <w:jc w:val="both"/>
        <w:rPr>
          <w:sz w:val="22"/>
          <w:szCs w:val="22"/>
        </w:rPr>
      </w:pPr>
      <w:r w:rsidRPr="00B82BF8">
        <w:rPr>
          <w:sz w:val="22"/>
          <w:szCs w:val="22"/>
        </w:rPr>
        <w:t>3.</w:t>
      </w:r>
      <w:r w:rsidRPr="00B82BF8">
        <w:rPr>
          <w:sz w:val="22"/>
          <w:szCs w:val="22"/>
        </w:rPr>
        <w:tab/>
        <w:t>за изменения и допълнения на учебната документация за обучение на кандидати за придобиване на правоспособност за управление на моторни превозни средства;</w:t>
      </w:r>
    </w:p>
    <w:p w14:paraId="22C9B8E9" w14:textId="31512609" w:rsidR="00B82BF8" w:rsidRPr="00B82BF8" w:rsidRDefault="00B82BF8" w:rsidP="00B73E84">
      <w:pPr>
        <w:shd w:val="clear" w:color="auto" w:fill="FFFFFF" w:themeFill="background1"/>
        <w:tabs>
          <w:tab w:val="left" w:pos="851"/>
        </w:tabs>
        <w:ind w:firstLine="567"/>
        <w:jc w:val="both"/>
        <w:rPr>
          <w:sz w:val="22"/>
          <w:szCs w:val="22"/>
        </w:rPr>
      </w:pPr>
      <w:r w:rsidRPr="00B82BF8">
        <w:rPr>
          <w:sz w:val="22"/>
          <w:szCs w:val="22"/>
        </w:rPr>
        <w:lastRenderedPageBreak/>
        <w:t>4.</w:t>
      </w:r>
      <w:r w:rsidRPr="00B82BF8">
        <w:rPr>
          <w:sz w:val="22"/>
          <w:szCs w:val="22"/>
        </w:rPr>
        <w:tab/>
        <w:t>изготвяне на проект на нов ЗДвП и проект на Закон за пътнотранспортната система, в т. ч. и структурите на съответните нормативни актове и изготвяне на съгласувателна та</w:t>
      </w:r>
      <w:r w:rsidR="0036786F">
        <w:rPr>
          <w:sz w:val="22"/>
          <w:szCs w:val="22"/>
        </w:rPr>
        <w:t>блица по получените становища;</w:t>
      </w:r>
    </w:p>
    <w:p w14:paraId="2FC77659" w14:textId="77777777" w:rsidR="00B82BF8" w:rsidRPr="0036786F" w:rsidRDefault="00B82BF8" w:rsidP="00B73E84">
      <w:pPr>
        <w:shd w:val="clear" w:color="auto" w:fill="FFFFFF" w:themeFill="background1"/>
        <w:tabs>
          <w:tab w:val="left" w:pos="567"/>
        </w:tabs>
        <w:ind w:firstLine="426"/>
        <w:jc w:val="both"/>
        <w:rPr>
          <w:b/>
          <w:sz w:val="22"/>
          <w:szCs w:val="22"/>
        </w:rPr>
      </w:pPr>
      <w:r w:rsidRPr="00B82BF8">
        <w:rPr>
          <w:sz w:val="22"/>
          <w:szCs w:val="22"/>
        </w:rPr>
        <w:t>•</w:t>
      </w:r>
      <w:r w:rsidRPr="00B82BF8">
        <w:rPr>
          <w:sz w:val="22"/>
          <w:szCs w:val="22"/>
        </w:rPr>
        <w:tab/>
      </w:r>
      <w:r w:rsidRPr="0036786F">
        <w:rPr>
          <w:b/>
          <w:sz w:val="22"/>
          <w:szCs w:val="22"/>
        </w:rPr>
        <w:t>Бяха подготвени становища във връзка с развитието на нормативната уредба:</w:t>
      </w:r>
    </w:p>
    <w:p w14:paraId="22996BE3" w14:textId="77777777" w:rsidR="00B82BF8" w:rsidRPr="00B82BF8" w:rsidRDefault="00B82BF8" w:rsidP="00B73E84">
      <w:pPr>
        <w:shd w:val="clear" w:color="auto" w:fill="FFFFFF" w:themeFill="background1"/>
        <w:tabs>
          <w:tab w:val="left" w:pos="851"/>
        </w:tabs>
        <w:ind w:firstLine="567"/>
        <w:jc w:val="both"/>
        <w:rPr>
          <w:sz w:val="22"/>
          <w:szCs w:val="22"/>
        </w:rPr>
      </w:pPr>
      <w:r w:rsidRPr="00B82BF8">
        <w:rPr>
          <w:sz w:val="22"/>
          <w:szCs w:val="22"/>
        </w:rPr>
        <w:t>1.</w:t>
      </w:r>
      <w:r w:rsidRPr="00B82BF8">
        <w:rPr>
          <w:sz w:val="22"/>
          <w:szCs w:val="22"/>
        </w:rPr>
        <w:tab/>
        <w:t>становище относно създаването на чл. 164д в Закона за движението по пътищата (ЗДвП), до Временната комисия относно проблемите с безопасността на движението по пътищата;</w:t>
      </w:r>
    </w:p>
    <w:p w14:paraId="72CCB2D0" w14:textId="77777777" w:rsidR="00B82BF8" w:rsidRPr="00B82BF8" w:rsidRDefault="00B82BF8" w:rsidP="00B73E84">
      <w:pPr>
        <w:shd w:val="clear" w:color="auto" w:fill="FFFFFF" w:themeFill="background1"/>
        <w:tabs>
          <w:tab w:val="left" w:pos="851"/>
        </w:tabs>
        <w:ind w:firstLine="567"/>
        <w:jc w:val="both"/>
        <w:rPr>
          <w:sz w:val="22"/>
          <w:szCs w:val="22"/>
        </w:rPr>
      </w:pPr>
      <w:r w:rsidRPr="00B82BF8">
        <w:rPr>
          <w:sz w:val="22"/>
          <w:szCs w:val="22"/>
        </w:rPr>
        <w:t>2.</w:t>
      </w:r>
      <w:r w:rsidRPr="00B82BF8">
        <w:rPr>
          <w:sz w:val="22"/>
          <w:szCs w:val="22"/>
        </w:rPr>
        <w:tab/>
        <w:t xml:space="preserve">становище по постъпили предложения от народните представители Любен Иванов и Явор </w:t>
      </w:r>
      <w:proofErr w:type="spellStart"/>
      <w:r w:rsidRPr="00B82BF8">
        <w:rPr>
          <w:sz w:val="22"/>
          <w:szCs w:val="22"/>
        </w:rPr>
        <w:t>Божанков</w:t>
      </w:r>
      <w:proofErr w:type="spellEnd"/>
      <w:r w:rsidRPr="00B82BF8">
        <w:rPr>
          <w:sz w:val="22"/>
          <w:szCs w:val="22"/>
        </w:rPr>
        <w:t xml:space="preserve"> по ЗДвП;</w:t>
      </w:r>
    </w:p>
    <w:p w14:paraId="31F4BD1D" w14:textId="77777777" w:rsidR="00B82BF8" w:rsidRPr="00B82BF8" w:rsidRDefault="00B82BF8" w:rsidP="00B73E84">
      <w:pPr>
        <w:shd w:val="clear" w:color="auto" w:fill="FFFFFF" w:themeFill="background1"/>
        <w:tabs>
          <w:tab w:val="left" w:pos="851"/>
        </w:tabs>
        <w:ind w:firstLine="567"/>
        <w:jc w:val="both"/>
        <w:rPr>
          <w:sz w:val="22"/>
          <w:szCs w:val="22"/>
        </w:rPr>
      </w:pPr>
      <w:r w:rsidRPr="00B82BF8">
        <w:rPr>
          <w:sz w:val="22"/>
          <w:szCs w:val="22"/>
        </w:rPr>
        <w:t>3.</w:t>
      </w:r>
      <w:r w:rsidRPr="00B82BF8">
        <w:rPr>
          <w:sz w:val="22"/>
          <w:szCs w:val="22"/>
        </w:rPr>
        <w:tab/>
        <w:t>становище по постъпили предложения за изменение на чл. 151, ал. 2 от Закона за движението по пътищата;</w:t>
      </w:r>
    </w:p>
    <w:p w14:paraId="1507DC93" w14:textId="77777777" w:rsidR="00B82BF8" w:rsidRPr="00B82BF8" w:rsidRDefault="00B82BF8" w:rsidP="00B73E84">
      <w:pPr>
        <w:shd w:val="clear" w:color="auto" w:fill="FFFFFF" w:themeFill="background1"/>
        <w:tabs>
          <w:tab w:val="left" w:pos="851"/>
        </w:tabs>
        <w:ind w:firstLine="567"/>
        <w:jc w:val="both"/>
        <w:rPr>
          <w:sz w:val="22"/>
          <w:szCs w:val="22"/>
        </w:rPr>
      </w:pPr>
      <w:r w:rsidRPr="00B82BF8">
        <w:rPr>
          <w:sz w:val="22"/>
          <w:szCs w:val="22"/>
        </w:rPr>
        <w:t>4.</w:t>
      </w:r>
      <w:r w:rsidRPr="00B82BF8">
        <w:rPr>
          <w:sz w:val="22"/>
          <w:szCs w:val="22"/>
        </w:rPr>
        <w:tab/>
        <w:t>становище по предложения на сдружение "Ангели на пътя" относно предложени промени в проект на ЗДП за намаляване на възрастта за придобиване на свидетелство за управление на МПС;</w:t>
      </w:r>
    </w:p>
    <w:p w14:paraId="69A5C17A" w14:textId="77777777" w:rsidR="00B82BF8" w:rsidRPr="00B82BF8" w:rsidRDefault="00B82BF8" w:rsidP="00B73E84">
      <w:pPr>
        <w:shd w:val="clear" w:color="auto" w:fill="FFFFFF" w:themeFill="background1"/>
        <w:tabs>
          <w:tab w:val="left" w:pos="851"/>
        </w:tabs>
        <w:ind w:firstLine="567"/>
        <w:jc w:val="both"/>
        <w:rPr>
          <w:sz w:val="22"/>
          <w:szCs w:val="22"/>
        </w:rPr>
      </w:pPr>
      <w:r w:rsidRPr="00B82BF8">
        <w:rPr>
          <w:sz w:val="22"/>
          <w:szCs w:val="22"/>
        </w:rPr>
        <w:t>5.</w:t>
      </w:r>
      <w:r w:rsidRPr="00B82BF8">
        <w:rPr>
          <w:sz w:val="22"/>
          <w:szCs w:val="22"/>
        </w:rPr>
        <w:tab/>
        <w:t>становище по предложение за изменение и допълнение на Закона за пътищата (ЗП) № 51-554-04-180/22.05.2025 г., внесено от Любен Иванов и група народни представители;</w:t>
      </w:r>
    </w:p>
    <w:p w14:paraId="16FC4981" w14:textId="77777777" w:rsidR="00B82BF8" w:rsidRPr="00B82BF8" w:rsidRDefault="00B82BF8" w:rsidP="00B73E84">
      <w:pPr>
        <w:shd w:val="clear" w:color="auto" w:fill="FFFFFF" w:themeFill="background1"/>
        <w:tabs>
          <w:tab w:val="left" w:pos="851"/>
        </w:tabs>
        <w:ind w:firstLine="567"/>
        <w:jc w:val="both"/>
        <w:rPr>
          <w:sz w:val="22"/>
          <w:szCs w:val="22"/>
        </w:rPr>
      </w:pPr>
      <w:r w:rsidRPr="00B82BF8">
        <w:rPr>
          <w:sz w:val="22"/>
          <w:szCs w:val="22"/>
        </w:rPr>
        <w:t>6.</w:t>
      </w:r>
      <w:r w:rsidRPr="00B82BF8">
        <w:rPr>
          <w:sz w:val="22"/>
          <w:szCs w:val="22"/>
        </w:rPr>
        <w:tab/>
        <w:t>предложения от народни представители на основание чл. 79, ал. 1 от ПОДНС по приет на първо гласуване Общ законопроект за изменение и допълнение на Закона за движението по пътищата, № 51-553-19-7;</w:t>
      </w:r>
    </w:p>
    <w:p w14:paraId="679C87B8" w14:textId="77777777" w:rsidR="00B82BF8" w:rsidRPr="00B82BF8" w:rsidRDefault="00B82BF8" w:rsidP="00B73E84">
      <w:pPr>
        <w:shd w:val="clear" w:color="auto" w:fill="FFFFFF" w:themeFill="background1"/>
        <w:tabs>
          <w:tab w:val="left" w:pos="851"/>
        </w:tabs>
        <w:ind w:firstLine="567"/>
        <w:jc w:val="both"/>
        <w:rPr>
          <w:sz w:val="22"/>
          <w:szCs w:val="22"/>
        </w:rPr>
      </w:pPr>
      <w:r w:rsidRPr="00B82BF8">
        <w:rPr>
          <w:sz w:val="22"/>
          <w:szCs w:val="22"/>
        </w:rPr>
        <w:t>7.</w:t>
      </w:r>
      <w:r w:rsidRPr="00B82BF8">
        <w:rPr>
          <w:sz w:val="22"/>
          <w:szCs w:val="22"/>
        </w:rPr>
        <w:tab/>
        <w:t>становище по проект на Постановление на Министерския съвет за приемане на Устройствен правилник на Агенция „Пътна инфраструктура“;</w:t>
      </w:r>
    </w:p>
    <w:p w14:paraId="7B0F7DF9" w14:textId="77777777" w:rsidR="00B82BF8" w:rsidRPr="00B82BF8" w:rsidRDefault="00B82BF8" w:rsidP="00B73E84">
      <w:pPr>
        <w:shd w:val="clear" w:color="auto" w:fill="FFFFFF" w:themeFill="background1"/>
        <w:tabs>
          <w:tab w:val="left" w:pos="851"/>
        </w:tabs>
        <w:ind w:firstLine="567"/>
        <w:jc w:val="both"/>
        <w:rPr>
          <w:sz w:val="22"/>
          <w:szCs w:val="22"/>
        </w:rPr>
      </w:pPr>
      <w:r w:rsidRPr="00B82BF8">
        <w:rPr>
          <w:sz w:val="22"/>
          <w:szCs w:val="22"/>
        </w:rPr>
        <w:t>8.</w:t>
      </w:r>
      <w:r w:rsidRPr="00B82BF8">
        <w:rPr>
          <w:sz w:val="22"/>
          <w:szCs w:val="22"/>
        </w:rPr>
        <w:tab/>
        <w:t>становище по публикуван за обществено обсъждане Проект на Закон за изменение и допълнение на Закона за автомобилните превози;</w:t>
      </w:r>
    </w:p>
    <w:p w14:paraId="1C60BB63" w14:textId="77777777" w:rsidR="00B82BF8" w:rsidRPr="00B82BF8" w:rsidRDefault="00B82BF8" w:rsidP="00B73E84">
      <w:pPr>
        <w:shd w:val="clear" w:color="auto" w:fill="FFFFFF" w:themeFill="background1"/>
        <w:tabs>
          <w:tab w:val="left" w:pos="851"/>
        </w:tabs>
        <w:ind w:firstLine="567"/>
        <w:jc w:val="both"/>
        <w:rPr>
          <w:sz w:val="22"/>
          <w:szCs w:val="22"/>
        </w:rPr>
      </w:pPr>
      <w:r w:rsidRPr="00B82BF8">
        <w:rPr>
          <w:sz w:val="22"/>
          <w:szCs w:val="22"/>
        </w:rPr>
        <w:t>9.</w:t>
      </w:r>
      <w:r w:rsidRPr="00B82BF8">
        <w:rPr>
          <w:sz w:val="22"/>
          <w:szCs w:val="22"/>
        </w:rPr>
        <w:tab/>
        <w:t xml:space="preserve">предложение за изменение на Наредба за процедурите за управление на безопасността на пътната инфраструктура, приета с Постановление на Министерския съвет № 125 от 16.06.2022 г., </w:t>
      </w:r>
      <w:proofErr w:type="spellStart"/>
      <w:r w:rsidRPr="00B82BF8">
        <w:rPr>
          <w:sz w:val="22"/>
          <w:szCs w:val="22"/>
        </w:rPr>
        <w:t>обн</w:t>
      </w:r>
      <w:proofErr w:type="spellEnd"/>
      <w:r w:rsidRPr="00B82BF8">
        <w:rPr>
          <w:sz w:val="22"/>
          <w:szCs w:val="22"/>
        </w:rPr>
        <w:t>, ДВ, бр. 46 от 21.06. 2022 г.;</w:t>
      </w:r>
    </w:p>
    <w:p w14:paraId="4601773E" w14:textId="77777777" w:rsidR="00B82BF8" w:rsidRPr="00B82BF8" w:rsidRDefault="00B82BF8" w:rsidP="00B73E84">
      <w:pPr>
        <w:shd w:val="clear" w:color="auto" w:fill="FFFFFF" w:themeFill="background1"/>
        <w:tabs>
          <w:tab w:val="left" w:pos="993"/>
        </w:tabs>
        <w:ind w:firstLine="567"/>
        <w:jc w:val="both"/>
        <w:rPr>
          <w:sz w:val="22"/>
          <w:szCs w:val="22"/>
        </w:rPr>
      </w:pPr>
      <w:r w:rsidRPr="00B82BF8">
        <w:rPr>
          <w:sz w:val="22"/>
          <w:szCs w:val="22"/>
        </w:rPr>
        <w:t>10.</w:t>
      </w:r>
      <w:r w:rsidRPr="00B82BF8">
        <w:rPr>
          <w:sz w:val="22"/>
          <w:szCs w:val="22"/>
        </w:rPr>
        <w:tab/>
        <w:t>отговор на постъпил парламентарен въпрос до министър-председателя на Република  България от народни представители г-н Петър Петров и г-н Никола Димитров;</w:t>
      </w:r>
    </w:p>
    <w:p w14:paraId="41485ACB" w14:textId="77777777" w:rsidR="00B82BF8" w:rsidRPr="00B82BF8" w:rsidRDefault="00B82BF8" w:rsidP="00B73E84">
      <w:pPr>
        <w:shd w:val="clear" w:color="auto" w:fill="FFFFFF" w:themeFill="background1"/>
        <w:tabs>
          <w:tab w:val="left" w:pos="993"/>
        </w:tabs>
        <w:ind w:firstLine="567"/>
        <w:jc w:val="both"/>
        <w:rPr>
          <w:sz w:val="22"/>
          <w:szCs w:val="22"/>
        </w:rPr>
      </w:pPr>
      <w:r w:rsidRPr="00B82BF8">
        <w:rPr>
          <w:sz w:val="22"/>
          <w:szCs w:val="22"/>
        </w:rPr>
        <w:t>11.</w:t>
      </w:r>
      <w:r w:rsidRPr="00B82BF8">
        <w:rPr>
          <w:sz w:val="22"/>
          <w:szCs w:val="22"/>
        </w:rPr>
        <w:tab/>
        <w:t>несъгласие с измененията в чл. 19б от Наредба № 37 от 02.08.2002 г. за условията и реда за обучение на кандидатите за придобиване на правоспособност за управление на МПС и условията и реда за издаване на разрешения за тяхното обучение;</w:t>
      </w:r>
    </w:p>
    <w:p w14:paraId="0FCFEC59" w14:textId="77777777" w:rsidR="00B82BF8" w:rsidRPr="00B82BF8" w:rsidRDefault="00B82BF8" w:rsidP="00B73E84">
      <w:pPr>
        <w:shd w:val="clear" w:color="auto" w:fill="FFFFFF" w:themeFill="background1"/>
        <w:tabs>
          <w:tab w:val="left" w:pos="993"/>
        </w:tabs>
        <w:ind w:firstLine="567"/>
        <w:jc w:val="both"/>
        <w:rPr>
          <w:sz w:val="22"/>
          <w:szCs w:val="22"/>
        </w:rPr>
      </w:pPr>
      <w:r w:rsidRPr="00B82BF8">
        <w:rPr>
          <w:sz w:val="22"/>
          <w:szCs w:val="22"/>
        </w:rPr>
        <w:t>12.</w:t>
      </w:r>
      <w:r w:rsidRPr="00B82BF8">
        <w:rPr>
          <w:sz w:val="22"/>
          <w:szCs w:val="22"/>
        </w:rPr>
        <w:tab/>
        <w:t>Несъгласие с измененията в чл. 19б от Наредба № 37 от 02.08.2002 г. за условията и реда за обучение на кандидатите за придобиване на правоспособност за управление на МПС и условията и реда за издаване на разрешения за тяхното обучение;</w:t>
      </w:r>
    </w:p>
    <w:p w14:paraId="36AADA90" w14:textId="77777777" w:rsidR="00B82BF8" w:rsidRPr="00B82BF8" w:rsidRDefault="00B82BF8" w:rsidP="00B73E84">
      <w:pPr>
        <w:shd w:val="clear" w:color="auto" w:fill="FFFFFF" w:themeFill="background1"/>
        <w:tabs>
          <w:tab w:val="left" w:pos="993"/>
        </w:tabs>
        <w:ind w:firstLine="567"/>
        <w:jc w:val="both"/>
        <w:rPr>
          <w:sz w:val="22"/>
          <w:szCs w:val="22"/>
        </w:rPr>
      </w:pPr>
      <w:r w:rsidRPr="00B82BF8">
        <w:rPr>
          <w:sz w:val="22"/>
          <w:szCs w:val="22"/>
        </w:rPr>
        <w:t>13.</w:t>
      </w:r>
      <w:r w:rsidRPr="00B82BF8">
        <w:rPr>
          <w:sz w:val="22"/>
          <w:szCs w:val="22"/>
        </w:rPr>
        <w:tab/>
        <w:t>становище по внесени законопроекти за изменение и допълнение на Закона за движението по пътищата (ЗДвП);</w:t>
      </w:r>
    </w:p>
    <w:p w14:paraId="538FA40C" w14:textId="77777777" w:rsidR="00B82BF8" w:rsidRPr="00B82BF8" w:rsidRDefault="00B82BF8" w:rsidP="00B73E84">
      <w:pPr>
        <w:shd w:val="clear" w:color="auto" w:fill="FFFFFF" w:themeFill="background1"/>
        <w:tabs>
          <w:tab w:val="left" w:pos="993"/>
        </w:tabs>
        <w:ind w:firstLine="567"/>
        <w:jc w:val="both"/>
        <w:rPr>
          <w:sz w:val="22"/>
          <w:szCs w:val="22"/>
        </w:rPr>
      </w:pPr>
      <w:r w:rsidRPr="00B82BF8">
        <w:rPr>
          <w:sz w:val="22"/>
          <w:szCs w:val="22"/>
        </w:rPr>
        <w:t>14.</w:t>
      </w:r>
      <w:r w:rsidRPr="00B82BF8">
        <w:rPr>
          <w:sz w:val="22"/>
          <w:szCs w:val="22"/>
        </w:rPr>
        <w:tab/>
        <w:t>становище по проект на Наредба за изменение и допълнение (НИД) на Наредба № РД-02-20-2 от 2015 г. за технически правила и норми за проектиране на тунели;</w:t>
      </w:r>
    </w:p>
    <w:p w14:paraId="4895431D" w14:textId="77777777" w:rsidR="00B82BF8" w:rsidRPr="00B82BF8" w:rsidRDefault="00B82BF8" w:rsidP="00B73E84">
      <w:pPr>
        <w:shd w:val="clear" w:color="auto" w:fill="FFFFFF" w:themeFill="background1"/>
        <w:tabs>
          <w:tab w:val="left" w:pos="993"/>
        </w:tabs>
        <w:ind w:firstLine="567"/>
        <w:jc w:val="both"/>
        <w:rPr>
          <w:sz w:val="22"/>
          <w:szCs w:val="22"/>
        </w:rPr>
      </w:pPr>
      <w:r w:rsidRPr="00B82BF8">
        <w:rPr>
          <w:sz w:val="22"/>
          <w:szCs w:val="22"/>
        </w:rPr>
        <w:t>15.</w:t>
      </w:r>
      <w:r w:rsidRPr="00B82BF8">
        <w:rPr>
          <w:sz w:val="22"/>
          <w:szCs w:val="22"/>
        </w:rPr>
        <w:tab/>
        <w:t>становище по дейността на Временната комисия относно проблемите с безопасността на движението по пътищата;</w:t>
      </w:r>
    </w:p>
    <w:p w14:paraId="213C98D0" w14:textId="77777777" w:rsidR="00B82BF8" w:rsidRPr="00B82BF8" w:rsidRDefault="00B82BF8" w:rsidP="00B73E84">
      <w:pPr>
        <w:shd w:val="clear" w:color="auto" w:fill="FFFFFF" w:themeFill="background1"/>
        <w:tabs>
          <w:tab w:val="left" w:pos="993"/>
        </w:tabs>
        <w:ind w:firstLine="567"/>
        <w:jc w:val="both"/>
        <w:rPr>
          <w:sz w:val="22"/>
          <w:szCs w:val="22"/>
        </w:rPr>
      </w:pPr>
      <w:r w:rsidRPr="00B82BF8">
        <w:rPr>
          <w:sz w:val="22"/>
          <w:szCs w:val="22"/>
        </w:rPr>
        <w:t>16.</w:t>
      </w:r>
      <w:r w:rsidRPr="00B82BF8">
        <w:rPr>
          <w:sz w:val="22"/>
          <w:szCs w:val="22"/>
        </w:rPr>
        <w:tab/>
        <w:t>изпитни въпроси за изготвяне на тестове за провеждане на теоретични изпити на кандидатите за придобиване на правоспособност за управление на МПС от различните категории;</w:t>
      </w:r>
    </w:p>
    <w:p w14:paraId="2CBF1EE8" w14:textId="77777777" w:rsidR="00B82BF8" w:rsidRPr="00B82BF8" w:rsidRDefault="00B82BF8" w:rsidP="00B73E84">
      <w:pPr>
        <w:shd w:val="clear" w:color="auto" w:fill="FFFFFF" w:themeFill="background1"/>
        <w:tabs>
          <w:tab w:val="left" w:pos="993"/>
        </w:tabs>
        <w:ind w:firstLine="567"/>
        <w:jc w:val="both"/>
        <w:rPr>
          <w:sz w:val="22"/>
          <w:szCs w:val="22"/>
        </w:rPr>
      </w:pPr>
      <w:r w:rsidRPr="00B82BF8">
        <w:rPr>
          <w:sz w:val="22"/>
          <w:szCs w:val="22"/>
        </w:rPr>
        <w:t>17.</w:t>
      </w:r>
      <w:r w:rsidRPr="00B82BF8">
        <w:rPr>
          <w:sz w:val="22"/>
          <w:szCs w:val="22"/>
        </w:rPr>
        <w:tab/>
        <w:t>становище относно регистриране, отчитане и анализ на ПТП;</w:t>
      </w:r>
    </w:p>
    <w:p w14:paraId="3B117EBA" w14:textId="77777777" w:rsidR="00B82BF8" w:rsidRPr="00B82BF8" w:rsidRDefault="00B82BF8" w:rsidP="00B73E84">
      <w:pPr>
        <w:shd w:val="clear" w:color="auto" w:fill="FFFFFF" w:themeFill="background1"/>
        <w:tabs>
          <w:tab w:val="left" w:pos="993"/>
        </w:tabs>
        <w:ind w:firstLine="567"/>
        <w:jc w:val="both"/>
        <w:rPr>
          <w:sz w:val="22"/>
          <w:szCs w:val="22"/>
        </w:rPr>
      </w:pPr>
      <w:r w:rsidRPr="00B82BF8">
        <w:rPr>
          <w:sz w:val="22"/>
          <w:szCs w:val="22"/>
        </w:rPr>
        <w:t>18.</w:t>
      </w:r>
      <w:r w:rsidRPr="00B82BF8">
        <w:rPr>
          <w:sz w:val="22"/>
          <w:szCs w:val="22"/>
        </w:rPr>
        <w:tab/>
        <w:t xml:space="preserve"> предложение по Наредба № Н-12 от 5 август 2019 г. за реда за служебно обследване на тежките пътнотранспортни произшествия, допуснати от водачи, придобили правоспособност за управление на моторни превозни средства от две години, и водачи на моторни превозни средства за обществен превоз или за собствена сметка на пътници и товари, и набелязване на мерки за тяхното ограничаване.</w:t>
      </w:r>
    </w:p>
    <w:p w14:paraId="2937743F" w14:textId="77777777" w:rsidR="00B82BF8" w:rsidRPr="0009699D" w:rsidRDefault="00B82BF8" w:rsidP="00B73E84">
      <w:pPr>
        <w:shd w:val="clear" w:color="auto" w:fill="FFFFFF" w:themeFill="background1"/>
        <w:tabs>
          <w:tab w:val="left" w:pos="567"/>
        </w:tabs>
        <w:ind w:firstLine="426"/>
        <w:jc w:val="both"/>
        <w:rPr>
          <w:b/>
          <w:sz w:val="22"/>
          <w:szCs w:val="22"/>
        </w:rPr>
      </w:pPr>
      <w:r w:rsidRPr="0009699D">
        <w:rPr>
          <w:b/>
          <w:sz w:val="22"/>
          <w:szCs w:val="22"/>
        </w:rPr>
        <w:t>•</w:t>
      </w:r>
      <w:r w:rsidRPr="0009699D">
        <w:rPr>
          <w:b/>
          <w:sz w:val="22"/>
          <w:szCs w:val="22"/>
        </w:rPr>
        <w:tab/>
        <w:t>Участия в заседания на ЕТИС на АПИ:</w:t>
      </w:r>
    </w:p>
    <w:p w14:paraId="4F736416" w14:textId="77777777" w:rsidR="00B82BF8" w:rsidRPr="00B82BF8" w:rsidRDefault="00B82BF8" w:rsidP="00B73E84">
      <w:pPr>
        <w:shd w:val="clear" w:color="auto" w:fill="FFFFFF" w:themeFill="background1"/>
        <w:tabs>
          <w:tab w:val="left" w:pos="851"/>
        </w:tabs>
        <w:ind w:firstLine="567"/>
        <w:jc w:val="both"/>
        <w:rPr>
          <w:sz w:val="22"/>
          <w:szCs w:val="22"/>
        </w:rPr>
      </w:pPr>
      <w:r w:rsidRPr="00B82BF8">
        <w:rPr>
          <w:sz w:val="22"/>
          <w:szCs w:val="22"/>
        </w:rPr>
        <w:t xml:space="preserve">1. проектна документация за обект: „АМ „Русе – Велико Търново“ от км 0+400 до км 76+040 по две обособени позиции, за Обособена позиция № 1: Участък „Русе – Бяла“ от км 0+400 до км 40+640“; </w:t>
      </w:r>
    </w:p>
    <w:p w14:paraId="18D3799C" w14:textId="462EC240" w:rsidR="00B82BF8" w:rsidRPr="00B82BF8" w:rsidRDefault="00B82BF8" w:rsidP="00B73E84">
      <w:pPr>
        <w:shd w:val="clear" w:color="auto" w:fill="FFFFFF" w:themeFill="background1"/>
        <w:tabs>
          <w:tab w:val="left" w:pos="851"/>
        </w:tabs>
        <w:ind w:firstLine="567"/>
        <w:jc w:val="both"/>
        <w:rPr>
          <w:sz w:val="22"/>
          <w:szCs w:val="22"/>
        </w:rPr>
      </w:pPr>
      <w:r w:rsidRPr="00B82BF8">
        <w:rPr>
          <w:sz w:val="22"/>
          <w:szCs w:val="22"/>
        </w:rPr>
        <w:t>2. проектна разработка на обект: „Изработване на идеен проект за извеждане на трафика от гр. Симитли</w:t>
      </w:r>
      <w:r w:rsidR="009E2D68">
        <w:rPr>
          <w:sz w:val="22"/>
          <w:szCs w:val="22"/>
        </w:rPr>
        <w:t xml:space="preserve"> в участъка на АМ „Струма“ от км. 373+300 до км.</w:t>
      </w:r>
      <w:r w:rsidRPr="00B82BF8">
        <w:rPr>
          <w:sz w:val="22"/>
          <w:szCs w:val="22"/>
        </w:rPr>
        <w:t xml:space="preserve"> 376+000“;</w:t>
      </w:r>
    </w:p>
    <w:p w14:paraId="03ED1271" w14:textId="338052EE" w:rsidR="00B82BF8" w:rsidRPr="00B82BF8" w:rsidRDefault="00B82BF8" w:rsidP="00B73E84">
      <w:pPr>
        <w:shd w:val="clear" w:color="auto" w:fill="FFFFFF" w:themeFill="background1"/>
        <w:tabs>
          <w:tab w:val="left" w:pos="851"/>
        </w:tabs>
        <w:ind w:firstLine="567"/>
        <w:jc w:val="both"/>
        <w:rPr>
          <w:sz w:val="22"/>
          <w:szCs w:val="22"/>
        </w:rPr>
      </w:pPr>
      <w:r w:rsidRPr="00B82BF8">
        <w:rPr>
          <w:sz w:val="22"/>
          <w:szCs w:val="22"/>
        </w:rPr>
        <w:lastRenderedPageBreak/>
        <w:t xml:space="preserve">3. проектна документация за обект: Автомагистрала „Струма“ Лот 3.2.2, участък „Крупник </w:t>
      </w:r>
      <w:r w:rsidR="009E2D68">
        <w:rPr>
          <w:sz w:val="22"/>
          <w:szCs w:val="22"/>
        </w:rPr>
        <w:t>–</w:t>
      </w:r>
      <w:r w:rsidRPr="00B82BF8">
        <w:rPr>
          <w:sz w:val="22"/>
          <w:szCs w:val="22"/>
        </w:rPr>
        <w:t xml:space="preserve"> Кресна“ – ляво платно от км 389+100 до км 399+500, обходен път на гр. Кресна – част от дясно платно от км 396+137 (по километража на път І-1 /Е79/) до км 401+691.90≡397+000 от Лот 3.3 на АМ „Струма“, включително и пътни връзки“, подучастък: „Обходен път на гр. Кресна – част от дясно платно от км 396+137 (по километража на път І-1 /Е79/) до км 400+340 и етапна връзка“; </w:t>
      </w:r>
    </w:p>
    <w:p w14:paraId="38E93871" w14:textId="77777777" w:rsidR="00B82BF8" w:rsidRPr="00B82BF8" w:rsidRDefault="00B82BF8" w:rsidP="00B73E84">
      <w:pPr>
        <w:shd w:val="clear" w:color="auto" w:fill="FFFFFF" w:themeFill="background1"/>
        <w:tabs>
          <w:tab w:val="left" w:pos="851"/>
        </w:tabs>
        <w:ind w:firstLine="567"/>
        <w:jc w:val="both"/>
        <w:rPr>
          <w:sz w:val="22"/>
          <w:szCs w:val="22"/>
        </w:rPr>
      </w:pPr>
      <w:r w:rsidRPr="00B82BF8">
        <w:rPr>
          <w:sz w:val="22"/>
          <w:szCs w:val="22"/>
        </w:rPr>
        <w:t>4. проектна документация за обект: „Доизграждане на Главна пътна комуникация Смолян – от съществуващо кръгово кръстовище при км 0+000 до път II-86 при край на кв. „Устово“, област Смолян“;</w:t>
      </w:r>
    </w:p>
    <w:p w14:paraId="66271426" w14:textId="77777777" w:rsidR="00B82BF8" w:rsidRPr="00B82BF8" w:rsidRDefault="00B82BF8" w:rsidP="00B73E84">
      <w:pPr>
        <w:shd w:val="clear" w:color="auto" w:fill="FFFFFF" w:themeFill="background1"/>
        <w:tabs>
          <w:tab w:val="left" w:pos="851"/>
        </w:tabs>
        <w:ind w:firstLine="567"/>
        <w:jc w:val="both"/>
        <w:rPr>
          <w:sz w:val="22"/>
          <w:szCs w:val="22"/>
        </w:rPr>
      </w:pPr>
      <w:r w:rsidRPr="00B82BF8">
        <w:rPr>
          <w:sz w:val="22"/>
          <w:szCs w:val="22"/>
        </w:rPr>
        <w:t>5. проектна разработка на обект 80: „Трайно укрепване на проявени деформации на пътното платно на републикански път III-9901 „Царево – Варвара – Ахтопол – Синеморец – Резово“ в участъка от км 9+975 до км 10+285“;</w:t>
      </w:r>
    </w:p>
    <w:p w14:paraId="043CF27D" w14:textId="0C877742" w:rsidR="00B82BF8" w:rsidRPr="00B82BF8" w:rsidRDefault="009E2D68" w:rsidP="00B73E84">
      <w:pPr>
        <w:shd w:val="clear" w:color="auto" w:fill="FFFFFF" w:themeFill="background1"/>
        <w:tabs>
          <w:tab w:val="left" w:pos="851"/>
        </w:tabs>
        <w:ind w:firstLine="567"/>
        <w:jc w:val="both"/>
        <w:rPr>
          <w:sz w:val="22"/>
          <w:szCs w:val="22"/>
        </w:rPr>
      </w:pPr>
      <w:r>
        <w:rPr>
          <w:sz w:val="22"/>
          <w:szCs w:val="22"/>
        </w:rPr>
        <w:t xml:space="preserve">6. </w:t>
      </w:r>
      <w:r w:rsidR="00B82BF8" w:rsidRPr="00B82BF8">
        <w:rPr>
          <w:sz w:val="22"/>
          <w:szCs w:val="22"/>
        </w:rPr>
        <w:t>проектна разработка на обект 81: „Трайно укрепване на проявени деформации на пътното платно на републикански път I-9 "Бургас</w:t>
      </w:r>
      <w:r>
        <w:rPr>
          <w:sz w:val="22"/>
          <w:szCs w:val="22"/>
        </w:rPr>
        <w:t xml:space="preserve"> – </w:t>
      </w:r>
      <w:r w:rsidR="00B82BF8" w:rsidRPr="00B82BF8">
        <w:rPr>
          <w:sz w:val="22"/>
          <w:szCs w:val="22"/>
        </w:rPr>
        <w:t>Маринка</w:t>
      </w:r>
      <w:r>
        <w:rPr>
          <w:sz w:val="22"/>
          <w:szCs w:val="22"/>
        </w:rPr>
        <w:t xml:space="preserve"> – </w:t>
      </w:r>
      <w:r w:rsidR="00B82BF8" w:rsidRPr="00B82BF8">
        <w:rPr>
          <w:sz w:val="22"/>
          <w:szCs w:val="22"/>
        </w:rPr>
        <w:t>Звездец</w:t>
      </w:r>
      <w:r>
        <w:rPr>
          <w:sz w:val="22"/>
          <w:szCs w:val="22"/>
        </w:rPr>
        <w:t xml:space="preserve"> – </w:t>
      </w:r>
      <w:proofErr w:type="spellStart"/>
      <w:r w:rsidR="00B82BF8" w:rsidRPr="00B82BF8">
        <w:rPr>
          <w:sz w:val="22"/>
          <w:szCs w:val="22"/>
        </w:rPr>
        <w:t>о.п</w:t>
      </w:r>
      <w:proofErr w:type="spellEnd"/>
      <w:r w:rsidR="00B82BF8" w:rsidRPr="00B82BF8">
        <w:rPr>
          <w:sz w:val="22"/>
          <w:szCs w:val="22"/>
        </w:rPr>
        <w:t>. Малко Търново</w:t>
      </w:r>
      <w:r>
        <w:rPr>
          <w:sz w:val="22"/>
          <w:szCs w:val="22"/>
        </w:rPr>
        <w:t xml:space="preserve"> – граница Турция" от км</w:t>
      </w:r>
      <w:r w:rsidR="00B82BF8" w:rsidRPr="00B82BF8">
        <w:rPr>
          <w:sz w:val="22"/>
          <w:szCs w:val="22"/>
        </w:rPr>
        <w:t>.</w:t>
      </w:r>
      <w:r>
        <w:rPr>
          <w:sz w:val="22"/>
          <w:szCs w:val="22"/>
        </w:rPr>
        <w:t xml:space="preserve"> 323+026 до км</w:t>
      </w:r>
      <w:r w:rsidR="00B82BF8" w:rsidRPr="00B82BF8">
        <w:rPr>
          <w:sz w:val="22"/>
          <w:szCs w:val="22"/>
        </w:rPr>
        <w:t>. 323+100“;</w:t>
      </w:r>
    </w:p>
    <w:p w14:paraId="312F627A" w14:textId="4502312C" w:rsidR="00B82BF8" w:rsidRPr="00B82BF8" w:rsidRDefault="00B82BF8" w:rsidP="00B73E84">
      <w:pPr>
        <w:shd w:val="clear" w:color="auto" w:fill="FFFFFF" w:themeFill="background1"/>
        <w:tabs>
          <w:tab w:val="left" w:pos="851"/>
        </w:tabs>
        <w:ind w:firstLine="567"/>
        <w:jc w:val="both"/>
        <w:rPr>
          <w:sz w:val="22"/>
          <w:szCs w:val="22"/>
        </w:rPr>
      </w:pPr>
      <w:r w:rsidRPr="00B82BF8">
        <w:rPr>
          <w:sz w:val="22"/>
          <w:szCs w:val="22"/>
        </w:rPr>
        <w:t>7. проектна документация за обект: „Основен ремонт на Път I-1 „Път II-17 – гара Яна“ от км 214+686 до км</w:t>
      </w:r>
      <w:r w:rsidR="009E2D68">
        <w:rPr>
          <w:sz w:val="22"/>
          <w:szCs w:val="22"/>
        </w:rPr>
        <w:t xml:space="preserve"> 237+553 с обща дължина 22,87 км</w:t>
      </w:r>
      <w:r w:rsidRPr="00B82BF8">
        <w:rPr>
          <w:sz w:val="22"/>
          <w:szCs w:val="22"/>
        </w:rPr>
        <w:t>“;</w:t>
      </w:r>
    </w:p>
    <w:p w14:paraId="01E1BD96" w14:textId="77777777" w:rsidR="00B82BF8" w:rsidRPr="00B82BF8" w:rsidRDefault="00B82BF8" w:rsidP="00B73E84">
      <w:pPr>
        <w:shd w:val="clear" w:color="auto" w:fill="FFFFFF" w:themeFill="background1"/>
        <w:tabs>
          <w:tab w:val="left" w:pos="851"/>
        </w:tabs>
        <w:ind w:firstLine="567"/>
        <w:jc w:val="both"/>
        <w:rPr>
          <w:sz w:val="22"/>
          <w:szCs w:val="22"/>
        </w:rPr>
      </w:pPr>
      <w:r w:rsidRPr="00B82BF8">
        <w:rPr>
          <w:sz w:val="22"/>
          <w:szCs w:val="22"/>
        </w:rPr>
        <w:t>8. проектна документация за обект: „Промяна на техническия проект по време на строителството в участъка от км 3+757 до км 10+200, укрепване на свлачище при км 17+950, осветление на п. в. „Дунавци“ и п. в. „Кула“, включително и зоните за почивка на обект: „Път I-1 „Видин - п. в. Макреш“ от км 3+757 до км 33+400“;</w:t>
      </w:r>
    </w:p>
    <w:p w14:paraId="4C32E01C" w14:textId="35987A92" w:rsidR="00B82BF8" w:rsidRPr="00B82BF8" w:rsidRDefault="00B82BF8" w:rsidP="00B73E84">
      <w:pPr>
        <w:shd w:val="clear" w:color="auto" w:fill="FFFFFF" w:themeFill="background1"/>
        <w:tabs>
          <w:tab w:val="left" w:pos="851"/>
        </w:tabs>
        <w:ind w:firstLine="567"/>
        <w:jc w:val="both"/>
        <w:rPr>
          <w:sz w:val="22"/>
          <w:szCs w:val="22"/>
        </w:rPr>
      </w:pPr>
      <w:r w:rsidRPr="00B82BF8">
        <w:rPr>
          <w:sz w:val="22"/>
          <w:szCs w:val="22"/>
        </w:rPr>
        <w:t xml:space="preserve">9. „Определяне на изпълнител за Актуализация на технически проекти за основни ремонти и строителство по две обособени позиции: за обособена позиция № II: Основен ремонт на Път I-8 „София </w:t>
      </w:r>
      <w:r w:rsidR="0009699D">
        <w:rPr>
          <w:sz w:val="22"/>
          <w:szCs w:val="22"/>
        </w:rPr>
        <w:t>–</w:t>
      </w:r>
      <w:r w:rsidRPr="00B82BF8">
        <w:rPr>
          <w:sz w:val="22"/>
          <w:szCs w:val="22"/>
        </w:rPr>
        <w:t xml:space="preserve"> Пловдив“ от км 89+170 до км 147+750 с обща дължина 58,58 км“;</w:t>
      </w:r>
    </w:p>
    <w:p w14:paraId="56CC69FD" w14:textId="77777777" w:rsidR="00B82BF8" w:rsidRPr="00B82BF8" w:rsidRDefault="00B82BF8" w:rsidP="00B73E84">
      <w:pPr>
        <w:shd w:val="clear" w:color="auto" w:fill="FFFFFF" w:themeFill="background1"/>
        <w:tabs>
          <w:tab w:val="left" w:pos="993"/>
        </w:tabs>
        <w:ind w:firstLine="567"/>
        <w:jc w:val="both"/>
        <w:rPr>
          <w:sz w:val="22"/>
          <w:szCs w:val="22"/>
        </w:rPr>
      </w:pPr>
      <w:r w:rsidRPr="00B82BF8">
        <w:rPr>
          <w:sz w:val="22"/>
          <w:szCs w:val="22"/>
        </w:rPr>
        <w:t>10. „Доизграждане на АМ „Хемус“ от км 222+000 до км 310+940 разделен на три участъка: Участък 7 от км 222+000 (след пресичането на път I-5) до км 265+600 (след пътен възел „</w:t>
      </w:r>
      <w:proofErr w:type="spellStart"/>
      <w:r w:rsidRPr="00B82BF8">
        <w:rPr>
          <w:sz w:val="22"/>
          <w:szCs w:val="22"/>
        </w:rPr>
        <w:t>Ковачевско</w:t>
      </w:r>
      <w:proofErr w:type="spellEnd"/>
      <w:r w:rsidRPr="00B82BF8">
        <w:rPr>
          <w:sz w:val="22"/>
          <w:szCs w:val="22"/>
        </w:rPr>
        <w:t xml:space="preserve"> Кале“, пресичане с път II-51 – по идеен проект)“;</w:t>
      </w:r>
    </w:p>
    <w:p w14:paraId="7B0AFB41" w14:textId="77777777" w:rsidR="00B82BF8" w:rsidRPr="00B82BF8" w:rsidRDefault="00B82BF8" w:rsidP="00B73E84">
      <w:pPr>
        <w:shd w:val="clear" w:color="auto" w:fill="FFFFFF" w:themeFill="background1"/>
        <w:tabs>
          <w:tab w:val="left" w:pos="993"/>
        </w:tabs>
        <w:ind w:firstLine="567"/>
        <w:jc w:val="both"/>
        <w:rPr>
          <w:sz w:val="22"/>
          <w:szCs w:val="22"/>
        </w:rPr>
      </w:pPr>
      <w:r w:rsidRPr="00B82BF8">
        <w:rPr>
          <w:sz w:val="22"/>
          <w:szCs w:val="22"/>
        </w:rPr>
        <w:t>11. „Документация за допълнителни СМР възникнали по време на строителството при изпълнение на СМР на обект: „АМ „Хемус“, участък 2 от км 103+060 до км 122+260“;</w:t>
      </w:r>
    </w:p>
    <w:p w14:paraId="6F55DF7A" w14:textId="3FC16560" w:rsidR="00B82BF8" w:rsidRPr="00B82BF8" w:rsidRDefault="00B82BF8" w:rsidP="00B73E84">
      <w:pPr>
        <w:shd w:val="clear" w:color="auto" w:fill="FFFFFF" w:themeFill="background1"/>
        <w:tabs>
          <w:tab w:val="left" w:pos="993"/>
        </w:tabs>
        <w:ind w:firstLine="567"/>
        <w:jc w:val="both"/>
        <w:rPr>
          <w:sz w:val="22"/>
          <w:szCs w:val="22"/>
        </w:rPr>
      </w:pPr>
      <w:r w:rsidRPr="00B82BF8">
        <w:rPr>
          <w:sz w:val="22"/>
          <w:szCs w:val="22"/>
        </w:rPr>
        <w:t xml:space="preserve">12. „Укрепване на обекти от републиканската пътна мрежа, засегнати от геодинамични процеси и явления“, за обект 24: Укрепване на свлачище при с. Хубавене, път III-308 „(Ябланица </w:t>
      </w:r>
      <w:r w:rsidR="0009699D">
        <w:rPr>
          <w:sz w:val="22"/>
          <w:szCs w:val="22"/>
        </w:rPr>
        <w:t>–</w:t>
      </w:r>
      <w:r w:rsidRPr="00B82BF8">
        <w:rPr>
          <w:sz w:val="22"/>
          <w:szCs w:val="22"/>
        </w:rPr>
        <w:t xml:space="preserve"> Ботевград) </w:t>
      </w:r>
      <w:r w:rsidR="0009699D">
        <w:rPr>
          <w:sz w:val="22"/>
          <w:szCs w:val="22"/>
        </w:rPr>
        <w:t>–</w:t>
      </w:r>
      <w:r w:rsidRPr="00B82BF8">
        <w:rPr>
          <w:sz w:val="22"/>
          <w:szCs w:val="22"/>
        </w:rPr>
        <w:t xml:space="preserve"> Правешка </w:t>
      </w:r>
      <w:proofErr w:type="spellStart"/>
      <w:r w:rsidRPr="00B82BF8">
        <w:rPr>
          <w:sz w:val="22"/>
          <w:szCs w:val="22"/>
        </w:rPr>
        <w:t>лакавица</w:t>
      </w:r>
      <w:proofErr w:type="spellEnd"/>
      <w:r w:rsidRPr="00B82BF8">
        <w:rPr>
          <w:sz w:val="22"/>
          <w:szCs w:val="22"/>
        </w:rPr>
        <w:t xml:space="preserve"> </w:t>
      </w:r>
      <w:r w:rsidR="0009699D">
        <w:rPr>
          <w:sz w:val="22"/>
          <w:szCs w:val="22"/>
        </w:rPr>
        <w:t>–</w:t>
      </w:r>
      <w:r w:rsidRPr="00B82BF8">
        <w:rPr>
          <w:sz w:val="22"/>
          <w:szCs w:val="22"/>
        </w:rPr>
        <w:t xml:space="preserve"> Калугерово </w:t>
      </w:r>
      <w:r w:rsidR="0009699D">
        <w:rPr>
          <w:sz w:val="22"/>
          <w:szCs w:val="22"/>
        </w:rPr>
        <w:t>–</w:t>
      </w:r>
      <w:r w:rsidRPr="00B82BF8">
        <w:rPr>
          <w:sz w:val="22"/>
          <w:szCs w:val="22"/>
        </w:rPr>
        <w:t xml:space="preserve"> Своде </w:t>
      </w:r>
      <w:r w:rsidR="0009699D">
        <w:rPr>
          <w:sz w:val="22"/>
          <w:szCs w:val="22"/>
        </w:rPr>
        <w:t>–</w:t>
      </w:r>
      <w:r w:rsidRPr="00B82BF8">
        <w:rPr>
          <w:sz w:val="22"/>
          <w:szCs w:val="22"/>
        </w:rPr>
        <w:t xml:space="preserve"> (Роман </w:t>
      </w:r>
      <w:r w:rsidR="0009699D">
        <w:rPr>
          <w:sz w:val="22"/>
          <w:szCs w:val="22"/>
        </w:rPr>
        <w:t>–</w:t>
      </w:r>
      <w:r w:rsidRPr="00B82BF8">
        <w:rPr>
          <w:sz w:val="22"/>
          <w:szCs w:val="22"/>
        </w:rPr>
        <w:t xml:space="preserve"> Златна Панега)“ при км 25+000”;</w:t>
      </w:r>
    </w:p>
    <w:p w14:paraId="4C6B36B1" w14:textId="77777777" w:rsidR="00B82BF8" w:rsidRPr="00B82BF8" w:rsidRDefault="00B82BF8" w:rsidP="00B73E84">
      <w:pPr>
        <w:shd w:val="clear" w:color="auto" w:fill="FFFFFF" w:themeFill="background1"/>
        <w:tabs>
          <w:tab w:val="left" w:pos="993"/>
        </w:tabs>
        <w:ind w:firstLine="567"/>
        <w:jc w:val="both"/>
        <w:rPr>
          <w:sz w:val="22"/>
          <w:szCs w:val="22"/>
        </w:rPr>
      </w:pPr>
      <w:r w:rsidRPr="00B82BF8">
        <w:rPr>
          <w:sz w:val="22"/>
          <w:szCs w:val="22"/>
        </w:rPr>
        <w:t>13. „Укрепване на обекти от републиканската пътна мрежа, засегнати от геодинамични процеси и явления“, за обект 81: „Трайно укрепване на проявени деформации на пътното платно на републикански път I-9 „Бургас – Маринка – Звездец – о. п. Малко Търново – граница Турция“ в участъка от км 323+026 до км 323+100 ляво преди ГКПП М. Търново“;</w:t>
      </w:r>
    </w:p>
    <w:p w14:paraId="481E0961" w14:textId="1C801902" w:rsidR="00B82BF8" w:rsidRPr="00B82BF8" w:rsidRDefault="00B82BF8" w:rsidP="00B73E84">
      <w:pPr>
        <w:shd w:val="clear" w:color="auto" w:fill="FFFFFF" w:themeFill="background1"/>
        <w:tabs>
          <w:tab w:val="left" w:pos="993"/>
        </w:tabs>
        <w:ind w:firstLine="567"/>
        <w:jc w:val="both"/>
        <w:rPr>
          <w:sz w:val="22"/>
          <w:szCs w:val="22"/>
        </w:rPr>
      </w:pPr>
      <w:r w:rsidRPr="00B82BF8">
        <w:rPr>
          <w:sz w:val="22"/>
          <w:szCs w:val="22"/>
        </w:rPr>
        <w:t xml:space="preserve">14. „Укрепване на обекти от републиканската пътна мрежа, засегнати от геодинамични процеси и явления“, за обект 80: „Трайно укрепване на проявени деформации на пътното платно на републикански път III-9901 „Царево – Варвара – Ахтопол – Синеморец – Резово“ в участъка от </w:t>
      </w:r>
      <w:r w:rsidR="0009699D">
        <w:rPr>
          <w:sz w:val="22"/>
          <w:szCs w:val="22"/>
        </w:rPr>
        <w:br/>
      </w:r>
      <w:r w:rsidRPr="00B82BF8">
        <w:rPr>
          <w:sz w:val="22"/>
          <w:szCs w:val="22"/>
        </w:rPr>
        <w:t>км 9+975 до км 10+285“;</w:t>
      </w:r>
    </w:p>
    <w:p w14:paraId="435AA95A" w14:textId="77777777" w:rsidR="00B82BF8" w:rsidRPr="00B82BF8" w:rsidRDefault="00B82BF8" w:rsidP="00B73E84">
      <w:pPr>
        <w:shd w:val="clear" w:color="auto" w:fill="FFFFFF" w:themeFill="background1"/>
        <w:tabs>
          <w:tab w:val="left" w:pos="993"/>
        </w:tabs>
        <w:ind w:firstLine="567"/>
        <w:jc w:val="both"/>
        <w:rPr>
          <w:sz w:val="22"/>
          <w:szCs w:val="22"/>
        </w:rPr>
      </w:pPr>
      <w:r w:rsidRPr="00B82BF8">
        <w:rPr>
          <w:sz w:val="22"/>
          <w:szCs w:val="22"/>
        </w:rPr>
        <w:t>15. „Укрепване на обекти от републиканската пътна мрежа, засегнати от геодинамични процеси и явления“, за обекти: № 28: Укрепване на свлачище на републикански път ІІ-15 Мизия-Оряхово при км 74+880 до км 75+000 с идентификационен № VRC 31.54020.01.04 и № 29: Укрепване на свлачище на републикански път ІІ-15 Мизия-Оряхово при км 75+775 до км 75+910, дясно с идентификационен № VRC 31.54020.01.01”;</w:t>
      </w:r>
    </w:p>
    <w:p w14:paraId="081FB6BE" w14:textId="77777777" w:rsidR="00B82BF8" w:rsidRPr="00B82BF8" w:rsidRDefault="00B82BF8" w:rsidP="00B73E84">
      <w:pPr>
        <w:shd w:val="clear" w:color="auto" w:fill="FFFFFF" w:themeFill="background1"/>
        <w:tabs>
          <w:tab w:val="left" w:pos="993"/>
        </w:tabs>
        <w:ind w:firstLine="567"/>
        <w:jc w:val="both"/>
        <w:rPr>
          <w:sz w:val="22"/>
          <w:szCs w:val="22"/>
        </w:rPr>
      </w:pPr>
      <w:r w:rsidRPr="00B82BF8">
        <w:rPr>
          <w:sz w:val="22"/>
          <w:szCs w:val="22"/>
        </w:rPr>
        <w:t>16. „Доизграждане на АМ „Хемус“ от км 222+000 до км 310+940 разделен на три участъка: Участък 7 от км 222+000 (след пресичането на път I-5) до км 265+600 (след пътен възел „</w:t>
      </w:r>
      <w:proofErr w:type="spellStart"/>
      <w:r w:rsidRPr="00B82BF8">
        <w:rPr>
          <w:sz w:val="22"/>
          <w:szCs w:val="22"/>
        </w:rPr>
        <w:t>Ковачевско</w:t>
      </w:r>
      <w:proofErr w:type="spellEnd"/>
      <w:r w:rsidRPr="00B82BF8">
        <w:rPr>
          <w:sz w:val="22"/>
          <w:szCs w:val="22"/>
        </w:rPr>
        <w:t xml:space="preserve"> Кале“, пресичане с път II-51 – по идеен проект)“;</w:t>
      </w:r>
    </w:p>
    <w:p w14:paraId="43B250B8" w14:textId="52E4DFB8" w:rsidR="00B82BF8" w:rsidRPr="00B82BF8" w:rsidRDefault="00B82BF8" w:rsidP="00B73E84">
      <w:pPr>
        <w:shd w:val="clear" w:color="auto" w:fill="FFFFFF" w:themeFill="background1"/>
        <w:tabs>
          <w:tab w:val="left" w:pos="993"/>
        </w:tabs>
        <w:ind w:firstLine="567"/>
        <w:jc w:val="both"/>
        <w:rPr>
          <w:sz w:val="22"/>
          <w:szCs w:val="22"/>
        </w:rPr>
      </w:pPr>
      <w:r w:rsidRPr="00B82BF8">
        <w:rPr>
          <w:sz w:val="22"/>
          <w:szCs w:val="22"/>
        </w:rPr>
        <w:t xml:space="preserve">17. Проект за автомагистрала „Струма“ Лот 3.2.2, участък „Крупник </w:t>
      </w:r>
      <w:r w:rsidR="00CC0AA2">
        <w:rPr>
          <w:sz w:val="22"/>
          <w:szCs w:val="22"/>
        </w:rPr>
        <w:t>–</w:t>
      </w:r>
      <w:r w:rsidRPr="00B82BF8">
        <w:rPr>
          <w:sz w:val="22"/>
          <w:szCs w:val="22"/>
        </w:rPr>
        <w:t xml:space="preserve"> Кресна“ – ляво платно от км 389+100 до км 399+500, обходен път на гр. Кресна – част от дясно платно от км 396+137 (по километража на път І-1 /Е79/) до км 401+691.90≡397+000 от Лот 3.3 на АМ „Струма“, включително и пътни връзки“</w:t>
      </w:r>
    </w:p>
    <w:p w14:paraId="2ACF7770" w14:textId="77777777" w:rsidR="00B82BF8" w:rsidRPr="00B82BF8" w:rsidRDefault="00B82BF8" w:rsidP="00B73E84">
      <w:pPr>
        <w:shd w:val="clear" w:color="auto" w:fill="FFFFFF" w:themeFill="background1"/>
        <w:tabs>
          <w:tab w:val="left" w:pos="993"/>
        </w:tabs>
        <w:ind w:firstLine="567"/>
        <w:jc w:val="both"/>
        <w:rPr>
          <w:sz w:val="22"/>
          <w:szCs w:val="22"/>
        </w:rPr>
      </w:pPr>
      <w:r w:rsidRPr="00B82BF8">
        <w:rPr>
          <w:sz w:val="22"/>
          <w:szCs w:val="22"/>
        </w:rPr>
        <w:t>Участък: „Обходен път на гр. Кресна – част от дясно платно от км 396+137 (по километража на път І-1 /Е79/) до км 400+340 и етапна връзка“;</w:t>
      </w:r>
    </w:p>
    <w:p w14:paraId="7425E04C" w14:textId="2375917C" w:rsidR="00B82BF8" w:rsidRPr="00B82BF8" w:rsidRDefault="00B82BF8" w:rsidP="00B73E84">
      <w:pPr>
        <w:shd w:val="clear" w:color="auto" w:fill="FFFFFF" w:themeFill="background1"/>
        <w:tabs>
          <w:tab w:val="left" w:pos="993"/>
        </w:tabs>
        <w:ind w:firstLine="567"/>
        <w:jc w:val="both"/>
        <w:rPr>
          <w:sz w:val="22"/>
          <w:szCs w:val="22"/>
        </w:rPr>
      </w:pPr>
      <w:r w:rsidRPr="00B82BF8">
        <w:rPr>
          <w:sz w:val="22"/>
          <w:szCs w:val="22"/>
        </w:rPr>
        <w:lastRenderedPageBreak/>
        <w:t xml:space="preserve">18. „Изграждане на трета лента на път ІІ-86 „Асеновград – Смолян“, в участъци от км 68+800 до км 73+650, от км 80+800 до км 90+530 и от км 90+530 до км 94+300“ </w:t>
      </w:r>
      <w:r w:rsidR="00CC0AA2">
        <w:rPr>
          <w:sz w:val="22"/>
          <w:szCs w:val="22"/>
        </w:rPr>
        <w:t>–</w:t>
      </w:r>
      <w:r w:rsidRPr="00B82BF8">
        <w:rPr>
          <w:sz w:val="22"/>
          <w:szCs w:val="22"/>
        </w:rPr>
        <w:t xml:space="preserve"> технически проект – първи междинен етап;</w:t>
      </w:r>
    </w:p>
    <w:p w14:paraId="6C1AB0ED" w14:textId="6CAB05F0" w:rsidR="00B82BF8" w:rsidRPr="00B82BF8" w:rsidRDefault="00B82BF8" w:rsidP="00B73E84">
      <w:pPr>
        <w:shd w:val="clear" w:color="auto" w:fill="FFFFFF" w:themeFill="background1"/>
        <w:tabs>
          <w:tab w:val="left" w:pos="993"/>
        </w:tabs>
        <w:ind w:firstLine="567"/>
        <w:jc w:val="both"/>
        <w:rPr>
          <w:sz w:val="22"/>
          <w:szCs w:val="22"/>
        </w:rPr>
      </w:pPr>
      <w:r w:rsidRPr="00B82BF8">
        <w:rPr>
          <w:sz w:val="22"/>
          <w:szCs w:val="22"/>
        </w:rPr>
        <w:t xml:space="preserve">19. „Ремонтно </w:t>
      </w:r>
      <w:r w:rsidR="00CC0AA2">
        <w:rPr>
          <w:sz w:val="22"/>
          <w:szCs w:val="22"/>
        </w:rPr>
        <w:t>–</w:t>
      </w:r>
      <w:r w:rsidRPr="00B82BF8">
        <w:rPr>
          <w:sz w:val="22"/>
          <w:szCs w:val="22"/>
        </w:rPr>
        <w:t xml:space="preserve"> възстановителни работи на мост над река Струма при км 62+640 на път III-198 при село Тополница“ </w:t>
      </w:r>
      <w:r w:rsidR="00CC0AA2">
        <w:rPr>
          <w:sz w:val="22"/>
          <w:szCs w:val="22"/>
        </w:rPr>
        <w:t>–</w:t>
      </w:r>
      <w:r w:rsidRPr="00B82BF8">
        <w:rPr>
          <w:sz w:val="22"/>
          <w:szCs w:val="22"/>
        </w:rPr>
        <w:t xml:space="preserve"> технически проект – втори междинен етап;</w:t>
      </w:r>
    </w:p>
    <w:p w14:paraId="570274E6" w14:textId="1AC2AE70" w:rsidR="00B82BF8" w:rsidRPr="00B82BF8" w:rsidRDefault="00B82BF8" w:rsidP="00B73E84">
      <w:pPr>
        <w:shd w:val="clear" w:color="auto" w:fill="FFFFFF" w:themeFill="background1"/>
        <w:tabs>
          <w:tab w:val="left" w:pos="993"/>
        </w:tabs>
        <w:ind w:firstLine="567"/>
        <w:jc w:val="both"/>
        <w:rPr>
          <w:sz w:val="22"/>
          <w:szCs w:val="22"/>
        </w:rPr>
      </w:pPr>
      <w:r w:rsidRPr="00B82BF8">
        <w:rPr>
          <w:sz w:val="22"/>
          <w:szCs w:val="22"/>
        </w:rPr>
        <w:t xml:space="preserve">20. „Укрепване и възстановяване на републикански път III-866 „Девин </w:t>
      </w:r>
      <w:r w:rsidR="009745D7">
        <w:rPr>
          <w:sz w:val="22"/>
          <w:szCs w:val="22"/>
        </w:rPr>
        <w:t>–</w:t>
      </w:r>
      <w:r w:rsidRPr="00B82BF8">
        <w:rPr>
          <w:sz w:val="22"/>
          <w:szCs w:val="22"/>
        </w:rPr>
        <w:t xml:space="preserve"> Михалково – Кричим“, при км 79+525“; </w:t>
      </w:r>
    </w:p>
    <w:p w14:paraId="144B7EB0" w14:textId="3EC9D7E1" w:rsidR="00B82BF8" w:rsidRPr="00B82BF8" w:rsidRDefault="00B82BF8" w:rsidP="00B73E84">
      <w:pPr>
        <w:shd w:val="clear" w:color="auto" w:fill="FFFFFF" w:themeFill="background1"/>
        <w:tabs>
          <w:tab w:val="left" w:pos="993"/>
        </w:tabs>
        <w:ind w:firstLine="567"/>
        <w:jc w:val="both"/>
        <w:rPr>
          <w:sz w:val="22"/>
          <w:szCs w:val="22"/>
        </w:rPr>
      </w:pPr>
      <w:r w:rsidRPr="00B82BF8">
        <w:rPr>
          <w:sz w:val="22"/>
          <w:szCs w:val="22"/>
        </w:rPr>
        <w:t>21. „И</w:t>
      </w:r>
      <w:r w:rsidR="0009699D">
        <w:rPr>
          <w:sz w:val="22"/>
          <w:szCs w:val="22"/>
        </w:rPr>
        <w:t>зграждане</w:t>
      </w:r>
      <w:r w:rsidRPr="00B82BF8">
        <w:rPr>
          <w:sz w:val="22"/>
          <w:szCs w:val="22"/>
        </w:rPr>
        <w:t xml:space="preserve"> </w:t>
      </w:r>
      <w:r w:rsidR="0009699D">
        <w:rPr>
          <w:sz w:val="22"/>
          <w:szCs w:val="22"/>
        </w:rPr>
        <w:t>на</w:t>
      </w:r>
      <w:r w:rsidRPr="00B82BF8">
        <w:rPr>
          <w:sz w:val="22"/>
          <w:szCs w:val="22"/>
        </w:rPr>
        <w:t xml:space="preserve"> </w:t>
      </w:r>
      <w:r w:rsidR="0009699D">
        <w:rPr>
          <w:sz w:val="22"/>
          <w:szCs w:val="22"/>
        </w:rPr>
        <w:t>трета</w:t>
      </w:r>
      <w:r w:rsidRPr="00B82BF8">
        <w:rPr>
          <w:sz w:val="22"/>
          <w:szCs w:val="22"/>
        </w:rPr>
        <w:t xml:space="preserve"> </w:t>
      </w:r>
      <w:r w:rsidR="0009699D">
        <w:rPr>
          <w:sz w:val="22"/>
          <w:szCs w:val="22"/>
        </w:rPr>
        <w:t>лента</w:t>
      </w:r>
      <w:r w:rsidRPr="00B82BF8">
        <w:rPr>
          <w:sz w:val="22"/>
          <w:szCs w:val="22"/>
        </w:rPr>
        <w:t xml:space="preserve"> </w:t>
      </w:r>
      <w:r w:rsidR="0009699D">
        <w:rPr>
          <w:sz w:val="22"/>
          <w:szCs w:val="22"/>
        </w:rPr>
        <w:t>на път</w:t>
      </w:r>
      <w:r w:rsidRPr="00B82BF8">
        <w:rPr>
          <w:sz w:val="22"/>
          <w:szCs w:val="22"/>
        </w:rPr>
        <w:t xml:space="preserve"> II-86 ,,А</w:t>
      </w:r>
      <w:r w:rsidR="0009699D">
        <w:rPr>
          <w:sz w:val="22"/>
          <w:szCs w:val="22"/>
        </w:rPr>
        <w:t>сеновград</w:t>
      </w:r>
      <w:r w:rsidRPr="00B82BF8">
        <w:rPr>
          <w:sz w:val="22"/>
          <w:szCs w:val="22"/>
        </w:rPr>
        <w:t xml:space="preserve"> </w:t>
      </w:r>
      <w:r w:rsidR="0009699D">
        <w:rPr>
          <w:sz w:val="22"/>
          <w:szCs w:val="22"/>
        </w:rPr>
        <w:t>–</w:t>
      </w:r>
      <w:r w:rsidRPr="00B82BF8">
        <w:rPr>
          <w:sz w:val="22"/>
          <w:szCs w:val="22"/>
        </w:rPr>
        <w:t xml:space="preserve"> С</w:t>
      </w:r>
      <w:r w:rsidR="0009699D">
        <w:rPr>
          <w:sz w:val="22"/>
          <w:szCs w:val="22"/>
        </w:rPr>
        <w:t>молян</w:t>
      </w:r>
      <w:r w:rsidRPr="00B82BF8">
        <w:rPr>
          <w:sz w:val="22"/>
          <w:szCs w:val="22"/>
        </w:rPr>
        <w:t xml:space="preserve">“, </w:t>
      </w:r>
      <w:r w:rsidR="0009699D">
        <w:rPr>
          <w:sz w:val="22"/>
          <w:szCs w:val="22"/>
        </w:rPr>
        <w:t>в</w:t>
      </w:r>
      <w:r w:rsidRPr="00B82BF8">
        <w:rPr>
          <w:sz w:val="22"/>
          <w:szCs w:val="22"/>
        </w:rPr>
        <w:t xml:space="preserve"> </w:t>
      </w:r>
      <w:r w:rsidR="0009699D">
        <w:rPr>
          <w:sz w:val="22"/>
          <w:szCs w:val="22"/>
        </w:rPr>
        <w:t>участъци</w:t>
      </w:r>
      <w:r w:rsidRPr="00B82BF8">
        <w:rPr>
          <w:sz w:val="22"/>
          <w:szCs w:val="22"/>
        </w:rPr>
        <w:t xml:space="preserve"> </w:t>
      </w:r>
      <w:r w:rsidR="0009699D">
        <w:rPr>
          <w:sz w:val="22"/>
          <w:szCs w:val="22"/>
        </w:rPr>
        <w:t>от</w:t>
      </w:r>
      <w:r w:rsidRPr="00B82BF8">
        <w:rPr>
          <w:sz w:val="22"/>
          <w:szCs w:val="22"/>
        </w:rPr>
        <w:t xml:space="preserve"> </w:t>
      </w:r>
      <w:r w:rsidR="0009699D">
        <w:rPr>
          <w:sz w:val="22"/>
          <w:szCs w:val="22"/>
        </w:rPr>
        <w:t>км 68+800 до</w:t>
      </w:r>
      <w:r w:rsidRPr="00B82BF8">
        <w:rPr>
          <w:sz w:val="22"/>
          <w:szCs w:val="22"/>
        </w:rPr>
        <w:t xml:space="preserve"> </w:t>
      </w:r>
      <w:r w:rsidR="0009699D">
        <w:rPr>
          <w:sz w:val="22"/>
          <w:szCs w:val="22"/>
        </w:rPr>
        <w:t>км</w:t>
      </w:r>
      <w:r w:rsidRPr="00B82BF8">
        <w:rPr>
          <w:sz w:val="22"/>
          <w:szCs w:val="22"/>
        </w:rPr>
        <w:t xml:space="preserve"> 73+650, </w:t>
      </w:r>
      <w:r w:rsidR="0009699D">
        <w:rPr>
          <w:sz w:val="22"/>
          <w:szCs w:val="22"/>
        </w:rPr>
        <w:t>от</w:t>
      </w:r>
      <w:r w:rsidRPr="00B82BF8">
        <w:rPr>
          <w:sz w:val="22"/>
          <w:szCs w:val="22"/>
        </w:rPr>
        <w:t xml:space="preserve"> </w:t>
      </w:r>
      <w:r w:rsidR="0009699D">
        <w:rPr>
          <w:sz w:val="22"/>
          <w:szCs w:val="22"/>
        </w:rPr>
        <w:t>км</w:t>
      </w:r>
      <w:r w:rsidRPr="00B82BF8">
        <w:rPr>
          <w:sz w:val="22"/>
          <w:szCs w:val="22"/>
        </w:rPr>
        <w:t xml:space="preserve"> 80+800 </w:t>
      </w:r>
      <w:r w:rsidR="0009699D">
        <w:rPr>
          <w:sz w:val="22"/>
          <w:szCs w:val="22"/>
        </w:rPr>
        <w:t>до</w:t>
      </w:r>
      <w:r w:rsidRPr="00B82BF8">
        <w:rPr>
          <w:sz w:val="22"/>
          <w:szCs w:val="22"/>
        </w:rPr>
        <w:t xml:space="preserve"> </w:t>
      </w:r>
      <w:r w:rsidR="0009699D">
        <w:rPr>
          <w:sz w:val="22"/>
          <w:szCs w:val="22"/>
        </w:rPr>
        <w:t>км</w:t>
      </w:r>
      <w:r w:rsidRPr="00B82BF8">
        <w:rPr>
          <w:sz w:val="22"/>
          <w:szCs w:val="22"/>
        </w:rPr>
        <w:t xml:space="preserve"> 86+100 </w:t>
      </w:r>
      <w:r w:rsidR="0009699D">
        <w:rPr>
          <w:sz w:val="22"/>
          <w:szCs w:val="22"/>
        </w:rPr>
        <w:t>и</w:t>
      </w:r>
      <w:r w:rsidRPr="00B82BF8">
        <w:rPr>
          <w:sz w:val="22"/>
          <w:szCs w:val="22"/>
        </w:rPr>
        <w:t xml:space="preserve"> </w:t>
      </w:r>
      <w:r w:rsidR="0009699D">
        <w:rPr>
          <w:sz w:val="22"/>
          <w:szCs w:val="22"/>
        </w:rPr>
        <w:t>от</w:t>
      </w:r>
      <w:r w:rsidRPr="00B82BF8">
        <w:rPr>
          <w:sz w:val="22"/>
          <w:szCs w:val="22"/>
        </w:rPr>
        <w:t xml:space="preserve"> </w:t>
      </w:r>
      <w:r w:rsidR="0009699D">
        <w:rPr>
          <w:sz w:val="22"/>
          <w:szCs w:val="22"/>
        </w:rPr>
        <w:t>км</w:t>
      </w:r>
      <w:r w:rsidRPr="00B82BF8">
        <w:rPr>
          <w:sz w:val="22"/>
          <w:szCs w:val="22"/>
        </w:rPr>
        <w:t xml:space="preserve"> 90+530 </w:t>
      </w:r>
      <w:r w:rsidR="0009699D">
        <w:rPr>
          <w:sz w:val="22"/>
          <w:szCs w:val="22"/>
        </w:rPr>
        <w:t>до</w:t>
      </w:r>
      <w:r w:rsidRPr="00B82BF8">
        <w:rPr>
          <w:sz w:val="22"/>
          <w:szCs w:val="22"/>
        </w:rPr>
        <w:t xml:space="preserve"> </w:t>
      </w:r>
      <w:r w:rsidR="0009699D">
        <w:rPr>
          <w:sz w:val="22"/>
          <w:szCs w:val="22"/>
        </w:rPr>
        <w:t>км</w:t>
      </w:r>
      <w:r w:rsidRPr="00B82BF8">
        <w:rPr>
          <w:sz w:val="22"/>
          <w:szCs w:val="22"/>
        </w:rPr>
        <w:t xml:space="preserve"> 94+300“;</w:t>
      </w:r>
    </w:p>
    <w:p w14:paraId="35DAF7B6" w14:textId="558BB312" w:rsidR="00167913" w:rsidRDefault="00B82BF8" w:rsidP="00B73E84">
      <w:pPr>
        <w:shd w:val="clear" w:color="auto" w:fill="FFFFFF" w:themeFill="background1"/>
        <w:tabs>
          <w:tab w:val="left" w:pos="993"/>
        </w:tabs>
        <w:ind w:firstLine="567"/>
        <w:jc w:val="both"/>
        <w:rPr>
          <w:sz w:val="22"/>
          <w:szCs w:val="22"/>
        </w:rPr>
      </w:pPr>
      <w:r w:rsidRPr="00B82BF8">
        <w:rPr>
          <w:sz w:val="22"/>
          <w:szCs w:val="22"/>
        </w:rPr>
        <w:t>22. „О</w:t>
      </w:r>
      <w:r w:rsidR="0009699D">
        <w:rPr>
          <w:sz w:val="22"/>
          <w:szCs w:val="22"/>
        </w:rPr>
        <w:t>сновен</w:t>
      </w:r>
      <w:r w:rsidRPr="00B82BF8">
        <w:rPr>
          <w:sz w:val="22"/>
          <w:szCs w:val="22"/>
        </w:rPr>
        <w:t xml:space="preserve"> </w:t>
      </w:r>
      <w:r w:rsidR="0009699D">
        <w:rPr>
          <w:sz w:val="22"/>
          <w:szCs w:val="22"/>
        </w:rPr>
        <w:t>ремонт</w:t>
      </w:r>
      <w:r w:rsidRPr="00B82BF8">
        <w:rPr>
          <w:sz w:val="22"/>
          <w:szCs w:val="22"/>
        </w:rPr>
        <w:t xml:space="preserve"> </w:t>
      </w:r>
      <w:r w:rsidR="0009699D">
        <w:rPr>
          <w:sz w:val="22"/>
          <w:szCs w:val="22"/>
        </w:rPr>
        <w:t>на</w:t>
      </w:r>
      <w:r w:rsidRPr="00B82BF8">
        <w:rPr>
          <w:sz w:val="22"/>
          <w:szCs w:val="22"/>
        </w:rPr>
        <w:t xml:space="preserve"> </w:t>
      </w:r>
      <w:r w:rsidR="0009699D">
        <w:rPr>
          <w:sz w:val="22"/>
          <w:szCs w:val="22"/>
        </w:rPr>
        <w:t>път</w:t>
      </w:r>
      <w:r w:rsidRPr="00B82BF8">
        <w:rPr>
          <w:sz w:val="22"/>
          <w:szCs w:val="22"/>
        </w:rPr>
        <w:t xml:space="preserve"> I-8 „С</w:t>
      </w:r>
      <w:r w:rsidR="0009699D">
        <w:rPr>
          <w:sz w:val="22"/>
          <w:szCs w:val="22"/>
        </w:rPr>
        <w:t xml:space="preserve">офия – </w:t>
      </w:r>
      <w:r w:rsidRPr="00B82BF8">
        <w:rPr>
          <w:sz w:val="22"/>
          <w:szCs w:val="22"/>
        </w:rPr>
        <w:t>П</w:t>
      </w:r>
      <w:r w:rsidR="0009699D">
        <w:rPr>
          <w:sz w:val="22"/>
          <w:szCs w:val="22"/>
        </w:rPr>
        <w:t>ловдив</w:t>
      </w:r>
      <w:r w:rsidRPr="00B82BF8">
        <w:rPr>
          <w:sz w:val="22"/>
          <w:szCs w:val="22"/>
        </w:rPr>
        <w:t xml:space="preserve">“, </w:t>
      </w:r>
      <w:r w:rsidR="0009699D">
        <w:rPr>
          <w:sz w:val="22"/>
          <w:szCs w:val="22"/>
        </w:rPr>
        <w:t>от</w:t>
      </w:r>
      <w:r w:rsidRPr="00B82BF8">
        <w:rPr>
          <w:sz w:val="22"/>
          <w:szCs w:val="22"/>
        </w:rPr>
        <w:t xml:space="preserve"> </w:t>
      </w:r>
      <w:r w:rsidR="0009699D">
        <w:rPr>
          <w:sz w:val="22"/>
          <w:szCs w:val="22"/>
        </w:rPr>
        <w:t>км</w:t>
      </w:r>
      <w:r w:rsidRPr="00B82BF8">
        <w:rPr>
          <w:sz w:val="22"/>
          <w:szCs w:val="22"/>
        </w:rPr>
        <w:t xml:space="preserve"> 89+170 </w:t>
      </w:r>
      <w:r w:rsidR="0009699D">
        <w:rPr>
          <w:sz w:val="22"/>
          <w:szCs w:val="22"/>
        </w:rPr>
        <w:t>до</w:t>
      </w:r>
      <w:r w:rsidRPr="00B82BF8">
        <w:rPr>
          <w:sz w:val="22"/>
          <w:szCs w:val="22"/>
        </w:rPr>
        <w:t xml:space="preserve"> </w:t>
      </w:r>
      <w:r w:rsidR="0009699D">
        <w:rPr>
          <w:sz w:val="22"/>
          <w:szCs w:val="22"/>
        </w:rPr>
        <w:t>км</w:t>
      </w:r>
      <w:r w:rsidRPr="00B82BF8">
        <w:rPr>
          <w:sz w:val="22"/>
          <w:szCs w:val="22"/>
        </w:rPr>
        <w:t xml:space="preserve"> 147+750, </w:t>
      </w:r>
      <w:r w:rsidR="0009699D">
        <w:rPr>
          <w:sz w:val="22"/>
          <w:szCs w:val="22"/>
        </w:rPr>
        <w:t>с</w:t>
      </w:r>
      <w:r w:rsidRPr="00B82BF8">
        <w:rPr>
          <w:sz w:val="22"/>
          <w:szCs w:val="22"/>
        </w:rPr>
        <w:t xml:space="preserve"> </w:t>
      </w:r>
      <w:r w:rsidR="0009699D">
        <w:rPr>
          <w:sz w:val="22"/>
          <w:szCs w:val="22"/>
        </w:rPr>
        <w:t>обща</w:t>
      </w:r>
      <w:r w:rsidRPr="00B82BF8">
        <w:rPr>
          <w:sz w:val="22"/>
          <w:szCs w:val="22"/>
        </w:rPr>
        <w:t xml:space="preserve"> </w:t>
      </w:r>
      <w:r w:rsidR="0009699D">
        <w:rPr>
          <w:sz w:val="22"/>
          <w:szCs w:val="22"/>
        </w:rPr>
        <w:t>дължина</w:t>
      </w:r>
      <w:r w:rsidRPr="00B82BF8">
        <w:rPr>
          <w:sz w:val="22"/>
          <w:szCs w:val="22"/>
        </w:rPr>
        <w:t xml:space="preserve"> 58,58 </w:t>
      </w:r>
      <w:r w:rsidR="0009699D">
        <w:rPr>
          <w:sz w:val="22"/>
          <w:szCs w:val="22"/>
        </w:rPr>
        <w:t>км</w:t>
      </w:r>
      <w:r w:rsidRPr="00B82BF8">
        <w:rPr>
          <w:sz w:val="22"/>
          <w:szCs w:val="22"/>
        </w:rPr>
        <w:t>“;</w:t>
      </w:r>
    </w:p>
    <w:p w14:paraId="2F88FFC8" w14:textId="77777777" w:rsidR="00085187" w:rsidRPr="00085187" w:rsidRDefault="00085187" w:rsidP="00B73E84">
      <w:pPr>
        <w:shd w:val="clear" w:color="auto" w:fill="FFFFFF" w:themeFill="background1"/>
        <w:tabs>
          <w:tab w:val="left" w:pos="851"/>
        </w:tabs>
        <w:ind w:firstLine="426"/>
        <w:jc w:val="both"/>
        <w:rPr>
          <w:b/>
          <w:sz w:val="22"/>
          <w:szCs w:val="22"/>
        </w:rPr>
      </w:pPr>
      <w:r w:rsidRPr="00085187">
        <w:rPr>
          <w:b/>
          <w:sz w:val="22"/>
          <w:szCs w:val="22"/>
        </w:rPr>
        <w:t>Проверки на място и инспекции по отношение на пътната безопасност</w:t>
      </w:r>
    </w:p>
    <w:p w14:paraId="35C955A7" w14:textId="77777777" w:rsidR="00085187" w:rsidRPr="00085187" w:rsidRDefault="00085187" w:rsidP="00B73E84">
      <w:pPr>
        <w:shd w:val="clear" w:color="auto" w:fill="FFFFFF" w:themeFill="background1"/>
        <w:tabs>
          <w:tab w:val="left" w:pos="851"/>
        </w:tabs>
        <w:ind w:firstLine="426"/>
        <w:jc w:val="both"/>
        <w:rPr>
          <w:sz w:val="22"/>
          <w:szCs w:val="22"/>
        </w:rPr>
      </w:pPr>
      <w:r w:rsidRPr="00085187">
        <w:rPr>
          <w:sz w:val="22"/>
          <w:szCs w:val="22"/>
        </w:rPr>
        <w:t xml:space="preserve">Извършени са </w:t>
      </w:r>
      <w:r w:rsidRPr="00085187">
        <w:rPr>
          <w:b/>
          <w:sz w:val="22"/>
          <w:szCs w:val="22"/>
        </w:rPr>
        <w:t>проверки на място</w:t>
      </w:r>
      <w:r w:rsidRPr="00085187">
        <w:rPr>
          <w:sz w:val="22"/>
          <w:szCs w:val="22"/>
        </w:rPr>
        <w:t xml:space="preserve"> по отношение на безопасността на движението по пътищата по следните пътни участъци:</w:t>
      </w:r>
    </w:p>
    <w:p w14:paraId="07E7B1C7" w14:textId="797D56F2" w:rsidR="00085187" w:rsidRPr="00085187" w:rsidRDefault="00085187" w:rsidP="00B73E84">
      <w:pPr>
        <w:shd w:val="clear" w:color="auto" w:fill="FFFFFF" w:themeFill="background1"/>
        <w:tabs>
          <w:tab w:val="left" w:pos="851"/>
        </w:tabs>
        <w:ind w:firstLine="567"/>
        <w:jc w:val="both"/>
        <w:rPr>
          <w:sz w:val="22"/>
          <w:szCs w:val="22"/>
        </w:rPr>
      </w:pPr>
      <w:r w:rsidRPr="00085187">
        <w:rPr>
          <w:sz w:val="22"/>
          <w:szCs w:val="22"/>
        </w:rPr>
        <w:t xml:space="preserve">1. Обект: „Реконструкция на ул. „Опълченска“ от бул. „Тодор Александров“ до </w:t>
      </w:r>
      <w:r w:rsidR="005731E5">
        <w:rPr>
          <w:sz w:val="22"/>
          <w:szCs w:val="22"/>
        </w:rPr>
        <w:br/>
      </w:r>
      <w:r w:rsidRPr="00085187">
        <w:rPr>
          <w:sz w:val="22"/>
          <w:szCs w:val="22"/>
        </w:rPr>
        <w:t xml:space="preserve">бул. „Сливница“ </w:t>
      </w:r>
      <w:r w:rsidR="005731E5">
        <w:rPr>
          <w:sz w:val="22"/>
          <w:szCs w:val="22"/>
        </w:rPr>
        <w:t>–</w:t>
      </w:r>
      <w:r w:rsidRPr="00085187">
        <w:rPr>
          <w:sz w:val="22"/>
          <w:szCs w:val="22"/>
        </w:rPr>
        <w:t xml:space="preserve"> II ЕТАП“;</w:t>
      </w:r>
    </w:p>
    <w:p w14:paraId="5E9BC50E" w14:textId="09C858C7" w:rsidR="00085187" w:rsidRPr="00085187" w:rsidRDefault="00085187" w:rsidP="00B73E84">
      <w:pPr>
        <w:shd w:val="clear" w:color="auto" w:fill="FFFFFF" w:themeFill="background1"/>
        <w:tabs>
          <w:tab w:val="left" w:pos="851"/>
        </w:tabs>
        <w:ind w:firstLine="567"/>
        <w:jc w:val="both"/>
        <w:rPr>
          <w:sz w:val="22"/>
          <w:szCs w:val="22"/>
        </w:rPr>
      </w:pPr>
      <w:r w:rsidRPr="00085187">
        <w:rPr>
          <w:sz w:val="22"/>
          <w:szCs w:val="22"/>
        </w:rPr>
        <w:t xml:space="preserve">2. Републикански път I-6 в участъка от км 25+860 до км 27+474, дясно платно по растящия километраж в посока Кюстендил – София във връзка с настъпило </w:t>
      </w:r>
      <w:r w:rsidR="005731E5">
        <w:rPr>
          <w:sz w:val="22"/>
          <w:szCs w:val="22"/>
        </w:rPr>
        <w:t xml:space="preserve">пътнотранспортно произшествие; </w:t>
      </w:r>
    </w:p>
    <w:p w14:paraId="18E398E8" w14:textId="77777777" w:rsidR="00085187" w:rsidRPr="00085187" w:rsidRDefault="00085187" w:rsidP="00B73E84">
      <w:pPr>
        <w:shd w:val="clear" w:color="auto" w:fill="FFFFFF" w:themeFill="background1"/>
        <w:tabs>
          <w:tab w:val="left" w:pos="851"/>
        </w:tabs>
        <w:ind w:firstLine="567"/>
        <w:jc w:val="both"/>
        <w:rPr>
          <w:sz w:val="22"/>
          <w:szCs w:val="22"/>
        </w:rPr>
      </w:pPr>
      <w:r w:rsidRPr="00085187">
        <w:rPr>
          <w:sz w:val="22"/>
          <w:szCs w:val="22"/>
        </w:rPr>
        <w:t>3. Лот 3.3 и Лот 4 от АМ „Струма“ във връзка с настъпили пътнотранспортни произшествия в следствие на мъгла;</w:t>
      </w:r>
    </w:p>
    <w:p w14:paraId="6E6DC88E" w14:textId="77777777" w:rsidR="00085187" w:rsidRPr="00085187" w:rsidRDefault="00085187" w:rsidP="00B73E84">
      <w:pPr>
        <w:shd w:val="clear" w:color="auto" w:fill="FFFFFF" w:themeFill="background1"/>
        <w:tabs>
          <w:tab w:val="left" w:pos="851"/>
        </w:tabs>
        <w:ind w:firstLine="567"/>
        <w:jc w:val="both"/>
        <w:rPr>
          <w:sz w:val="22"/>
          <w:szCs w:val="22"/>
        </w:rPr>
      </w:pPr>
      <w:r w:rsidRPr="00085187">
        <w:rPr>
          <w:sz w:val="22"/>
          <w:szCs w:val="22"/>
        </w:rPr>
        <w:t>4. Път VAR 1087 „Аспарухово – Галата“;</w:t>
      </w:r>
    </w:p>
    <w:p w14:paraId="04B3EC58" w14:textId="77777777" w:rsidR="00085187" w:rsidRPr="00085187" w:rsidRDefault="00085187" w:rsidP="00B73E84">
      <w:pPr>
        <w:shd w:val="clear" w:color="auto" w:fill="FFFFFF" w:themeFill="background1"/>
        <w:tabs>
          <w:tab w:val="left" w:pos="851"/>
        </w:tabs>
        <w:ind w:firstLine="567"/>
        <w:jc w:val="both"/>
        <w:rPr>
          <w:sz w:val="22"/>
          <w:szCs w:val="22"/>
        </w:rPr>
      </w:pPr>
      <w:r w:rsidRPr="00085187">
        <w:rPr>
          <w:sz w:val="22"/>
          <w:szCs w:val="22"/>
        </w:rPr>
        <w:t>5. Път II-71 при км 75+000, във връзка с настъпили тежки пътнотранспортни произшествия;</w:t>
      </w:r>
    </w:p>
    <w:p w14:paraId="057EB015" w14:textId="0DD8267A" w:rsidR="00085187" w:rsidRPr="00085187" w:rsidRDefault="00085187" w:rsidP="00B73E84">
      <w:pPr>
        <w:shd w:val="clear" w:color="auto" w:fill="FFFFFF" w:themeFill="background1"/>
        <w:tabs>
          <w:tab w:val="left" w:pos="851"/>
        </w:tabs>
        <w:ind w:firstLine="567"/>
        <w:jc w:val="both"/>
        <w:rPr>
          <w:sz w:val="22"/>
          <w:szCs w:val="22"/>
        </w:rPr>
      </w:pPr>
      <w:r w:rsidRPr="00085187">
        <w:rPr>
          <w:sz w:val="22"/>
          <w:szCs w:val="22"/>
        </w:rPr>
        <w:t xml:space="preserve">6. Път I-2 при км 51+734, във връзка с настъпили тежки пътнотранспортни </w:t>
      </w:r>
      <w:r w:rsidR="005731E5" w:rsidRPr="00085187">
        <w:rPr>
          <w:sz w:val="22"/>
          <w:szCs w:val="22"/>
        </w:rPr>
        <w:t>произшествия</w:t>
      </w:r>
      <w:r w:rsidRPr="00085187">
        <w:rPr>
          <w:sz w:val="22"/>
          <w:szCs w:val="22"/>
        </w:rPr>
        <w:t>;</w:t>
      </w:r>
    </w:p>
    <w:p w14:paraId="6835CD60" w14:textId="39A3D3B4" w:rsidR="00085187" w:rsidRPr="00085187" w:rsidRDefault="00085187" w:rsidP="00B73E84">
      <w:pPr>
        <w:shd w:val="clear" w:color="auto" w:fill="FFFFFF" w:themeFill="background1"/>
        <w:tabs>
          <w:tab w:val="left" w:pos="851"/>
        </w:tabs>
        <w:ind w:firstLine="567"/>
        <w:jc w:val="both"/>
        <w:rPr>
          <w:sz w:val="22"/>
          <w:szCs w:val="22"/>
        </w:rPr>
      </w:pPr>
      <w:r w:rsidRPr="00085187">
        <w:rPr>
          <w:sz w:val="22"/>
          <w:szCs w:val="22"/>
        </w:rPr>
        <w:t xml:space="preserve">7. Път I-3 „Гара Бяла </w:t>
      </w:r>
      <w:r w:rsidR="005731E5">
        <w:rPr>
          <w:sz w:val="22"/>
          <w:szCs w:val="22"/>
        </w:rPr>
        <w:t>–</w:t>
      </w:r>
      <w:r w:rsidRPr="00085187">
        <w:rPr>
          <w:sz w:val="22"/>
          <w:szCs w:val="22"/>
        </w:rPr>
        <w:t xml:space="preserve"> о. п. Плевен </w:t>
      </w:r>
      <w:r w:rsidR="005731E5">
        <w:rPr>
          <w:sz w:val="22"/>
          <w:szCs w:val="22"/>
        </w:rPr>
        <w:t>–</w:t>
      </w:r>
      <w:r w:rsidRPr="00085187">
        <w:rPr>
          <w:sz w:val="22"/>
          <w:szCs w:val="22"/>
        </w:rPr>
        <w:t xml:space="preserve"> Луковит </w:t>
      </w:r>
      <w:r w:rsidR="005731E5">
        <w:rPr>
          <w:sz w:val="22"/>
          <w:szCs w:val="22"/>
        </w:rPr>
        <w:t>–</w:t>
      </w:r>
      <w:r w:rsidRPr="00085187">
        <w:rPr>
          <w:sz w:val="22"/>
          <w:szCs w:val="22"/>
        </w:rPr>
        <w:t xml:space="preserve"> Коритна </w:t>
      </w:r>
      <w:r w:rsidR="005731E5">
        <w:rPr>
          <w:sz w:val="22"/>
          <w:szCs w:val="22"/>
        </w:rPr>
        <w:t>–</w:t>
      </w:r>
      <w:r w:rsidRPr="00085187">
        <w:rPr>
          <w:sz w:val="22"/>
          <w:szCs w:val="22"/>
        </w:rPr>
        <w:t xml:space="preserve"> Ябланица – Ботевград“ за участъка от км 123+000 до км 133+000, във връзка с настъпили тежки пътнотранспортни произшествия;</w:t>
      </w:r>
    </w:p>
    <w:p w14:paraId="7314BB1B" w14:textId="5E4C6523" w:rsidR="00085187" w:rsidRPr="00085187" w:rsidRDefault="00085187" w:rsidP="00B73E84">
      <w:pPr>
        <w:shd w:val="clear" w:color="auto" w:fill="FFFFFF" w:themeFill="background1"/>
        <w:tabs>
          <w:tab w:val="left" w:pos="851"/>
        </w:tabs>
        <w:ind w:firstLine="567"/>
        <w:jc w:val="both"/>
        <w:rPr>
          <w:sz w:val="22"/>
          <w:szCs w:val="22"/>
        </w:rPr>
      </w:pPr>
      <w:r w:rsidRPr="00085187">
        <w:rPr>
          <w:sz w:val="22"/>
          <w:szCs w:val="22"/>
        </w:rPr>
        <w:t>8. Обезоп</w:t>
      </w:r>
      <w:r w:rsidR="005731E5">
        <w:rPr>
          <w:sz w:val="22"/>
          <w:szCs w:val="22"/>
        </w:rPr>
        <w:t xml:space="preserve">асяване на пешеходна пътека на </w:t>
      </w:r>
      <w:r w:rsidRPr="00085187">
        <w:rPr>
          <w:sz w:val="22"/>
          <w:szCs w:val="22"/>
        </w:rPr>
        <w:t xml:space="preserve">ул. „Съединение" срещу централния вход на </w:t>
      </w:r>
      <w:r w:rsidR="005731E5">
        <w:rPr>
          <w:sz w:val="22"/>
          <w:szCs w:val="22"/>
        </w:rPr>
        <w:br/>
      </w:r>
      <w:r w:rsidRPr="00085187">
        <w:rPr>
          <w:sz w:val="22"/>
          <w:szCs w:val="22"/>
        </w:rPr>
        <w:t>СУ „Св. Софроний Врачански", жк. Тракия, гр. Пловдив.</w:t>
      </w:r>
    </w:p>
    <w:p w14:paraId="7D5AF5D6" w14:textId="58AA5C15" w:rsidR="00085187" w:rsidRPr="005731E5" w:rsidRDefault="00085187" w:rsidP="00B73E84">
      <w:pPr>
        <w:shd w:val="clear" w:color="auto" w:fill="FFFFFF" w:themeFill="background1"/>
        <w:tabs>
          <w:tab w:val="left" w:pos="567"/>
        </w:tabs>
        <w:ind w:firstLine="426"/>
        <w:jc w:val="both"/>
        <w:rPr>
          <w:b/>
          <w:sz w:val="22"/>
          <w:szCs w:val="22"/>
        </w:rPr>
      </w:pPr>
      <w:r w:rsidRPr="005731E5">
        <w:rPr>
          <w:b/>
          <w:sz w:val="22"/>
          <w:szCs w:val="22"/>
        </w:rPr>
        <w:t>•</w:t>
      </w:r>
      <w:r w:rsidRPr="005731E5">
        <w:rPr>
          <w:b/>
          <w:sz w:val="22"/>
          <w:szCs w:val="22"/>
        </w:rPr>
        <w:tab/>
        <w:t>Изготвяне на становища и предложения за повишаване на нивото на пътната безопасност и безопасността на движение по пътищата:</w:t>
      </w:r>
    </w:p>
    <w:p w14:paraId="25961CD6" w14:textId="07FC594F" w:rsidR="00085187" w:rsidRPr="00085187" w:rsidRDefault="00085187" w:rsidP="00B73E84">
      <w:pPr>
        <w:shd w:val="clear" w:color="auto" w:fill="FFFFFF" w:themeFill="background1"/>
        <w:tabs>
          <w:tab w:val="left" w:pos="851"/>
        </w:tabs>
        <w:ind w:firstLine="567"/>
        <w:jc w:val="both"/>
        <w:rPr>
          <w:sz w:val="22"/>
          <w:szCs w:val="22"/>
        </w:rPr>
      </w:pPr>
      <w:r w:rsidRPr="00085187">
        <w:rPr>
          <w:sz w:val="22"/>
          <w:szCs w:val="22"/>
        </w:rPr>
        <w:t xml:space="preserve">1. указания съгласно § 6, ал. 1 и 2 на Преходните и заключителни разпоредби към Наредба </w:t>
      </w:r>
      <w:r w:rsidR="005731E5">
        <w:rPr>
          <w:sz w:val="22"/>
          <w:szCs w:val="22"/>
        </w:rPr>
        <w:br/>
        <w:t>№ РД-02-20-2 от 28.08.</w:t>
      </w:r>
      <w:r w:rsidRPr="00085187">
        <w:rPr>
          <w:sz w:val="22"/>
          <w:szCs w:val="22"/>
        </w:rPr>
        <w:t>2018 г. за проектиране на пътища;</w:t>
      </w:r>
    </w:p>
    <w:p w14:paraId="0ADD0E98" w14:textId="77777777" w:rsidR="00085187" w:rsidRPr="00085187" w:rsidRDefault="00085187" w:rsidP="00B73E84">
      <w:pPr>
        <w:shd w:val="clear" w:color="auto" w:fill="FFFFFF" w:themeFill="background1"/>
        <w:tabs>
          <w:tab w:val="left" w:pos="851"/>
        </w:tabs>
        <w:ind w:firstLine="567"/>
        <w:jc w:val="both"/>
        <w:rPr>
          <w:sz w:val="22"/>
          <w:szCs w:val="22"/>
        </w:rPr>
      </w:pPr>
      <w:r w:rsidRPr="00085187">
        <w:rPr>
          <w:sz w:val="22"/>
          <w:szCs w:val="22"/>
        </w:rPr>
        <w:t>2. предприемане на превантивни мерки и подобряване на координацията между отговорните органи и звена в Република България за недопускане възникването на пътнотранспортни произшествия по пътищата на страната в резултат от излизане на селскостопански животни на пътя;</w:t>
      </w:r>
    </w:p>
    <w:p w14:paraId="5D859052" w14:textId="549C35E4" w:rsidR="00085187" w:rsidRPr="00085187" w:rsidRDefault="00085187" w:rsidP="00B73E84">
      <w:pPr>
        <w:shd w:val="clear" w:color="auto" w:fill="FFFFFF" w:themeFill="background1"/>
        <w:tabs>
          <w:tab w:val="left" w:pos="851"/>
        </w:tabs>
        <w:ind w:firstLine="567"/>
        <w:jc w:val="both"/>
        <w:rPr>
          <w:sz w:val="22"/>
          <w:szCs w:val="22"/>
        </w:rPr>
      </w:pPr>
      <w:r w:rsidRPr="00085187">
        <w:rPr>
          <w:sz w:val="22"/>
          <w:szCs w:val="22"/>
        </w:rPr>
        <w:t xml:space="preserve">3. опасно </w:t>
      </w:r>
      <w:r w:rsidR="005731E5">
        <w:rPr>
          <w:sz w:val="22"/>
          <w:szCs w:val="22"/>
        </w:rPr>
        <w:t>н</w:t>
      </w:r>
      <w:r w:rsidR="005731E5" w:rsidRPr="00085187">
        <w:rPr>
          <w:sz w:val="22"/>
          <w:szCs w:val="22"/>
        </w:rPr>
        <w:t>ерегулирано</w:t>
      </w:r>
      <w:r w:rsidRPr="00085187">
        <w:rPr>
          <w:sz w:val="22"/>
          <w:szCs w:val="22"/>
        </w:rPr>
        <w:t xml:space="preserve"> кръстовище на столичен булевард;</w:t>
      </w:r>
    </w:p>
    <w:p w14:paraId="67FE6EFB" w14:textId="13E2C8A0" w:rsidR="00085187" w:rsidRDefault="00085187" w:rsidP="00B73E84">
      <w:pPr>
        <w:shd w:val="clear" w:color="auto" w:fill="FFFFFF" w:themeFill="background1"/>
        <w:tabs>
          <w:tab w:val="left" w:pos="851"/>
        </w:tabs>
        <w:ind w:firstLine="567"/>
        <w:jc w:val="both"/>
        <w:rPr>
          <w:sz w:val="22"/>
          <w:szCs w:val="22"/>
        </w:rPr>
      </w:pPr>
      <w:r w:rsidRPr="00085187">
        <w:rPr>
          <w:sz w:val="22"/>
          <w:szCs w:val="22"/>
        </w:rPr>
        <w:t>4. изисквания при поставянето на пътен знак В28 „Забранено е паркирането“;</w:t>
      </w:r>
    </w:p>
    <w:p w14:paraId="26F4812E" w14:textId="4B56F9AA" w:rsidR="00085187" w:rsidRPr="00085187" w:rsidRDefault="005731E5" w:rsidP="00B73E84">
      <w:pPr>
        <w:shd w:val="clear" w:color="auto" w:fill="FFFFFF" w:themeFill="background1"/>
        <w:tabs>
          <w:tab w:val="left" w:pos="851"/>
        </w:tabs>
        <w:ind w:firstLine="567"/>
        <w:jc w:val="both"/>
        <w:rPr>
          <w:sz w:val="22"/>
          <w:szCs w:val="22"/>
        </w:rPr>
      </w:pPr>
      <w:r>
        <w:rPr>
          <w:sz w:val="22"/>
          <w:szCs w:val="22"/>
        </w:rPr>
        <w:t>5.</w:t>
      </w:r>
      <w:r>
        <w:rPr>
          <w:sz w:val="22"/>
          <w:szCs w:val="22"/>
        </w:rPr>
        <w:tab/>
      </w:r>
      <w:r w:rsidR="00085187" w:rsidRPr="00085187">
        <w:rPr>
          <w:sz w:val="22"/>
          <w:szCs w:val="22"/>
        </w:rPr>
        <w:t>инвестиционно намерение на Община Бургас за изграждане и развитие на многофункционален спортен, тренировъчен и учебен център с полигон и лицензирана писта за картинг и автомобилисти;</w:t>
      </w:r>
    </w:p>
    <w:p w14:paraId="0D0C8E11" w14:textId="7FAABF99" w:rsidR="00085187" w:rsidRPr="00085187" w:rsidRDefault="00085187" w:rsidP="00B73E84">
      <w:pPr>
        <w:shd w:val="clear" w:color="auto" w:fill="FFFFFF" w:themeFill="background1"/>
        <w:tabs>
          <w:tab w:val="left" w:pos="851"/>
        </w:tabs>
        <w:ind w:firstLine="567"/>
        <w:jc w:val="both"/>
        <w:rPr>
          <w:sz w:val="22"/>
          <w:szCs w:val="22"/>
        </w:rPr>
      </w:pPr>
      <w:r w:rsidRPr="00085187">
        <w:rPr>
          <w:sz w:val="22"/>
          <w:szCs w:val="22"/>
        </w:rPr>
        <w:t xml:space="preserve">6. временно спиране и извършване проверка на реконструкцията на ул. „Опълченска“ от </w:t>
      </w:r>
      <w:r w:rsidR="005731E5">
        <w:rPr>
          <w:sz w:val="22"/>
          <w:szCs w:val="22"/>
        </w:rPr>
        <w:br/>
      </w:r>
      <w:r w:rsidRPr="00085187">
        <w:rPr>
          <w:sz w:val="22"/>
          <w:szCs w:val="22"/>
        </w:rPr>
        <w:t xml:space="preserve">бул. „Тодор Александров“ до бул. „Сливница“ </w:t>
      </w:r>
      <w:r w:rsidR="005731E5">
        <w:rPr>
          <w:sz w:val="22"/>
          <w:szCs w:val="22"/>
        </w:rPr>
        <w:t>–</w:t>
      </w:r>
      <w:r w:rsidRPr="00085187">
        <w:rPr>
          <w:sz w:val="22"/>
          <w:szCs w:val="22"/>
        </w:rPr>
        <w:t xml:space="preserve"> II ЕТАП. Актуализиране на проекта в цялост и провеждане на обществено обсъждане, и промяна на действащия ПУП;</w:t>
      </w:r>
    </w:p>
    <w:p w14:paraId="35B2D92D" w14:textId="77777777" w:rsidR="00085187" w:rsidRPr="00085187" w:rsidRDefault="00085187" w:rsidP="00B73E84">
      <w:pPr>
        <w:shd w:val="clear" w:color="auto" w:fill="FFFFFF" w:themeFill="background1"/>
        <w:tabs>
          <w:tab w:val="left" w:pos="851"/>
        </w:tabs>
        <w:ind w:firstLine="567"/>
        <w:jc w:val="both"/>
        <w:rPr>
          <w:sz w:val="22"/>
          <w:szCs w:val="22"/>
        </w:rPr>
      </w:pPr>
      <w:r w:rsidRPr="00085187">
        <w:rPr>
          <w:sz w:val="22"/>
          <w:szCs w:val="22"/>
        </w:rPr>
        <w:t>7. състоянието на пътен надлез над републикански път II-99 при км 14+822 при пътен възел „Черноморец“;</w:t>
      </w:r>
    </w:p>
    <w:p w14:paraId="29425343" w14:textId="77777777" w:rsidR="00085187" w:rsidRPr="00085187" w:rsidRDefault="00085187" w:rsidP="00B73E84">
      <w:pPr>
        <w:shd w:val="clear" w:color="auto" w:fill="FFFFFF" w:themeFill="background1"/>
        <w:tabs>
          <w:tab w:val="left" w:pos="851"/>
        </w:tabs>
        <w:ind w:firstLine="567"/>
        <w:jc w:val="both"/>
        <w:rPr>
          <w:sz w:val="22"/>
          <w:szCs w:val="22"/>
        </w:rPr>
      </w:pPr>
      <w:r w:rsidRPr="00085187">
        <w:rPr>
          <w:sz w:val="22"/>
          <w:szCs w:val="22"/>
        </w:rPr>
        <w:t>8. предприемане на мерки за сигнализиране на пътни участъци, в които се наблюдава образуване на мъгла;</w:t>
      </w:r>
    </w:p>
    <w:p w14:paraId="708108DA" w14:textId="77777777" w:rsidR="00085187" w:rsidRPr="00085187" w:rsidRDefault="00085187" w:rsidP="00B73E84">
      <w:pPr>
        <w:shd w:val="clear" w:color="auto" w:fill="FFFFFF" w:themeFill="background1"/>
        <w:tabs>
          <w:tab w:val="left" w:pos="851"/>
        </w:tabs>
        <w:ind w:firstLine="567"/>
        <w:jc w:val="both"/>
        <w:rPr>
          <w:sz w:val="22"/>
          <w:szCs w:val="22"/>
        </w:rPr>
      </w:pPr>
      <w:r w:rsidRPr="00085187">
        <w:rPr>
          <w:sz w:val="22"/>
          <w:szCs w:val="22"/>
        </w:rPr>
        <w:t>9. управлението на безопасността на пътната инфраструктура;</w:t>
      </w:r>
    </w:p>
    <w:p w14:paraId="213D9965" w14:textId="30954272" w:rsidR="00085187" w:rsidRPr="00085187" w:rsidRDefault="00085187" w:rsidP="00B73E84">
      <w:pPr>
        <w:shd w:val="clear" w:color="auto" w:fill="FFFFFF" w:themeFill="background1"/>
        <w:tabs>
          <w:tab w:val="left" w:pos="993"/>
        </w:tabs>
        <w:ind w:firstLine="567"/>
        <w:jc w:val="both"/>
        <w:rPr>
          <w:sz w:val="22"/>
          <w:szCs w:val="22"/>
        </w:rPr>
      </w:pPr>
      <w:r w:rsidRPr="00085187">
        <w:rPr>
          <w:sz w:val="22"/>
          <w:szCs w:val="22"/>
        </w:rPr>
        <w:t xml:space="preserve">10. </w:t>
      </w:r>
      <w:r w:rsidR="009F375D" w:rsidRPr="00085187">
        <w:rPr>
          <w:sz w:val="22"/>
          <w:szCs w:val="22"/>
        </w:rPr>
        <w:t>необезопасена</w:t>
      </w:r>
      <w:r w:rsidRPr="00085187">
        <w:rPr>
          <w:sz w:val="22"/>
          <w:szCs w:val="22"/>
        </w:rPr>
        <w:t xml:space="preserve"> пешеходна пътека на републикански път I-1 "София </w:t>
      </w:r>
      <w:r w:rsidR="00961B38">
        <w:rPr>
          <w:sz w:val="22"/>
          <w:szCs w:val="22"/>
        </w:rPr>
        <w:t>–</w:t>
      </w:r>
      <w:r w:rsidRPr="00085187">
        <w:rPr>
          <w:sz w:val="22"/>
          <w:szCs w:val="22"/>
        </w:rPr>
        <w:t xml:space="preserve"> Перник", в участъка от кв. "Княжево";</w:t>
      </w:r>
    </w:p>
    <w:p w14:paraId="53327774" w14:textId="77777777" w:rsidR="00085187" w:rsidRPr="00085187" w:rsidRDefault="00085187" w:rsidP="00B73E84">
      <w:pPr>
        <w:shd w:val="clear" w:color="auto" w:fill="FFFFFF" w:themeFill="background1"/>
        <w:tabs>
          <w:tab w:val="left" w:pos="993"/>
        </w:tabs>
        <w:ind w:firstLine="567"/>
        <w:jc w:val="both"/>
        <w:rPr>
          <w:sz w:val="22"/>
          <w:szCs w:val="22"/>
        </w:rPr>
      </w:pPr>
      <w:r w:rsidRPr="00085187">
        <w:rPr>
          <w:sz w:val="22"/>
          <w:szCs w:val="22"/>
        </w:rPr>
        <w:t>11. настъпило тежко пътнотранспортно произшествие на ул. „Чипровци“, в гр. Русе;</w:t>
      </w:r>
    </w:p>
    <w:p w14:paraId="521D8D15" w14:textId="77777777" w:rsidR="00085187" w:rsidRPr="00085187" w:rsidRDefault="00085187" w:rsidP="00B73E84">
      <w:pPr>
        <w:shd w:val="clear" w:color="auto" w:fill="FFFFFF" w:themeFill="background1"/>
        <w:tabs>
          <w:tab w:val="left" w:pos="993"/>
        </w:tabs>
        <w:ind w:firstLine="567"/>
        <w:jc w:val="both"/>
        <w:rPr>
          <w:sz w:val="22"/>
          <w:szCs w:val="22"/>
        </w:rPr>
      </w:pPr>
      <w:r w:rsidRPr="00085187">
        <w:rPr>
          <w:sz w:val="22"/>
          <w:szCs w:val="22"/>
        </w:rPr>
        <w:t>12. настъпило тежко пътнотранспортно произшествие на път I-1 при км 19+800, на пътното кръстовище с път II-11 и път III-1413;</w:t>
      </w:r>
    </w:p>
    <w:p w14:paraId="52BA46B4" w14:textId="77777777" w:rsidR="00085187" w:rsidRPr="00085187" w:rsidRDefault="00085187" w:rsidP="00B73E84">
      <w:pPr>
        <w:shd w:val="clear" w:color="auto" w:fill="FFFFFF" w:themeFill="background1"/>
        <w:tabs>
          <w:tab w:val="left" w:pos="993"/>
        </w:tabs>
        <w:ind w:firstLine="567"/>
        <w:jc w:val="both"/>
        <w:rPr>
          <w:sz w:val="22"/>
          <w:szCs w:val="22"/>
        </w:rPr>
      </w:pPr>
      <w:r w:rsidRPr="00085187">
        <w:rPr>
          <w:sz w:val="22"/>
          <w:szCs w:val="22"/>
        </w:rPr>
        <w:t>13. участък с концентрация на ПТП на републикански път III-303 „Мусина – Пушево“;</w:t>
      </w:r>
    </w:p>
    <w:p w14:paraId="4F374CB1" w14:textId="77777777" w:rsidR="00085187" w:rsidRPr="00085187" w:rsidRDefault="00085187" w:rsidP="00B73E84">
      <w:pPr>
        <w:shd w:val="clear" w:color="auto" w:fill="FFFFFF" w:themeFill="background1"/>
        <w:tabs>
          <w:tab w:val="left" w:pos="993"/>
        </w:tabs>
        <w:ind w:firstLine="567"/>
        <w:jc w:val="both"/>
        <w:rPr>
          <w:sz w:val="22"/>
          <w:szCs w:val="22"/>
        </w:rPr>
      </w:pPr>
      <w:r w:rsidRPr="00085187">
        <w:rPr>
          <w:sz w:val="22"/>
          <w:szCs w:val="22"/>
        </w:rPr>
        <w:lastRenderedPageBreak/>
        <w:t>14. билборд с разсейващо водачите рекламно съдържание на АМ „Тракия“;</w:t>
      </w:r>
    </w:p>
    <w:p w14:paraId="17861252" w14:textId="0EF9331B" w:rsidR="00085187" w:rsidRPr="00085187" w:rsidRDefault="00085187" w:rsidP="00B73E84">
      <w:pPr>
        <w:shd w:val="clear" w:color="auto" w:fill="FFFFFF" w:themeFill="background1"/>
        <w:tabs>
          <w:tab w:val="left" w:pos="993"/>
        </w:tabs>
        <w:ind w:firstLine="567"/>
        <w:jc w:val="both"/>
        <w:rPr>
          <w:sz w:val="22"/>
          <w:szCs w:val="22"/>
        </w:rPr>
      </w:pPr>
      <w:r w:rsidRPr="00085187">
        <w:rPr>
          <w:sz w:val="22"/>
          <w:szCs w:val="22"/>
        </w:rPr>
        <w:t xml:space="preserve">15. постоянна организация на движение /ПОД/, след извършване на рехабилитация на </w:t>
      </w:r>
      <w:r w:rsidR="00961B38">
        <w:rPr>
          <w:sz w:val="22"/>
          <w:szCs w:val="22"/>
        </w:rPr>
        <w:br/>
      </w:r>
      <w:r w:rsidRPr="00085187">
        <w:rPr>
          <w:sz w:val="22"/>
          <w:szCs w:val="22"/>
        </w:rPr>
        <w:t>бул. „Джеймс Баучер“, от бул. „Черни връх“ до площад „</w:t>
      </w:r>
      <w:proofErr w:type="spellStart"/>
      <w:r w:rsidRPr="00085187">
        <w:rPr>
          <w:sz w:val="22"/>
          <w:szCs w:val="22"/>
        </w:rPr>
        <w:t>Велчова</w:t>
      </w:r>
      <w:proofErr w:type="spellEnd"/>
      <w:r w:rsidRPr="00085187">
        <w:rPr>
          <w:sz w:val="22"/>
          <w:szCs w:val="22"/>
        </w:rPr>
        <w:t xml:space="preserve"> завера“;</w:t>
      </w:r>
    </w:p>
    <w:p w14:paraId="32B29131" w14:textId="77777777" w:rsidR="00961B38" w:rsidRDefault="00085187" w:rsidP="00B73E84">
      <w:pPr>
        <w:shd w:val="clear" w:color="auto" w:fill="FFFFFF" w:themeFill="background1"/>
        <w:tabs>
          <w:tab w:val="left" w:pos="993"/>
        </w:tabs>
        <w:ind w:firstLine="567"/>
        <w:jc w:val="both"/>
        <w:rPr>
          <w:sz w:val="22"/>
          <w:szCs w:val="22"/>
        </w:rPr>
      </w:pPr>
      <w:r w:rsidRPr="00085187">
        <w:rPr>
          <w:sz w:val="22"/>
          <w:szCs w:val="22"/>
        </w:rPr>
        <w:t xml:space="preserve">16. правилата за преминаване през новото кръстовище на бул. "Тодор Каблешков" и </w:t>
      </w:r>
    </w:p>
    <w:p w14:paraId="0D799C79" w14:textId="583CE1E2" w:rsidR="00085187" w:rsidRPr="00085187" w:rsidRDefault="00085187" w:rsidP="00B73E84">
      <w:pPr>
        <w:shd w:val="clear" w:color="auto" w:fill="FFFFFF" w:themeFill="background1"/>
        <w:tabs>
          <w:tab w:val="left" w:pos="993"/>
        </w:tabs>
        <w:jc w:val="both"/>
        <w:rPr>
          <w:sz w:val="22"/>
          <w:szCs w:val="22"/>
        </w:rPr>
      </w:pPr>
      <w:r w:rsidRPr="00085187">
        <w:rPr>
          <w:sz w:val="22"/>
          <w:szCs w:val="22"/>
        </w:rPr>
        <w:t>ул. "Емилиян Станев", в посока от бул. "Тодор Каблешков" към бул. "Черни връх";</w:t>
      </w:r>
    </w:p>
    <w:p w14:paraId="0D7488C7" w14:textId="77777777" w:rsidR="00085187" w:rsidRPr="00085187" w:rsidRDefault="00085187" w:rsidP="00B73E84">
      <w:pPr>
        <w:shd w:val="clear" w:color="auto" w:fill="FFFFFF" w:themeFill="background1"/>
        <w:tabs>
          <w:tab w:val="left" w:pos="993"/>
        </w:tabs>
        <w:ind w:firstLine="567"/>
        <w:jc w:val="both"/>
        <w:rPr>
          <w:sz w:val="22"/>
          <w:szCs w:val="22"/>
        </w:rPr>
      </w:pPr>
      <w:r w:rsidRPr="00085187">
        <w:rPr>
          <w:sz w:val="22"/>
          <w:szCs w:val="22"/>
        </w:rPr>
        <w:t>17. искане за съгласуване на част „Организация на движението" при проектиране и изграждане на кръгово кръстовище на входа на гр. Пирдоп.</w:t>
      </w:r>
    </w:p>
    <w:p w14:paraId="4AB00452" w14:textId="4BB4981F" w:rsidR="00085187" w:rsidRPr="00961B38" w:rsidRDefault="00085187" w:rsidP="00B73E84">
      <w:pPr>
        <w:shd w:val="clear" w:color="auto" w:fill="FFFFFF" w:themeFill="background1"/>
        <w:tabs>
          <w:tab w:val="left" w:pos="567"/>
        </w:tabs>
        <w:ind w:firstLine="426"/>
        <w:jc w:val="both"/>
        <w:rPr>
          <w:sz w:val="22"/>
          <w:szCs w:val="22"/>
        </w:rPr>
      </w:pPr>
      <w:r w:rsidRPr="00961B38">
        <w:rPr>
          <w:sz w:val="22"/>
          <w:szCs w:val="22"/>
        </w:rPr>
        <w:t>•</w:t>
      </w:r>
      <w:r w:rsidRPr="00961B38">
        <w:rPr>
          <w:sz w:val="22"/>
          <w:szCs w:val="22"/>
        </w:rPr>
        <w:tab/>
        <w:t>Работа на постоянно действащата комисия, определена със</w:t>
      </w:r>
      <w:r w:rsidR="00961B38" w:rsidRPr="00961B38">
        <w:rPr>
          <w:sz w:val="22"/>
          <w:szCs w:val="22"/>
        </w:rPr>
        <w:t xml:space="preserve"> заповед № З-16/15.03.2023 г., </w:t>
      </w:r>
      <w:r w:rsidRPr="00961B38">
        <w:rPr>
          <w:sz w:val="22"/>
          <w:szCs w:val="22"/>
        </w:rPr>
        <w:t>на председателя на ДАБДП, за разглеждане на заявления за вписване в регистъра на одиторите по пътна безопасност.</w:t>
      </w:r>
    </w:p>
    <w:p w14:paraId="5EA797C7" w14:textId="322A765A" w:rsidR="00167913" w:rsidRDefault="00085187" w:rsidP="00B73E84">
      <w:pPr>
        <w:shd w:val="clear" w:color="auto" w:fill="FFFFFF" w:themeFill="background1"/>
        <w:tabs>
          <w:tab w:val="left" w:pos="567"/>
        </w:tabs>
        <w:spacing w:after="120"/>
        <w:ind w:firstLine="425"/>
        <w:jc w:val="both"/>
        <w:rPr>
          <w:sz w:val="22"/>
          <w:szCs w:val="22"/>
        </w:rPr>
      </w:pPr>
      <w:r w:rsidRPr="00085187">
        <w:rPr>
          <w:sz w:val="22"/>
          <w:szCs w:val="22"/>
        </w:rPr>
        <w:t>•</w:t>
      </w:r>
      <w:r w:rsidRPr="00085187">
        <w:rPr>
          <w:sz w:val="22"/>
          <w:szCs w:val="22"/>
        </w:rPr>
        <w:tab/>
        <w:t>Работа по цялостната оценка на безопасността на пътната мрежа и пилотния проект за „Зона 30“ на Р. България, която е част от ключовите показатели за ефективност, включващи индикаторите, които предоставят информация за факторите, които са свързани с рисковете от катастрофи и наранявания.</w:t>
      </w:r>
    </w:p>
    <w:p w14:paraId="220B34FC" w14:textId="616C5A85" w:rsidR="00A2637E" w:rsidRPr="00A2637E" w:rsidRDefault="00A2637E" w:rsidP="00007497">
      <w:pPr>
        <w:shd w:val="clear" w:color="auto" w:fill="FFFFFF" w:themeFill="background1"/>
        <w:tabs>
          <w:tab w:val="left" w:pos="567"/>
        </w:tabs>
        <w:ind w:firstLine="425"/>
        <w:jc w:val="both"/>
        <w:rPr>
          <w:b/>
          <w:sz w:val="22"/>
          <w:szCs w:val="22"/>
        </w:rPr>
      </w:pPr>
      <w:r w:rsidRPr="00A2637E">
        <w:rPr>
          <w:b/>
          <w:sz w:val="22"/>
          <w:szCs w:val="22"/>
        </w:rPr>
        <w:t>Цялостна координация на изпълнението на Националната стратегия за безопасност на движението по пътищата в Република България 2021</w:t>
      </w:r>
      <w:r>
        <w:rPr>
          <w:b/>
          <w:sz w:val="22"/>
          <w:szCs w:val="22"/>
        </w:rPr>
        <w:t xml:space="preserve"> – </w:t>
      </w:r>
      <w:r w:rsidRPr="00A2637E">
        <w:rPr>
          <w:b/>
          <w:sz w:val="22"/>
          <w:szCs w:val="22"/>
        </w:rPr>
        <w:t>2030 г. (Стратегията)</w:t>
      </w:r>
    </w:p>
    <w:p w14:paraId="362D3047" w14:textId="4AC962E0" w:rsidR="00167913" w:rsidRPr="00C27629" w:rsidRDefault="00C27629" w:rsidP="00007497">
      <w:pPr>
        <w:shd w:val="clear" w:color="auto" w:fill="FFFFFF" w:themeFill="background1"/>
        <w:tabs>
          <w:tab w:val="left" w:pos="851"/>
        </w:tabs>
        <w:ind w:firstLine="425"/>
        <w:jc w:val="both"/>
        <w:rPr>
          <w:b/>
          <w:sz w:val="22"/>
          <w:szCs w:val="22"/>
        </w:rPr>
      </w:pPr>
      <w:r>
        <w:rPr>
          <w:b/>
          <w:sz w:val="22"/>
          <w:szCs w:val="22"/>
        </w:rPr>
        <w:t>На национално ниво:</w:t>
      </w:r>
    </w:p>
    <w:p w14:paraId="07423D38" w14:textId="77777777" w:rsidR="00C27629" w:rsidRPr="00C27629" w:rsidRDefault="00C27629" w:rsidP="00007497">
      <w:pPr>
        <w:shd w:val="clear" w:color="auto" w:fill="FFFFFF" w:themeFill="background1"/>
        <w:tabs>
          <w:tab w:val="left" w:pos="567"/>
        </w:tabs>
        <w:ind w:firstLine="426"/>
        <w:jc w:val="both"/>
        <w:rPr>
          <w:sz w:val="22"/>
          <w:szCs w:val="22"/>
        </w:rPr>
      </w:pPr>
      <w:r w:rsidRPr="00C27629">
        <w:rPr>
          <w:sz w:val="22"/>
          <w:szCs w:val="22"/>
        </w:rPr>
        <w:t>•</w:t>
      </w:r>
      <w:r w:rsidRPr="00C27629">
        <w:rPr>
          <w:sz w:val="22"/>
          <w:szCs w:val="22"/>
        </w:rPr>
        <w:tab/>
        <w:t xml:space="preserve">Подготвена и одобрена от Министерския съвет беше </w:t>
      </w:r>
      <w:r w:rsidRPr="00C27629">
        <w:rPr>
          <w:b/>
          <w:sz w:val="22"/>
          <w:szCs w:val="22"/>
        </w:rPr>
        <w:t>Работна програма</w:t>
      </w:r>
      <w:r w:rsidRPr="00C27629">
        <w:rPr>
          <w:sz w:val="22"/>
          <w:szCs w:val="22"/>
        </w:rPr>
        <w:t xml:space="preserve"> с 43 мерки за БДП, които да се изпълнят на национално ниво с конкретни ангажименти, срокове и отговорни ведомства по всяка от тях. Изпълнението на мерките е разпределено между 13 държавни структури, сред които 8 министерства и 5 агенции. Подпомагаща роля имат общинските и областните администрации. ДАБДП отговаря за цялостната координацията, мониторинга и оценката на изпълнението на мерките, включени в работната програма. До момента ДАБДП е обобщила първата отчетна информация за текущото изпълнение на програмата на база на приноса на отделните отговорни администрации и след проведена координационна среща при ресорен вицепремиер. </w:t>
      </w:r>
    </w:p>
    <w:p w14:paraId="133337D5" w14:textId="77777777" w:rsidR="00C27629" w:rsidRPr="00C27629" w:rsidRDefault="00C27629" w:rsidP="00007497">
      <w:pPr>
        <w:shd w:val="clear" w:color="auto" w:fill="FFFFFF" w:themeFill="background1"/>
        <w:tabs>
          <w:tab w:val="left" w:pos="567"/>
        </w:tabs>
        <w:ind w:firstLine="426"/>
        <w:jc w:val="both"/>
        <w:rPr>
          <w:sz w:val="22"/>
          <w:szCs w:val="22"/>
        </w:rPr>
      </w:pPr>
      <w:r w:rsidRPr="00C27629">
        <w:rPr>
          <w:sz w:val="22"/>
          <w:szCs w:val="22"/>
        </w:rPr>
        <w:t>•</w:t>
      </w:r>
      <w:r w:rsidRPr="00C27629">
        <w:rPr>
          <w:sz w:val="22"/>
          <w:szCs w:val="22"/>
        </w:rPr>
        <w:tab/>
        <w:t xml:space="preserve">Изготвен беше </w:t>
      </w:r>
      <w:r w:rsidRPr="000108FB">
        <w:rPr>
          <w:b/>
          <w:sz w:val="22"/>
          <w:szCs w:val="22"/>
        </w:rPr>
        <w:t>Годишният доклад за 2024 г</w:t>
      </w:r>
      <w:r w:rsidRPr="00C27629">
        <w:rPr>
          <w:sz w:val="22"/>
          <w:szCs w:val="22"/>
        </w:rPr>
        <w:t>. за състоянието на безопасността на движението по пътищата и изпълнението на Националната стратегия за безопасност на движението по пътищата в Република България, включващ преглед и анализ на ПТП и свързания с тях травматизъм, преглед и анализ на пътнотранспортната обстановка и отчет за изпълнение на Плана за действие за 2024 г. Докладът беше изготвен на база информация, предоставена от съответните компетентни ведомства.</w:t>
      </w:r>
    </w:p>
    <w:p w14:paraId="2EF1997B" w14:textId="77777777" w:rsidR="00C27629" w:rsidRPr="00C27629" w:rsidRDefault="00C27629" w:rsidP="00007497">
      <w:pPr>
        <w:shd w:val="clear" w:color="auto" w:fill="FFFFFF" w:themeFill="background1"/>
        <w:tabs>
          <w:tab w:val="left" w:pos="567"/>
        </w:tabs>
        <w:ind w:firstLine="426"/>
        <w:jc w:val="both"/>
        <w:rPr>
          <w:sz w:val="22"/>
          <w:szCs w:val="22"/>
        </w:rPr>
      </w:pPr>
      <w:r w:rsidRPr="00C27629">
        <w:rPr>
          <w:sz w:val="22"/>
          <w:szCs w:val="22"/>
        </w:rPr>
        <w:t>•</w:t>
      </w:r>
      <w:r w:rsidRPr="00C27629">
        <w:rPr>
          <w:sz w:val="22"/>
          <w:szCs w:val="22"/>
        </w:rPr>
        <w:tab/>
        <w:t xml:space="preserve">Беше приет нов </w:t>
      </w:r>
      <w:r w:rsidRPr="000108FB">
        <w:rPr>
          <w:b/>
          <w:sz w:val="22"/>
          <w:szCs w:val="22"/>
        </w:rPr>
        <w:t>Правилник за състава, финансирането, функциите, задачите и реда за осъществяване на дейността</w:t>
      </w:r>
      <w:r w:rsidRPr="00C27629">
        <w:rPr>
          <w:sz w:val="22"/>
          <w:szCs w:val="22"/>
        </w:rPr>
        <w:t xml:space="preserve"> на Държавно-обществената консултативна комисия по проблемите на безопасността на движението по пътищата по инициатива на ДАБДП. Целта е подобряване на цялостната дейност на Комисията и повишаване на ефективността ѝ в съответствие с изискванията на националното законодателство в областта на безопасността на движението по пътищата, стратегическата рамка (Национална стратегия за безопасност на движението по пътищата в Република България 2021-2030) и приоритетите на правителствената програма в тази сфера. В анализите на ДАБДП, изготвяни в периода 2019–2024 г., са установени няколко съществени слабости в действащите правила за функциониране на Комисията. Сред тях се открояват: неяснота в правомощията, което води до погрешни очаквания и ниска ангажираност на членовете; неефективна структура и състав, включващ несъответстващи институции и липса на резервни членове; неясни процедури за организацията и провеждането на заседанията, вземането на решения и комуникацията, което намалява ефективността на работата; липса на етични разпоредби, чието въвеждане би допринесло за по-дисциплинирана и продуктивна работна среда. Тези слабости затрудняват дейността на Комисията и налагат необходимостта от подобрения в нейните правила и механизми на работа. За преодоляване на установените недостатъци е приет нов правилник, който да осигури по-ясна регламентация, по-добра координация  и повече ефективност в работата на Комисията.</w:t>
      </w:r>
    </w:p>
    <w:p w14:paraId="0599D8E2" w14:textId="2A8F6E89" w:rsidR="00C27629" w:rsidRPr="00C27629" w:rsidRDefault="00C27629" w:rsidP="00007497">
      <w:pPr>
        <w:shd w:val="clear" w:color="auto" w:fill="FFFFFF" w:themeFill="background1"/>
        <w:tabs>
          <w:tab w:val="left" w:pos="567"/>
        </w:tabs>
        <w:ind w:firstLine="426"/>
        <w:jc w:val="both"/>
        <w:rPr>
          <w:sz w:val="22"/>
          <w:szCs w:val="22"/>
        </w:rPr>
      </w:pPr>
      <w:r w:rsidRPr="00C27629">
        <w:rPr>
          <w:sz w:val="22"/>
          <w:szCs w:val="22"/>
        </w:rPr>
        <w:t>•</w:t>
      </w:r>
      <w:r w:rsidRPr="00C27629">
        <w:rPr>
          <w:sz w:val="22"/>
          <w:szCs w:val="22"/>
        </w:rPr>
        <w:tab/>
        <w:t xml:space="preserve">Осъществена беше </w:t>
      </w:r>
      <w:r w:rsidRPr="00C83E20">
        <w:rPr>
          <w:b/>
          <w:sz w:val="22"/>
          <w:szCs w:val="22"/>
        </w:rPr>
        <w:t>координация на междуведомствените усилия на секторните ведомства</w:t>
      </w:r>
      <w:r w:rsidRPr="00C27629">
        <w:rPr>
          <w:sz w:val="22"/>
          <w:szCs w:val="22"/>
        </w:rPr>
        <w:t xml:space="preserve"> при процедиране на въпроси, свързани с дейността на работни групи за подготовка на важни за БДП нормативни промени, които да оптимизират обще</w:t>
      </w:r>
      <w:r w:rsidR="00C83E20">
        <w:rPr>
          <w:sz w:val="22"/>
          <w:szCs w:val="22"/>
        </w:rPr>
        <w:t>ствените отношения в областта.</w:t>
      </w:r>
    </w:p>
    <w:p w14:paraId="7A21F75E" w14:textId="77777777" w:rsidR="00C27629" w:rsidRPr="00C27629" w:rsidRDefault="00C27629" w:rsidP="00007497">
      <w:pPr>
        <w:shd w:val="clear" w:color="auto" w:fill="FFFFFF" w:themeFill="background1"/>
        <w:tabs>
          <w:tab w:val="left" w:pos="567"/>
        </w:tabs>
        <w:ind w:firstLine="426"/>
        <w:jc w:val="both"/>
        <w:rPr>
          <w:sz w:val="22"/>
          <w:szCs w:val="22"/>
        </w:rPr>
      </w:pPr>
      <w:r w:rsidRPr="00C27629">
        <w:rPr>
          <w:sz w:val="22"/>
          <w:szCs w:val="22"/>
        </w:rPr>
        <w:t>•</w:t>
      </w:r>
      <w:r w:rsidRPr="00C27629">
        <w:rPr>
          <w:sz w:val="22"/>
          <w:szCs w:val="22"/>
        </w:rPr>
        <w:tab/>
        <w:t xml:space="preserve">В рамките на дейността на Междуведомствена работна група за координиране разработването и актуализирането на национален списък с показатели за наблюдение и отчитане по постигане </w:t>
      </w:r>
      <w:r w:rsidRPr="00C27629">
        <w:rPr>
          <w:sz w:val="22"/>
          <w:szCs w:val="22"/>
        </w:rPr>
        <w:lastRenderedPageBreak/>
        <w:t xml:space="preserve">напредъка по </w:t>
      </w:r>
      <w:r w:rsidRPr="00F505BE">
        <w:rPr>
          <w:b/>
          <w:sz w:val="22"/>
          <w:szCs w:val="22"/>
        </w:rPr>
        <w:t>Целите на Организацията на обединените нации за устойчиво развитие</w:t>
      </w:r>
      <w:r w:rsidRPr="00C27629">
        <w:rPr>
          <w:sz w:val="22"/>
          <w:szCs w:val="22"/>
        </w:rPr>
        <w:t xml:space="preserve"> ДАБДП препотвърди предложението си за разширяване на списъка с показател за „тежко ранени при ПТП“. </w:t>
      </w:r>
    </w:p>
    <w:p w14:paraId="041BC3DE" w14:textId="77777777" w:rsidR="00C27629" w:rsidRPr="00C27629" w:rsidRDefault="00C27629" w:rsidP="00007497">
      <w:pPr>
        <w:shd w:val="clear" w:color="auto" w:fill="FFFFFF" w:themeFill="background1"/>
        <w:tabs>
          <w:tab w:val="left" w:pos="567"/>
        </w:tabs>
        <w:ind w:firstLine="426"/>
        <w:jc w:val="both"/>
        <w:rPr>
          <w:sz w:val="22"/>
          <w:szCs w:val="22"/>
        </w:rPr>
      </w:pPr>
      <w:r w:rsidRPr="00C27629">
        <w:rPr>
          <w:sz w:val="22"/>
          <w:szCs w:val="22"/>
        </w:rPr>
        <w:t>•</w:t>
      </w:r>
      <w:r w:rsidRPr="00C27629">
        <w:rPr>
          <w:sz w:val="22"/>
          <w:szCs w:val="22"/>
        </w:rPr>
        <w:tab/>
        <w:t xml:space="preserve">ДАБДП взе участие чрез становища в дейността на </w:t>
      </w:r>
      <w:r w:rsidRPr="00F505BE">
        <w:rPr>
          <w:b/>
          <w:sz w:val="22"/>
          <w:szCs w:val="22"/>
        </w:rPr>
        <w:t>комитетите за наблюдение</w:t>
      </w:r>
      <w:r w:rsidRPr="00C27629">
        <w:rPr>
          <w:sz w:val="22"/>
          <w:szCs w:val="22"/>
        </w:rPr>
        <w:t xml:space="preserve"> на програми Околна среда, Транспортна свързаност и Развитие на регионите за осигуряване аспекта на БДП като хоризонтална политика и координация със заинтересовани администрации. Бяха подготвени становища с предложения, свързани с пътната безопасност и приложното поле на програмите. </w:t>
      </w:r>
    </w:p>
    <w:p w14:paraId="3835D2B9" w14:textId="77777777" w:rsidR="00C27629" w:rsidRPr="00C27629" w:rsidRDefault="00C27629" w:rsidP="00007497">
      <w:pPr>
        <w:shd w:val="clear" w:color="auto" w:fill="FFFFFF" w:themeFill="background1"/>
        <w:tabs>
          <w:tab w:val="left" w:pos="567"/>
        </w:tabs>
        <w:ind w:firstLine="426"/>
        <w:jc w:val="both"/>
        <w:rPr>
          <w:sz w:val="22"/>
          <w:szCs w:val="22"/>
        </w:rPr>
      </w:pPr>
      <w:r w:rsidRPr="00C27629">
        <w:rPr>
          <w:sz w:val="22"/>
          <w:szCs w:val="22"/>
        </w:rPr>
        <w:t>•</w:t>
      </w:r>
      <w:r w:rsidRPr="00C27629">
        <w:rPr>
          <w:sz w:val="22"/>
          <w:szCs w:val="22"/>
        </w:rPr>
        <w:tab/>
      </w:r>
      <w:r w:rsidRPr="00F505BE">
        <w:rPr>
          <w:b/>
          <w:sz w:val="22"/>
          <w:szCs w:val="22"/>
        </w:rPr>
        <w:t>Участие в работата на комисии към Европейската комисия</w:t>
      </w:r>
      <w:r w:rsidRPr="00C27629">
        <w:rPr>
          <w:sz w:val="22"/>
          <w:szCs w:val="22"/>
        </w:rPr>
        <w:t>: експертна група за пътна безопасност; експертна група за цялостна оценка; експертна група за пътна маркировка; експертна група – 30 км/ч.</w:t>
      </w:r>
    </w:p>
    <w:p w14:paraId="03E1CA18" w14:textId="77777777" w:rsidR="00C27629" w:rsidRPr="00C27629" w:rsidRDefault="00C27629" w:rsidP="00007497">
      <w:pPr>
        <w:shd w:val="clear" w:color="auto" w:fill="FFFFFF" w:themeFill="background1"/>
        <w:tabs>
          <w:tab w:val="left" w:pos="567"/>
        </w:tabs>
        <w:ind w:firstLine="426"/>
        <w:jc w:val="both"/>
        <w:rPr>
          <w:sz w:val="22"/>
          <w:szCs w:val="22"/>
        </w:rPr>
      </w:pPr>
      <w:r w:rsidRPr="00C27629">
        <w:rPr>
          <w:sz w:val="22"/>
          <w:szCs w:val="22"/>
        </w:rPr>
        <w:t>•</w:t>
      </w:r>
      <w:r w:rsidRPr="00C27629">
        <w:rPr>
          <w:sz w:val="22"/>
          <w:szCs w:val="22"/>
        </w:rPr>
        <w:tab/>
        <w:t xml:space="preserve">ДАБДП продължи </w:t>
      </w:r>
      <w:r w:rsidRPr="007774DC">
        <w:rPr>
          <w:b/>
          <w:sz w:val="22"/>
          <w:szCs w:val="22"/>
        </w:rPr>
        <w:t>измерването на ключови показатели за БДП</w:t>
      </w:r>
      <w:r w:rsidRPr="00C27629">
        <w:rPr>
          <w:sz w:val="22"/>
          <w:szCs w:val="22"/>
        </w:rPr>
        <w:t xml:space="preserve"> чрез участието в научноизследователския проект „ТРЕНДЛАЙН” за предоставяне на техническа помощ на Европейската комисия. Проектът е с широк европейски мащаб и позволява на Агенцията да участва както в разработването, апробирането и установяването на научни методи за измерване и изчисление на ключови показатели за ефективност на политиката по БДП, които предстои да се прилагат в цяла Европа, така и в изчисляването на значението на тези показатели за територията на цяла България, с което да разполага с научно значими показатели, въз основа на които да планира със значително по-голяма ефективност мерки и методи за подобряване на БДП в България. </w:t>
      </w:r>
    </w:p>
    <w:p w14:paraId="0812A7C1" w14:textId="77777777" w:rsidR="00C27629" w:rsidRPr="00C27629" w:rsidRDefault="00C27629" w:rsidP="00007497">
      <w:pPr>
        <w:shd w:val="clear" w:color="auto" w:fill="FFFFFF" w:themeFill="background1"/>
        <w:tabs>
          <w:tab w:val="left" w:pos="567"/>
        </w:tabs>
        <w:ind w:firstLine="426"/>
        <w:jc w:val="both"/>
        <w:rPr>
          <w:sz w:val="22"/>
          <w:szCs w:val="22"/>
        </w:rPr>
      </w:pPr>
      <w:r w:rsidRPr="00C27629">
        <w:rPr>
          <w:sz w:val="22"/>
          <w:szCs w:val="22"/>
        </w:rPr>
        <w:t>•</w:t>
      </w:r>
      <w:r w:rsidRPr="00C27629">
        <w:rPr>
          <w:sz w:val="22"/>
          <w:szCs w:val="22"/>
        </w:rPr>
        <w:tab/>
        <w:t xml:space="preserve">В рамките на одобрения с Регламент (ЕС) 2021/240 на Европейския парламент и на Съвета инструмент за техническа помощ за държави членки като приемник на Програмата за подкрепа на структурните реформи ДАБДП стартираха подготвителните дейности по </w:t>
      </w:r>
      <w:r w:rsidRPr="007774DC">
        <w:rPr>
          <w:b/>
          <w:sz w:val="22"/>
          <w:szCs w:val="22"/>
        </w:rPr>
        <w:t>искане за подкрепа на мерки, включени в плановите документи по БДП</w:t>
      </w:r>
      <w:r w:rsidRPr="00C27629">
        <w:rPr>
          <w:sz w:val="22"/>
          <w:szCs w:val="22"/>
        </w:rPr>
        <w:t xml:space="preserve">, които изискват извършването на проучвателни и аналитични дейности с цел тяхното оптимално прилагане в национален контекст. </w:t>
      </w:r>
    </w:p>
    <w:p w14:paraId="4EBA50F5" w14:textId="77777777" w:rsidR="00C27629" w:rsidRPr="00C27629" w:rsidRDefault="00C27629" w:rsidP="00007497">
      <w:pPr>
        <w:shd w:val="clear" w:color="auto" w:fill="FFFFFF" w:themeFill="background1"/>
        <w:tabs>
          <w:tab w:val="left" w:pos="567"/>
        </w:tabs>
        <w:ind w:firstLine="426"/>
        <w:jc w:val="both"/>
        <w:rPr>
          <w:sz w:val="22"/>
          <w:szCs w:val="22"/>
        </w:rPr>
      </w:pPr>
      <w:r w:rsidRPr="00C27629">
        <w:rPr>
          <w:sz w:val="22"/>
          <w:szCs w:val="22"/>
        </w:rPr>
        <w:t>•</w:t>
      </w:r>
      <w:r w:rsidRPr="00C27629">
        <w:rPr>
          <w:sz w:val="22"/>
          <w:szCs w:val="22"/>
        </w:rPr>
        <w:tab/>
        <w:t xml:space="preserve">В рамките на </w:t>
      </w:r>
      <w:r w:rsidRPr="007774DC">
        <w:rPr>
          <w:b/>
          <w:sz w:val="22"/>
          <w:szCs w:val="22"/>
        </w:rPr>
        <w:t>проект „TRUST – културата на безопасност на движението – систематичен преход към споделена отговорност за безопасна и устойчива мобилност в ЕС“</w:t>
      </w:r>
      <w:r w:rsidRPr="00C27629">
        <w:rPr>
          <w:sz w:val="22"/>
          <w:szCs w:val="22"/>
        </w:rPr>
        <w:t xml:space="preserve"> по програма „Хоризонт“ и чрез сформиран международен консорциум с участието на 13 партньорски организации се състоя първа среща, на която партньорите уточниха разпределението на отговорностите си. Предвижда се ангажименти от страна на ДАБДП, МОН и извадка от общини в сферата на културата по БДП в системата на образованието и сред администрациите на местната власт. Инициативата е поредната важна стъпка в научноизследователската работа, посветена на проявленията на човешкото поведение като един от системните фактори, определящи нивото на безопасността на движението по пътищата. </w:t>
      </w:r>
    </w:p>
    <w:p w14:paraId="5CC0A988" w14:textId="77777777" w:rsidR="00C27629" w:rsidRPr="00C27629" w:rsidRDefault="00C27629" w:rsidP="00007497">
      <w:pPr>
        <w:shd w:val="clear" w:color="auto" w:fill="FFFFFF" w:themeFill="background1"/>
        <w:tabs>
          <w:tab w:val="left" w:pos="567"/>
        </w:tabs>
        <w:ind w:firstLine="426"/>
        <w:jc w:val="both"/>
        <w:rPr>
          <w:sz w:val="22"/>
          <w:szCs w:val="22"/>
        </w:rPr>
      </w:pPr>
      <w:r w:rsidRPr="00C27629">
        <w:rPr>
          <w:sz w:val="22"/>
          <w:szCs w:val="22"/>
        </w:rPr>
        <w:t>•</w:t>
      </w:r>
      <w:r w:rsidRPr="00C27629">
        <w:rPr>
          <w:sz w:val="22"/>
          <w:szCs w:val="22"/>
        </w:rPr>
        <w:tab/>
        <w:t xml:space="preserve">През 2024 г. ДАБДП в сътрудничество с АПИ текущо отчиташе </w:t>
      </w:r>
      <w:r w:rsidRPr="00EA7E53">
        <w:rPr>
          <w:b/>
          <w:sz w:val="22"/>
          <w:szCs w:val="22"/>
        </w:rPr>
        <w:t>реформата и инвестицията по пътна безопасност чрез Плана за възстановяване и устойчивост</w:t>
      </w:r>
      <w:r w:rsidRPr="00C27629">
        <w:rPr>
          <w:sz w:val="22"/>
          <w:szCs w:val="22"/>
        </w:rPr>
        <w:t xml:space="preserve">, в рамките на която се предвижда: разработване на софтуерни приложения за управление и приоритизация на дейностите по републиканската и общинската пътна мрежа; създаване на национална електронна система за подаване и обработване на сигнали; набавяне на оборудване за текущ ремонт и поддържане на републиканските пътища; осигуряване на специализирано оборудване за оценка на състоянието на пътната безопасност при обследването ѝ. Поддържаше се оперативна комуникация със службите на Европейската комисия. </w:t>
      </w:r>
    </w:p>
    <w:p w14:paraId="6634C123" w14:textId="77777777" w:rsidR="00C27629" w:rsidRPr="00C27629" w:rsidRDefault="00C27629" w:rsidP="00007497">
      <w:pPr>
        <w:shd w:val="clear" w:color="auto" w:fill="FFFFFF" w:themeFill="background1"/>
        <w:tabs>
          <w:tab w:val="left" w:pos="567"/>
        </w:tabs>
        <w:ind w:firstLine="426"/>
        <w:jc w:val="both"/>
        <w:rPr>
          <w:sz w:val="22"/>
          <w:szCs w:val="22"/>
        </w:rPr>
      </w:pPr>
      <w:r w:rsidRPr="00C27629">
        <w:rPr>
          <w:sz w:val="22"/>
          <w:szCs w:val="22"/>
        </w:rPr>
        <w:t>•</w:t>
      </w:r>
      <w:r w:rsidRPr="00C27629">
        <w:rPr>
          <w:sz w:val="22"/>
          <w:szCs w:val="22"/>
        </w:rPr>
        <w:tab/>
      </w:r>
      <w:r w:rsidRPr="00EA7E53">
        <w:rPr>
          <w:b/>
          <w:sz w:val="22"/>
          <w:szCs w:val="22"/>
        </w:rPr>
        <w:t>Националните агенция за БДП</w:t>
      </w:r>
      <w:r w:rsidRPr="00C27629">
        <w:rPr>
          <w:sz w:val="22"/>
          <w:szCs w:val="22"/>
        </w:rPr>
        <w:t xml:space="preserve"> бяха във фокуса на среща на световно ниво в Мароко. Проведе се среща на мрежата от национални агенции за безопасност на движението по пътищата, организирана от Световната здравна организация. Мрежата подкрепя страните в намаляване на загиналите и тежко ранените при пътнотранспортни произшествия в съответствие с глобалната цел за намаляването им наполовина до 2030 г. Тя подпомага правителствата при установяването на политики, системи за координация и комплекс от действия, необходими за осигуряване на безопасна мобилност, насърчавайки сътрудничеството, обучението, техническата и финансова подкрепа. ДАБДП представи основни акценти, свързани със: състояние на напредъка и предизвикателства към целите на ООН за пътна безопасност; роля на водещите агенции в координирането на усилията за БДП; обхват, цел и дейности на глобалната мрежа; използване на иновативни технологии за повишаване на БДП.</w:t>
      </w:r>
    </w:p>
    <w:p w14:paraId="10E249CA" w14:textId="77777777" w:rsidR="00C27629" w:rsidRPr="00C27629" w:rsidRDefault="00C27629" w:rsidP="00007497">
      <w:pPr>
        <w:shd w:val="clear" w:color="auto" w:fill="FFFFFF" w:themeFill="background1"/>
        <w:tabs>
          <w:tab w:val="left" w:pos="567"/>
        </w:tabs>
        <w:ind w:firstLine="426"/>
        <w:jc w:val="both"/>
        <w:rPr>
          <w:sz w:val="22"/>
          <w:szCs w:val="22"/>
        </w:rPr>
      </w:pPr>
      <w:r w:rsidRPr="00C27629">
        <w:rPr>
          <w:sz w:val="22"/>
          <w:szCs w:val="22"/>
        </w:rPr>
        <w:t>•</w:t>
      </w:r>
      <w:r w:rsidRPr="00C27629">
        <w:rPr>
          <w:sz w:val="22"/>
          <w:szCs w:val="22"/>
        </w:rPr>
        <w:tab/>
        <w:t xml:space="preserve">ДАБДП домакинства </w:t>
      </w:r>
      <w:r w:rsidRPr="00EA7E53">
        <w:rPr>
          <w:b/>
          <w:sz w:val="22"/>
          <w:szCs w:val="22"/>
        </w:rPr>
        <w:t>семинар на Европейския съвет за транспортна безопасност</w:t>
      </w:r>
      <w:r w:rsidRPr="00C27629">
        <w:rPr>
          <w:sz w:val="22"/>
          <w:szCs w:val="22"/>
        </w:rPr>
        <w:t xml:space="preserve"> за обмен на опит с Испания и Финландия за обучение на водачи и обследване на ПТП. На събитието беше представен опитът на Испания в обучението на кандидатите за водачи, както финландският опит в </w:t>
      </w:r>
      <w:r w:rsidRPr="00C27629">
        <w:rPr>
          <w:sz w:val="22"/>
          <w:szCs w:val="22"/>
        </w:rPr>
        <w:lastRenderedPageBreak/>
        <w:t>разследването на пътнотранспортни произшествия и събиране и обобщаване на данни за ПТП. В срещата взеха участие и представители на Министерство на вътрешните работи, които споделиха опита и практиките в България при регистрирането, отчитането и анализа на пътнотранспортни произшествия в Република България. Представителите на Изпълнителна агенция „Автомобилна администрация“ споделиха детайли, свързани с обучението на кандидатите за водачи на МПС в страната и провеждане на изпитите за придобиване на правоспособност за управление на МПС от различните категории.</w:t>
      </w:r>
    </w:p>
    <w:p w14:paraId="60CCA6AD" w14:textId="54357757" w:rsidR="00167913" w:rsidRDefault="00C27629" w:rsidP="00007497">
      <w:pPr>
        <w:shd w:val="clear" w:color="auto" w:fill="FFFFFF" w:themeFill="background1"/>
        <w:tabs>
          <w:tab w:val="left" w:pos="567"/>
        </w:tabs>
        <w:ind w:firstLine="426"/>
        <w:jc w:val="both"/>
        <w:rPr>
          <w:sz w:val="22"/>
          <w:szCs w:val="22"/>
        </w:rPr>
      </w:pPr>
      <w:r w:rsidRPr="00C27629">
        <w:rPr>
          <w:sz w:val="22"/>
          <w:szCs w:val="22"/>
        </w:rPr>
        <w:t>•</w:t>
      </w:r>
      <w:r w:rsidRPr="00C27629">
        <w:rPr>
          <w:sz w:val="22"/>
          <w:szCs w:val="22"/>
        </w:rPr>
        <w:tab/>
        <w:t xml:space="preserve">ДАБДП подготви и разпространи сред администрациите </w:t>
      </w:r>
      <w:r w:rsidRPr="00EA7E53">
        <w:rPr>
          <w:b/>
          <w:sz w:val="22"/>
          <w:szCs w:val="22"/>
        </w:rPr>
        <w:t>наръчник за работодателите</w:t>
      </w:r>
      <w:r w:rsidRPr="00C27629">
        <w:rPr>
          <w:sz w:val="22"/>
          <w:szCs w:val="22"/>
        </w:rPr>
        <w:t xml:space="preserve"> на тема БДП като форма на социална отговорност. Наръчникът предлага на работодателите и специалистите по безопасност на труда насоки в подкрепа на човешките живот и здраве при взаимодействие с пътнотранспортната система. Материалът предоставя полезна информация относно въпроси, свързани с: безопасността на движението по пътищата като глобален здравен проблем със специфични местни проявления; рисковете на пътя за участниците в движението; инструментите за опазване на хората, когато са на път - как можем да развием социалната отговорност в организациите, за да постигнем растеж и устойчивост.</w:t>
      </w:r>
    </w:p>
    <w:p w14:paraId="7023CA90" w14:textId="596D2C60" w:rsidR="00167913" w:rsidRPr="00D31AD2" w:rsidRDefault="00D31AD2" w:rsidP="00007497">
      <w:pPr>
        <w:shd w:val="clear" w:color="auto" w:fill="FFFFFF" w:themeFill="background1"/>
        <w:tabs>
          <w:tab w:val="left" w:pos="851"/>
        </w:tabs>
        <w:spacing w:before="120"/>
        <w:ind w:firstLine="425"/>
        <w:jc w:val="both"/>
        <w:rPr>
          <w:b/>
          <w:sz w:val="22"/>
          <w:szCs w:val="22"/>
        </w:rPr>
      </w:pPr>
      <w:r w:rsidRPr="00D31AD2">
        <w:rPr>
          <w:b/>
          <w:sz w:val="22"/>
          <w:szCs w:val="22"/>
        </w:rPr>
        <w:t>На териториално ниво:</w:t>
      </w:r>
    </w:p>
    <w:p w14:paraId="43939FD4" w14:textId="77777777" w:rsidR="00B50028" w:rsidRPr="00B50028" w:rsidRDefault="00B50028" w:rsidP="00007497">
      <w:pPr>
        <w:shd w:val="clear" w:color="auto" w:fill="FFFFFF" w:themeFill="background1"/>
        <w:tabs>
          <w:tab w:val="left" w:pos="567"/>
        </w:tabs>
        <w:ind w:firstLine="426"/>
        <w:jc w:val="both"/>
        <w:rPr>
          <w:sz w:val="22"/>
          <w:szCs w:val="22"/>
        </w:rPr>
      </w:pPr>
      <w:r w:rsidRPr="00B50028">
        <w:rPr>
          <w:sz w:val="22"/>
          <w:szCs w:val="22"/>
        </w:rPr>
        <w:t>•</w:t>
      </w:r>
      <w:r w:rsidRPr="00B50028">
        <w:rPr>
          <w:sz w:val="22"/>
          <w:szCs w:val="22"/>
        </w:rPr>
        <w:tab/>
        <w:t xml:space="preserve">ДАБДП взе участие в </w:t>
      </w:r>
      <w:r w:rsidRPr="00B50028">
        <w:rPr>
          <w:b/>
          <w:sz w:val="22"/>
          <w:szCs w:val="22"/>
        </w:rPr>
        <w:t>заседанията на ОКБДП</w:t>
      </w:r>
      <w:r w:rsidRPr="00B50028">
        <w:rPr>
          <w:sz w:val="22"/>
          <w:szCs w:val="22"/>
        </w:rPr>
        <w:t xml:space="preserve">, на които се обсъждаха оперативни въпроси, свързани с управление на дейностите по БДП на областно и общинско ниво. </w:t>
      </w:r>
    </w:p>
    <w:p w14:paraId="116750C6" w14:textId="77777777" w:rsidR="00B50028" w:rsidRPr="00B50028" w:rsidRDefault="00B50028" w:rsidP="00007497">
      <w:pPr>
        <w:shd w:val="clear" w:color="auto" w:fill="FFFFFF" w:themeFill="background1"/>
        <w:tabs>
          <w:tab w:val="left" w:pos="567"/>
        </w:tabs>
        <w:ind w:firstLine="426"/>
        <w:jc w:val="both"/>
        <w:rPr>
          <w:sz w:val="22"/>
          <w:szCs w:val="22"/>
        </w:rPr>
      </w:pPr>
      <w:r w:rsidRPr="00B50028">
        <w:rPr>
          <w:sz w:val="22"/>
          <w:szCs w:val="22"/>
        </w:rPr>
        <w:t>•</w:t>
      </w:r>
      <w:r w:rsidRPr="00B50028">
        <w:rPr>
          <w:sz w:val="22"/>
          <w:szCs w:val="22"/>
        </w:rPr>
        <w:tab/>
        <w:t xml:space="preserve">Беше извършен </w:t>
      </w:r>
      <w:r w:rsidRPr="00B50028">
        <w:rPr>
          <w:b/>
          <w:sz w:val="22"/>
          <w:szCs w:val="22"/>
        </w:rPr>
        <w:t>анализ на дейността на областните комисии по БДП</w:t>
      </w:r>
      <w:r w:rsidRPr="00B50028">
        <w:rPr>
          <w:sz w:val="22"/>
          <w:szCs w:val="22"/>
        </w:rPr>
        <w:t xml:space="preserve"> по отношение на: провеждани заседания, съответствие на годишните областни план-програми за 2025 г. и доклад за 2024 г., участие на членовете в заседанията на ОКБДП, поддържане на актуална информация за дейността на ОКБДП и за БДП на официалната интернет страница на областната администрация, осъществено взаимодействие и координация за вземане на отношение по постъпили сигнали, свързани с пътната безопасност, активно взаимодействие с централни ведомства, проведени регионални учения на Единната спасителна система. </w:t>
      </w:r>
    </w:p>
    <w:p w14:paraId="43927DB8" w14:textId="77777777" w:rsidR="00B50028" w:rsidRPr="00B50028" w:rsidRDefault="00B50028" w:rsidP="00007497">
      <w:pPr>
        <w:shd w:val="clear" w:color="auto" w:fill="FFFFFF" w:themeFill="background1"/>
        <w:tabs>
          <w:tab w:val="left" w:pos="567"/>
        </w:tabs>
        <w:ind w:firstLine="426"/>
        <w:jc w:val="both"/>
        <w:rPr>
          <w:b/>
          <w:sz w:val="22"/>
          <w:szCs w:val="22"/>
        </w:rPr>
      </w:pPr>
      <w:r w:rsidRPr="00B50028">
        <w:rPr>
          <w:sz w:val="22"/>
          <w:szCs w:val="22"/>
        </w:rPr>
        <w:t>•</w:t>
      </w:r>
      <w:r w:rsidRPr="00B50028">
        <w:rPr>
          <w:sz w:val="22"/>
          <w:szCs w:val="22"/>
        </w:rPr>
        <w:tab/>
        <w:t xml:space="preserve">С цел обезпечаване изпълнението на политиката по БДП на общинско ниво ДАБДП координира текущо процеса по сформиране на нови/актуализация на съществуващи </w:t>
      </w:r>
      <w:r w:rsidRPr="00B50028">
        <w:rPr>
          <w:b/>
          <w:sz w:val="22"/>
          <w:szCs w:val="22"/>
        </w:rPr>
        <w:t xml:space="preserve">общински комисии по БДП. </w:t>
      </w:r>
    </w:p>
    <w:p w14:paraId="65EDC1C0" w14:textId="7991C084" w:rsidR="00B50028" w:rsidRPr="00B50028" w:rsidRDefault="00B50028" w:rsidP="00007497">
      <w:pPr>
        <w:shd w:val="clear" w:color="auto" w:fill="FFFFFF" w:themeFill="background1"/>
        <w:tabs>
          <w:tab w:val="left" w:pos="567"/>
        </w:tabs>
        <w:ind w:firstLine="426"/>
        <w:jc w:val="both"/>
        <w:rPr>
          <w:sz w:val="22"/>
          <w:szCs w:val="22"/>
        </w:rPr>
      </w:pPr>
      <w:r w:rsidRPr="00B50028">
        <w:rPr>
          <w:sz w:val="22"/>
          <w:szCs w:val="22"/>
        </w:rPr>
        <w:t>•</w:t>
      </w:r>
      <w:r w:rsidRPr="00B50028">
        <w:rPr>
          <w:sz w:val="22"/>
          <w:szCs w:val="22"/>
        </w:rPr>
        <w:tab/>
        <w:t xml:space="preserve">ДАБДП продължи да надгражда </w:t>
      </w:r>
      <w:r w:rsidRPr="00B50028">
        <w:rPr>
          <w:b/>
          <w:sz w:val="22"/>
          <w:szCs w:val="22"/>
        </w:rPr>
        <w:t>процеса за работа с данни за БДП</w:t>
      </w:r>
      <w:r w:rsidRPr="00B50028">
        <w:rPr>
          <w:sz w:val="22"/>
          <w:szCs w:val="22"/>
        </w:rPr>
        <w:t xml:space="preserve"> в общините чрез разработеното електронно ГИС-базирано приложение за автоматизирано документиране на данни за състоянието на общинската пътнотранспортна инфраструктура към 2025 г. Бяха проведени специализирани практически обучения за общинските администрации за работа със съвременните тех</w:t>
      </w:r>
      <w:r>
        <w:rPr>
          <w:sz w:val="22"/>
          <w:szCs w:val="22"/>
        </w:rPr>
        <w:t>нологии за събиране на данни.</w:t>
      </w:r>
    </w:p>
    <w:p w14:paraId="5BD34BC5" w14:textId="6D2ECEA5" w:rsidR="00167913" w:rsidRDefault="00B50028" w:rsidP="00007497">
      <w:pPr>
        <w:shd w:val="clear" w:color="auto" w:fill="FFFFFF" w:themeFill="background1"/>
        <w:tabs>
          <w:tab w:val="left" w:pos="567"/>
        </w:tabs>
        <w:ind w:firstLine="426"/>
        <w:jc w:val="both"/>
        <w:rPr>
          <w:sz w:val="22"/>
          <w:szCs w:val="22"/>
        </w:rPr>
      </w:pPr>
      <w:r w:rsidRPr="00B50028">
        <w:rPr>
          <w:sz w:val="22"/>
          <w:szCs w:val="22"/>
        </w:rPr>
        <w:t>•</w:t>
      </w:r>
      <w:r w:rsidRPr="00B50028">
        <w:rPr>
          <w:sz w:val="22"/>
          <w:szCs w:val="22"/>
        </w:rPr>
        <w:tab/>
        <w:t xml:space="preserve">ДАБДП взе участие в </w:t>
      </w:r>
      <w:r w:rsidRPr="00B50028">
        <w:rPr>
          <w:b/>
          <w:sz w:val="22"/>
          <w:szCs w:val="22"/>
        </w:rPr>
        <w:t>юбилейна Международна конференция „Пътна безопасност в местните общини“</w:t>
      </w:r>
      <w:r w:rsidRPr="00B50028">
        <w:rPr>
          <w:sz w:val="22"/>
          <w:szCs w:val="22"/>
        </w:rPr>
        <w:t>. Събитието подпомага обмена на знания, опит и добри практики между представители на различни организации и експерти в областта на безопасността на движението по пътищата. Конференцията предоставя платформа за обмен на нови научни открития, иновации и добри практики в областта на пътната безопасност. Представители на ДАБДП представиха презентация и пълен доклад на тема: „Подобряване на управлението на пътната безопасност в българските общини чрез ГИС-базирано събиране на данни за състоянието на пътната инфраструктура и анализ на риска“. Така беше популяризирано разработеното и географски реферирано приложение за оценка на състоянието на отделни елементи по пътната инфраструктура на общинската и уличната мрежа в Република България, както и моделът за оценка на риска на база състоянието на елементите, историческите данни за настъпили пътнотранспортни произшествия и интензивността на движението за приоритизация и избор на мерки за въздействие за подобряване на пътната безопасност.</w:t>
      </w:r>
    </w:p>
    <w:p w14:paraId="0D166B61" w14:textId="77777777" w:rsidR="00F91110" w:rsidRPr="00906885" w:rsidRDefault="00F91110" w:rsidP="00007497">
      <w:pPr>
        <w:shd w:val="clear" w:color="auto" w:fill="FFFFFF" w:themeFill="background1"/>
        <w:spacing w:before="120"/>
        <w:ind w:firstLine="426"/>
        <w:jc w:val="both"/>
        <w:rPr>
          <w:b/>
          <w:sz w:val="22"/>
          <w:szCs w:val="22"/>
        </w:rPr>
      </w:pPr>
      <w:r w:rsidRPr="00906885">
        <w:rPr>
          <w:b/>
          <w:sz w:val="22"/>
          <w:szCs w:val="22"/>
        </w:rPr>
        <w:t>Обработване на сигнали, свързани с БДП, подадени от институции, организации и граждани</w:t>
      </w:r>
    </w:p>
    <w:p w14:paraId="0A2A40AF" w14:textId="6D247BB2" w:rsidR="00167913" w:rsidRDefault="00F91110" w:rsidP="00007497">
      <w:pPr>
        <w:shd w:val="clear" w:color="auto" w:fill="FFFFFF" w:themeFill="background1"/>
        <w:tabs>
          <w:tab w:val="left" w:pos="851"/>
        </w:tabs>
        <w:ind w:firstLine="426"/>
        <w:jc w:val="both"/>
        <w:rPr>
          <w:sz w:val="22"/>
          <w:szCs w:val="22"/>
        </w:rPr>
      </w:pPr>
      <w:r w:rsidRPr="00F91110">
        <w:rPr>
          <w:sz w:val="22"/>
          <w:szCs w:val="22"/>
        </w:rPr>
        <w:t xml:space="preserve">Продължиха дейностите по изготвяне на препоръки към администрациите, изпълняващи задачи за повишаване на безопасността на движението по пътищата. През отчетния период ДАБДП е отработила 85 сигнала, част от които са препратени по административен път до съответните компетентни институции, отговорни за изпълнението им, а по отношение на други е изразила своето </w:t>
      </w:r>
      <w:r w:rsidRPr="00F91110">
        <w:rPr>
          <w:sz w:val="22"/>
          <w:szCs w:val="22"/>
        </w:rPr>
        <w:lastRenderedPageBreak/>
        <w:t>предложение (становище) на база на направен оглед на пътната инфраструктура на място от експерти на Агенцията и изготвен доклад от извършената проверка. По отношение на всички сигнали ДАБДП е информирала жалбоподателите за предприетите действия от нейна страна.</w:t>
      </w:r>
    </w:p>
    <w:p w14:paraId="2AAEBEA3" w14:textId="77777777" w:rsidR="00AE702B" w:rsidRPr="00AE702B" w:rsidRDefault="00AE702B" w:rsidP="00007497">
      <w:pPr>
        <w:shd w:val="clear" w:color="auto" w:fill="FFFFFF" w:themeFill="background1"/>
        <w:spacing w:before="120"/>
        <w:ind w:firstLine="426"/>
        <w:jc w:val="both"/>
        <w:rPr>
          <w:b/>
          <w:sz w:val="22"/>
          <w:szCs w:val="22"/>
        </w:rPr>
      </w:pPr>
      <w:r w:rsidRPr="00AE702B">
        <w:rPr>
          <w:b/>
          <w:sz w:val="22"/>
          <w:szCs w:val="22"/>
        </w:rPr>
        <w:t>Публичност</w:t>
      </w:r>
    </w:p>
    <w:p w14:paraId="0CD4323C" w14:textId="77777777" w:rsidR="00AE702B" w:rsidRPr="00AE702B" w:rsidRDefault="00AE702B" w:rsidP="00007497">
      <w:pPr>
        <w:shd w:val="clear" w:color="auto" w:fill="FFFFFF" w:themeFill="background1"/>
        <w:tabs>
          <w:tab w:val="left" w:pos="851"/>
        </w:tabs>
        <w:ind w:firstLine="426"/>
        <w:jc w:val="both"/>
        <w:rPr>
          <w:sz w:val="22"/>
          <w:szCs w:val="22"/>
        </w:rPr>
      </w:pPr>
      <w:r w:rsidRPr="00AE702B">
        <w:rPr>
          <w:sz w:val="22"/>
          <w:szCs w:val="22"/>
        </w:rPr>
        <w:t xml:space="preserve">През 2025 г. ДАБДП насочва усилията си в посока на опазването живота и здравето на децата на пътя. Мерките за безопасността на децата на пътя са от решаващо значение за гарантиране на безопасността на бъдещото поколение. Дисциплината на пътя, която децата придобиват като навик, гарантира тяхното израстване като граждани, спазващи закона и правилата на пътя. Всяко дете трябва да расте с познания за БДП, защото това е тема от голямо значение в живота на всеки. </w:t>
      </w:r>
    </w:p>
    <w:p w14:paraId="4397D20E" w14:textId="77777777" w:rsidR="00AE702B" w:rsidRPr="00AE702B" w:rsidRDefault="00AE702B" w:rsidP="00007497">
      <w:pPr>
        <w:shd w:val="clear" w:color="auto" w:fill="FFFFFF" w:themeFill="background1"/>
        <w:tabs>
          <w:tab w:val="left" w:pos="851"/>
        </w:tabs>
        <w:ind w:firstLine="426"/>
        <w:jc w:val="both"/>
        <w:rPr>
          <w:sz w:val="22"/>
          <w:szCs w:val="22"/>
        </w:rPr>
      </w:pPr>
      <w:r w:rsidRPr="00AE702B">
        <w:rPr>
          <w:sz w:val="22"/>
          <w:szCs w:val="22"/>
        </w:rPr>
        <w:t>Продължаваме активно да изпълняваме ролята си на национална контактна точка в България за Европейската харта за пътна безопасност. Това е платформа, чрез която ДАБДП успешно извършва трансфер на опит и практики в областта на безопасността на движението по пътищата на всички нива на управление в Европейския съюз.</w:t>
      </w:r>
    </w:p>
    <w:p w14:paraId="164B3F64" w14:textId="32624E02" w:rsidR="00167913" w:rsidRDefault="00AE702B" w:rsidP="00007497">
      <w:pPr>
        <w:shd w:val="clear" w:color="auto" w:fill="FFFFFF" w:themeFill="background1"/>
        <w:tabs>
          <w:tab w:val="left" w:pos="851"/>
        </w:tabs>
        <w:ind w:firstLine="426"/>
        <w:jc w:val="both"/>
        <w:rPr>
          <w:sz w:val="22"/>
          <w:szCs w:val="22"/>
        </w:rPr>
      </w:pPr>
      <w:r w:rsidRPr="00AE702B">
        <w:rPr>
          <w:sz w:val="22"/>
          <w:szCs w:val="22"/>
        </w:rPr>
        <w:t>От началото на 2025 г. продължаваме да реализираме кампании, които вече имат статут на традиционни и ежегодни, и целящи намаляването на пътнотранспортния травматизъм.</w:t>
      </w:r>
    </w:p>
    <w:p w14:paraId="6A458242" w14:textId="0F104F5F" w:rsidR="00AE702B" w:rsidRPr="00AE702B" w:rsidRDefault="00AE702B" w:rsidP="00007497">
      <w:pPr>
        <w:shd w:val="clear" w:color="auto" w:fill="FFFFFF" w:themeFill="background1"/>
        <w:tabs>
          <w:tab w:val="left" w:pos="851"/>
        </w:tabs>
        <w:ind w:firstLine="426"/>
        <w:jc w:val="both"/>
        <w:rPr>
          <w:b/>
          <w:sz w:val="22"/>
          <w:szCs w:val="22"/>
        </w:rPr>
      </w:pPr>
      <w:r w:rsidRPr="00AE702B">
        <w:rPr>
          <w:b/>
          <w:sz w:val="22"/>
          <w:szCs w:val="22"/>
        </w:rPr>
        <w:t>Национални информационни кампании в периода януари – юни 2025 г.</w:t>
      </w:r>
    </w:p>
    <w:p w14:paraId="07A317E3" w14:textId="77777777" w:rsidR="00AE702B" w:rsidRPr="00AE702B" w:rsidRDefault="00AE702B" w:rsidP="00007497">
      <w:pPr>
        <w:shd w:val="clear" w:color="auto" w:fill="FFFFFF" w:themeFill="background1"/>
        <w:tabs>
          <w:tab w:val="left" w:pos="709"/>
        </w:tabs>
        <w:ind w:firstLine="426"/>
        <w:jc w:val="both"/>
        <w:rPr>
          <w:b/>
          <w:sz w:val="22"/>
          <w:szCs w:val="22"/>
        </w:rPr>
      </w:pPr>
      <w:r w:rsidRPr="00AE702B">
        <w:rPr>
          <w:b/>
          <w:sz w:val="22"/>
          <w:szCs w:val="22"/>
        </w:rPr>
        <w:t>1.</w:t>
      </w:r>
      <w:r w:rsidRPr="00AE702B">
        <w:rPr>
          <w:b/>
          <w:sz w:val="22"/>
          <w:szCs w:val="22"/>
        </w:rPr>
        <w:tab/>
        <w:t>Национален конкурс за детска рисунка под надслов „Малки деца с големи послания за безопасност“</w:t>
      </w:r>
    </w:p>
    <w:p w14:paraId="5ED07177" w14:textId="36814CE8" w:rsidR="00AE702B" w:rsidRPr="00AE702B" w:rsidRDefault="00AE702B" w:rsidP="00007497">
      <w:pPr>
        <w:shd w:val="clear" w:color="auto" w:fill="FFFFFF" w:themeFill="background1"/>
        <w:tabs>
          <w:tab w:val="left" w:pos="851"/>
        </w:tabs>
        <w:ind w:firstLine="426"/>
        <w:jc w:val="both"/>
        <w:rPr>
          <w:sz w:val="22"/>
          <w:szCs w:val="22"/>
        </w:rPr>
      </w:pPr>
      <w:r w:rsidRPr="00AE702B">
        <w:rPr>
          <w:sz w:val="22"/>
          <w:szCs w:val="22"/>
        </w:rPr>
        <w:t>Близо 1</w:t>
      </w:r>
      <w:r w:rsidR="001E4A9A">
        <w:rPr>
          <w:sz w:val="22"/>
          <w:szCs w:val="22"/>
        </w:rPr>
        <w:t xml:space="preserve"> </w:t>
      </w:r>
      <w:r w:rsidRPr="00AE702B">
        <w:rPr>
          <w:sz w:val="22"/>
          <w:szCs w:val="22"/>
        </w:rPr>
        <w:t>300 деца от 105 детски градини и 115 училища от различни населени места в България взеха участие, изпращайки своите уникални и изпълнени с послания рисунки.</w:t>
      </w:r>
      <w:r w:rsidR="001E4A9A">
        <w:rPr>
          <w:sz w:val="22"/>
          <w:szCs w:val="22"/>
        </w:rPr>
        <w:t xml:space="preserve"> </w:t>
      </w:r>
      <w:r w:rsidRPr="00AE702B">
        <w:rPr>
          <w:sz w:val="22"/>
          <w:szCs w:val="22"/>
        </w:rPr>
        <w:t>Целта на конкурса е да насърчи ранното възпитание на отговорно поведение на пътя и да се повиши информираността сред най-малките участници в движението. Детските творби ясно показват, че дори най-малките могат да отправят силни послания, когато става дума за безопасност и грижа на пътя.</w:t>
      </w:r>
      <w:r w:rsidR="00416DDA">
        <w:rPr>
          <w:sz w:val="22"/>
          <w:szCs w:val="22"/>
        </w:rPr>
        <w:t xml:space="preserve"> </w:t>
      </w:r>
      <w:r w:rsidRPr="00AE702B">
        <w:rPr>
          <w:sz w:val="22"/>
          <w:szCs w:val="22"/>
        </w:rPr>
        <w:t>Предстои оценяването на получените рисунки от жури. Резултатите ще бъдат обявени на официалната интернет страница на Държавна агенция „Безопасност на движението по пътищата“.</w:t>
      </w:r>
    </w:p>
    <w:p w14:paraId="7D9DC941" w14:textId="77777777" w:rsidR="00AE702B" w:rsidRPr="00913BF9" w:rsidRDefault="00AE702B" w:rsidP="00007497">
      <w:pPr>
        <w:shd w:val="clear" w:color="auto" w:fill="FFFFFF" w:themeFill="background1"/>
        <w:tabs>
          <w:tab w:val="left" w:pos="709"/>
        </w:tabs>
        <w:ind w:firstLine="426"/>
        <w:jc w:val="both"/>
        <w:rPr>
          <w:b/>
          <w:sz w:val="22"/>
          <w:szCs w:val="22"/>
        </w:rPr>
      </w:pPr>
      <w:r w:rsidRPr="00913BF9">
        <w:rPr>
          <w:b/>
          <w:sz w:val="22"/>
          <w:szCs w:val="22"/>
        </w:rPr>
        <w:t>2.</w:t>
      </w:r>
      <w:r w:rsidRPr="00913BF9">
        <w:rPr>
          <w:b/>
          <w:sz w:val="22"/>
          <w:szCs w:val="22"/>
        </w:rPr>
        <w:tab/>
        <w:t>Кампания “Дай път на зрението”</w:t>
      </w:r>
    </w:p>
    <w:p w14:paraId="665D4DE9" w14:textId="655F2FFD" w:rsidR="00AE702B" w:rsidRPr="00AE702B" w:rsidRDefault="00AE702B" w:rsidP="00007497">
      <w:pPr>
        <w:shd w:val="clear" w:color="auto" w:fill="FFFFFF" w:themeFill="background1"/>
        <w:tabs>
          <w:tab w:val="left" w:pos="851"/>
        </w:tabs>
        <w:ind w:firstLine="426"/>
        <w:jc w:val="both"/>
        <w:rPr>
          <w:sz w:val="22"/>
          <w:szCs w:val="22"/>
        </w:rPr>
      </w:pPr>
      <w:r w:rsidRPr="00AE702B">
        <w:rPr>
          <w:sz w:val="22"/>
          <w:szCs w:val="22"/>
        </w:rPr>
        <w:t>Кампания “Дай път на зрението” предлага безплатен първичен скрининг на зрението за водачи на МПС. Скринингът е предварителен метод за оценка на очното състояние, предназначен да открие признаци за зрителни отклонения.</w:t>
      </w:r>
      <w:r w:rsidR="00913BF9">
        <w:rPr>
          <w:sz w:val="22"/>
          <w:szCs w:val="22"/>
        </w:rPr>
        <w:t xml:space="preserve"> </w:t>
      </w:r>
      <w:r w:rsidRPr="00AE702B">
        <w:rPr>
          <w:sz w:val="22"/>
          <w:szCs w:val="22"/>
        </w:rPr>
        <w:t>В периода от 2 до 29</w:t>
      </w:r>
      <w:r w:rsidR="00913BF9">
        <w:rPr>
          <w:sz w:val="22"/>
          <w:szCs w:val="22"/>
        </w:rPr>
        <w:t>.06.</w:t>
      </w:r>
      <w:r w:rsidRPr="00AE702B">
        <w:rPr>
          <w:sz w:val="22"/>
          <w:szCs w:val="22"/>
        </w:rPr>
        <w:t xml:space="preserve">2025 г. Национална асоциация на </w:t>
      </w:r>
      <w:proofErr w:type="spellStart"/>
      <w:r w:rsidRPr="00AE702B">
        <w:rPr>
          <w:sz w:val="22"/>
          <w:szCs w:val="22"/>
        </w:rPr>
        <w:t>оптиките</w:t>
      </w:r>
      <w:proofErr w:type="spellEnd"/>
      <w:r w:rsidRPr="00AE702B">
        <w:rPr>
          <w:sz w:val="22"/>
          <w:szCs w:val="22"/>
        </w:rPr>
        <w:t xml:space="preserve"> с подкрепата на ДА „Безопасност на движението по пътищата“ организира безплатни скрининги за шофьори в 23 града в страната: Бургас, Варна, Велинград, Видин, Велико Търново, Димитровград, Добрич, Левски, Летница, Казанлък, Костенец, Костинброд, Пазарджик, Пловдив, Поморие, Раднево, Несебър, Сливен, София, Средец, Стара Загора, Тетевен и Царево. В кампанията можеха да участват всички правоспособни водачи на МПС, които посетят оптика – член на НАО, където очен специалист извърши зрителни тестове и даде информация за резултатите от тях.</w:t>
      </w:r>
    </w:p>
    <w:p w14:paraId="2482DB62" w14:textId="77777777" w:rsidR="00AE702B" w:rsidRPr="00913BF9" w:rsidRDefault="00AE702B" w:rsidP="00007497">
      <w:pPr>
        <w:shd w:val="clear" w:color="auto" w:fill="FFFFFF" w:themeFill="background1"/>
        <w:tabs>
          <w:tab w:val="left" w:pos="709"/>
        </w:tabs>
        <w:ind w:firstLine="426"/>
        <w:jc w:val="both"/>
        <w:rPr>
          <w:b/>
          <w:sz w:val="22"/>
          <w:szCs w:val="22"/>
        </w:rPr>
      </w:pPr>
      <w:r w:rsidRPr="00913BF9">
        <w:rPr>
          <w:b/>
          <w:sz w:val="22"/>
          <w:szCs w:val="22"/>
        </w:rPr>
        <w:t>3.</w:t>
      </w:r>
      <w:r w:rsidRPr="00913BF9">
        <w:rPr>
          <w:b/>
          <w:sz w:val="22"/>
          <w:szCs w:val="22"/>
        </w:rPr>
        <w:tab/>
        <w:t>Национален ден на безопасността на движението по пътищата – 29 юни</w:t>
      </w:r>
    </w:p>
    <w:p w14:paraId="6B7D9129" w14:textId="045F53E4" w:rsidR="00AE702B" w:rsidRPr="00AE702B" w:rsidRDefault="00AE702B" w:rsidP="00007497">
      <w:pPr>
        <w:shd w:val="clear" w:color="auto" w:fill="FFFFFF" w:themeFill="background1"/>
        <w:tabs>
          <w:tab w:val="left" w:pos="851"/>
        </w:tabs>
        <w:ind w:firstLine="426"/>
        <w:jc w:val="both"/>
        <w:rPr>
          <w:sz w:val="22"/>
          <w:szCs w:val="22"/>
        </w:rPr>
      </w:pPr>
      <w:r w:rsidRPr="00AE702B">
        <w:rPr>
          <w:sz w:val="22"/>
          <w:szCs w:val="22"/>
        </w:rPr>
        <w:t>Държавна агенция „Безопасност на движението по пътищата“ проведе национално проучване, посветено на културата на безопасност на движение по пътищата. Изследването включва над 7 500 респонденти от различни възрастови групи и региони. Целта е да се оцени как участниците в движението възприемат правилата, какво е тяхното поведение и какви нагласи имат към пътната безопасност.</w:t>
      </w:r>
      <w:r w:rsidR="00913BF9">
        <w:rPr>
          <w:sz w:val="22"/>
          <w:szCs w:val="22"/>
        </w:rPr>
        <w:t xml:space="preserve"> </w:t>
      </w:r>
      <w:r w:rsidRPr="00AE702B">
        <w:rPr>
          <w:sz w:val="22"/>
          <w:szCs w:val="22"/>
        </w:rPr>
        <w:t>От резултатите става ясно, че 94% от анкетираните заявяват, че безопасността е по-важна от бързото пристигане, но около ¼ от тях смятат, че превишение с 10</w:t>
      </w:r>
      <w:r w:rsidR="00913BF9">
        <w:rPr>
          <w:sz w:val="22"/>
          <w:szCs w:val="22"/>
        </w:rPr>
        <w:t xml:space="preserve"> – </w:t>
      </w:r>
      <w:r w:rsidRPr="00AE702B">
        <w:rPr>
          <w:sz w:val="22"/>
          <w:szCs w:val="22"/>
        </w:rPr>
        <w:t>15 км/ч не е проблем и са склонни да превишат ограниченията, когато бързат.</w:t>
      </w:r>
      <w:r w:rsidR="00913BF9">
        <w:rPr>
          <w:sz w:val="22"/>
          <w:szCs w:val="22"/>
        </w:rPr>
        <w:t xml:space="preserve"> </w:t>
      </w:r>
      <w:r w:rsidRPr="00AE702B">
        <w:rPr>
          <w:sz w:val="22"/>
          <w:szCs w:val="22"/>
        </w:rPr>
        <w:t>От 85% анкетирани, които посочват скоростта като основен проблем за безопасността на движението по пътищата на страната, 25% пак признават, че я нарушават.</w:t>
      </w:r>
      <w:r w:rsidR="00913BF9">
        <w:rPr>
          <w:sz w:val="22"/>
          <w:szCs w:val="22"/>
        </w:rPr>
        <w:t xml:space="preserve"> </w:t>
      </w:r>
      <w:r w:rsidRPr="00AE702B">
        <w:rPr>
          <w:sz w:val="22"/>
          <w:szCs w:val="22"/>
        </w:rPr>
        <w:t>Проведеното изследване ясно показва, че темата за безопасността на движението често остава в периферията на личната отговорност. Разминаването на обществените очаквания и нагласите към конкретни правила подчертава нуждата от повече информация, обучение, личен пример и съвместни действия за изграждане на реално поведение на толерантност, концентрация и внимание към всички участници в движението.</w:t>
      </w:r>
    </w:p>
    <w:p w14:paraId="4B36B879" w14:textId="77777777" w:rsidR="00AE702B" w:rsidRPr="00913BF9" w:rsidRDefault="00AE702B" w:rsidP="00007497">
      <w:pPr>
        <w:shd w:val="clear" w:color="auto" w:fill="FFFFFF" w:themeFill="background1"/>
        <w:tabs>
          <w:tab w:val="left" w:pos="709"/>
        </w:tabs>
        <w:ind w:firstLine="426"/>
        <w:jc w:val="both"/>
        <w:rPr>
          <w:b/>
          <w:sz w:val="22"/>
          <w:szCs w:val="22"/>
        </w:rPr>
      </w:pPr>
      <w:r w:rsidRPr="00913BF9">
        <w:rPr>
          <w:b/>
          <w:sz w:val="22"/>
          <w:szCs w:val="22"/>
        </w:rPr>
        <w:t>4.</w:t>
      </w:r>
      <w:r w:rsidRPr="00913BF9">
        <w:rPr>
          <w:b/>
          <w:sz w:val="22"/>
          <w:szCs w:val="22"/>
        </w:rPr>
        <w:tab/>
        <w:t xml:space="preserve">Най-добър млад шофьор на България </w:t>
      </w:r>
    </w:p>
    <w:p w14:paraId="489460C4" w14:textId="34280549" w:rsidR="00AE702B" w:rsidRPr="00AE702B" w:rsidRDefault="00AE702B" w:rsidP="00007497">
      <w:pPr>
        <w:shd w:val="clear" w:color="auto" w:fill="FFFFFF" w:themeFill="background1"/>
        <w:tabs>
          <w:tab w:val="left" w:pos="851"/>
        </w:tabs>
        <w:ind w:firstLine="426"/>
        <w:jc w:val="both"/>
        <w:rPr>
          <w:sz w:val="22"/>
          <w:szCs w:val="22"/>
        </w:rPr>
      </w:pPr>
      <w:r w:rsidRPr="00AE702B">
        <w:rPr>
          <w:sz w:val="22"/>
          <w:szCs w:val="22"/>
        </w:rPr>
        <w:t xml:space="preserve">Държавна агенция „Безопасност на движението по пътищата“ взе активно участие в осмото поредно издание на конкурса „Най-добър Млад шофьор на България“, което тази година се проведе в гр. Кюстендил. Събитието събра млади и отговорни водачи от цялата страна, които премериха </w:t>
      </w:r>
      <w:r w:rsidRPr="00AE702B">
        <w:rPr>
          <w:sz w:val="22"/>
          <w:szCs w:val="22"/>
        </w:rPr>
        <w:lastRenderedPageBreak/>
        <w:t>сили в различни практически и теоретични изпитания, свързани с безопасното поведение на пътя.</w:t>
      </w:r>
      <w:r w:rsidR="00913BF9">
        <w:rPr>
          <w:sz w:val="22"/>
          <w:szCs w:val="22"/>
        </w:rPr>
        <w:t xml:space="preserve"> </w:t>
      </w:r>
      <w:r w:rsidRPr="00AE702B">
        <w:rPr>
          <w:sz w:val="22"/>
          <w:szCs w:val="22"/>
        </w:rPr>
        <w:t>По време на състезанието представители на ДАБДП участваха в оценяването на участниците, както и в провеждането на образователни дейности, насочени към повишаване на информираността относно рисковете на пътя. Агенцията представи и информационни материали и кампании, насочени към младите шофьори, с акцент върху отговорността зад волана, значението на нулевата толерантност към алкохол и наркотични вещества, както и важността на използването на обезопасителни средства.</w:t>
      </w:r>
    </w:p>
    <w:p w14:paraId="66AA7C1D" w14:textId="1C2578F2" w:rsidR="00AE702B" w:rsidRPr="00913BF9" w:rsidRDefault="00AE702B" w:rsidP="00007497">
      <w:pPr>
        <w:shd w:val="clear" w:color="auto" w:fill="FFFFFF" w:themeFill="background1"/>
        <w:tabs>
          <w:tab w:val="left" w:pos="709"/>
        </w:tabs>
        <w:ind w:firstLine="426"/>
        <w:jc w:val="both"/>
        <w:rPr>
          <w:b/>
          <w:sz w:val="22"/>
          <w:szCs w:val="22"/>
        </w:rPr>
      </w:pPr>
      <w:r w:rsidRPr="00913BF9">
        <w:rPr>
          <w:b/>
          <w:sz w:val="22"/>
          <w:szCs w:val="22"/>
        </w:rPr>
        <w:t>5.</w:t>
      </w:r>
      <w:r w:rsidRPr="00913BF9">
        <w:rPr>
          <w:b/>
          <w:sz w:val="22"/>
          <w:szCs w:val="22"/>
        </w:rPr>
        <w:tab/>
        <w:t>Кампания по повод международния ден на детето</w:t>
      </w:r>
    </w:p>
    <w:p w14:paraId="7C922A82" w14:textId="78ACC338" w:rsidR="00AE702B" w:rsidRPr="00AE702B" w:rsidRDefault="00AE702B" w:rsidP="00007497">
      <w:pPr>
        <w:shd w:val="clear" w:color="auto" w:fill="FFFFFF" w:themeFill="background1"/>
        <w:tabs>
          <w:tab w:val="left" w:pos="851"/>
        </w:tabs>
        <w:ind w:firstLine="426"/>
        <w:jc w:val="both"/>
        <w:rPr>
          <w:sz w:val="22"/>
          <w:szCs w:val="22"/>
        </w:rPr>
      </w:pPr>
      <w:r w:rsidRPr="00AE702B">
        <w:rPr>
          <w:sz w:val="22"/>
          <w:szCs w:val="22"/>
        </w:rPr>
        <w:t>По време на кампанията ДАБДП и съвместно с Радио ФМ+ излъчи общо 214 аудио послания и анонси в националния ефир на Радио ФМ+ за периода от 19 май до 30 юни, като по този начин отправихме послания към обществото за безопасността на децата на пътя и повишихме ангажираността и информираността на гражданите по темата.</w:t>
      </w:r>
      <w:r w:rsidR="00913BF9">
        <w:rPr>
          <w:sz w:val="22"/>
          <w:szCs w:val="22"/>
        </w:rPr>
        <w:t xml:space="preserve"> </w:t>
      </w:r>
      <w:r w:rsidRPr="00AE702B">
        <w:rPr>
          <w:sz w:val="22"/>
          <w:szCs w:val="22"/>
        </w:rPr>
        <w:t xml:space="preserve">В допълнение към радио кампанията, ДАБДП участва в публично събитие на Радио ФМ+ на 01.06.2025 г. </w:t>
      </w:r>
    </w:p>
    <w:p w14:paraId="43AEE220" w14:textId="54084CB1" w:rsidR="00085187" w:rsidRDefault="00AE702B" w:rsidP="00A56D8F">
      <w:pPr>
        <w:shd w:val="clear" w:color="auto" w:fill="FFFFFF" w:themeFill="background1"/>
        <w:tabs>
          <w:tab w:val="left" w:pos="851"/>
        </w:tabs>
        <w:spacing w:before="120"/>
        <w:ind w:firstLine="425"/>
        <w:jc w:val="both"/>
        <w:rPr>
          <w:i/>
          <w:sz w:val="22"/>
          <w:szCs w:val="22"/>
          <w:lang w:val="en-US"/>
        </w:rPr>
      </w:pPr>
      <w:r w:rsidRPr="00913BF9">
        <w:rPr>
          <w:i/>
          <w:sz w:val="22"/>
          <w:szCs w:val="22"/>
        </w:rPr>
        <w:t>Въз основа на изложеното показателите, характеризиращи количествено извършените от ДАБДП дейности, изглеждат по следния начин:</w:t>
      </w:r>
    </w:p>
    <w:tbl>
      <w:tblPr>
        <w:tblW w:w="5000" w:type="pct"/>
        <w:tblCellMar>
          <w:left w:w="70" w:type="dxa"/>
          <w:right w:w="70" w:type="dxa"/>
        </w:tblCellMar>
        <w:tblLook w:val="0000" w:firstRow="0" w:lastRow="0" w:firstColumn="0" w:lastColumn="0" w:noHBand="0" w:noVBand="0"/>
      </w:tblPr>
      <w:tblGrid>
        <w:gridCol w:w="5791"/>
        <w:gridCol w:w="1129"/>
        <w:gridCol w:w="1172"/>
        <w:gridCol w:w="1254"/>
      </w:tblGrid>
      <w:tr w:rsidR="008F5065" w:rsidRPr="00472DF5" w14:paraId="26290153" w14:textId="77777777" w:rsidTr="00BD2B26">
        <w:trPr>
          <w:trHeight w:val="557"/>
        </w:trPr>
        <w:tc>
          <w:tcPr>
            <w:tcW w:w="3098" w:type="pct"/>
            <w:tcBorders>
              <w:top w:val="single" w:sz="4" w:space="0" w:color="auto"/>
              <w:left w:val="single" w:sz="4" w:space="0" w:color="auto"/>
              <w:bottom w:val="single" w:sz="4" w:space="0" w:color="auto"/>
              <w:right w:val="single" w:sz="4" w:space="0" w:color="auto"/>
            </w:tcBorders>
            <w:shd w:val="clear" w:color="auto" w:fill="FFCC99"/>
            <w:vAlign w:val="center"/>
          </w:tcPr>
          <w:p w14:paraId="5FB00852" w14:textId="77777777" w:rsidR="008F5065" w:rsidRPr="00472DF5" w:rsidRDefault="008F5065" w:rsidP="00BD2B26">
            <w:pPr>
              <w:jc w:val="center"/>
              <w:rPr>
                <w:b/>
                <w:bCs/>
                <w:sz w:val="18"/>
                <w:szCs w:val="18"/>
              </w:rPr>
            </w:pPr>
            <w:bookmarkStart w:id="83" w:name="_Hlk206777374"/>
            <w:r w:rsidRPr="00472DF5">
              <w:rPr>
                <w:b/>
                <w:bCs/>
                <w:sz w:val="18"/>
                <w:szCs w:val="18"/>
              </w:rPr>
              <w:t>Показатели за изпълнение</w:t>
            </w:r>
          </w:p>
        </w:tc>
        <w:tc>
          <w:tcPr>
            <w:tcW w:w="604" w:type="pct"/>
            <w:tcBorders>
              <w:top w:val="single" w:sz="4" w:space="0" w:color="auto"/>
              <w:left w:val="nil"/>
              <w:bottom w:val="single" w:sz="4" w:space="0" w:color="auto"/>
              <w:right w:val="single" w:sz="4" w:space="0" w:color="auto"/>
            </w:tcBorders>
            <w:shd w:val="clear" w:color="auto" w:fill="FFCC99"/>
            <w:vAlign w:val="center"/>
          </w:tcPr>
          <w:p w14:paraId="7F3C1EBB" w14:textId="77777777" w:rsidR="008F5065" w:rsidRPr="00D73FCA" w:rsidRDefault="008F5065" w:rsidP="00BD2B26">
            <w:pPr>
              <w:jc w:val="center"/>
              <w:rPr>
                <w:b/>
                <w:bCs/>
                <w:sz w:val="18"/>
                <w:szCs w:val="18"/>
              </w:rPr>
            </w:pPr>
            <w:r w:rsidRPr="00D73FCA">
              <w:rPr>
                <w:b/>
                <w:bCs/>
                <w:sz w:val="18"/>
                <w:szCs w:val="18"/>
              </w:rPr>
              <w:t>Мерна единица</w:t>
            </w:r>
          </w:p>
        </w:tc>
        <w:tc>
          <w:tcPr>
            <w:tcW w:w="627" w:type="pct"/>
            <w:tcBorders>
              <w:top w:val="single" w:sz="4" w:space="0" w:color="auto"/>
              <w:left w:val="nil"/>
              <w:bottom w:val="single" w:sz="4" w:space="0" w:color="auto"/>
              <w:right w:val="single" w:sz="4" w:space="0" w:color="auto"/>
            </w:tcBorders>
            <w:shd w:val="clear" w:color="auto" w:fill="FFCC99"/>
            <w:vAlign w:val="center"/>
          </w:tcPr>
          <w:p w14:paraId="4073F02F" w14:textId="77777777" w:rsidR="008F5065" w:rsidRPr="00D73FCA" w:rsidRDefault="008F5065" w:rsidP="00BD2B26">
            <w:pPr>
              <w:jc w:val="center"/>
              <w:rPr>
                <w:b/>
                <w:bCs/>
                <w:sz w:val="18"/>
                <w:szCs w:val="18"/>
              </w:rPr>
            </w:pPr>
            <w:r w:rsidRPr="00D73FCA">
              <w:rPr>
                <w:b/>
                <w:bCs/>
                <w:sz w:val="18"/>
                <w:szCs w:val="18"/>
              </w:rPr>
              <w:t>Целева стойност</w:t>
            </w:r>
          </w:p>
        </w:tc>
        <w:tc>
          <w:tcPr>
            <w:tcW w:w="671" w:type="pct"/>
            <w:tcBorders>
              <w:top w:val="single" w:sz="4" w:space="0" w:color="auto"/>
              <w:left w:val="nil"/>
              <w:bottom w:val="single" w:sz="4" w:space="0" w:color="auto"/>
              <w:right w:val="single" w:sz="4" w:space="0" w:color="auto"/>
            </w:tcBorders>
            <w:shd w:val="clear" w:color="auto" w:fill="FFCC99"/>
            <w:vAlign w:val="center"/>
          </w:tcPr>
          <w:p w14:paraId="3AD2057B" w14:textId="77777777" w:rsidR="008F5065" w:rsidRPr="00D73FCA" w:rsidRDefault="008F5065" w:rsidP="00BD2B26">
            <w:pPr>
              <w:jc w:val="center"/>
              <w:rPr>
                <w:b/>
                <w:bCs/>
                <w:sz w:val="18"/>
                <w:szCs w:val="18"/>
              </w:rPr>
            </w:pPr>
            <w:r w:rsidRPr="00D73FCA">
              <w:rPr>
                <w:b/>
                <w:bCs/>
                <w:sz w:val="18"/>
                <w:szCs w:val="18"/>
              </w:rPr>
              <w:t>Отчет</w:t>
            </w:r>
          </w:p>
        </w:tc>
      </w:tr>
      <w:tr w:rsidR="008F5065" w:rsidRPr="00472DF5" w14:paraId="66349347" w14:textId="77777777" w:rsidTr="00BD2B26">
        <w:trPr>
          <w:trHeight w:val="267"/>
        </w:trPr>
        <w:tc>
          <w:tcPr>
            <w:tcW w:w="3098" w:type="pct"/>
            <w:tcBorders>
              <w:top w:val="nil"/>
              <w:left w:val="single" w:sz="4" w:space="0" w:color="auto"/>
              <w:bottom w:val="single" w:sz="4" w:space="0" w:color="auto"/>
              <w:right w:val="single" w:sz="4" w:space="0" w:color="auto"/>
            </w:tcBorders>
          </w:tcPr>
          <w:p w14:paraId="0E248521" w14:textId="77777777" w:rsidR="008F5065" w:rsidRPr="00472DF5" w:rsidRDefault="008F5065" w:rsidP="00BD2B26">
            <w:pPr>
              <w:jc w:val="both"/>
              <w:rPr>
                <w:sz w:val="18"/>
                <w:szCs w:val="18"/>
                <w:lang w:eastAsia="es-ES_tradnl"/>
              </w:rPr>
            </w:pPr>
            <w:r w:rsidRPr="00472DF5">
              <w:rPr>
                <w:rFonts w:eastAsia="Calibri"/>
                <w:sz w:val="18"/>
                <w:szCs w:val="18"/>
              </w:rPr>
              <w:t xml:space="preserve">1.Изготвени становища във връзка с развитието на нормативната уредба </w:t>
            </w:r>
            <w:r w:rsidRPr="00472DF5">
              <w:rPr>
                <w:rFonts w:eastAsia="Calibri"/>
                <w:i/>
                <w:iCs/>
                <w:sz w:val="18"/>
                <w:szCs w:val="18"/>
              </w:rPr>
              <w:t>(включително в безопасността БДП)</w:t>
            </w:r>
          </w:p>
        </w:tc>
        <w:tc>
          <w:tcPr>
            <w:tcW w:w="604" w:type="pct"/>
            <w:tcBorders>
              <w:top w:val="single" w:sz="4" w:space="0" w:color="auto"/>
              <w:left w:val="single" w:sz="4" w:space="0" w:color="auto"/>
              <w:bottom w:val="single" w:sz="4" w:space="0" w:color="auto"/>
              <w:right w:val="single" w:sz="4" w:space="0" w:color="auto"/>
            </w:tcBorders>
            <w:vAlign w:val="center"/>
          </w:tcPr>
          <w:p w14:paraId="2A13EA67" w14:textId="77777777" w:rsidR="008F5065" w:rsidRPr="00472DF5" w:rsidRDefault="008F5065" w:rsidP="00BD2B26">
            <w:pPr>
              <w:jc w:val="center"/>
              <w:rPr>
                <w:sz w:val="18"/>
                <w:szCs w:val="18"/>
                <w:lang w:eastAsia="es-ES_tradnl"/>
              </w:rPr>
            </w:pPr>
            <w:r w:rsidRPr="00472DF5">
              <w:rPr>
                <w:rFonts w:eastAsia="Calibri"/>
                <w:sz w:val="18"/>
                <w:szCs w:val="18"/>
              </w:rPr>
              <w:t>брой</w:t>
            </w:r>
          </w:p>
        </w:tc>
        <w:tc>
          <w:tcPr>
            <w:tcW w:w="627" w:type="pct"/>
            <w:tcBorders>
              <w:top w:val="single" w:sz="4" w:space="0" w:color="auto"/>
              <w:left w:val="single" w:sz="4" w:space="0" w:color="auto"/>
              <w:bottom w:val="single" w:sz="4" w:space="0" w:color="auto"/>
              <w:right w:val="single" w:sz="4" w:space="0" w:color="auto"/>
            </w:tcBorders>
            <w:vAlign w:val="center"/>
          </w:tcPr>
          <w:p w14:paraId="591439B9" w14:textId="77777777" w:rsidR="008F5065" w:rsidRPr="00472DF5" w:rsidRDefault="008F5065" w:rsidP="00BD2B26">
            <w:pPr>
              <w:spacing w:line="256" w:lineRule="auto"/>
              <w:jc w:val="center"/>
              <w:rPr>
                <w:rFonts w:eastAsia="Calibri"/>
                <w:sz w:val="18"/>
                <w:szCs w:val="18"/>
              </w:rPr>
            </w:pPr>
            <w:r w:rsidRPr="00472DF5">
              <w:rPr>
                <w:rFonts w:eastAsia="Calibri"/>
                <w:sz w:val="18"/>
                <w:szCs w:val="18"/>
              </w:rPr>
              <w:t>35</w:t>
            </w:r>
          </w:p>
        </w:tc>
        <w:tc>
          <w:tcPr>
            <w:tcW w:w="671" w:type="pct"/>
            <w:tcBorders>
              <w:top w:val="single" w:sz="4" w:space="0" w:color="auto"/>
              <w:left w:val="single" w:sz="4" w:space="0" w:color="auto"/>
              <w:bottom w:val="single" w:sz="4" w:space="0" w:color="auto"/>
              <w:right w:val="single" w:sz="4" w:space="0" w:color="auto"/>
            </w:tcBorders>
            <w:vAlign w:val="center"/>
          </w:tcPr>
          <w:p w14:paraId="77F752E8" w14:textId="77777777" w:rsidR="008F5065" w:rsidRPr="00472DF5" w:rsidRDefault="008F5065" w:rsidP="00BD2B26">
            <w:pPr>
              <w:spacing w:line="256" w:lineRule="auto"/>
              <w:jc w:val="center"/>
              <w:rPr>
                <w:rFonts w:eastAsia="Calibri"/>
                <w:sz w:val="18"/>
                <w:szCs w:val="18"/>
              </w:rPr>
            </w:pPr>
            <w:r w:rsidRPr="00472DF5">
              <w:rPr>
                <w:rFonts w:eastAsia="Calibri"/>
                <w:sz w:val="18"/>
                <w:szCs w:val="18"/>
              </w:rPr>
              <w:t>18</w:t>
            </w:r>
          </w:p>
        </w:tc>
      </w:tr>
      <w:tr w:rsidR="008F5065" w:rsidRPr="00472DF5" w14:paraId="09207F30" w14:textId="77777777" w:rsidTr="00BD2B26">
        <w:trPr>
          <w:trHeight w:val="414"/>
        </w:trPr>
        <w:tc>
          <w:tcPr>
            <w:tcW w:w="3098" w:type="pct"/>
            <w:tcBorders>
              <w:top w:val="nil"/>
              <w:left w:val="single" w:sz="4" w:space="0" w:color="auto"/>
              <w:bottom w:val="single" w:sz="4" w:space="0" w:color="auto"/>
              <w:right w:val="single" w:sz="4" w:space="0" w:color="auto"/>
            </w:tcBorders>
            <w:vAlign w:val="center"/>
          </w:tcPr>
          <w:p w14:paraId="0A02F485" w14:textId="77777777" w:rsidR="008F5065" w:rsidRPr="00472DF5" w:rsidRDefault="008F5065" w:rsidP="00BD2B26">
            <w:pPr>
              <w:jc w:val="both"/>
              <w:rPr>
                <w:rFonts w:eastAsia="Calibri"/>
                <w:sz w:val="18"/>
                <w:szCs w:val="18"/>
              </w:rPr>
            </w:pPr>
            <w:r w:rsidRPr="00472DF5">
              <w:rPr>
                <w:rFonts w:eastAsia="Calibri"/>
                <w:sz w:val="18"/>
                <w:szCs w:val="18"/>
              </w:rPr>
              <w:t>2.Организиране и участие в работни срещи, конференции, заседания и други</w:t>
            </w:r>
          </w:p>
        </w:tc>
        <w:tc>
          <w:tcPr>
            <w:tcW w:w="604" w:type="pct"/>
            <w:tcBorders>
              <w:top w:val="single" w:sz="4" w:space="0" w:color="auto"/>
              <w:left w:val="single" w:sz="4" w:space="0" w:color="auto"/>
              <w:bottom w:val="single" w:sz="4" w:space="0" w:color="auto"/>
              <w:right w:val="single" w:sz="4" w:space="0" w:color="auto"/>
            </w:tcBorders>
            <w:vAlign w:val="center"/>
          </w:tcPr>
          <w:p w14:paraId="2E6B511C" w14:textId="77777777" w:rsidR="008F5065" w:rsidRPr="00472DF5" w:rsidRDefault="008F5065" w:rsidP="00BD2B26">
            <w:pPr>
              <w:jc w:val="center"/>
              <w:rPr>
                <w:rFonts w:eastAsia="Calibri"/>
                <w:sz w:val="18"/>
                <w:szCs w:val="18"/>
              </w:rPr>
            </w:pPr>
            <w:r w:rsidRPr="00472DF5">
              <w:rPr>
                <w:rFonts w:eastAsia="Calibri"/>
                <w:sz w:val="18"/>
                <w:szCs w:val="18"/>
              </w:rPr>
              <w:t>брой</w:t>
            </w:r>
          </w:p>
        </w:tc>
        <w:tc>
          <w:tcPr>
            <w:tcW w:w="627" w:type="pct"/>
            <w:tcBorders>
              <w:top w:val="single" w:sz="4" w:space="0" w:color="auto"/>
              <w:left w:val="single" w:sz="4" w:space="0" w:color="auto"/>
              <w:bottom w:val="single" w:sz="4" w:space="0" w:color="auto"/>
              <w:right w:val="single" w:sz="4" w:space="0" w:color="auto"/>
            </w:tcBorders>
            <w:vAlign w:val="center"/>
          </w:tcPr>
          <w:p w14:paraId="66135AE3" w14:textId="77777777" w:rsidR="008F5065" w:rsidRPr="00472DF5" w:rsidRDefault="008F5065" w:rsidP="00BD2B26">
            <w:pPr>
              <w:jc w:val="center"/>
              <w:rPr>
                <w:rFonts w:eastAsia="Calibri"/>
                <w:sz w:val="18"/>
                <w:szCs w:val="18"/>
              </w:rPr>
            </w:pPr>
            <w:r w:rsidRPr="00472DF5">
              <w:rPr>
                <w:rFonts w:eastAsia="Calibri"/>
                <w:sz w:val="18"/>
                <w:szCs w:val="18"/>
              </w:rPr>
              <w:t>50</w:t>
            </w:r>
          </w:p>
        </w:tc>
        <w:tc>
          <w:tcPr>
            <w:tcW w:w="671" w:type="pct"/>
            <w:tcBorders>
              <w:top w:val="single" w:sz="4" w:space="0" w:color="auto"/>
              <w:left w:val="single" w:sz="4" w:space="0" w:color="auto"/>
              <w:bottom w:val="single" w:sz="4" w:space="0" w:color="auto"/>
              <w:right w:val="single" w:sz="4" w:space="0" w:color="auto"/>
            </w:tcBorders>
            <w:vAlign w:val="center"/>
          </w:tcPr>
          <w:p w14:paraId="0F92ADC1" w14:textId="77777777" w:rsidR="008F5065" w:rsidRPr="00472DF5" w:rsidRDefault="008F5065" w:rsidP="00BD2B26">
            <w:pPr>
              <w:jc w:val="center"/>
              <w:rPr>
                <w:rFonts w:eastAsia="Calibri"/>
                <w:sz w:val="18"/>
                <w:szCs w:val="18"/>
              </w:rPr>
            </w:pPr>
            <w:r w:rsidRPr="00472DF5">
              <w:rPr>
                <w:rFonts w:eastAsia="Calibri"/>
                <w:sz w:val="18"/>
                <w:szCs w:val="18"/>
              </w:rPr>
              <w:t>36</w:t>
            </w:r>
          </w:p>
        </w:tc>
      </w:tr>
      <w:tr w:rsidR="008F5065" w:rsidRPr="00472DF5" w14:paraId="59C37CA3" w14:textId="77777777" w:rsidTr="00BD2B26">
        <w:trPr>
          <w:trHeight w:val="307"/>
        </w:trPr>
        <w:tc>
          <w:tcPr>
            <w:tcW w:w="3098" w:type="pct"/>
            <w:tcBorders>
              <w:top w:val="nil"/>
              <w:left w:val="single" w:sz="4" w:space="0" w:color="auto"/>
              <w:bottom w:val="single" w:sz="4" w:space="0" w:color="auto"/>
              <w:right w:val="single" w:sz="4" w:space="0" w:color="auto"/>
            </w:tcBorders>
            <w:vAlign w:val="center"/>
          </w:tcPr>
          <w:p w14:paraId="3EBBFF26" w14:textId="77777777" w:rsidR="008F5065" w:rsidRPr="00472DF5" w:rsidRDefault="008F5065" w:rsidP="00BD2B26">
            <w:pPr>
              <w:jc w:val="both"/>
              <w:rPr>
                <w:rFonts w:eastAsia="Calibri"/>
                <w:sz w:val="18"/>
                <w:szCs w:val="18"/>
              </w:rPr>
            </w:pPr>
            <w:r w:rsidRPr="00472DF5">
              <w:rPr>
                <w:rFonts w:eastAsia="Calibri"/>
                <w:sz w:val="18"/>
                <w:szCs w:val="18"/>
              </w:rPr>
              <w:t>3.Участия на служители в обучения/семинари</w:t>
            </w:r>
          </w:p>
        </w:tc>
        <w:tc>
          <w:tcPr>
            <w:tcW w:w="604" w:type="pct"/>
            <w:tcBorders>
              <w:top w:val="single" w:sz="4" w:space="0" w:color="auto"/>
              <w:left w:val="single" w:sz="4" w:space="0" w:color="auto"/>
              <w:bottom w:val="single" w:sz="4" w:space="0" w:color="auto"/>
              <w:right w:val="single" w:sz="4" w:space="0" w:color="auto"/>
            </w:tcBorders>
            <w:vAlign w:val="center"/>
          </w:tcPr>
          <w:p w14:paraId="4D381CCF" w14:textId="77777777" w:rsidR="008F5065" w:rsidRPr="00472DF5" w:rsidRDefault="008F5065" w:rsidP="00BD2B26">
            <w:pPr>
              <w:jc w:val="center"/>
              <w:rPr>
                <w:rFonts w:eastAsia="Calibri"/>
                <w:sz w:val="18"/>
                <w:szCs w:val="18"/>
              </w:rPr>
            </w:pPr>
            <w:r w:rsidRPr="00472DF5">
              <w:rPr>
                <w:rFonts w:eastAsia="Calibri"/>
                <w:sz w:val="18"/>
                <w:szCs w:val="18"/>
              </w:rPr>
              <w:t>брой</w:t>
            </w:r>
          </w:p>
        </w:tc>
        <w:tc>
          <w:tcPr>
            <w:tcW w:w="627" w:type="pct"/>
            <w:tcBorders>
              <w:top w:val="single" w:sz="4" w:space="0" w:color="auto"/>
              <w:left w:val="single" w:sz="4" w:space="0" w:color="auto"/>
              <w:bottom w:val="single" w:sz="4" w:space="0" w:color="auto"/>
              <w:right w:val="single" w:sz="4" w:space="0" w:color="auto"/>
            </w:tcBorders>
            <w:vAlign w:val="center"/>
          </w:tcPr>
          <w:p w14:paraId="7CB62064" w14:textId="77777777" w:rsidR="008F5065" w:rsidRPr="00472DF5" w:rsidRDefault="008F5065" w:rsidP="00BD2B26">
            <w:pPr>
              <w:jc w:val="center"/>
              <w:rPr>
                <w:rFonts w:eastAsia="Calibri"/>
                <w:sz w:val="18"/>
                <w:szCs w:val="18"/>
              </w:rPr>
            </w:pPr>
            <w:r w:rsidRPr="00472DF5">
              <w:rPr>
                <w:rFonts w:eastAsia="Calibri"/>
                <w:sz w:val="18"/>
                <w:szCs w:val="18"/>
              </w:rPr>
              <w:t>30</w:t>
            </w:r>
          </w:p>
        </w:tc>
        <w:tc>
          <w:tcPr>
            <w:tcW w:w="671" w:type="pct"/>
            <w:tcBorders>
              <w:top w:val="single" w:sz="4" w:space="0" w:color="auto"/>
              <w:left w:val="single" w:sz="4" w:space="0" w:color="auto"/>
              <w:bottom w:val="single" w:sz="4" w:space="0" w:color="auto"/>
              <w:right w:val="single" w:sz="4" w:space="0" w:color="auto"/>
            </w:tcBorders>
            <w:vAlign w:val="center"/>
          </w:tcPr>
          <w:p w14:paraId="72058B72" w14:textId="77777777" w:rsidR="008F5065" w:rsidRPr="00472DF5" w:rsidRDefault="008F5065" w:rsidP="00BD2B26">
            <w:pPr>
              <w:jc w:val="center"/>
              <w:rPr>
                <w:rFonts w:eastAsia="Calibri"/>
                <w:sz w:val="18"/>
                <w:szCs w:val="18"/>
              </w:rPr>
            </w:pPr>
            <w:r w:rsidRPr="00472DF5">
              <w:rPr>
                <w:rFonts w:eastAsia="Calibri"/>
                <w:sz w:val="18"/>
                <w:szCs w:val="18"/>
              </w:rPr>
              <w:t>5</w:t>
            </w:r>
          </w:p>
        </w:tc>
      </w:tr>
      <w:tr w:rsidR="008F5065" w:rsidRPr="00472DF5" w14:paraId="40C1C896" w14:textId="77777777" w:rsidTr="00BD2B26">
        <w:trPr>
          <w:trHeight w:val="267"/>
        </w:trPr>
        <w:tc>
          <w:tcPr>
            <w:tcW w:w="3098" w:type="pct"/>
            <w:tcBorders>
              <w:top w:val="nil"/>
              <w:left w:val="single" w:sz="4" w:space="0" w:color="auto"/>
              <w:bottom w:val="single" w:sz="4" w:space="0" w:color="auto"/>
              <w:right w:val="single" w:sz="4" w:space="0" w:color="auto"/>
            </w:tcBorders>
            <w:vAlign w:val="center"/>
          </w:tcPr>
          <w:p w14:paraId="3B916C88" w14:textId="77777777" w:rsidR="008F5065" w:rsidRPr="00472DF5" w:rsidRDefault="008F5065" w:rsidP="00BD2B26">
            <w:pPr>
              <w:jc w:val="both"/>
              <w:rPr>
                <w:rFonts w:eastAsia="Calibri"/>
                <w:sz w:val="18"/>
                <w:szCs w:val="18"/>
              </w:rPr>
            </w:pPr>
            <w:r w:rsidRPr="00472DF5">
              <w:rPr>
                <w:rFonts w:eastAsia="Calibri"/>
                <w:sz w:val="18"/>
                <w:szCs w:val="18"/>
              </w:rPr>
              <w:t>4.Изготвени предложения за безопасното движение по пътищата</w:t>
            </w:r>
          </w:p>
        </w:tc>
        <w:tc>
          <w:tcPr>
            <w:tcW w:w="604" w:type="pct"/>
            <w:tcBorders>
              <w:top w:val="single" w:sz="4" w:space="0" w:color="auto"/>
              <w:left w:val="single" w:sz="4" w:space="0" w:color="auto"/>
              <w:bottom w:val="single" w:sz="4" w:space="0" w:color="auto"/>
              <w:right w:val="single" w:sz="4" w:space="0" w:color="auto"/>
            </w:tcBorders>
            <w:vAlign w:val="center"/>
          </w:tcPr>
          <w:p w14:paraId="54FD65C9" w14:textId="77777777" w:rsidR="008F5065" w:rsidRPr="00472DF5" w:rsidRDefault="008F5065" w:rsidP="00BD2B26">
            <w:pPr>
              <w:jc w:val="center"/>
              <w:rPr>
                <w:rFonts w:eastAsia="Calibri"/>
                <w:sz w:val="18"/>
                <w:szCs w:val="18"/>
              </w:rPr>
            </w:pPr>
            <w:r w:rsidRPr="00472DF5">
              <w:rPr>
                <w:rFonts w:eastAsia="Calibri"/>
                <w:sz w:val="18"/>
                <w:szCs w:val="18"/>
              </w:rPr>
              <w:t>брой</w:t>
            </w:r>
          </w:p>
        </w:tc>
        <w:tc>
          <w:tcPr>
            <w:tcW w:w="627" w:type="pct"/>
            <w:tcBorders>
              <w:top w:val="single" w:sz="4" w:space="0" w:color="auto"/>
              <w:left w:val="single" w:sz="4" w:space="0" w:color="auto"/>
              <w:bottom w:val="single" w:sz="4" w:space="0" w:color="auto"/>
              <w:right w:val="single" w:sz="4" w:space="0" w:color="auto"/>
            </w:tcBorders>
            <w:vAlign w:val="center"/>
          </w:tcPr>
          <w:p w14:paraId="1836BBB2" w14:textId="77777777" w:rsidR="008F5065" w:rsidRPr="00472DF5" w:rsidRDefault="008F5065" w:rsidP="00BD2B26">
            <w:pPr>
              <w:jc w:val="center"/>
              <w:rPr>
                <w:rFonts w:eastAsia="Calibri"/>
                <w:sz w:val="18"/>
                <w:szCs w:val="18"/>
              </w:rPr>
            </w:pPr>
            <w:r w:rsidRPr="00472DF5">
              <w:rPr>
                <w:rFonts w:eastAsia="Calibri"/>
                <w:sz w:val="18"/>
                <w:szCs w:val="18"/>
              </w:rPr>
              <w:t>30</w:t>
            </w:r>
          </w:p>
        </w:tc>
        <w:tc>
          <w:tcPr>
            <w:tcW w:w="671" w:type="pct"/>
            <w:tcBorders>
              <w:top w:val="single" w:sz="4" w:space="0" w:color="auto"/>
              <w:left w:val="single" w:sz="4" w:space="0" w:color="auto"/>
              <w:bottom w:val="single" w:sz="4" w:space="0" w:color="auto"/>
              <w:right w:val="single" w:sz="4" w:space="0" w:color="auto"/>
            </w:tcBorders>
            <w:vAlign w:val="center"/>
          </w:tcPr>
          <w:p w14:paraId="06CB4FD1" w14:textId="77777777" w:rsidR="008F5065" w:rsidRPr="00472DF5" w:rsidRDefault="008F5065" w:rsidP="00BD2B26">
            <w:pPr>
              <w:jc w:val="center"/>
              <w:rPr>
                <w:rFonts w:eastAsia="Calibri"/>
                <w:sz w:val="18"/>
                <w:szCs w:val="18"/>
              </w:rPr>
            </w:pPr>
            <w:r w:rsidRPr="00472DF5">
              <w:rPr>
                <w:rFonts w:eastAsia="Calibri"/>
                <w:sz w:val="18"/>
                <w:szCs w:val="18"/>
              </w:rPr>
              <w:t>39</w:t>
            </w:r>
          </w:p>
        </w:tc>
      </w:tr>
      <w:tr w:rsidR="008F5065" w:rsidRPr="00472DF5" w14:paraId="2769C427" w14:textId="77777777" w:rsidTr="00BD2B26">
        <w:trPr>
          <w:trHeight w:val="242"/>
        </w:trPr>
        <w:tc>
          <w:tcPr>
            <w:tcW w:w="3098" w:type="pct"/>
            <w:tcBorders>
              <w:top w:val="nil"/>
              <w:left w:val="single" w:sz="4" w:space="0" w:color="auto"/>
              <w:bottom w:val="single" w:sz="4" w:space="0" w:color="auto"/>
              <w:right w:val="single" w:sz="4" w:space="0" w:color="auto"/>
            </w:tcBorders>
            <w:vAlign w:val="center"/>
          </w:tcPr>
          <w:p w14:paraId="6538FD27" w14:textId="77777777" w:rsidR="008F5065" w:rsidRPr="00472DF5" w:rsidRDefault="008F5065" w:rsidP="00BD2B26">
            <w:pPr>
              <w:jc w:val="both"/>
              <w:rPr>
                <w:rFonts w:eastAsia="Calibri"/>
                <w:sz w:val="18"/>
                <w:szCs w:val="18"/>
              </w:rPr>
            </w:pPr>
            <w:r w:rsidRPr="00472DF5">
              <w:rPr>
                <w:rFonts w:eastAsia="Calibri"/>
                <w:sz w:val="18"/>
                <w:szCs w:val="18"/>
              </w:rPr>
              <w:t>5.Участие в разработването на проекти на нормативни актове и на решения в областта на БДП</w:t>
            </w:r>
          </w:p>
        </w:tc>
        <w:tc>
          <w:tcPr>
            <w:tcW w:w="604" w:type="pct"/>
            <w:tcBorders>
              <w:top w:val="single" w:sz="4" w:space="0" w:color="auto"/>
              <w:left w:val="single" w:sz="4" w:space="0" w:color="auto"/>
              <w:bottom w:val="single" w:sz="4" w:space="0" w:color="auto"/>
              <w:right w:val="single" w:sz="4" w:space="0" w:color="auto"/>
            </w:tcBorders>
            <w:vAlign w:val="center"/>
          </w:tcPr>
          <w:p w14:paraId="5654B921" w14:textId="77777777" w:rsidR="008F5065" w:rsidRPr="00472DF5" w:rsidRDefault="008F5065" w:rsidP="00BD2B26">
            <w:pPr>
              <w:jc w:val="center"/>
              <w:rPr>
                <w:rFonts w:eastAsia="Calibri"/>
                <w:sz w:val="18"/>
                <w:szCs w:val="18"/>
              </w:rPr>
            </w:pPr>
            <w:r w:rsidRPr="00472DF5">
              <w:rPr>
                <w:rFonts w:eastAsia="Calibri"/>
                <w:sz w:val="18"/>
                <w:szCs w:val="18"/>
              </w:rPr>
              <w:t>брой</w:t>
            </w:r>
          </w:p>
        </w:tc>
        <w:tc>
          <w:tcPr>
            <w:tcW w:w="627" w:type="pct"/>
            <w:tcBorders>
              <w:top w:val="single" w:sz="4" w:space="0" w:color="auto"/>
              <w:left w:val="single" w:sz="4" w:space="0" w:color="auto"/>
              <w:bottom w:val="single" w:sz="4" w:space="0" w:color="auto"/>
              <w:right w:val="single" w:sz="4" w:space="0" w:color="auto"/>
            </w:tcBorders>
            <w:vAlign w:val="center"/>
          </w:tcPr>
          <w:p w14:paraId="0B4EF96A" w14:textId="77777777" w:rsidR="008F5065" w:rsidRPr="00472DF5" w:rsidRDefault="008F5065" w:rsidP="00BD2B26">
            <w:pPr>
              <w:jc w:val="center"/>
              <w:rPr>
                <w:rFonts w:eastAsia="Calibri"/>
                <w:sz w:val="18"/>
                <w:szCs w:val="18"/>
              </w:rPr>
            </w:pPr>
            <w:r w:rsidRPr="00472DF5">
              <w:rPr>
                <w:rFonts w:eastAsia="Calibri"/>
                <w:sz w:val="18"/>
                <w:szCs w:val="18"/>
              </w:rPr>
              <w:t>6</w:t>
            </w:r>
          </w:p>
        </w:tc>
        <w:tc>
          <w:tcPr>
            <w:tcW w:w="671" w:type="pct"/>
            <w:tcBorders>
              <w:top w:val="single" w:sz="4" w:space="0" w:color="auto"/>
              <w:left w:val="single" w:sz="4" w:space="0" w:color="auto"/>
              <w:bottom w:val="single" w:sz="4" w:space="0" w:color="auto"/>
              <w:right w:val="single" w:sz="4" w:space="0" w:color="auto"/>
            </w:tcBorders>
            <w:vAlign w:val="center"/>
          </w:tcPr>
          <w:p w14:paraId="6FC3037D" w14:textId="77777777" w:rsidR="008F5065" w:rsidRPr="00472DF5" w:rsidRDefault="008F5065" w:rsidP="00BD2B26">
            <w:pPr>
              <w:jc w:val="center"/>
              <w:rPr>
                <w:rFonts w:eastAsia="Calibri"/>
                <w:sz w:val="18"/>
                <w:szCs w:val="18"/>
              </w:rPr>
            </w:pPr>
            <w:r w:rsidRPr="00472DF5">
              <w:rPr>
                <w:rFonts w:eastAsia="Calibri"/>
                <w:sz w:val="18"/>
                <w:szCs w:val="18"/>
              </w:rPr>
              <w:t>4</w:t>
            </w:r>
          </w:p>
        </w:tc>
      </w:tr>
      <w:tr w:rsidR="008F5065" w:rsidRPr="00472DF5" w14:paraId="0CE15A05" w14:textId="77777777" w:rsidTr="00BD2B26">
        <w:trPr>
          <w:trHeight w:val="250"/>
        </w:trPr>
        <w:tc>
          <w:tcPr>
            <w:tcW w:w="3098" w:type="pct"/>
            <w:tcBorders>
              <w:top w:val="nil"/>
              <w:left w:val="single" w:sz="4" w:space="0" w:color="auto"/>
              <w:bottom w:val="single" w:sz="4" w:space="0" w:color="auto"/>
              <w:right w:val="single" w:sz="4" w:space="0" w:color="auto"/>
            </w:tcBorders>
            <w:vAlign w:val="center"/>
          </w:tcPr>
          <w:p w14:paraId="1F96DBD2" w14:textId="77777777" w:rsidR="008F5065" w:rsidRPr="00472DF5" w:rsidRDefault="008F5065" w:rsidP="00BD2B26">
            <w:pPr>
              <w:jc w:val="both"/>
              <w:rPr>
                <w:rFonts w:eastAsia="Calibri"/>
                <w:sz w:val="18"/>
                <w:szCs w:val="18"/>
              </w:rPr>
            </w:pPr>
            <w:r w:rsidRPr="00472DF5">
              <w:rPr>
                <w:rFonts w:eastAsia="Calibri"/>
                <w:sz w:val="18"/>
                <w:szCs w:val="18"/>
              </w:rPr>
              <w:t>6.Участие в мероприятия и изяви за популяризиране на БДП</w:t>
            </w:r>
          </w:p>
        </w:tc>
        <w:tc>
          <w:tcPr>
            <w:tcW w:w="604" w:type="pct"/>
            <w:tcBorders>
              <w:top w:val="single" w:sz="4" w:space="0" w:color="auto"/>
              <w:left w:val="single" w:sz="4" w:space="0" w:color="auto"/>
              <w:bottom w:val="single" w:sz="4" w:space="0" w:color="auto"/>
              <w:right w:val="single" w:sz="4" w:space="0" w:color="auto"/>
            </w:tcBorders>
            <w:vAlign w:val="center"/>
          </w:tcPr>
          <w:p w14:paraId="797BBDFC" w14:textId="77777777" w:rsidR="008F5065" w:rsidRPr="00472DF5" w:rsidRDefault="008F5065" w:rsidP="00BD2B26">
            <w:pPr>
              <w:jc w:val="center"/>
              <w:rPr>
                <w:rFonts w:eastAsia="Calibri"/>
                <w:sz w:val="18"/>
                <w:szCs w:val="18"/>
              </w:rPr>
            </w:pPr>
            <w:r w:rsidRPr="00472DF5">
              <w:rPr>
                <w:rFonts w:eastAsia="Calibri"/>
                <w:sz w:val="18"/>
                <w:szCs w:val="18"/>
              </w:rPr>
              <w:t>брой</w:t>
            </w:r>
          </w:p>
        </w:tc>
        <w:tc>
          <w:tcPr>
            <w:tcW w:w="627" w:type="pct"/>
            <w:tcBorders>
              <w:top w:val="single" w:sz="4" w:space="0" w:color="auto"/>
              <w:left w:val="single" w:sz="4" w:space="0" w:color="auto"/>
              <w:bottom w:val="single" w:sz="4" w:space="0" w:color="auto"/>
              <w:right w:val="single" w:sz="4" w:space="0" w:color="auto"/>
            </w:tcBorders>
            <w:vAlign w:val="center"/>
          </w:tcPr>
          <w:p w14:paraId="1B345D51" w14:textId="77777777" w:rsidR="008F5065" w:rsidRPr="00472DF5" w:rsidRDefault="008F5065" w:rsidP="00BD2B26">
            <w:pPr>
              <w:jc w:val="center"/>
              <w:rPr>
                <w:rFonts w:eastAsia="Calibri"/>
                <w:sz w:val="18"/>
                <w:szCs w:val="18"/>
              </w:rPr>
            </w:pPr>
            <w:r w:rsidRPr="00472DF5">
              <w:rPr>
                <w:rFonts w:eastAsia="Calibri"/>
                <w:sz w:val="18"/>
                <w:szCs w:val="18"/>
              </w:rPr>
              <w:t>30</w:t>
            </w:r>
          </w:p>
        </w:tc>
        <w:tc>
          <w:tcPr>
            <w:tcW w:w="671" w:type="pct"/>
            <w:tcBorders>
              <w:top w:val="single" w:sz="4" w:space="0" w:color="auto"/>
              <w:left w:val="single" w:sz="4" w:space="0" w:color="auto"/>
              <w:bottom w:val="single" w:sz="4" w:space="0" w:color="auto"/>
              <w:right w:val="single" w:sz="4" w:space="0" w:color="auto"/>
            </w:tcBorders>
            <w:vAlign w:val="center"/>
          </w:tcPr>
          <w:p w14:paraId="42ECAE23" w14:textId="77777777" w:rsidR="008F5065" w:rsidRPr="00472DF5" w:rsidRDefault="008F5065" w:rsidP="00BD2B26">
            <w:pPr>
              <w:jc w:val="center"/>
              <w:rPr>
                <w:rFonts w:eastAsia="Calibri"/>
                <w:sz w:val="18"/>
                <w:szCs w:val="18"/>
              </w:rPr>
            </w:pPr>
            <w:r w:rsidRPr="00472DF5">
              <w:rPr>
                <w:rFonts w:eastAsia="Calibri"/>
                <w:sz w:val="18"/>
                <w:szCs w:val="18"/>
              </w:rPr>
              <w:t>10</w:t>
            </w:r>
          </w:p>
        </w:tc>
      </w:tr>
      <w:tr w:rsidR="008F5065" w:rsidRPr="00472DF5" w14:paraId="7743F326" w14:textId="77777777" w:rsidTr="00BD2B26">
        <w:trPr>
          <w:trHeight w:val="693"/>
        </w:trPr>
        <w:tc>
          <w:tcPr>
            <w:tcW w:w="3098" w:type="pct"/>
            <w:tcBorders>
              <w:top w:val="nil"/>
              <w:left w:val="single" w:sz="4" w:space="0" w:color="auto"/>
              <w:bottom w:val="single" w:sz="4" w:space="0" w:color="auto"/>
              <w:right w:val="single" w:sz="4" w:space="0" w:color="auto"/>
            </w:tcBorders>
            <w:vAlign w:val="center"/>
          </w:tcPr>
          <w:p w14:paraId="3C473B79" w14:textId="77777777" w:rsidR="008F5065" w:rsidRPr="00472DF5" w:rsidRDefault="008F5065" w:rsidP="00BD2B26">
            <w:pPr>
              <w:jc w:val="both"/>
              <w:rPr>
                <w:rFonts w:eastAsia="Calibri"/>
                <w:sz w:val="18"/>
                <w:szCs w:val="18"/>
              </w:rPr>
            </w:pPr>
            <w:r w:rsidRPr="00472DF5">
              <w:rPr>
                <w:rFonts w:eastAsia="Calibri"/>
                <w:sz w:val="18"/>
                <w:szCs w:val="18"/>
              </w:rPr>
              <w:t>7.Участие в срещи с ресорните служби на Европейската комисия, като част от задължението да се осигурява приемственост на националната и европейска политика</w:t>
            </w:r>
          </w:p>
        </w:tc>
        <w:tc>
          <w:tcPr>
            <w:tcW w:w="604" w:type="pct"/>
            <w:tcBorders>
              <w:top w:val="single" w:sz="4" w:space="0" w:color="auto"/>
              <w:left w:val="single" w:sz="4" w:space="0" w:color="auto"/>
              <w:bottom w:val="single" w:sz="4" w:space="0" w:color="auto"/>
              <w:right w:val="single" w:sz="4" w:space="0" w:color="auto"/>
            </w:tcBorders>
            <w:vAlign w:val="center"/>
          </w:tcPr>
          <w:p w14:paraId="13C159A4" w14:textId="77777777" w:rsidR="008F5065" w:rsidRPr="00472DF5" w:rsidRDefault="008F5065" w:rsidP="00BD2B26">
            <w:pPr>
              <w:jc w:val="center"/>
              <w:rPr>
                <w:rFonts w:eastAsia="Calibri"/>
                <w:sz w:val="18"/>
                <w:szCs w:val="18"/>
              </w:rPr>
            </w:pPr>
            <w:r w:rsidRPr="00472DF5">
              <w:rPr>
                <w:rFonts w:eastAsia="Calibri"/>
                <w:sz w:val="18"/>
                <w:szCs w:val="18"/>
              </w:rPr>
              <w:t>брой</w:t>
            </w:r>
          </w:p>
        </w:tc>
        <w:tc>
          <w:tcPr>
            <w:tcW w:w="627" w:type="pct"/>
            <w:tcBorders>
              <w:top w:val="single" w:sz="4" w:space="0" w:color="auto"/>
              <w:left w:val="single" w:sz="4" w:space="0" w:color="auto"/>
              <w:bottom w:val="single" w:sz="4" w:space="0" w:color="auto"/>
              <w:right w:val="single" w:sz="4" w:space="0" w:color="auto"/>
            </w:tcBorders>
            <w:vAlign w:val="center"/>
          </w:tcPr>
          <w:p w14:paraId="7B98A365" w14:textId="77777777" w:rsidR="008F5065" w:rsidRPr="00472DF5" w:rsidRDefault="008F5065" w:rsidP="00BD2B26">
            <w:pPr>
              <w:jc w:val="center"/>
              <w:rPr>
                <w:rFonts w:eastAsia="Calibri"/>
                <w:sz w:val="18"/>
                <w:szCs w:val="18"/>
              </w:rPr>
            </w:pPr>
            <w:r w:rsidRPr="00472DF5">
              <w:rPr>
                <w:rFonts w:eastAsia="Calibri"/>
                <w:sz w:val="18"/>
                <w:szCs w:val="18"/>
              </w:rPr>
              <w:t>10</w:t>
            </w:r>
          </w:p>
        </w:tc>
        <w:tc>
          <w:tcPr>
            <w:tcW w:w="671" w:type="pct"/>
            <w:tcBorders>
              <w:top w:val="single" w:sz="4" w:space="0" w:color="auto"/>
              <w:left w:val="single" w:sz="4" w:space="0" w:color="auto"/>
              <w:bottom w:val="single" w:sz="4" w:space="0" w:color="auto"/>
              <w:right w:val="single" w:sz="4" w:space="0" w:color="auto"/>
            </w:tcBorders>
            <w:vAlign w:val="center"/>
          </w:tcPr>
          <w:p w14:paraId="29C14A16" w14:textId="77777777" w:rsidR="008F5065" w:rsidRPr="00472DF5" w:rsidRDefault="008F5065" w:rsidP="00BD2B26">
            <w:pPr>
              <w:jc w:val="center"/>
              <w:rPr>
                <w:rFonts w:eastAsia="Calibri"/>
                <w:sz w:val="18"/>
                <w:szCs w:val="18"/>
              </w:rPr>
            </w:pPr>
            <w:r w:rsidRPr="00472DF5">
              <w:rPr>
                <w:rFonts w:eastAsia="Calibri"/>
                <w:sz w:val="18"/>
                <w:szCs w:val="18"/>
              </w:rPr>
              <w:t>3</w:t>
            </w:r>
          </w:p>
        </w:tc>
      </w:tr>
      <w:tr w:rsidR="008F5065" w:rsidRPr="00472DF5" w14:paraId="1D361F6D" w14:textId="77777777" w:rsidTr="00BD2B26">
        <w:trPr>
          <w:trHeight w:val="419"/>
        </w:trPr>
        <w:tc>
          <w:tcPr>
            <w:tcW w:w="3098" w:type="pct"/>
            <w:tcBorders>
              <w:top w:val="nil"/>
              <w:left w:val="single" w:sz="4" w:space="0" w:color="auto"/>
              <w:bottom w:val="single" w:sz="4" w:space="0" w:color="auto"/>
              <w:right w:val="single" w:sz="4" w:space="0" w:color="auto"/>
            </w:tcBorders>
            <w:vAlign w:val="center"/>
          </w:tcPr>
          <w:p w14:paraId="04D3EBC0" w14:textId="77777777" w:rsidR="008F5065" w:rsidRPr="00472DF5" w:rsidRDefault="008F5065" w:rsidP="00BD2B26">
            <w:pPr>
              <w:jc w:val="both"/>
              <w:rPr>
                <w:rFonts w:eastAsia="Calibri"/>
                <w:sz w:val="18"/>
                <w:szCs w:val="18"/>
              </w:rPr>
            </w:pPr>
            <w:r w:rsidRPr="00472DF5">
              <w:rPr>
                <w:rFonts w:eastAsia="Calibri"/>
                <w:sz w:val="18"/>
                <w:szCs w:val="18"/>
              </w:rPr>
              <w:t>8.Обследване във връзка с процедура за цялостна оценка на безопасността на пътната мрежа на Република България (в т.ч. и с мобилна лаборатория)</w:t>
            </w:r>
          </w:p>
        </w:tc>
        <w:tc>
          <w:tcPr>
            <w:tcW w:w="604" w:type="pct"/>
            <w:tcBorders>
              <w:top w:val="single" w:sz="4" w:space="0" w:color="auto"/>
              <w:left w:val="single" w:sz="4" w:space="0" w:color="auto"/>
              <w:bottom w:val="single" w:sz="4" w:space="0" w:color="auto"/>
              <w:right w:val="single" w:sz="4" w:space="0" w:color="auto"/>
            </w:tcBorders>
            <w:vAlign w:val="center"/>
          </w:tcPr>
          <w:p w14:paraId="5107CA70" w14:textId="77777777" w:rsidR="008F5065" w:rsidRPr="00472DF5" w:rsidRDefault="008F5065" w:rsidP="00BD2B26">
            <w:pPr>
              <w:jc w:val="center"/>
              <w:rPr>
                <w:rFonts w:eastAsia="Calibri"/>
                <w:sz w:val="18"/>
                <w:szCs w:val="18"/>
              </w:rPr>
            </w:pPr>
            <w:r w:rsidRPr="00472DF5">
              <w:rPr>
                <w:rFonts w:eastAsia="Calibri"/>
                <w:sz w:val="18"/>
                <w:szCs w:val="18"/>
              </w:rPr>
              <w:t>обследвани км</w:t>
            </w:r>
          </w:p>
        </w:tc>
        <w:tc>
          <w:tcPr>
            <w:tcW w:w="627" w:type="pct"/>
            <w:tcBorders>
              <w:top w:val="single" w:sz="4" w:space="0" w:color="auto"/>
              <w:left w:val="single" w:sz="4" w:space="0" w:color="auto"/>
              <w:bottom w:val="single" w:sz="4" w:space="0" w:color="auto"/>
              <w:right w:val="single" w:sz="4" w:space="0" w:color="auto"/>
            </w:tcBorders>
            <w:vAlign w:val="center"/>
          </w:tcPr>
          <w:p w14:paraId="32EE128A" w14:textId="77777777" w:rsidR="008F5065" w:rsidRPr="00472DF5" w:rsidRDefault="008F5065" w:rsidP="00BD2B26">
            <w:pPr>
              <w:jc w:val="center"/>
              <w:rPr>
                <w:rFonts w:eastAsia="Calibri"/>
                <w:sz w:val="18"/>
                <w:szCs w:val="18"/>
              </w:rPr>
            </w:pPr>
            <w:r w:rsidRPr="00472DF5">
              <w:rPr>
                <w:rFonts w:eastAsia="Calibri"/>
                <w:sz w:val="18"/>
                <w:szCs w:val="18"/>
              </w:rPr>
              <w:t>2 000</w:t>
            </w:r>
          </w:p>
        </w:tc>
        <w:tc>
          <w:tcPr>
            <w:tcW w:w="671" w:type="pct"/>
            <w:tcBorders>
              <w:top w:val="single" w:sz="4" w:space="0" w:color="auto"/>
              <w:left w:val="single" w:sz="4" w:space="0" w:color="auto"/>
              <w:bottom w:val="single" w:sz="4" w:space="0" w:color="auto"/>
              <w:right w:val="single" w:sz="4" w:space="0" w:color="auto"/>
            </w:tcBorders>
            <w:vAlign w:val="center"/>
          </w:tcPr>
          <w:p w14:paraId="724A0887" w14:textId="77777777" w:rsidR="008F5065" w:rsidRPr="00472DF5" w:rsidRDefault="008F5065" w:rsidP="00BD2B26">
            <w:pPr>
              <w:jc w:val="center"/>
              <w:rPr>
                <w:rFonts w:eastAsia="Calibri"/>
                <w:sz w:val="18"/>
                <w:szCs w:val="18"/>
              </w:rPr>
            </w:pPr>
            <w:r w:rsidRPr="00472DF5">
              <w:rPr>
                <w:rFonts w:eastAsia="Calibri"/>
                <w:sz w:val="18"/>
                <w:szCs w:val="18"/>
              </w:rPr>
              <w:t>500</w:t>
            </w:r>
          </w:p>
        </w:tc>
      </w:tr>
      <w:tr w:rsidR="008F5065" w:rsidRPr="00472DF5" w14:paraId="31CF861A" w14:textId="77777777" w:rsidTr="00BD2B26">
        <w:trPr>
          <w:trHeight w:val="242"/>
        </w:trPr>
        <w:tc>
          <w:tcPr>
            <w:tcW w:w="3098" w:type="pct"/>
            <w:tcBorders>
              <w:top w:val="nil"/>
              <w:left w:val="single" w:sz="4" w:space="0" w:color="auto"/>
              <w:bottom w:val="single" w:sz="4" w:space="0" w:color="auto"/>
              <w:right w:val="single" w:sz="4" w:space="0" w:color="auto"/>
            </w:tcBorders>
            <w:shd w:val="clear" w:color="auto" w:fill="auto"/>
            <w:vAlign w:val="center"/>
          </w:tcPr>
          <w:p w14:paraId="40606028" w14:textId="77777777" w:rsidR="008F5065" w:rsidRPr="00472DF5" w:rsidRDefault="008F5065" w:rsidP="00BD2B26">
            <w:pPr>
              <w:jc w:val="both"/>
              <w:rPr>
                <w:rFonts w:eastAsia="Calibri"/>
                <w:sz w:val="18"/>
                <w:szCs w:val="18"/>
              </w:rPr>
            </w:pPr>
            <w:r w:rsidRPr="00472DF5">
              <w:rPr>
                <w:rFonts w:eastAsia="Calibri"/>
                <w:sz w:val="18"/>
                <w:szCs w:val="18"/>
              </w:rPr>
              <w:t>9.Извършени огледи, проверки, инспекции на пътната инфраструктура по отношение на пътната безопасност</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4C55A3EA" w14:textId="77777777" w:rsidR="008F5065" w:rsidRPr="00472DF5" w:rsidRDefault="008F5065" w:rsidP="00BD2B26">
            <w:pPr>
              <w:jc w:val="center"/>
              <w:rPr>
                <w:rFonts w:eastAsia="Calibri"/>
                <w:sz w:val="18"/>
                <w:szCs w:val="18"/>
              </w:rPr>
            </w:pPr>
            <w:r w:rsidRPr="00472DF5">
              <w:rPr>
                <w:rFonts w:eastAsia="Calibri"/>
                <w:sz w:val="18"/>
                <w:szCs w:val="18"/>
              </w:rPr>
              <w:t>брой</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0C7E297E" w14:textId="77777777" w:rsidR="008F5065" w:rsidRPr="00472DF5" w:rsidRDefault="008F5065" w:rsidP="00BD2B26">
            <w:pPr>
              <w:jc w:val="center"/>
              <w:rPr>
                <w:rFonts w:eastAsia="Calibri"/>
                <w:sz w:val="18"/>
                <w:szCs w:val="18"/>
              </w:rPr>
            </w:pPr>
            <w:r w:rsidRPr="00472DF5">
              <w:rPr>
                <w:rFonts w:eastAsia="Calibri"/>
                <w:sz w:val="18"/>
                <w:szCs w:val="18"/>
              </w:rPr>
              <w:t>40</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5F0A8650" w14:textId="77777777" w:rsidR="008F5065" w:rsidRPr="00472DF5" w:rsidRDefault="008F5065" w:rsidP="00BD2B26">
            <w:pPr>
              <w:jc w:val="center"/>
              <w:rPr>
                <w:rFonts w:eastAsia="Calibri"/>
                <w:sz w:val="18"/>
                <w:szCs w:val="18"/>
              </w:rPr>
            </w:pPr>
            <w:r w:rsidRPr="00472DF5">
              <w:rPr>
                <w:rFonts w:eastAsia="Calibri"/>
                <w:sz w:val="18"/>
                <w:szCs w:val="18"/>
              </w:rPr>
              <w:t>10</w:t>
            </w:r>
          </w:p>
        </w:tc>
      </w:tr>
      <w:tr w:rsidR="008F5065" w:rsidRPr="00472DF5" w14:paraId="64319D94" w14:textId="77777777" w:rsidTr="00BD2B26">
        <w:trPr>
          <w:trHeight w:val="242"/>
        </w:trPr>
        <w:tc>
          <w:tcPr>
            <w:tcW w:w="3098" w:type="pct"/>
            <w:tcBorders>
              <w:top w:val="nil"/>
              <w:left w:val="single" w:sz="4" w:space="0" w:color="auto"/>
              <w:bottom w:val="single" w:sz="4" w:space="0" w:color="auto"/>
              <w:right w:val="single" w:sz="4" w:space="0" w:color="auto"/>
            </w:tcBorders>
            <w:vAlign w:val="center"/>
          </w:tcPr>
          <w:p w14:paraId="01586186" w14:textId="77777777" w:rsidR="008F5065" w:rsidRPr="00472DF5" w:rsidRDefault="008F5065" w:rsidP="00BD2B26">
            <w:pPr>
              <w:jc w:val="both"/>
              <w:rPr>
                <w:rFonts w:eastAsia="Calibri"/>
                <w:sz w:val="18"/>
                <w:szCs w:val="18"/>
              </w:rPr>
            </w:pPr>
            <w:r w:rsidRPr="00472DF5">
              <w:rPr>
                <w:rFonts w:eastAsia="Calibri"/>
                <w:sz w:val="18"/>
                <w:szCs w:val="18"/>
              </w:rPr>
              <w:t>10.Действия по сигнали от граждани и юридически лица</w:t>
            </w:r>
          </w:p>
        </w:tc>
        <w:tc>
          <w:tcPr>
            <w:tcW w:w="604" w:type="pct"/>
            <w:tcBorders>
              <w:top w:val="single" w:sz="4" w:space="0" w:color="auto"/>
              <w:left w:val="single" w:sz="4" w:space="0" w:color="auto"/>
              <w:bottom w:val="single" w:sz="4" w:space="0" w:color="auto"/>
              <w:right w:val="single" w:sz="4" w:space="0" w:color="auto"/>
            </w:tcBorders>
            <w:vAlign w:val="center"/>
          </w:tcPr>
          <w:p w14:paraId="36A20F7F" w14:textId="77777777" w:rsidR="008F5065" w:rsidRPr="00472DF5" w:rsidRDefault="008F5065" w:rsidP="00BD2B26">
            <w:pPr>
              <w:jc w:val="center"/>
              <w:rPr>
                <w:rFonts w:eastAsia="Calibri"/>
                <w:sz w:val="18"/>
                <w:szCs w:val="18"/>
              </w:rPr>
            </w:pPr>
            <w:r w:rsidRPr="00472DF5">
              <w:rPr>
                <w:rFonts w:eastAsia="Calibri"/>
                <w:sz w:val="18"/>
                <w:szCs w:val="18"/>
              </w:rPr>
              <w:t>брой</w:t>
            </w:r>
          </w:p>
        </w:tc>
        <w:tc>
          <w:tcPr>
            <w:tcW w:w="627" w:type="pct"/>
            <w:tcBorders>
              <w:top w:val="single" w:sz="4" w:space="0" w:color="auto"/>
              <w:left w:val="single" w:sz="4" w:space="0" w:color="auto"/>
              <w:bottom w:val="single" w:sz="4" w:space="0" w:color="auto"/>
              <w:right w:val="single" w:sz="4" w:space="0" w:color="auto"/>
            </w:tcBorders>
            <w:vAlign w:val="center"/>
          </w:tcPr>
          <w:p w14:paraId="02394F5D" w14:textId="77777777" w:rsidR="008F5065" w:rsidRPr="00472DF5" w:rsidRDefault="008F5065" w:rsidP="00BD2B26">
            <w:pPr>
              <w:jc w:val="center"/>
              <w:rPr>
                <w:rFonts w:eastAsia="Calibri"/>
                <w:sz w:val="18"/>
                <w:szCs w:val="18"/>
              </w:rPr>
            </w:pPr>
            <w:r w:rsidRPr="00472DF5">
              <w:rPr>
                <w:rFonts w:eastAsia="Calibri"/>
                <w:sz w:val="18"/>
                <w:szCs w:val="18"/>
              </w:rPr>
              <w:t>45</w:t>
            </w:r>
          </w:p>
        </w:tc>
        <w:tc>
          <w:tcPr>
            <w:tcW w:w="671" w:type="pct"/>
            <w:tcBorders>
              <w:top w:val="single" w:sz="4" w:space="0" w:color="auto"/>
              <w:left w:val="single" w:sz="4" w:space="0" w:color="auto"/>
              <w:bottom w:val="single" w:sz="4" w:space="0" w:color="auto"/>
              <w:right w:val="single" w:sz="4" w:space="0" w:color="auto"/>
            </w:tcBorders>
            <w:vAlign w:val="center"/>
          </w:tcPr>
          <w:p w14:paraId="6BA641A7" w14:textId="77777777" w:rsidR="008F5065" w:rsidRPr="00472DF5" w:rsidRDefault="008F5065" w:rsidP="00BD2B26">
            <w:pPr>
              <w:jc w:val="center"/>
              <w:rPr>
                <w:rFonts w:eastAsia="Calibri"/>
                <w:sz w:val="18"/>
                <w:szCs w:val="18"/>
              </w:rPr>
            </w:pPr>
            <w:r w:rsidRPr="00472DF5">
              <w:rPr>
                <w:rFonts w:eastAsia="Calibri"/>
                <w:sz w:val="18"/>
                <w:szCs w:val="18"/>
              </w:rPr>
              <w:t>85</w:t>
            </w:r>
          </w:p>
        </w:tc>
      </w:tr>
      <w:tr w:rsidR="008F5065" w:rsidRPr="00472DF5" w14:paraId="458EC098" w14:textId="77777777" w:rsidTr="00BD2B26">
        <w:trPr>
          <w:trHeight w:val="242"/>
        </w:trPr>
        <w:tc>
          <w:tcPr>
            <w:tcW w:w="3098" w:type="pct"/>
            <w:tcBorders>
              <w:top w:val="nil"/>
              <w:left w:val="single" w:sz="4" w:space="0" w:color="auto"/>
              <w:bottom w:val="single" w:sz="4" w:space="0" w:color="auto"/>
              <w:right w:val="single" w:sz="4" w:space="0" w:color="auto"/>
            </w:tcBorders>
            <w:vAlign w:val="center"/>
          </w:tcPr>
          <w:p w14:paraId="5E77158C" w14:textId="77777777" w:rsidR="008F5065" w:rsidRPr="00472DF5" w:rsidRDefault="008F5065" w:rsidP="00BD2B26">
            <w:pPr>
              <w:jc w:val="both"/>
              <w:rPr>
                <w:rFonts w:eastAsia="Calibri"/>
                <w:sz w:val="18"/>
                <w:szCs w:val="18"/>
              </w:rPr>
            </w:pPr>
            <w:r w:rsidRPr="00472DF5">
              <w:rPr>
                <w:rFonts w:eastAsia="Calibri"/>
                <w:sz w:val="18"/>
                <w:szCs w:val="18"/>
              </w:rPr>
              <w:t>11.Проведени заседания на ДОККПБДП</w:t>
            </w:r>
          </w:p>
        </w:tc>
        <w:tc>
          <w:tcPr>
            <w:tcW w:w="604" w:type="pct"/>
            <w:tcBorders>
              <w:top w:val="single" w:sz="4" w:space="0" w:color="auto"/>
              <w:left w:val="single" w:sz="4" w:space="0" w:color="auto"/>
              <w:bottom w:val="single" w:sz="4" w:space="0" w:color="auto"/>
              <w:right w:val="single" w:sz="4" w:space="0" w:color="auto"/>
            </w:tcBorders>
            <w:vAlign w:val="center"/>
          </w:tcPr>
          <w:p w14:paraId="19829373" w14:textId="77777777" w:rsidR="008F5065" w:rsidRPr="00472DF5" w:rsidRDefault="008F5065" w:rsidP="00BD2B26">
            <w:pPr>
              <w:jc w:val="center"/>
              <w:rPr>
                <w:rFonts w:eastAsia="Calibri"/>
                <w:sz w:val="18"/>
                <w:szCs w:val="18"/>
              </w:rPr>
            </w:pPr>
            <w:r w:rsidRPr="00472DF5">
              <w:rPr>
                <w:rFonts w:eastAsia="Calibri"/>
                <w:sz w:val="18"/>
                <w:szCs w:val="18"/>
              </w:rPr>
              <w:t>брой</w:t>
            </w:r>
          </w:p>
        </w:tc>
        <w:tc>
          <w:tcPr>
            <w:tcW w:w="627" w:type="pct"/>
            <w:tcBorders>
              <w:top w:val="single" w:sz="4" w:space="0" w:color="auto"/>
              <w:left w:val="single" w:sz="4" w:space="0" w:color="auto"/>
              <w:bottom w:val="single" w:sz="4" w:space="0" w:color="auto"/>
              <w:right w:val="single" w:sz="4" w:space="0" w:color="auto"/>
            </w:tcBorders>
            <w:vAlign w:val="center"/>
          </w:tcPr>
          <w:p w14:paraId="415F525B" w14:textId="77777777" w:rsidR="008F5065" w:rsidRPr="00472DF5" w:rsidRDefault="008F5065" w:rsidP="00BD2B26">
            <w:pPr>
              <w:jc w:val="center"/>
              <w:rPr>
                <w:rFonts w:eastAsia="Calibri"/>
                <w:sz w:val="18"/>
                <w:szCs w:val="18"/>
              </w:rPr>
            </w:pPr>
            <w:r w:rsidRPr="00472DF5">
              <w:rPr>
                <w:rFonts w:eastAsia="Calibri"/>
                <w:sz w:val="18"/>
                <w:szCs w:val="18"/>
              </w:rPr>
              <w:t>4</w:t>
            </w:r>
          </w:p>
        </w:tc>
        <w:tc>
          <w:tcPr>
            <w:tcW w:w="671" w:type="pct"/>
            <w:tcBorders>
              <w:top w:val="single" w:sz="4" w:space="0" w:color="auto"/>
              <w:left w:val="single" w:sz="4" w:space="0" w:color="auto"/>
              <w:bottom w:val="single" w:sz="4" w:space="0" w:color="auto"/>
              <w:right w:val="single" w:sz="4" w:space="0" w:color="auto"/>
            </w:tcBorders>
            <w:vAlign w:val="center"/>
          </w:tcPr>
          <w:p w14:paraId="00E75404" w14:textId="77777777" w:rsidR="008F5065" w:rsidRPr="00472DF5" w:rsidRDefault="008F5065" w:rsidP="00BD2B26">
            <w:pPr>
              <w:jc w:val="center"/>
              <w:rPr>
                <w:rFonts w:eastAsia="Calibri"/>
                <w:sz w:val="18"/>
                <w:szCs w:val="18"/>
              </w:rPr>
            </w:pPr>
            <w:r w:rsidRPr="00472DF5">
              <w:rPr>
                <w:rFonts w:eastAsia="Calibri"/>
                <w:sz w:val="18"/>
                <w:szCs w:val="18"/>
              </w:rPr>
              <w:t>0</w:t>
            </w:r>
          </w:p>
        </w:tc>
      </w:tr>
      <w:tr w:rsidR="008F5065" w:rsidRPr="00472DF5" w14:paraId="654D35C3" w14:textId="77777777" w:rsidTr="00BD2B26">
        <w:trPr>
          <w:trHeight w:val="242"/>
        </w:trPr>
        <w:tc>
          <w:tcPr>
            <w:tcW w:w="3098" w:type="pct"/>
            <w:tcBorders>
              <w:top w:val="nil"/>
              <w:left w:val="single" w:sz="4" w:space="0" w:color="auto"/>
              <w:bottom w:val="single" w:sz="4" w:space="0" w:color="auto"/>
              <w:right w:val="single" w:sz="4" w:space="0" w:color="auto"/>
            </w:tcBorders>
            <w:vAlign w:val="center"/>
          </w:tcPr>
          <w:p w14:paraId="107F6855" w14:textId="77777777" w:rsidR="008F5065" w:rsidRPr="00472DF5" w:rsidRDefault="008F5065" w:rsidP="00BD2B26">
            <w:pPr>
              <w:jc w:val="both"/>
              <w:rPr>
                <w:rFonts w:eastAsia="Calibri"/>
                <w:sz w:val="18"/>
                <w:szCs w:val="18"/>
              </w:rPr>
            </w:pPr>
            <w:r w:rsidRPr="00472DF5">
              <w:rPr>
                <w:rFonts w:eastAsia="Calibri"/>
                <w:sz w:val="18"/>
                <w:szCs w:val="18"/>
              </w:rPr>
              <w:t>12.Участие в международни организации в областта на пътната безопасност</w:t>
            </w:r>
          </w:p>
        </w:tc>
        <w:tc>
          <w:tcPr>
            <w:tcW w:w="604" w:type="pct"/>
            <w:tcBorders>
              <w:top w:val="single" w:sz="4" w:space="0" w:color="auto"/>
              <w:left w:val="single" w:sz="4" w:space="0" w:color="auto"/>
              <w:bottom w:val="single" w:sz="4" w:space="0" w:color="auto"/>
              <w:right w:val="single" w:sz="4" w:space="0" w:color="auto"/>
            </w:tcBorders>
            <w:vAlign w:val="center"/>
          </w:tcPr>
          <w:p w14:paraId="02D22D0B" w14:textId="77777777" w:rsidR="008F5065" w:rsidRPr="00472DF5" w:rsidRDefault="008F5065" w:rsidP="00BD2B26">
            <w:pPr>
              <w:jc w:val="center"/>
              <w:rPr>
                <w:rFonts w:eastAsia="Calibri"/>
                <w:sz w:val="18"/>
                <w:szCs w:val="18"/>
              </w:rPr>
            </w:pPr>
            <w:r w:rsidRPr="00472DF5">
              <w:rPr>
                <w:rFonts w:eastAsia="Calibri"/>
                <w:sz w:val="18"/>
                <w:szCs w:val="18"/>
              </w:rPr>
              <w:t>брой</w:t>
            </w:r>
          </w:p>
        </w:tc>
        <w:tc>
          <w:tcPr>
            <w:tcW w:w="627" w:type="pct"/>
            <w:tcBorders>
              <w:top w:val="single" w:sz="4" w:space="0" w:color="auto"/>
              <w:left w:val="single" w:sz="4" w:space="0" w:color="auto"/>
              <w:bottom w:val="single" w:sz="4" w:space="0" w:color="auto"/>
              <w:right w:val="single" w:sz="4" w:space="0" w:color="auto"/>
            </w:tcBorders>
            <w:vAlign w:val="center"/>
          </w:tcPr>
          <w:p w14:paraId="5416C042" w14:textId="77777777" w:rsidR="008F5065" w:rsidRPr="00472DF5" w:rsidRDefault="008F5065" w:rsidP="00BD2B26">
            <w:pPr>
              <w:jc w:val="center"/>
              <w:rPr>
                <w:rFonts w:eastAsia="Calibri"/>
                <w:sz w:val="18"/>
                <w:szCs w:val="18"/>
              </w:rPr>
            </w:pPr>
            <w:r w:rsidRPr="00472DF5">
              <w:rPr>
                <w:rFonts w:eastAsia="Calibri"/>
                <w:sz w:val="18"/>
                <w:szCs w:val="18"/>
              </w:rPr>
              <w:t>6</w:t>
            </w:r>
          </w:p>
        </w:tc>
        <w:tc>
          <w:tcPr>
            <w:tcW w:w="671" w:type="pct"/>
            <w:tcBorders>
              <w:top w:val="single" w:sz="4" w:space="0" w:color="auto"/>
              <w:left w:val="single" w:sz="4" w:space="0" w:color="auto"/>
              <w:bottom w:val="single" w:sz="4" w:space="0" w:color="auto"/>
              <w:right w:val="single" w:sz="4" w:space="0" w:color="auto"/>
            </w:tcBorders>
            <w:vAlign w:val="center"/>
          </w:tcPr>
          <w:p w14:paraId="07DA85D7" w14:textId="77777777" w:rsidR="008F5065" w:rsidRPr="00472DF5" w:rsidRDefault="008F5065" w:rsidP="00BD2B26">
            <w:pPr>
              <w:jc w:val="center"/>
              <w:rPr>
                <w:rFonts w:eastAsia="Calibri"/>
                <w:sz w:val="18"/>
                <w:szCs w:val="18"/>
              </w:rPr>
            </w:pPr>
            <w:r w:rsidRPr="00472DF5">
              <w:rPr>
                <w:rFonts w:eastAsia="Calibri"/>
                <w:sz w:val="18"/>
                <w:szCs w:val="18"/>
              </w:rPr>
              <w:t>5</w:t>
            </w:r>
          </w:p>
        </w:tc>
      </w:tr>
      <w:tr w:rsidR="008F5065" w:rsidRPr="00472DF5" w14:paraId="2446AE76" w14:textId="77777777" w:rsidTr="00BD2B26">
        <w:trPr>
          <w:trHeight w:val="242"/>
        </w:trPr>
        <w:tc>
          <w:tcPr>
            <w:tcW w:w="3098" w:type="pct"/>
            <w:tcBorders>
              <w:top w:val="nil"/>
              <w:left w:val="single" w:sz="4" w:space="0" w:color="auto"/>
              <w:bottom w:val="single" w:sz="4" w:space="0" w:color="auto"/>
              <w:right w:val="single" w:sz="4" w:space="0" w:color="auto"/>
            </w:tcBorders>
            <w:vAlign w:val="center"/>
          </w:tcPr>
          <w:p w14:paraId="5E145D91" w14:textId="77777777" w:rsidR="008F5065" w:rsidRPr="00472DF5" w:rsidRDefault="008F5065" w:rsidP="00BD2B26">
            <w:pPr>
              <w:jc w:val="both"/>
              <w:rPr>
                <w:rFonts w:eastAsia="Calibri"/>
                <w:sz w:val="18"/>
                <w:szCs w:val="18"/>
              </w:rPr>
            </w:pPr>
            <w:r w:rsidRPr="00472DF5">
              <w:rPr>
                <w:rFonts w:eastAsia="Calibri"/>
                <w:sz w:val="18"/>
                <w:szCs w:val="18"/>
              </w:rPr>
              <w:t>13.Съгласуване на областни годишни доклади и план-програми по БДП</w:t>
            </w:r>
          </w:p>
        </w:tc>
        <w:tc>
          <w:tcPr>
            <w:tcW w:w="604" w:type="pct"/>
            <w:tcBorders>
              <w:top w:val="single" w:sz="4" w:space="0" w:color="auto"/>
              <w:left w:val="single" w:sz="4" w:space="0" w:color="auto"/>
              <w:bottom w:val="single" w:sz="4" w:space="0" w:color="auto"/>
              <w:right w:val="single" w:sz="4" w:space="0" w:color="auto"/>
            </w:tcBorders>
            <w:vAlign w:val="center"/>
          </w:tcPr>
          <w:p w14:paraId="4E567AD0" w14:textId="77777777" w:rsidR="008F5065" w:rsidRPr="00472DF5" w:rsidRDefault="008F5065" w:rsidP="00BD2B26">
            <w:pPr>
              <w:jc w:val="center"/>
              <w:rPr>
                <w:rFonts w:eastAsia="Calibri"/>
                <w:sz w:val="18"/>
                <w:szCs w:val="18"/>
              </w:rPr>
            </w:pPr>
            <w:r w:rsidRPr="00472DF5">
              <w:rPr>
                <w:rFonts w:eastAsia="Calibri"/>
                <w:sz w:val="18"/>
                <w:szCs w:val="18"/>
              </w:rPr>
              <w:t>брой</w:t>
            </w:r>
          </w:p>
        </w:tc>
        <w:tc>
          <w:tcPr>
            <w:tcW w:w="627" w:type="pct"/>
            <w:tcBorders>
              <w:top w:val="single" w:sz="4" w:space="0" w:color="auto"/>
              <w:left w:val="single" w:sz="4" w:space="0" w:color="auto"/>
              <w:bottom w:val="single" w:sz="4" w:space="0" w:color="auto"/>
              <w:right w:val="single" w:sz="4" w:space="0" w:color="auto"/>
            </w:tcBorders>
            <w:vAlign w:val="center"/>
          </w:tcPr>
          <w:p w14:paraId="66B2500E" w14:textId="77777777" w:rsidR="008F5065" w:rsidRPr="00472DF5" w:rsidRDefault="008F5065" w:rsidP="00BD2B26">
            <w:pPr>
              <w:jc w:val="center"/>
              <w:rPr>
                <w:rFonts w:eastAsia="Calibri"/>
                <w:sz w:val="18"/>
                <w:szCs w:val="18"/>
              </w:rPr>
            </w:pPr>
            <w:r w:rsidRPr="00472DF5">
              <w:rPr>
                <w:rFonts w:eastAsia="Calibri"/>
                <w:sz w:val="18"/>
                <w:szCs w:val="18"/>
              </w:rPr>
              <w:t>28</w:t>
            </w:r>
          </w:p>
        </w:tc>
        <w:tc>
          <w:tcPr>
            <w:tcW w:w="671" w:type="pct"/>
            <w:tcBorders>
              <w:top w:val="single" w:sz="4" w:space="0" w:color="auto"/>
              <w:left w:val="single" w:sz="4" w:space="0" w:color="auto"/>
              <w:bottom w:val="single" w:sz="4" w:space="0" w:color="auto"/>
              <w:right w:val="single" w:sz="4" w:space="0" w:color="auto"/>
            </w:tcBorders>
            <w:vAlign w:val="center"/>
          </w:tcPr>
          <w:p w14:paraId="61B628C3" w14:textId="77777777" w:rsidR="008F5065" w:rsidRPr="00472DF5" w:rsidRDefault="008F5065" w:rsidP="00BD2B26">
            <w:pPr>
              <w:jc w:val="center"/>
              <w:rPr>
                <w:rFonts w:eastAsia="Calibri"/>
                <w:sz w:val="18"/>
                <w:szCs w:val="18"/>
              </w:rPr>
            </w:pPr>
            <w:r w:rsidRPr="00472DF5">
              <w:rPr>
                <w:rFonts w:eastAsia="Calibri"/>
                <w:sz w:val="18"/>
                <w:szCs w:val="18"/>
              </w:rPr>
              <w:t>28</w:t>
            </w:r>
          </w:p>
        </w:tc>
      </w:tr>
      <w:tr w:rsidR="008F5065" w:rsidRPr="00472DF5" w14:paraId="4609EF64" w14:textId="77777777" w:rsidTr="00BD2B26">
        <w:trPr>
          <w:trHeight w:val="242"/>
        </w:trPr>
        <w:tc>
          <w:tcPr>
            <w:tcW w:w="3098" w:type="pct"/>
            <w:tcBorders>
              <w:top w:val="nil"/>
              <w:left w:val="single" w:sz="4" w:space="0" w:color="auto"/>
              <w:bottom w:val="single" w:sz="4" w:space="0" w:color="auto"/>
              <w:right w:val="single" w:sz="4" w:space="0" w:color="auto"/>
            </w:tcBorders>
            <w:vAlign w:val="center"/>
          </w:tcPr>
          <w:p w14:paraId="469FB4BE" w14:textId="77777777" w:rsidR="008F5065" w:rsidRPr="00472DF5" w:rsidRDefault="008F5065" w:rsidP="00BD2B26">
            <w:pPr>
              <w:jc w:val="both"/>
              <w:rPr>
                <w:rFonts w:eastAsia="Calibri"/>
                <w:sz w:val="18"/>
                <w:szCs w:val="18"/>
              </w:rPr>
            </w:pPr>
            <w:r w:rsidRPr="00472DF5">
              <w:rPr>
                <w:rFonts w:eastAsia="Calibri"/>
                <w:sz w:val="18"/>
                <w:szCs w:val="18"/>
              </w:rPr>
              <w:t>14.Анализ на оперативната дейност на областните комисии по БДП</w:t>
            </w:r>
          </w:p>
        </w:tc>
        <w:tc>
          <w:tcPr>
            <w:tcW w:w="604" w:type="pct"/>
            <w:tcBorders>
              <w:top w:val="single" w:sz="4" w:space="0" w:color="auto"/>
              <w:left w:val="single" w:sz="4" w:space="0" w:color="auto"/>
              <w:bottom w:val="single" w:sz="4" w:space="0" w:color="auto"/>
              <w:right w:val="single" w:sz="4" w:space="0" w:color="auto"/>
            </w:tcBorders>
            <w:vAlign w:val="center"/>
          </w:tcPr>
          <w:p w14:paraId="77E5A89F" w14:textId="77777777" w:rsidR="008F5065" w:rsidRPr="00472DF5" w:rsidRDefault="008F5065" w:rsidP="00BD2B26">
            <w:pPr>
              <w:jc w:val="center"/>
              <w:rPr>
                <w:rFonts w:eastAsia="Calibri"/>
                <w:sz w:val="18"/>
                <w:szCs w:val="18"/>
              </w:rPr>
            </w:pPr>
            <w:r w:rsidRPr="00472DF5">
              <w:rPr>
                <w:rFonts w:eastAsia="Calibri"/>
                <w:sz w:val="18"/>
                <w:szCs w:val="18"/>
              </w:rPr>
              <w:t>брой</w:t>
            </w:r>
          </w:p>
        </w:tc>
        <w:tc>
          <w:tcPr>
            <w:tcW w:w="627" w:type="pct"/>
            <w:tcBorders>
              <w:top w:val="single" w:sz="4" w:space="0" w:color="auto"/>
              <w:left w:val="single" w:sz="4" w:space="0" w:color="auto"/>
              <w:bottom w:val="single" w:sz="4" w:space="0" w:color="auto"/>
              <w:right w:val="single" w:sz="4" w:space="0" w:color="auto"/>
            </w:tcBorders>
            <w:vAlign w:val="center"/>
          </w:tcPr>
          <w:p w14:paraId="4082E687" w14:textId="77777777" w:rsidR="008F5065" w:rsidRPr="00472DF5" w:rsidRDefault="008F5065" w:rsidP="00BD2B26">
            <w:pPr>
              <w:jc w:val="center"/>
              <w:rPr>
                <w:rFonts w:eastAsia="Calibri"/>
                <w:sz w:val="18"/>
                <w:szCs w:val="18"/>
              </w:rPr>
            </w:pPr>
            <w:r w:rsidRPr="00472DF5">
              <w:rPr>
                <w:rFonts w:eastAsia="Calibri"/>
                <w:sz w:val="18"/>
                <w:szCs w:val="18"/>
              </w:rPr>
              <w:t>1</w:t>
            </w:r>
          </w:p>
        </w:tc>
        <w:tc>
          <w:tcPr>
            <w:tcW w:w="671" w:type="pct"/>
            <w:tcBorders>
              <w:top w:val="single" w:sz="4" w:space="0" w:color="auto"/>
              <w:left w:val="single" w:sz="4" w:space="0" w:color="auto"/>
              <w:bottom w:val="single" w:sz="4" w:space="0" w:color="auto"/>
              <w:right w:val="single" w:sz="4" w:space="0" w:color="auto"/>
            </w:tcBorders>
            <w:vAlign w:val="center"/>
          </w:tcPr>
          <w:p w14:paraId="78D2B22A" w14:textId="77777777" w:rsidR="008F5065" w:rsidRPr="00472DF5" w:rsidRDefault="008F5065" w:rsidP="00BD2B26">
            <w:pPr>
              <w:jc w:val="center"/>
              <w:rPr>
                <w:rFonts w:eastAsia="Calibri"/>
                <w:sz w:val="18"/>
                <w:szCs w:val="18"/>
              </w:rPr>
            </w:pPr>
            <w:r w:rsidRPr="00472DF5">
              <w:rPr>
                <w:rFonts w:eastAsia="Calibri"/>
                <w:sz w:val="18"/>
                <w:szCs w:val="18"/>
              </w:rPr>
              <w:t>1</w:t>
            </w:r>
          </w:p>
        </w:tc>
      </w:tr>
      <w:tr w:rsidR="008F5065" w:rsidRPr="00472DF5" w14:paraId="75F15E8F" w14:textId="77777777" w:rsidTr="00BD2B26">
        <w:trPr>
          <w:trHeight w:val="242"/>
        </w:trPr>
        <w:tc>
          <w:tcPr>
            <w:tcW w:w="3098" w:type="pct"/>
            <w:tcBorders>
              <w:top w:val="single" w:sz="4" w:space="0" w:color="auto"/>
              <w:left w:val="single" w:sz="4" w:space="0" w:color="auto"/>
              <w:bottom w:val="single" w:sz="4" w:space="0" w:color="auto"/>
              <w:right w:val="single" w:sz="4" w:space="0" w:color="auto"/>
            </w:tcBorders>
            <w:shd w:val="clear" w:color="auto" w:fill="FFFFFF"/>
            <w:vAlign w:val="center"/>
          </w:tcPr>
          <w:p w14:paraId="0631AC2B" w14:textId="77777777" w:rsidR="008F5065" w:rsidRPr="00472DF5" w:rsidRDefault="008F5065" w:rsidP="00BD2B26">
            <w:pPr>
              <w:jc w:val="both"/>
              <w:rPr>
                <w:rFonts w:eastAsia="Calibri"/>
                <w:sz w:val="18"/>
                <w:szCs w:val="18"/>
              </w:rPr>
            </w:pPr>
            <w:r w:rsidRPr="00472DF5">
              <w:rPr>
                <w:rFonts w:eastAsia="Calibri"/>
                <w:sz w:val="18"/>
                <w:szCs w:val="18"/>
              </w:rPr>
              <w:t>15.Проведени обучения за общини</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3AA6A31F" w14:textId="77777777" w:rsidR="008F5065" w:rsidRPr="00472DF5" w:rsidRDefault="008F5065" w:rsidP="00BD2B26">
            <w:pPr>
              <w:jc w:val="center"/>
              <w:rPr>
                <w:rFonts w:eastAsia="Calibri"/>
                <w:sz w:val="18"/>
                <w:szCs w:val="18"/>
              </w:rPr>
            </w:pPr>
            <w:r w:rsidRPr="00472DF5">
              <w:rPr>
                <w:rFonts w:eastAsia="Calibri"/>
                <w:sz w:val="18"/>
                <w:szCs w:val="18"/>
              </w:rPr>
              <w:t>брой</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14:paraId="25CCAA44" w14:textId="77777777" w:rsidR="008F5065" w:rsidRPr="00472DF5" w:rsidRDefault="008F5065" w:rsidP="00BD2B26">
            <w:pPr>
              <w:jc w:val="center"/>
              <w:rPr>
                <w:rFonts w:eastAsia="Calibri"/>
                <w:sz w:val="18"/>
                <w:szCs w:val="18"/>
              </w:rPr>
            </w:pPr>
            <w:r w:rsidRPr="00472DF5">
              <w:rPr>
                <w:rFonts w:eastAsia="Calibri"/>
                <w:sz w:val="18"/>
                <w:szCs w:val="18"/>
              </w:rPr>
              <w:t>5</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37ACA98D" w14:textId="77777777" w:rsidR="008F5065" w:rsidRPr="00472DF5" w:rsidRDefault="008F5065" w:rsidP="00BD2B26">
            <w:pPr>
              <w:jc w:val="center"/>
              <w:rPr>
                <w:rFonts w:eastAsia="Calibri"/>
                <w:sz w:val="18"/>
                <w:szCs w:val="18"/>
              </w:rPr>
            </w:pPr>
            <w:r w:rsidRPr="00472DF5">
              <w:rPr>
                <w:rFonts w:eastAsia="Calibri"/>
                <w:sz w:val="18"/>
                <w:szCs w:val="18"/>
              </w:rPr>
              <w:t>4</w:t>
            </w:r>
          </w:p>
        </w:tc>
      </w:tr>
      <w:tr w:rsidR="008F5065" w:rsidRPr="00472DF5" w14:paraId="09D9211A" w14:textId="77777777" w:rsidTr="00BD2B26">
        <w:trPr>
          <w:trHeight w:val="242"/>
        </w:trPr>
        <w:tc>
          <w:tcPr>
            <w:tcW w:w="3098" w:type="pct"/>
            <w:tcBorders>
              <w:top w:val="nil"/>
              <w:left w:val="single" w:sz="4" w:space="0" w:color="auto"/>
              <w:bottom w:val="single" w:sz="4" w:space="0" w:color="auto"/>
              <w:right w:val="single" w:sz="4" w:space="0" w:color="auto"/>
            </w:tcBorders>
          </w:tcPr>
          <w:p w14:paraId="47C59A12" w14:textId="77777777" w:rsidR="008F5065" w:rsidRPr="00472DF5" w:rsidRDefault="008F5065" w:rsidP="00BD2B26">
            <w:pPr>
              <w:jc w:val="both"/>
              <w:rPr>
                <w:rFonts w:eastAsia="Calibri"/>
                <w:sz w:val="18"/>
                <w:szCs w:val="18"/>
              </w:rPr>
            </w:pPr>
            <w:r w:rsidRPr="00472DF5">
              <w:rPr>
                <w:rFonts w:eastAsia="Calibri"/>
                <w:sz w:val="18"/>
                <w:szCs w:val="18"/>
              </w:rPr>
              <w:t>16.Изготвен годишен доклад за състоянието на БДП и изпълнение на Националната стратегия по БДП</w:t>
            </w:r>
          </w:p>
        </w:tc>
        <w:tc>
          <w:tcPr>
            <w:tcW w:w="604" w:type="pct"/>
            <w:tcBorders>
              <w:top w:val="single" w:sz="4" w:space="0" w:color="auto"/>
              <w:left w:val="single" w:sz="4" w:space="0" w:color="auto"/>
              <w:bottom w:val="single" w:sz="4" w:space="0" w:color="auto"/>
              <w:right w:val="single" w:sz="4" w:space="0" w:color="auto"/>
            </w:tcBorders>
            <w:vAlign w:val="center"/>
          </w:tcPr>
          <w:p w14:paraId="02B483C7" w14:textId="77777777" w:rsidR="008F5065" w:rsidRPr="00472DF5" w:rsidRDefault="008F5065" w:rsidP="00BD2B26">
            <w:pPr>
              <w:jc w:val="center"/>
              <w:rPr>
                <w:rFonts w:eastAsia="Calibri"/>
                <w:sz w:val="18"/>
                <w:szCs w:val="18"/>
              </w:rPr>
            </w:pPr>
            <w:r w:rsidRPr="00472DF5">
              <w:rPr>
                <w:rFonts w:eastAsia="Calibri"/>
                <w:sz w:val="18"/>
                <w:szCs w:val="18"/>
              </w:rPr>
              <w:t>брой</w:t>
            </w:r>
          </w:p>
        </w:tc>
        <w:tc>
          <w:tcPr>
            <w:tcW w:w="627" w:type="pct"/>
            <w:tcBorders>
              <w:top w:val="single" w:sz="4" w:space="0" w:color="auto"/>
              <w:left w:val="single" w:sz="4" w:space="0" w:color="auto"/>
              <w:bottom w:val="single" w:sz="4" w:space="0" w:color="auto"/>
              <w:right w:val="single" w:sz="4" w:space="0" w:color="auto"/>
            </w:tcBorders>
            <w:vAlign w:val="center"/>
          </w:tcPr>
          <w:p w14:paraId="62301799" w14:textId="77777777" w:rsidR="008F5065" w:rsidRPr="00472DF5" w:rsidRDefault="008F5065" w:rsidP="00BD2B26">
            <w:pPr>
              <w:jc w:val="center"/>
              <w:rPr>
                <w:rFonts w:eastAsia="Calibri"/>
                <w:sz w:val="18"/>
                <w:szCs w:val="18"/>
              </w:rPr>
            </w:pPr>
            <w:r w:rsidRPr="00472DF5">
              <w:rPr>
                <w:rFonts w:eastAsia="Calibri"/>
                <w:sz w:val="18"/>
                <w:szCs w:val="18"/>
              </w:rPr>
              <w:t>1</w:t>
            </w:r>
          </w:p>
        </w:tc>
        <w:tc>
          <w:tcPr>
            <w:tcW w:w="671" w:type="pct"/>
            <w:tcBorders>
              <w:top w:val="single" w:sz="4" w:space="0" w:color="auto"/>
              <w:left w:val="single" w:sz="4" w:space="0" w:color="auto"/>
              <w:bottom w:val="single" w:sz="4" w:space="0" w:color="auto"/>
              <w:right w:val="single" w:sz="4" w:space="0" w:color="auto"/>
            </w:tcBorders>
            <w:vAlign w:val="center"/>
          </w:tcPr>
          <w:p w14:paraId="6A062C29" w14:textId="77777777" w:rsidR="008F5065" w:rsidRPr="00472DF5" w:rsidRDefault="008F5065" w:rsidP="00BD2B26">
            <w:pPr>
              <w:jc w:val="center"/>
              <w:rPr>
                <w:rFonts w:eastAsia="Calibri"/>
                <w:sz w:val="18"/>
                <w:szCs w:val="18"/>
              </w:rPr>
            </w:pPr>
            <w:r w:rsidRPr="00472DF5">
              <w:rPr>
                <w:rFonts w:eastAsia="Calibri"/>
                <w:sz w:val="18"/>
                <w:szCs w:val="18"/>
              </w:rPr>
              <w:t>0</w:t>
            </w:r>
          </w:p>
        </w:tc>
      </w:tr>
      <w:tr w:rsidR="008F5065" w:rsidRPr="00472DF5" w14:paraId="47ABF526" w14:textId="77777777" w:rsidTr="00BD2B26">
        <w:trPr>
          <w:trHeight w:val="242"/>
        </w:trPr>
        <w:tc>
          <w:tcPr>
            <w:tcW w:w="3098" w:type="pct"/>
            <w:tcBorders>
              <w:top w:val="nil"/>
              <w:left w:val="single" w:sz="4" w:space="0" w:color="auto"/>
              <w:bottom w:val="single" w:sz="4" w:space="0" w:color="auto"/>
              <w:right w:val="single" w:sz="4" w:space="0" w:color="auto"/>
            </w:tcBorders>
          </w:tcPr>
          <w:p w14:paraId="69D78DC0" w14:textId="77777777" w:rsidR="008F5065" w:rsidRPr="00472DF5" w:rsidRDefault="008F5065" w:rsidP="00BD2B26">
            <w:pPr>
              <w:jc w:val="both"/>
              <w:rPr>
                <w:rFonts w:eastAsia="Calibri"/>
                <w:sz w:val="18"/>
                <w:szCs w:val="18"/>
              </w:rPr>
            </w:pPr>
            <w:r w:rsidRPr="00472DF5">
              <w:rPr>
                <w:rFonts w:eastAsia="Calibri"/>
                <w:sz w:val="18"/>
                <w:szCs w:val="18"/>
              </w:rPr>
              <w:t>17.Изготвен оперативен план по БДП на национално ниво</w:t>
            </w:r>
          </w:p>
        </w:tc>
        <w:tc>
          <w:tcPr>
            <w:tcW w:w="604" w:type="pct"/>
            <w:tcBorders>
              <w:top w:val="single" w:sz="4" w:space="0" w:color="auto"/>
              <w:left w:val="single" w:sz="4" w:space="0" w:color="auto"/>
              <w:bottom w:val="single" w:sz="4" w:space="0" w:color="auto"/>
              <w:right w:val="single" w:sz="4" w:space="0" w:color="auto"/>
            </w:tcBorders>
            <w:vAlign w:val="center"/>
          </w:tcPr>
          <w:p w14:paraId="0D65FE82" w14:textId="77777777" w:rsidR="008F5065" w:rsidRPr="00472DF5" w:rsidRDefault="008F5065" w:rsidP="00BD2B26">
            <w:pPr>
              <w:jc w:val="center"/>
              <w:rPr>
                <w:rFonts w:eastAsia="Calibri"/>
                <w:sz w:val="18"/>
                <w:szCs w:val="18"/>
              </w:rPr>
            </w:pPr>
            <w:r w:rsidRPr="00472DF5">
              <w:rPr>
                <w:rFonts w:eastAsia="Calibri"/>
                <w:sz w:val="18"/>
                <w:szCs w:val="18"/>
              </w:rPr>
              <w:t>брой</w:t>
            </w:r>
          </w:p>
        </w:tc>
        <w:tc>
          <w:tcPr>
            <w:tcW w:w="627" w:type="pct"/>
            <w:tcBorders>
              <w:top w:val="single" w:sz="4" w:space="0" w:color="auto"/>
              <w:left w:val="single" w:sz="4" w:space="0" w:color="auto"/>
              <w:bottom w:val="single" w:sz="4" w:space="0" w:color="auto"/>
              <w:right w:val="single" w:sz="4" w:space="0" w:color="auto"/>
            </w:tcBorders>
            <w:vAlign w:val="center"/>
          </w:tcPr>
          <w:p w14:paraId="1CE16917" w14:textId="77777777" w:rsidR="008F5065" w:rsidRPr="00472DF5" w:rsidRDefault="008F5065" w:rsidP="00BD2B26">
            <w:pPr>
              <w:jc w:val="center"/>
              <w:rPr>
                <w:rFonts w:eastAsia="Calibri"/>
                <w:sz w:val="18"/>
                <w:szCs w:val="18"/>
              </w:rPr>
            </w:pPr>
            <w:r w:rsidRPr="00472DF5">
              <w:rPr>
                <w:rFonts w:eastAsia="Calibri"/>
                <w:sz w:val="18"/>
                <w:szCs w:val="18"/>
              </w:rPr>
              <w:t>1</w:t>
            </w:r>
          </w:p>
        </w:tc>
        <w:tc>
          <w:tcPr>
            <w:tcW w:w="671" w:type="pct"/>
            <w:tcBorders>
              <w:top w:val="single" w:sz="4" w:space="0" w:color="auto"/>
              <w:left w:val="single" w:sz="4" w:space="0" w:color="auto"/>
              <w:bottom w:val="single" w:sz="4" w:space="0" w:color="auto"/>
              <w:right w:val="single" w:sz="4" w:space="0" w:color="auto"/>
            </w:tcBorders>
            <w:vAlign w:val="center"/>
          </w:tcPr>
          <w:p w14:paraId="0E89631C" w14:textId="77777777" w:rsidR="008F5065" w:rsidRPr="00472DF5" w:rsidRDefault="008F5065" w:rsidP="00BD2B26">
            <w:pPr>
              <w:jc w:val="center"/>
              <w:rPr>
                <w:rFonts w:eastAsia="Calibri"/>
                <w:sz w:val="18"/>
                <w:szCs w:val="18"/>
              </w:rPr>
            </w:pPr>
            <w:r w:rsidRPr="00472DF5">
              <w:rPr>
                <w:rFonts w:eastAsia="Calibri"/>
                <w:sz w:val="18"/>
                <w:szCs w:val="18"/>
              </w:rPr>
              <w:t>1</w:t>
            </w:r>
          </w:p>
        </w:tc>
      </w:tr>
      <w:tr w:rsidR="008F5065" w:rsidRPr="00472DF5" w14:paraId="06F49918" w14:textId="77777777" w:rsidTr="00BD2B26">
        <w:trPr>
          <w:trHeight w:val="242"/>
        </w:trPr>
        <w:tc>
          <w:tcPr>
            <w:tcW w:w="3098" w:type="pct"/>
            <w:tcBorders>
              <w:top w:val="nil"/>
              <w:left w:val="single" w:sz="4" w:space="0" w:color="auto"/>
              <w:bottom w:val="single" w:sz="4" w:space="0" w:color="auto"/>
              <w:right w:val="single" w:sz="4" w:space="0" w:color="auto"/>
            </w:tcBorders>
          </w:tcPr>
          <w:p w14:paraId="2AE893B0" w14:textId="77777777" w:rsidR="008F5065" w:rsidRPr="00472DF5" w:rsidRDefault="008F5065" w:rsidP="00BD2B26">
            <w:pPr>
              <w:jc w:val="both"/>
              <w:rPr>
                <w:rFonts w:eastAsia="Calibri"/>
                <w:sz w:val="18"/>
                <w:szCs w:val="18"/>
              </w:rPr>
            </w:pPr>
            <w:r w:rsidRPr="00472DF5">
              <w:rPr>
                <w:rFonts w:eastAsia="Calibri"/>
                <w:sz w:val="18"/>
                <w:szCs w:val="18"/>
              </w:rPr>
              <w:t>18.Водене на регистър на одитори по пътна безопасност</w:t>
            </w:r>
          </w:p>
        </w:tc>
        <w:tc>
          <w:tcPr>
            <w:tcW w:w="604" w:type="pct"/>
            <w:tcBorders>
              <w:top w:val="single" w:sz="4" w:space="0" w:color="auto"/>
              <w:left w:val="single" w:sz="4" w:space="0" w:color="auto"/>
              <w:bottom w:val="single" w:sz="4" w:space="0" w:color="auto"/>
              <w:right w:val="single" w:sz="4" w:space="0" w:color="auto"/>
            </w:tcBorders>
            <w:vAlign w:val="center"/>
          </w:tcPr>
          <w:p w14:paraId="37769B75" w14:textId="77777777" w:rsidR="008F5065" w:rsidRPr="00472DF5" w:rsidRDefault="008F5065" w:rsidP="00BD2B26">
            <w:pPr>
              <w:jc w:val="center"/>
              <w:rPr>
                <w:rFonts w:eastAsia="Calibri"/>
                <w:sz w:val="18"/>
                <w:szCs w:val="18"/>
              </w:rPr>
            </w:pPr>
            <w:r w:rsidRPr="00472DF5">
              <w:rPr>
                <w:rFonts w:eastAsia="Calibri"/>
                <w:sz w:val="18"/>
                <w:szCs w:val="18"/>
              </w:rPr>
              <w:t>брой</w:t>
            </w:r>
          </w:p>
        </w:tc>
        <w:tc>
          <w:tcPr>
            <w:tcW w:w="627" w:type="pct"/>
            <w:tcBorders>
              <w:top w:val="single" w:sz="4" w:space="0" w:color="auto"/>
              <w:left w:val="single" w:sz="4" w:space="0" w:color="auto"/>
              <w:bottom w:val="single" w:sz="4" w:space="0" w:color="auto"/>
              <w:right w:val="single" w:sz="4" w:space="0" w:color="auto"/>
            </w:tcBorders>
            <w:vAlign w:val="center"/>
          </w:tcPr>
          <w:p w14:paraId="5C36AD25" w14:textId="77777777" w:rsidR="008F5065" w:rsidRPr="00472DF5" w:rsidRDefault="008F5065" w:rsidP="00BD2B26">
            <w:pPr>
              <w:jc w:val="center"/>
              <w:rPr>
                <w:rFonts w:eastAsia="Calibri"/>
                <w:sz w:val="18"/>
                <w:szCs w:val="18"/>
              </w:rPr>
            </w:pPr>
            <w:r w:rsidRPr="00472DF5">
              <w:rPr>
                <w:rFonts w:eastAsia="Calibri"/>
                <w:sz w:val="18"/>
                <w:szCs w:val="18"/>
              </w:rPr>
              <w:t>20</w:t>
            </w:r>
          </w:p>
        </w:tc>
        <w:tc>
          <w:tcPr>
            <w:tcW w:w="671" w:type="pct"/>
            <w:tcBorders>
              <w:top w:val="single" w:sz="4" w:space="0" w:color="auto"/>
              <w:left w:val="single" w:sz="4" w:space="0" w:color="auto"/>
              <w:bottom w:val="single" w:sz="4" w:space="0" w:color="auto"/>
              <w:right w:val="single" w:sz="4" w:space="0" w:color="auto"/>
            </w:tcBorders>
            <w:vAlign w:val="center"/>
          </w:tcPr>
          <w:p w14:paraId="389D55E2" w14:textId="77777777" w:rsidR="008F5065" w:rsidRPr="00472DF5" w:rsidRDefault="008F5065" w:rsidP="00BD2B26">
            <w:pPr>
              <w:jc w:val="center"/>
              <w:rPr>
                <w:rFonts w:eastAsia="Calibri"/>
                <w:sz w:val="18"/>
                <w:szCs w:val="18"/>
              </w:rPr>
            </w:pPr>
            <w:r w:rsidRPr="00472DF5">
              <w:rPr>
                <w:rFonts w:eastAsia="Calibri"/>
                <w:sz w:val="18"/>
                <w:szCs w:val="18"/>
              </w:rPr>
              <w:t>6</w:t>
            </w:r>
          </w:p>
        </w:tc>
      </w:tr>
      <w:tr w:rsidR="008F5065" w:rsidRPr="00472DF5" w14:paraId="11FF77F9" w14:textId="77777777" w:rsidTr="00BD2B26">
        <w:trPr>
          <w:trHeight w:val="242"/>
        </w:trPr>
        <w:tc>
          <w:tcPr>
            <w:tcW w:w="3098" w:type="pct"/>
            <w:tcBorders>
              <w:top w:val="single" w:sz="4" w:space="0" w:color="auto"/>
              <w:left w:val="single" w:sz="4" w:space="0" w:color="auto"/>
              <w:bottom w:val="single" w:sz="4" w:space="0" w:color="auto"/>
              <w:right w:val="single" w:sz="4" w:space="0" w:color="auto"/>
            </w:tcBorders>
          </w:tcPr>
          <w:p w14:paraId="70A1E6F6" w14:textId="77777777" w:rsidR="008F5065" w:rsidRPr="00472DF5" w:rsidRDefault="008F5065" w:rsidP="00BD2B26">
            <w:pPr>
              <w:jc w:val="both"/>
              <w:rPr>
                <w:rFonts w:eastAsia="Calibri"/>
                <w:sz w:val="18"/>
                <w:szCs w:val="18"/>
              </w:rPr>
            </w:pPr>
            <w:r w:rsidRPr="00472DF5">
              <w:rPr>
                <w:rFonts w:eastAsia="Calibri"/>
                <w:sz w:val="18"/>
                <w:szCs w:val="18"/>
              </w:rPr>
              <w:t>19.Разработване и надграждане на дигитално приложение на двустранен констативен протокол за ПТП.</w:t>
            </w:r>
          </w:p>
        </w:tc>
        <w:tc>
          <w:tcPr>
            <w:tcW w:w="604" w:type="pct"/>
            <w:tcBorders>
              <w:top w:val="single" w:sz="4" w:space="0" w:color="auto"/>
              <w:left w:val="single" w:sz="4" w:space="0" w:color="auto"/>
              <w:bottom w:val="single" w:sz="4" w:space="0" w:color="auto"/>
              <w:right w:val="single" w:sz="4" w:space="0" w:color="auto"/>
            </w:tcBorders>
            <w:vAlign w:val="center"/>
          </w:tcPr>
          <w:p w14:paraId="0E2662E2" w14:textId="77777777" w:rsidR="008F5065" w:rsidRPr="00472DF5" w:rsidRDefault="008F5065" w:rsidP="00BD2B26">
            <w:pPr>
              <w:jc w:val="center"/>
              <w:rPr>
                <w:rFonts w:eastAsia="Calibri"/>
                <w:sz w:val="18"/>
                <w:szCs w:val="18"/>
              </w:rPr>
            </w:pPr>
            <w:r w:rsidRPr="00472DF5">
              <w:rPr>
                <w:rFonts w:eastAsia="Calibri"/>
                <w:sz w:val="18"/>
                <w:szCs w:val="18"/>
              </w:rPr>
              <w:t>брой</w:t>
            </w:r>
          </w:p>
        </w:tc>
        <w:tc>
          <w:tcPr>
            <w:tcW w:w="627" w:type="pct"/>
            <w:tcBorders>
              <w:top w:val="single" w:sz="4" w:space="0" w:color="auto"/>
              <w:left w:val="single" w:sz="4" w:space="0" w:color="auto"/>
              <w:bottom w:val="single" w:sz="4" w:space="0" w:color="auto"/>
              <w:right w:val="single" w:sz="4" w:space="0" w:color="auto"/>
            </w:tcBorders>
            <w:vAlign w:val="center"/>
          </w:tcPr>
          <w:p w14:paraId="71AC20C9" w14:textId="77777777" w:rsidR="008F5065" w:rsidRPr="00472DF5" w:rsidRDefault="008F5065" w:rsidP="00BD2B26">
            <w:pPr>
              <w:jc w:val="center"/>
              <w:rPr>
                <w:rFonts w:eastAsia="Calibri"/>
                <w:sz w:val="18"/>
                <w:szCs w:val="18"/>
              </w:rPr>
            </w:pPr>
            <w:r w:rsidRPr="00472DF5">
              <w:rPr>
                <w:rFonts w:eastAsia="Calibri"/>
                <w:sz w:val="18"/>
                <w:szCs w:val="18"/>
              </w:rPr>
              <w:t>1</w:t>
            </w:r>
          </w:p>
        </w:tc>
        <w:tc>
          <w:tcPr>
            <w:tcW w:w="671" w:type="pct"/>
            <w:tcBorders>
              <w:top w:val="single" w:sz="4" w:space="0" w:color="auto"/>
              <w:left w:val="single" w:sz="4" w:space="0" w:color="auto"/>
              <w:bottom w:val="single" w:sz="4" w:space="0" w:color="auto"/>
              <w:right w:val="single" w:sz="4" w:space="0" w:color="auto"/>
            </w:tcBorders>
            <w:vAlign w:val="center"/>
          </w:tcPr>
          <w:p w14:paraId="7372B10F" w14:textId="77777777" w:rsidR="008F5065" w:rsidRPr="00472DF5" w:rsidRDefault="008F5065" w:rsidP="00BD2B26">
            <w:pPr>
              <w:jc w:val="center"/>
              <w:rPr>
                <w:rFonts w:eastAsia="Calibri"/>
                <w:sz w:val="18"/>
                <w:szCs w:val="18"/>
              </w:rPr>
            </w:pPr>
            <w:r w:rsidRPr="00472DF5">
              <w:rPr>
                <w:rFonts w:eastAsia="Calibri"/>
                <w:sz w:val="18"/>
                <w:szCs w:val="18"/>
              </w:rPr>
              <w:t>0</w:t>
            </w:r>
          </w:p>
        </w:tc>
      </w:tr>
    </w:tbl>
    <w:bookmarkEnd w:id="83"/>
    <w:p w14:paraId="57D208CD" w14:textId="77777777" w:rsidR="00354947" w:rsidRPr="00D52612" w:rsidRDefault="00354947" w:rsidP="00D52612">
      <w:pPr>
        <w:pStyle w:val="ListParagraph"/>
        <w:widowControl w:val="0"/>
        <w:numPr>
          <w:ilvl w:val="0"/>
          <w:numId w:val="69"/>
        </w:numPr>
        <w:shd w:val="clear" w:color="auto" w:fill="FFFFFF" w:themeFill="background1"/>
        <w:spacing w:before="120"/>
        <w:ind w:left="0" w:firstLine="425"/>
        <w:jc w:val="both"/>
        <w:outlineLvl w:val="3"/>
        <w:rPr>
          <w:b/>
          <w:bCs/>
          <w:i/>
          <w:iCs/>
          <w:color w:val="215E99" w:themeColor="text2" w:themeTint="BF"/>
          <w:sz w:val="22"/>
          <w:szCs w:val="22"/>
        </w:rPr>
      </w:pPr>
      <w:r w:rsidRPr="00D52612">
        <w:rPr>
          <w:b/>
          <w:bCs/>
          <w:i/>
          <w:iCs/>
          <w:color w:val="215E99" w:themeColor="text2" w:themeTint="BF"/>
          <w:sz w:val="22"/>
          <w:szCs w:val="22"/>
        </w:rPr>
        <w:t>Представителни и социални дейности</w:t>
      </w:r>
    </w:p>
    <w:p w14:paraId="2FA872D2" w14:textId="77777777" w:rsidR="00354947" w:rsidRPr="00667B09" w:rsidRDefault="00354947" w:rsidP="00D52612">
      <w:pPr>
        <w:pStyle w:val="ListParagraph"/>
        <w:shd w:val="clear" w:color="auto" w:fill="FFFFFF" w:themeFill="background1"/>
        <w:ind w:left="0" w:firstLine="425"/>
        <w:contextualSpacing/>
        <w:jc w:val="both"/>
        <w:rPr>
          <w:b/>
          <w:i/>
          <w:color w:val="800000"/>
          <w:sz w:val="22"/>
          <w:szCs w:val="22"/>
        </w:rPr>
      </w:pPr>
      <w:r w:rsidRPr="00667B09">
        <w:rPr>
          <w:b/>
          <w:i/>
          <w:color w:val="800000"/>
          <w:sz w:val="22"/>
          <w:szCs w:val="22"/>
        </w:rPr>
        <w:t>Описание на постигнатите резултати и изпълнените дейности за тяхното предоставяне</w:t>
      </w:r>
    </w:p>
    <w:p w14:paraId="6C49ADAA" w14:textId="448802B2" w:rsidR="009E5793" w:rsidRDefault="009E5793" w:rsidP="00895087">
      <w:pPr>
        <w:shd w:val="clear" w:color="auto" w:fill="FFFFFF" w:themeFill="background1"/>
        <w:ind w:firstLine="426"/>
        <w:jc w:val="both"/>
        <w:rPr>
          <w:b/>
          <w:bCs/>
          <w:i/>
          <w:iCs/>
          <w:sz w:val="22"/>
          <w:szCs w:val="22"/>
          <w:lang w:eastAsia="en-US"/>
        </w:rPr>
      </w:pPr>
      <w:r w:rsidRPr="00667B09">
        <w:rPr>
          <w:b/>
          <w:bCs/>
          <w:i/>
          <w:iCs/>
          <w:sz w:val="22"/>
          <w:szCs w:val="22"/>
          <w:lang w:eastAsia="en-US"/>
        </w:rPr>
        <w:t>Дейности за предоставяне на продукта (услугата)</w:t>
      </w:r>
    </w:p>
    <w:p w14:paraId="6D1E5213" w14:textId="363F5439" w:rsidR="001F7935" w:rsidRPr="001F7935" w:rsidRDefault="001F7935" w:rsidP="00895087">
      <w:pPr>
        <w:pStyle w:val="ListParagraph"/>
        <w:numPr>
          <w:ilvl w:val="0"/>
          <w:numId w:val="55"/>
        </w:numPr>
        <w:shd w:val="clear" w:color="auto" w:fill="FFFFFF" w:themeFill="background1"/>
        <w:ind w:left="709" w:hanging="283"/>
        <w:jc w:val="both"/>
        <w:rPr>
          <w:bCs/>
          <w:iCs/>
          <w:sz w:val="22"/>
          <w:szCs w:val="22"/>
          <w:lang w:eastAsia="en-US"/>
        </w:rPr>
      </w:pPr>
      <w:r w:rsidRPr="001F7935">
        <w:rPr>
          <w:bCs/>
          <w:iCs/>
          <w:sz w:val="22"/>
          <w:szCs w:val="22"/>
          <w:lang w:eastAsia="en-US"/>
        </w:rPr>
        <w:t>Дейности, с които се осигуряват необходимите условия за провеждане на мероприятия на централните държавни органи, посрещането на чуждестранни делегации и гости, мероприятия на физически и юридически лица, какт</w:t>
      </w:r>
      <w:r>
        <w:rPr>
          <w:bCs/>
          <w:iCs/>
          <w:sz w:val="22"/>
          <w:szCs w:val="22"/>
          <w:lang w:eastAsia="en-US"/>
        </w:rPr>
        <w:t xml:space="preserve">о и индивидуални настанявания. </w:t>
      </w:r>
    </w:p>
    <w:p w14:paraId="3F3FA20E" w14:textId="060568DA" w:rsidR="001F7935" w:rsidRPr="001F7935" w:rsidRDefault="001F7935" w:rsidP="00895087">
      <w:pPr>
        <w:pStyle w:val="ListParagraph"/>
        <w:numPr>
          <w:ilvl w:val="0"/>
          <w:numId w:val="55"/>
        </w:numPr>
        <w:shd w:val="clear" w:color="auto" w:fill="FFFFFF" w:themeFill="background1"/>
        <w:ind w:left="709" w:hanging="283"/>
        <w:jc w:val="both"/>
        <w:rPr>
          <w:bCs/>
          <w:iCs/>
          <w:sz w:val="22"/>
          <w:szCs w:val="22"/>
          <w:lang w:eastAsia="en-US"/>
        </w:rPr>
      </w:pPr>
      <w:r w:rsidRPr="001F7935">
        <w:rPr>
          <w:bCs/>
          <w:iCs/>
          <w:sz w:val="22"/>
          <w:szCs w:val="22"/>
          <w:lang w:eastAsia="en-US"/>
        </w:rPr>
        <w:t>Дейности, целящи повишаване качеството на услугата.</w:t>
      </w:r>
    </w:p>
    <w:p w14:paraId="30DC52DD" w14:textId="30BE113D" w:rsidR="005E30E0" w:rsidRPr="001F7935" w:rsidRDefault="001F7935" w:rsidP="00895087">
      <w:pPr>
        <w:pStyle w:val="ListParagraph"/>
        <w:numPr>
          <w:ilvl w:val="0"/>
          <w:numId w:val="55"/>
        </w:numPr>
        <w:shd w:val="clear" w:color="auto" w:fill="FFFFFF" w:themeFill="background1"/>
        <w:ind w:left="709" w:hanging="283"/>
        <w:jc w:val="both"/>
        <w:rPr>
          <w:bCs/>
          <w:iCs/>
          <w:sz w:val="22"/>
          <w:szCs w:val="22"/>
          <w:lang w:eastAsia="en-US"/>
        </w:rPr>
      </w:pPr>
      <w:r w:rsidRPr="001F7935">
        <w:rPr>
          <w:bCs/>
          <w:iCs/>
          <w:sz w:val="22"/>
          <w:szCs w:val="22"/>
          <w:lang w:eastAsia="en-US"/>
        </w:rPr>
        <w:lastRenderedPageBreak/>
        <w:t>Дейности, с които се осигуряват необходимите условия за об</w:t>
      </w:r>
      <w:r>
        <w:rPr>
          <w:bCs/>
          <w:iCs/>
          <w:sz w:val="22"/>
          <w:szCs w:val="22"/>
          <w:lang w:eastAsia="en-US"/>
        </w:rPr>
        <w:t xml:space="preserve">служване на представителните и </w:t>
      </w:r>
      <w:r w:rsidRPr="001F7935">
        <w:rPr>
          <w:bCs/>
          <w:iCs/>
          <w:sz w:val="22"/>
          <w:szCs w:val="22"/>
          <w:lang w:eastAsia="en-US"/>
        </w:rPr>
        <w:t xml:space="preserve">социалните нужди на централните държавни органи, организиране отдиха на работещите в тях и на други лица, подпомагане провеждането на квалификация на кадрите в Почивна база „Орлица“ – Пампорово </w:t>
      </w:r>
      <w:r>
        <w:rPr>
          <w:bCs/>
          <w:iCs/>
          <w:sz w:val="22"/>
          <w:szCs w:val="22"/>
          <w:lang w:eastAsia="en-US"/>
        </w:rPr>
        <w:t xml:space="preserve">и Почивна база „Слънчев бряг“. </w:t>
      </w:r>
    </w:p>
    <w:p w14:paraId="15BBF8B6" w14:textId="278DC8F7" w:rsidR="001F7935" w:rsidRDefault="001F7935" w:rsidP="00895087">
      <w:pPr>
        <w:pStyle w:val="ListParagraph"/>
        <w:shd w:val="clear" w:color="auto" w:fill="FFFFFF" w:themeFill="background1"/>
        <w:spacing w:before="120"/>
        <w:ind w:left="709"/>
        <w:jc w:val="both"/>
        <w:rPr>
          <w:b/>
          <w:bCs/>
          <w:i/>
          <w:color w:val="215E99" w:themeColor="text2" w:themeTint="BF"/>
          <w:sz w:val="22"/>
          <w:szCs w:val="22"/>
        </w:rPr>
      </w:pPr>
      <w:r w:rsidRPr="001F7935">
        <w:rPr>
          <w:b/>
          <w:bCs/>
          <w:i/>
          <w:color w:val="215E99" w:themeColor="text2" w:themeTint="BF"/>
          <w:sz w:val="22"/>
          <w:szCs w:val="22"/>
        </w:rPr>
        <w:t>Резултати от предоставянето на продукти/услуги</w:t>
      </w:r>
    </w:p>
    <w:p w14:paraId="2D1E7DEF" w14:textId="77777777" w:rsidR="00B74CCF" w:rsidRPr="00667B09" w:rsidRDefault="00B74CCF" w:rsidP="00895087">
      <w:pPr>
        <w:shd w:val="clear" w:color="auto" w:fill="FFFFFF" w:themeFill="background1"/>
        <w:spacing w:after="120"/>
        <w:ind w:firstLine="426"/>
        <w:jc w:val="both"/>
        <w:rPr>
          <w:b/>
          <w:i/>
          <w:sz w:val="22"/>
          <w:szCs w:val="22"/>
          <w:u w:val="single"/>
        </w:rPr>
      </w:pPr>
      <w:r w:rsidRPr="00667B09">
        <w:rPr>
          <w:b/>
          <w:sz w:val="22"/>
          <w:szCs w:val="22"/>
          <w:u w:val="single"/>
        </w:rPr>
        <w:t>Стопанство „Евксиноград”, обект „Шабла” и комплекс „Бояна”:</w:t>
      </w:r>
    </w:p>
    <w:p w14:paraId="0924CD66" w14:textId="5AA75F0B" w:rsidR="001F7935" w:rsidRPr="001F7935" w:rsidRDefault="001F7935" w:rsidP="00895087">
      <w:pPr>
        <w:pStyle w:val="ListParagraph"/>
        <w:numPr>
          <w:ilvl w:val="0"/>
          <w:numId w:val="55"/>
        </w:numPr>
        <w:shd w:val="clear" w:color="auto" w:fill="FFFFFF" w:themeFill="background1"/>
        <w:ind w:left="0" w:firstLine="426"/>
        <w:jc w:val="both"/>
        <w:rPr>
          <w:bCs/>
          <w:iCs/>
          <w:sz w:val="22"/>
          <w:szCs w:val="22"/>
          <w:lang w:eastAsia="en-US"/>
        </w:rPr>
      </w:pPr>
      <w:r w:rsidRPr="001F7935">
        <w:rPr>
          <w:bCs/>
          <w:iCs/>
          <w:sz w:val="22"/>
          <w:szCs w:val="22"/>
          <w:lang w:eastAsia="en-US"/>
        </w:rPr>
        <w:t>Към 30.06.2025 г. общата численост на персонала на трите обекта е 285 щатни бройки, както следва:</w:t>
      </w:r>
    </w:p>
    <w:p w14:paraId="63E8862A" w14:textId="67220E7E" w:rsidR="001F7935" w:rsidRPr="001F7935" w:rsidRDefault="001F7935" w:rsidP="00895087">
      <w:pPr>
        <w:pStyle w:val="ListParagraph"/>
        <w:numPr>
          <w:ilvl w:val="0"/>
          <w:numId w:val="56"/>
        </w:numPr>
        <w:shd w:val="clear" w:color="auto" w:fill="FFFFFF" w:themeFill="background1"/>
        <w:ind w:left="993" w:hanging="284"/>
        <w:jc w:val="both"/>
        <w:rPr>
          <w:bCs/>
          <w:iCs/>
          <w:sz w:val="22"/>
          <w:szCs w:val="22"/>
          <w:lang w:eastAsia="en-US"/>
        </w:rPr>
      </w:pPr>
      <w:r w:rsidRPr="001F7935">
        <w:rPr>
          <w:bCs/>
          <w:iCs/>
          <w:sz w:val="22"/>
          <w:szCs w:val="22"/>
          <w:lang w:eastAsia="en-US"/>
        </w:rPr>
        <w:t xml:space="preserve">в комплекс „Бояна“ </w:t>
      </w:r>
      <w:r>
        <w:rPr>
          <w:bCs/>
          <w:iCs/>
          <w:sz w:val="22"/>
          <w:szCs w:val="22"/>
          <w:lang w:eastAsia="en-US"/>
        </w:rPr>
        <w:t>–</w:t>
      </w:r>
      <w:r w:rsidRPr="001F7935">
        <w:rPr>
          <w:bCs/>
          <w:iCs/>
          <w:sz w:val="22"/>
          <w:szCs w:val="22"/>
          <w:lang w:eastAsia="en-US"/>
        </w:rPr>
        <w:t xml:space="preserve"> 121 бр., от тях 114 бр. постоянен щат, 7 бр. работници с временен характер; </w:t>
      </w:r>
    </w:p>
    <w:p w14:paraId="6A6FD75E" w14:textId="473CD6D7" w:rsidR="001F7935" w:rsidRPr="001F7935" w:rsidRDefault="001F7935" w:rsidP="00895087">
      <w:pPr>
        <w:pStyle w:val="ListParagraph"/>
        <w:numPr>
          <w:ilvl w:val="0"/>
          <w:numId w:val="56"/>
        </w:numPr>
        <w:shd w:val="clear" w:color="auto" w:fill="FFFFFF" w:themeFill="background1"/>
        <w:ind w:left="993" w:hanging="284"/>
        <w:jc w:val="both"/>
        <w:rPr>
          <w:bCs/>
          <w:iCs/>
          <w:sz w:val="22"/>
          <w:szCs w:val="22"/>
          <w:lang w:eastAsia="en-US"/>
        </w:rPr>
      </w:pPr>
      <w:r w:rsidRPr="001F7935">
        <w:rPr>
          <w:bCs/>
          <w:iCs/>
          <w:sz w:val="22"/>
          <w:szCs w:val="22"/>
          <w:lang w:eastAsia="en-US"/>
        </w:rPr>
        <w:t xml:space="preserve">стопанство „Евксиноград“ </w:t>
      </w:r>
      <w:r w:rsidR="00D201C0">
        <w:rPr>
          <w:bCs/>
          <w:iCs/>
          <w:sz w:val="22"/>
          <w:szCs w:val="22"/>
          <w:lang w:eastAsia="en-US"/>
        </w:rPr>
        <w:t>–</w:t>
      </w:r>
      <w:r w:rsidRPr="001F7935">
        <w:rPr>
          <w:bCs/>
          <w:iCs/>
          <w:sz w:val="22"/>
          <w:szCs w:val="22"/>
          <w:lang w:eastAsia="en-US"/>
        </w:rPr>
        <w:t xml:space="preserve"> 144 бр., от тях 119 постоянен щат, 25 бр. сезонен щат ; </w:t>
      </w:r>
    </w:p>
    <w:p w14:paraId="5FA61061" w14:textId="190BAD6B" w:rsidR="001F7935" w:rsidRPr="001F7935" w:rsidRDefault="001F7935" w:rsidP="00895087">
      <w:pPr>
        <w:pStyle w:val="ListParagraph"/>
        <w:numPr>
          <w:ilvl w:val="0"/>
          <w:numId w:val="56"/>
        </w:numPr>
        <w:shd w:val="clear" w:color="auto" w:fill="FFFFFF" w:themeFill="background1"/>
        <w:ind w:left="993" w:hanging="284"/>
        <w:jc w:val="both"/>
        <w:rPr>
          <w:bCs/>
          <w:iCs/>
          <w:sz w:val="22"/>
          <w:szCs w:val="22"/>
          <w:lang w:eastAsia="en-US"/>
        </w:rPr>
      </w:pPr>
      <w:r w:rsidRPr="001F7935">
        <w:rPr>
          <w:bCs/>
          <w:iCs/>
          <w:sz w:val="22"/>
          <w:szCs w:val="22"/>
          <w:lang w:eastAsia="en-US"/>
        </w:rPr>
        <w:t>обект „Шабла“</w:t>
      </w:r>
      <w:r w:rsidR="00B74CCF">
        <w:rPr>
          <w:bCs/>
          <w:iCs/>
          <w:sz w:val="22"/>
          <w:szCs w:val="22"/>
          <w:lang w:val="bg-BG" w:eastAsia="en-US"/>
        </w:rPr>
        <w:t xml:space="preserve"> </w:t>
      </w:r>
      <w:r w:rsidR="00B74CCF">
        <w:rPr>
          <w:bCs/>
          <w:iCs/>
          <w:sz w:val="22"/>
          <w:szCs w:val="22"/>
          <w:lang w:eastAsia="en-US"/>
        </w:rPr>
        <w:t>–</w:t>
      </w:r>
      <w:r w:rsidRPr="001F7935">
        <w:rPr>
          <w:bCs/>
          <w:iCs/>
          <w:sz w:val="22"/>
          <w:szCs w:val="22"/>
          <w:lang w:eastAsia="en-US"/>
        </w:rPr>
        <w:t xml:space="preserve"> 20 бр., от тях 18 постоянен щат, 2 бр. сезонен щат.</w:t>
      </w:r>
    </w:p>
    <w:p w14:paraId="00CF5446" w14:textId="41235F94" w:rsidR="001F7935" w:rsidRPr="00D201C0" w:rsidRDefault="001F7935" w:rsidP="00895087">
      <w:pPr>
        <w:pStyle w:val="ListParagraph"/>
        <w:numPr>
          <w:ilvl w:val="0"/>
          <w:numId w:val="55"/>
        </w:numPr>
        <w:shd w:val="clear" w:color="auto" w:fill="FFFFFF" w:themeFill="background1"/>
        <w:ind w:left="0" w:firstLine="426"/>
        <w:jc w:val="both"/>
        <w:rPr>
          <w:bCs/>
          <w:iCs/>
          <w:sz w:val="22"/>
          <w:szCs w:val="22"/>
          <w:lang w:eastAsia="en-US"/>
        </w:rPr>
      </w:pPr>
      <w:r w:rsidRPr="00D201C0">
        <w:rPr>
          <w:bCs/>
          <w:iCs/>
          <w:sz w:val="22"/>
          <w:szCs w:val="22"/>
          <w:lang w:eastAsia="en-US"/>
        </w:rPr>
        <w:t xml:space="preserve">През отчетния период 01.01. – 30.06.2025 г. </w:t>
      </w:r>
      <w:r w:rsidR="00D201C0">
        <w:rPr>
          <w:bCs/>
          <w:iCs/>
          <w:sz w:val="22"/>
          <w:szCs w:val="22"/>
          <w:lang w:eastAsia="en-US"/>
        </w:rPr>
        <w:t xml:space="preserve">е организирано провеждането на </w:t>
      </w:r>
      <w:r w:rsidRPr="00D201C0">
        <w:rPr>
          <w:bCs/>
          <w:iCs/>
          <w:sz w:val="22"/>
          <w:szCs w:val="22"/>
          <w:lang w:eastAsia="en-US"/>
        </w:rPr>
        <w:t>официални мероприятия, както следва:</w:t>
      </w:r>
    </w:p>
    <w:p w14:paraId="2CE0BEA6" w14:textId="3E610F85" w:rsidR="001F7935" w:rsidRPr="001F7935" w:rsidRDefault="001F7935" w:rsidP="00895087">
      <w:pPr>
        <w:pStyle w:val="ListParagraph"/>
        <w:numPr>
          <w:ilvl w:val="0"/>
          <w:numId w:val="56"/>
        </w:numPr>
        <w:shd w:val="clear" w:color="auto" w:fill="FFFFFF" w:themeFill="background1"/>
        <w:ind w:left="993" w:hanging="284"/>
        <w:jc w:val="both"/>
        <w:rPr>
          <w:bCs/>
          <w:iCs/>
          <w:sz w:val="22"/>
          <w:szCs w:val="22"/>
          <w:lang w:eastAsia="en-US"/>
        </w:rPr>
      </w:pPr>
      <w:r w:rsidRPr="001F7935">
        <w:rPr>
          <w:bCs/>
          <w:iCs/>
          <w:sz w:val="22"/>
          <w:szCs w:val="22"/>
          <w:lang w:eastAsia="en-US"/>
        </w:rPr>
        <w:t xml:space="preserve">комплекс „Бояна“ – 33 бр., от които 20 бр. на АМС, 13 бр. </w:t>
      </w:r>
      <w:r w:rsidR="00D201C0">
        <w:rPr>
          <w:bCs/>
          <w:iCs/>
          <w:sz w:val="22"/>
          <w:szCs w:val="22"/>
          <w:lang w:eastAsia="en-US"/>
        </w:rPr>
        <w:t>–</w:t>
      </w:r>
      <w:r w:rsidRPr="001F7935">
        <w:rPr>
          <w:bCs/>
          <w:iCs/>
          <w:sz w:val="22"/>
          <w:szCs w:val="22"/>
          <w:lang w:eastAsia="en-US"/>
        </w:rPr>
        <w:t xml:space="preserve"> представителни мероприятия</w:t>
      </w:r>
    </w:p>
    <w:p w14:paraId="44FEA924" w14:textId="1EC7177B" w:rsidR="001F7935" w:rsidRPr="001F7935" w:rsidRDefault="001F7935" w:rsidP="00895087">
      <w:pPr>
        <w:pStyle w:val="ListParagraph"/>
        <w:numPr>
          <w:ilvl w:val="0"/>
          <w:numId w:val="56"/>
        </w:numPr>
        <w:shd w:val="clear" w:color="auto" w:fill="FFFFFF" w:themeFill="background1"/>
        <w:ind w:left="993" w:hanging="284"/>
        <w:jc w:val="both"/>
        <w:rPr>
          <w:bCs/>
          <w:iCs/>
          <w:sz w:val="22"/>
          <w:szCs w:val="22"/>
          <w:lang w:eastAsia="en-US"/>
        </w:rPr>
      </w:pPr>
      <w:r w:rsidRPr="001F7935">
        <w:rPr>
          <w:bCs/>
          <w:iCs/>
          <w:sz w:val="22"/>
          <w:szCs w:val="22"/>
          <w:lang w:eastAsia="en-US"/>
        </w:rPr>
        <w:t>стопанство „Евксиноград“</w:t>
      </w:r>
      <w:r w:rsidR="00D201C0">
        <w:rPr>
          <w:bCs/>
          <w:iCs/>
          <w:sz w:val="22"/>
          <w:szCs w:val="22"/>
          <w:lang w:val="bg-BG" w:eastAsia="en-US"/>
        </w:rPr>
        <w:t xml:space="preserve"> </w:t>
      </w:r>
      <w:r w:rsidR="00D201C0">
        <w:rPr>
          <w:bCs/>
          <w:iCs/>
          <w:sz w:val="22"/>
          <w:szCs w:val="22"/>
          <w:lang w:eastAsia="en-US"/>
        </w:rPr>
        <w:t>–</w:t>
      </w:r>
      <w:r w:rsidRPr="001F7935">
        <w:rPr>
          <w:bCs/>
          <w:iCs/>
          <w:sz w:val="22"/>
          <w:szCs w:val="22"/>
          <w:lang w:eastAsia="en-US"/>
        </w:rPr>
        <w:t xml:space="preserve"> 0 бр.</w:t>
      </w:r>
    </w:p>
    <w:p w14:paraId="78ABB051" w14:textId="3DCC6D71" w:rsidR="001F7935" w:rsidRPr="001F7935" w:rsidRDefault="00D201C0" w:rsidP="00895087">
      <w:pPr>
        <w:pStyle w:val="ListParagraph"/>
        <w:numPr>
          <w:ilvl w:val="0"/>
          <w:numId w:val="56"/>
        </w:numPr>
        <w:shd w:val="clear" w:color="auto" w:fill="FFFFFF" w:themeFill="background1"/>
        <w:ind w:left="993" w:hanging="284"/>
        <w:jc w:val="both"/>
        <w:rPr>
          <w:bCs/>
          <w:iCs/>
          <w:sz w:val="22"/>
          <w:szCs w:val="22"/>
          <w:lang w:eastAsia="en-US"/>
        </w:rPr>
      </w:pPr>
      <w:r>
        <w:rPr>
          <w:bCs/>
          <w:iCs/>
          <w:sz w:val="22"/>
          <w:szCs w:val="22"/>
          <w:lang w:eastAsia="en-US"/>
        </w:rPr>
        <w:t>обект „Шабла“ –</w:t>
      </w:r>
      <w:r w:rsidR="001F7935" w:rsidRPr="001F7935">
        <w:rPr>
          <w:bCs/>
          <w:iCs/>
          <w:sz w:val="22"/>
          <w:szCs w:val="22"/>
          <w:lang w:eastAsia="en-US"/>
        </w:rPr>
        <w:t xml:space="preserve"> 0 бр. </w:t>
      </w:r>
    </w:p>
    <w:p w14:paraId="6D97FAAD" w14:textId="63BF12F1" w:rsidR="001F7935" w:rsidRPr="001F7935" w:rsidRDefault="001F7935" w:rsidP="00895087">
      <w:pPr>
        <w:shd w:val="clear" w:color="auto" w:fill="FFFFFF" w:themeFill="background1"/>
        <w:ind w:firstLine="426"/>
        <w:jc w:val="both"/>
        <w:rPr>
          <w:bCs/>
          <w:iCs/>
          <w:sz w:val="22"/>
          <w:szCs w:val="22"/>
          <w:lang w:eastAsia="en-US"/>
        </w:rPr>
      </w:pPr>
      <w:r w:rsidRPr="001F7935">
        <w:rPr>
          <w:bCs/>
          <w:iCs/>
          <w:sz w:val="22"/>
          <w:szCs w:val="22"/>
          <w:lang w:eastAsia="en-US"/>
        </w:rPr>
        <w:t>За проведените официални мероприятия на администрацията на Министерския съвет са изготвени протоколи за вътрешни разчети към АМС.</w:t>
      </w:r>
    </w:p>
    <w:p w14:paraId="7A78A45F" w14:textId="2E669DE7" w:rsidR="001F7935" w:rsidRPr="001F7935" w:rsidRDefault="001F7935" w:rsidP="00895087">
      <w:pPr>
        <w:pStyle w:val="ListParagraph"/>
        <w:numPr>
          <w:ilvl w:val="0"/>
          <w:numId w:val="55"/>
        </w:numPr>
        <w:shd w:val="clear" w:color="auto" w:fill="FFFFFF" w:themeFill="background1"/>
        <w:ind w:left="709" w:hanging="283"/>
        <w:jc w:val="both"/>
        <w:rPr>
          <w:bCs/>
          <w:iCs/>
          <w:sz w:val="22"/>
          <w:szCs w:val="22"/>
          <w:lang w:eastAsia="en-US"/>
        </w:rPr>
      </w:pPr>
      <w:r w:rsidRPr="001F7935">
        <w:rPr>
          <w:bCs/>
          <w:iCs/>
          <w:sz w:val="22"/>
          <w:szCs w:val="22"/>
          <w:lang w:eastAsia="en-US"/>
        </w:rPr>
        <w:t>Проведени мероприятия на външни лица в периода от 01.01. – 30.06.2025 г.</w:t>
      </w:r>
    </w:p>
    <w:p w14:paraId="0146D583" w14:textId="10BEC31D" w:rsidR="001F7935" w:rsidRPr="001F7935" w:rsidRDefault="001F7935" w:rsidP="00895087">
      <w:pPr>
        <w:pStyle w:val="ListParagraph"/>
        <w:numPr>
          <w:ilvl w:val="0"/>
          <w:numId w:val="56"/>
        </w:numPr>
        <w:shd w:val="clear" w:color="auto" w:fill="FFFFFF" w:themeFill="background1"/>
        <w:ind w:left="993" w:hanging="284"/>
        <w:jc w:val="both"/>
        <w:rPr>
          <w:bCs/>
          <w:iCs/>
          <w:sz w:val="22"/>
          <w:szCs w:val="22"/>
          <w:lang w:eastAsia="en-US"/>
        </w:rPr>
      </w:pPr>
      <w:r w:rsidRPr="001F7935">
        <w:rPr>
          <w:bCs/>
          <w:iCs/>
          <w:sz w:val="22"/>
          <w:szCs w:val="22"/>
          <w:lang w:eastAsia="en-US"/>
        </w:rPr>
        <w:t xml:space="preserve">комплекс „Бояна“ </w:t>
      </w:r>
      <w:r w:rsidR="00AB3ACD">
        <w:rPr>
          <w:bCs/>
          <w:iCs/>
          <w:sz w:val="22"/>
          <w:szCs w:val="22"/>
          <w:lang w:eastAsia="en-US"/>
        </w:rPr>
        <w:t>–</w:t>
      </w:r>
      <w:r w:rsidRPr="001F7935">
        <w:rPr>
          <w:bCs/>
          <w:iCs/>
          <w:sz w:val="22"/>
          <w:szCs w:val="22"/>
          <w:lang w:eastAsia="en-US"/>
        </w:rPr>
        <w:t xml:space="preserve"> 17 бр.</w:t>
      </w:r>
    </w:p>
    <w:p w14:paraId="1579C5F4" w14:textId="23DBE010" w:rsidR="001F7935" w:rsidRPr="001F7935" w:rsidRDefault="001F7935" w:rsidP="00895087">
      <w:pPr>
        <w:pStyle w:val="ListParagraph"/>
        <w:numPr>
          <w:ilvl w:val="0"/>
          <w:numId w:val="56"/>
        </w:numPr>
        <w:shd w:val="clear" w:color="auto" w:fill="FFFFFF" w:themeFill="background1"/>
        <w:ind w:left="993" w:hanging="284"/>
        <w:jc w:val="both"/>
        <w:rPr>
          <w:bCs/>
          <w:iCs/>
          <w:sz w:val="22"/>
          <w:szCs w:val="22"/>
          <w:lang w:eastAsia="en-US"/>
        </w:rPr>
      </w:pPr>
      <w:r w:rsidRPr="001F7935">
        <w:rPr>
          <w:bCs/>
          <w:iCs/>
          <w:sz w:val="22"/>
          <w:szCs w:val="22"/>
          <w:lang w:eastAsia="en-US"/>
        </w:rPr>
        <w:t>стопанство „Евксиноград“ – 1 бр.</w:t>
      </w:r>
    </w:p>
    <w:p w14:paraId="7BABE06E" w14:textId="53E28B32" w:rsidR="001F7935" w:rsidRPr="001F7935" w:rsidRDefault="001F7935" w:rsidP="00895087">
      <w:pPr>
        <w:pStyle w:val="ListParagraph"/>
        <w:numPr>
          <w:ilvl w:val="0"/>
          <w:numId w:val="56"/>
        </w:numPr>
        <w:shd w:val="clear" w:color="auto" w:fill="FFFFFF" w:themeFill="background1"/>
        <w:ind w:left="993" w:hanging="284"/>
        <w:jc w:val="both"/>
        <w:rPr>
          <w:bCs/>
          <w:iCs/>
          <w:sz w:val="22"/>
          <w:szCs w:val="22"/>
          <w:lang w:eastAsia="en-US"/>
        </w:rPr>
      </w:pPr>
      <w:r w:rsidRPr="001F7935">
        <w:rPr>
          <w:bCs/>
          <w:iCs/>
          <w:sz w:val="22"/>
          <w:szCs w:val="22"/>
          <w:lang w:eastAsia="en-US"/>
        </w:rPr>
        <w:t>обект „Шабла“ – 0 бр.</w:t>
      </w:r>
    </w:p>
    <w:p w14:paraId="0BCDC98C" w14:textId="1BEA0038" w:rsidR="001F7935" w:rsidRPr="001F7935" w:rsidRDefault="001F7935" w:rsidP="00895087">
      <w:pPr>
        <w:pStyle w:val="ListParagraph"/>
        <w:numPr>
          <w:ilvl w:val="0"/>
          <w:numId w:val="55"/>
        </w:numPr>
        <w:shd w:val="clear" w:color="auto" w:fill="FFFFFF" w:themeFill="background1"/>
        <w:ind w:left="0" w:firstLine="426"/>
        <w:jc w:val="both"/>
        <w:rPr>
          <w:bCs/>
          <w:iCs/>
          <w:sz w:val="22"/>
          <w:szCs w:val="22"/>
          <w:lang w:eastAsia="en-US"/>
        </w:rPr>
      </w:pPr>
      <w:r w:rsidRPr="001F7935">
        <w:rPr>
          <w:bCs/>
          <w:iCs/>
          <w:sz w:val="22"/>
          <w:szCs w:val="22"/>
          <w:lang w:eastAsia="en-US"/>
        </w:rPr>
        <w:t>През отчетния период реализирани нощувки от мероприятия и индивидуални ползватели, както следва:</w:t>
      </w:r>
    </w:p>
    <w:p w14:paraId="70B9B92D" w14:textId="6AE4B65B" w:rsidR="001F7935" w:rsidRPr="001F7935" w:rsidRDefault="001F7935" w:rsidP="00895087">
      <w:pPr>
        <w:pStyle w:val="ListParagraph"/>
        <w:numPr>
          <w:ilvl w:val="0"/>
          <w:numId w:val="56"/>
        </w:numPr>
        <w:shd w:val="clear" w:color="auto" w:fill="FFFFFF" w:themeFill="background1"/>
        <w:ind w:left="993" w:hanging="284"/>
        <w:jc w:val="both"/>
        <w:rPr>
          <w:bCs/>
          <w:iCs/>
          <w:sz w:val="22"/>
          <w:szCs w:val="22"/>
          <w:lang w:eastAsia="en-US"/>
        </w:rPr>
      </w:pPr>
      <w:r w:rsidRPr="001F7935">
        <w:rPr>
          <w:bCs/>
          <w:iCs/>
          <w:sz w:val="22"/>
          <w:szCs w:val="22"/>
          <w:lang w:eastAsia="en-US"/>
        </w:rPr>
        <w:t xml:space="preserve">комплекс „Бояна“ </w:t>
      </w:r>
      <w:r w:rsidR="00604976">
        <w:rPr>
          <w:bCs/>
          <w:iCs/>
          <w:sz w:val="22"/>
          <w:szCs w:val="22"/>
          <w:lang w:eastAsia="en-US"/>
        </w:rPr>
        <w:t>–</w:t>
      </w:r>
      <w:r w:rsidRPr="001F7935">
        <w:rPr>
          <w:bCs/>
          <w:iCs/>
          <w:sz w:val="22"/>
          <w:szCs w:val="22"/>
          <w:lang w:eastAsia="en-US"/>
        </w:rPr>
        <w:t xml:space="preserve"> 418 нощувки, реализирани н</w:t>
      </w:r>
      <w:r w:rsidR="00604976">
        <w:rPr>
          <w:bCs/>
          <w:iCs/>
          <w:sz w:val="22"/>
          <w:szCs w:val="22"/>
          <w:lang w:eastAsia="en-US"/>
        </w:rPr>
        <w:t>етни приходи в размер на 28 209</w:t>
      </w:r>
      <w:r w:rsidR="00604976">
        <w:rPr>
          <w:bCs/>
          <w:iCs/>
          <w:sz w:val="22"/>
          <w:szCs w:val="22"/>
          <w:lang w:val="bg-BG" w:eastAsia="en-US"/>
        </w:rPr>
        <w:t>.</w:t>
      </w:r>
      <w:r w:rsidRPr="001F7935">
        <w:rPr>
          <w:bCs/>
          <w:iCs/>
          <w:sz w:val="22"/>
          <w:szCs w:val="22"/>
          <w:lang w:eastAsia="en-US"/>
        </w:rPr>
        <w:t>00 лв.</w:t>
      </w:r>
    </w:p>
    <w:p w14:paraId="2001F1D4" w14:textId="2A566FF6" w:rsidR="001F7935" w:rsidRPr="001F7935" w:rsidRDefault="001F7935" w:rsidP="00895087">
      <w:pPr>
        <w:pStyle w:val="ListParagraph"/>
        <w:numPr>
          <w:ilvl w:val="0"/>
          <w:numId w:val="56"/>
        </w:numPr>
        <w:shd w:val="clear" w:color="auto" w:fill="FFFFFF" w:themeFill="background1"/>
        <w:ind w:left="993" w:hanging="284"/>
        <w:jc w:val="both"/>
        <w:rPr>
          <w:bCs/>
          <w:iCs/>
          <w:sz w:val="22"/>
          <w:szCs w:val="22"/>
          <w:lang w:eastAsia="en-US"/>
        </w:rPr>
      </w:pPr>
      <w:r w:rsidRPr="001F7935">
        <w:rPr>
          <w:bCs/>
          <w:iCs/>
          <w:sz w:val="22"/>
          <w:szCs w:val="22"/>
          <w:lang w:eastAsia="en-US"/>
        </w:rPr>
        <w:t xml:space="preserve">стопанство „Евксиноград“ – 951 нощувки, реализирани нетни приходи в размер на </w:t>
      </w:r>
      <w:r w:rsidR="00604976">
        <w:rPr>
          <w:bCs/>
          <w:iCs/>
          <w:sz w:val="22"/>
          <w:szCs w:val="22"/>
          <w:lang w:eastAsia="en-US"/>
        </w:rPr>
        <w:br/>
        <w:t>76 041</w:t>
      </w:r>
      <w:r w:rsidR="00604976">
        <w:rPr>
          <w:bCs/>
          <w:iCs/>
          <w:sz w:val="22"/>
          <w:szCs w:val="22"/>
          <w:lang w:val="bg-BG" w:eastAsia="en-US"/>
        </w:rPr>
        <w:t>.</w:t>
      </w:r>
      <w:r w:rsidRPr="001F7935">
        <w:rPr>
          <w:bCs/>
          <w:iCs/>
          <w:sz w:val="22"/>
          <w:szCs w:val="22"/>
          <w:lang w:eastAsia="en-US"/>
        </w:rPr>
        <w:t>00 лв.</w:t>
      </w:r>
    </w:p>
    <w:p w14:paraId="05A71CDF" w14:textId="48A79C24" w:rsidR="001F7935" w:rsidRPr="001F7935" w:rsidRDefault="001F7935" w:rsidP="00895087">
      <w:pPr>
        <w:pStyle w:val="ListParagraph"/>
        <w:numPr>
          <w:ilvl w:val="0"/>
          <w:numId w:val="56"/>
        </w:numPr>
        <w:shd w:val="clear" w:color="auto" w:fill="FFFFFF" w:themeFill="background1"/>
        <w:ind w:left="993" w:hanging="284"/>
        <w:jc w:val="both"/>
        <w:rPr>
          <w:bCs/>
          <w:iCs/>
          <w:sz w:val="22"/>
          <w:szCs w:val="22"/>
          <w:lang w:eastAsia="en-US"/>
        </w:rPr>
      </w:pPr>
      <w:r w:rsidRPr="001F7935">
        <w:rPr>
          <w:bCs/>
          <w:iCs/>
          <w:sz w:val="22"/>
          <w:szCs w:val="22"/>
          <w:lang w:eastAsia="en-US"/>
        </w:rPr>
        <w:t xml:space="preserve">обект „Шабла“ – 75 нощувки, реализирани </w:t>
      </w:r>
      <w:r w:rsidR="00604976">
        <w:rPr>
          <w:bCs/>
          <w:iCs/>
          <w:sz w:val="22"/>
          <w:szCs w:val="22"/>
          <w:lang w:eastAsia="en-US"/>
        </w:rPr>
        <w:t>нетни приходи в размер на 2 250</w:t>
      </w:r>
      <w:r w:rsidR="00604976">
        <w:rPr>
          <w:bCs/>
          <w:iCs/>
          <w:sz w:val="22"/>
          <w:szCs w:val="22"/>
          <w:lang w:val="bg-BG" w:eastAsia="en-US"/>
        </w:rPr>
        <w:t>.</w:t>
      </w:r>
      <w:r w:rsidRPr="001F7935">
        <w:rPr>
          <w:bCs/>
          <w:iCs/>
          <w:sz w:val="22"/>
          <w:szCs w:val="22"/>
          <w:lang w:eastAsia="en-US"/>
        </w:rPr>
        <w:t xml:space="preserve">00 лв. </w:t>
      </w:r>
    </w:p>
    <w:p w14:paraId="770B5C18" w14:textId="1C2D5CBA" w:rsidR="001F7935" w:rsidRPr="002D100B" w:rsidRDefault="001F7935" w:rsidP="00895087">
      <w:pPr>
        <w:pStyle w:val="ListParagraph"/>
        <w:numPr>
          <w:ilvl w:val="0"/>
          <w:numId w:val="55"/>
        </w:numPr>
        <w:shd w:val="clear" w:color="auto" w:fill="FFFFFF" w:themeFill="background1"/>
        <w:ind w:left="0" w:firstLine="426"/>
        <w:jc w:val="both"/>
        <w:rPr>
          <w:bCs/>
          <w:iCs/>
          <w:sz w:val="22"/>
          <w:szCs w:val="22"/>
          <w:lang w:eastAsia="en-US"/>
        </w:rPr>
      </w:pPr>
      <w:r w:rsidRPr="002D100B">
        <w:rPr>
          <w:bCs/>
          <w:iCs/>
          <w:sz w:val="22"/>
          <w:szCs w:val="22"/>
          <w:lang w:eastAsia="en-US"/>
        </w:rPr>
        <w:t>През отчетния период Винарска изба „Евксиноград“ е реализирала 2 896 различни  бутилки асортимент бели вина р. 2022 г., 2023 г. (750</w:t>
      </w:r>
      <w:r w:rsidR="002D100B">
        <w:rPr>
          <w:bCs/>
          <w:iCs/>
          <w:sz w:val="22"/>
          <w:szCs w:val="22"/>
          <w:lang w:val="bg-BG" w:eastAsia="en-US"/>
        </w:rPr>
        <w:t xml:space="preserve"> </w:t>
      </w:r>
      <w:r w:rsidRPr="002D100B">
        <w:rPr>
          <w:bCs/>
          <w:iCs/>
          <w:sz w:val="22"/>
          <w:szCs w:val="22"/>
          <w:lang w:eastAsia="en-US"/>
        </w:rPr>
        <w:t xml:space="preserve">ml) и е произвела 4 405 литра наливни бели вина от реколта 2024 г. </w:t>
      </w:r>
    </w:p>
    <w:p w14:paraId="09D8F0B2" w14:textId="0DA8C670" w:rsidR="001F7935" w:rsidRPr="001F7935" w:rsidRDefault="001F7935" w:rsidP="00895087">
      <w:pPr>
        <w:shd w:val="clear" w:color="auto" w:fill="FFFFFF" w:themeFill="background1"/>
        <w:ind w:firstLine="426"/>
        <w:jc w:val="both"/>
        <w:rPr>
          <w:bCs/>
          <w:iCs/>
          <w:sz w:val="22"/>
          <w:szCs w:val="22"/>
          <w:lang w:eastAsia="en-US"/>
        </w:rPr>
      </w:pPr>
      <w:r w:rsidRPr="001F7935">
        <w:rPr>
          <w:bCs/>
          <w:iCs/>
          <w:sz w:val="22"/>
          <w:szCs w:val="22"/>
          <w:lang w:eastAsia="en-US"/>
        </w:rPr>
        <w:t>Винарска изба „Евксиноград” произвежда бели вина от собствени масиви лозя (110 дка), със сортове грозде „Шардоне“, „Немски ризлинг“, „</w:t>
      </w:r>
      <w:proofErr w:type="spellStart"/>
      <w:r w:rsidRPr="001F7935">
        <w:rPr>
          <w:bCs/>
          <w:iCs/>
          <w:sz w:val="22"/>
          <w:szCs w:val="22"/>
          <w:lang w:eastAsia="en-US"/>
        </w:rPr>
        <w:t>Траминер</w:t>
      </w:r>
      <w:proofErr w:type="spellEnd"/>
      <w:r w:rsidRPr="001F7935">
        <w:rPr>
          <w:bCs/>
          <w:iCs/>
          <w:sz w:val="22"/>
          <w:szCs w:val="22"/>
          <w:lang w:eastAsia="en-US"/>
        </w:rPr>
        <w:t>“, „Врача</w:t>
      </w:r>
      <w:r w:rsidR="002D100B">
        <w:rPr>
          <w:bCs/>
          <w:iCs/>
          <w:sz w:val="22"/>
          <w:szCs w:val="22"/>
          <w:lang w:eastAsia="en-US"/>
        </w:rPr>
        <w:t>нски мискет“ и „Червен мискет“.</w:t>
      </w:r>
    </w:p>
    <w:p w14:paraId="62968666" w14:textId="12E65614" w:rsidR="001F7935" w:rsidRPr="001F7935" w:rsidRDefault="001F7935" w:rsidP="00895087">
      <w:pPr>
        <w:pStyle w:val="ListParagraph"/>
        <w:numPr>
          <w:ilvl w:val="0"/>
          <w:numId w:val="55"/>
        </w:numPr>
        <w:shd w:val="clear" w:color="auto" w:fill="FFFFFF" w:themeFill="background1"/>
        <w:spacing w:after="120"/>
        <w:ind w:left="0" w:firstLine="425"/>
        <w:jc w:val="both"/>
        <w:rPr>
          <w:bCs/>
          <w:iCs/>
          <w:sz w:val="22"/>
          <w:szCs w:val="22"/>
          <w:lang w:eastAsia="en-US"/>
        </w:rPr>
      </w:pPr>
      <w:r w:rsidRPr="001F7935">
        <w:rPr>
          <w:bCs/>
          <w:iCs/>
          <w:sz w:val="22"/>
          <w:szCs w:val="22"/>
          <w:lang w:eastAsia="en-US"/>
        </w:rPr>
        <w:t xml:space="preserve">Бутилирани са ракия гроздова и „Резерва“ (500 ml) съответно 830 бутилки и 814 бутилки (500 ml), бренди „Евксиняк V.S.O.P.“ (700 ml), 10-годишно – 503 бутилки и „Евксиняк X.O.“ (700 ml), 20-годишно </w:t>
      </w:r>
      <w:r w:rsidR="00B74CCF">
        <w:rPr>
          <w:bCs/>
          <w:iCs/>
          <w:sz w:val="22"/>
          <w:szCs w:val="22"/>
          <w:lang w:eastAsia="en-US"/>
        </w:rPr>
        <w:t>–</w:t>
      </w:r>
      <w:r w:rsidR="00B74CCF">
        <w:rPr>
          <w:bCs/>
          <w:iCs/>
          <w:sz w:val="22"/>
          <w:szCs w:val="22"/>
          <w:lang w:val="bg-BG" w:eastAsia="en-US"/>
        </w:rPr>
        <w:t xml:space="preserve"> </w:t>
      </w:r>
      <w:r w:rsidRPr="001F7935">
        <w:rPr>
          <w:bCs/>
          <w:iCs/>
          <w:sz w:val="22"/>
          <w:szCs w:val="22"/>
          <w:lang w:eastAsia="en-US"/>
        </w:rPr>
        <w:t>505 бутилки.</w:t>
      </w:r>
    </w:p>
    <w:p w14:paraId="34A571F2" w14:textId="77777777" w:rsidR="001F7935" w:rsidRPr="00B74CCF" w:rsidRDefault="001F7935" w:rsidP="00895087">
      <w:pPr>
        <w:shd w:val="clear" w:color="auto" w:fill="FFFFFF" w:themeFill="background1"/>
        <w:ind w:firstLine="425"/>
        <w:jc w:val="both"/>
        <w:rPr>
          <w:b/>
          <w:sz w:val="22"/>
          <w:szCs w:val="22"/>
          <w:u w:val="single"/>
        </w:rPr>
      </w:pPr>
      <w:r w:rsidRPr="00B74CCF">
        <w:rPr>
          <w:b/>
          <w:sz w:val="22"/>
          <w:szCs w:val="22"/>
          <w:u w:val="single"/>
        </w:rPr>
        <w:t>Почивна база „Слънчев бряг“:</w:t>
      </w:r>
    </w:p>
    <w:p w14:paraId="4A111A1E" w14:textId="79099666" w:rsidR="001F7935" w:rsidRPr="001F7935" w:rsidRDefault="001F7935" w:rsidP="00895087">
      <w:pPr>
        <w:shd w:val="clear" w:color="auto" w:fill="FFFFFF" w:themeFill="background1"/>
        <w:ind w:firstLine="426"/>
        <w:jc w:val="both"/>
        <w:rPr>
          <w:bCs/>
          <w:iCs/>
          <w:sz w:val="22"/>
          <w:szCs w:val="22"/>
          <w:lang w:eastAsia="en-US"/>
        </w:rPr>
      </w:pPr>
      <w:r w:rsidRPr="001F7935">
        <w:rPr>
          <w:bCs/>
          <w:iCs/>
          <w:sz w:val="22"/>
          <w:szCs w:val="22"/>
          <w:lang w:eastAsia="en-US"/>
        </w:rPr>
        <w:t>Общата численост на персонала към 30.06.2025 г. на</w:t>
      </w:r>
      <w:r w:rsidR="00B74CCF">
        <w:rPr>
          <w:bCs/>
          <w:iCs/>
          <w:sz w:val="22"/>
          <w:szCs w:val="22"/>
          <w:lang w:eastAsia="en-US"/>
        </w:rPr>
        <w:t xml:space="preserve"> Почивна база „Слънчев бряг” е </w:t>
      </w:r>
      <w:r w:rsidRPr="001F7935">
        <w:rPr>
          <w:bCs/>
          <w:iCs/>
          <w:sz w:val="22"/>
          <w:szCs w:val="22"/>
          <w:lang w:eastAsia="en-US"/>
        </w:rPr>
        <w:t>72 щатни бройки.</w:t>
      </w:r>
    </w:p>
    <w:p w14:paraId="0D23DC80" w14:textId="77777777" w:rsidR="001F7935" w:rsidRPr="001F7935" w:rsidRDefault="001F7935" w:rsidP="00895087">
      <w:pPr>
        <w:shd w:val="clear" w:color="auto" w:fill="FFFFFF" w:themeFill="background1"/>
        <w:ind w:firstLine="426"/>
        <w:jc w:val="both"/>
        <w:rPr>
          <w:bCs/>
          <w:iCs/>
          <w:sz w:val="22"/>
          <w:szCs w:val="22"/>
          <w:lang w:eastAsia="en-US"/>
        </w:rPr>
      </w:pPr>
      <w:r w:rsidRPr="001F7935">
        <w:rPr>
          <w:bCs/>
          <w:iCs/>
          <w:sz w:val="22"/>
          <w:szCs w:val="22"/>
          <w:lang w:eastAsia="en-US"/>
        </w:rPr>
        <w:t>В изпълнение на Решение № 318 от 20 май 2022 г. на Министерски съвет в Почивна база „Слънчев бряг“ от 30 май 2022 г. са настанени около 300 украински граждани, получили временна закрила в Република България.</w:t>
      </w:r>
    </w:p>
    <w:p w14:paraId="33CEC7AF" w14:textId="77777777" w:rsidR="001F7935" w:rsidRPr="001F7935" w:rsidRDefault="001F7935" w:rsidP="00895087">
      <w:pPr>
        <w:shd w:val="clear" w:color="auto" w:fill="FFFFFF" w:themeFill="background1"/>
        <w:ind w:firstLine="426"/>
        <w:jc w:val="both"/>
        <w:rPr>
          <w:bCs/>
          <w:iCs/>
          <w:sz w:val="22"/>
          <w:szCs w:val="22"/>
          <w:lang w:eastAsia="en-US"/>
        </w:rPr>
      </w:pPr>
      <w:r w:rsidRPr="001F7935">
        <w:rPr>
          <w:bCs/>
          <w:iCs/>
          <w:sz w:val="22"/>
          <w:szCs w:val="22"/>
          <w:lang w:eastAsia="en-US"/>
        </w:rPr>
        <w:t xml:space="preserve">Към датата на изготвяне на отчета в Дом 1 и Дом 2 на почивната база пребивават 300 човека с нощувка и изхранване. </w:t>
      </w:r>
    </w:p>
    <w:p w14:paraId="1ECF4C5C" w14:textId="20EA81A8" w:rsidR="001F7935" w:rsidRPr="001F7935" w:rsidRDefault="001F7935" w:rsidP="00895087">
      <w:pPr>
        <w:shd w:val="clear" w:color="auto" w:fill="FFFFFF" w:themeFill="background1"/>
        <w:ind w:firstLine="426"/>
        <w:jc w:val="both"/>
        <w:rPr>
          <w:bCs/>
          <w:iCs/>
          <w:sz w:val="22"/>
          <w:szCs w:val="22"/>
          <w:lang w:eastAsia="en-US"/>
        </w:rPr>
      </w:pPr>
      <w:r w:rsidRPr="001F7935">
        <w:rPr>
          <w:bCs/>
          <w:iCs/>
          <w:sz w:val="22"/>
          <w:szCs w:val="22"/>
          <w:lang w:eastAsia="en-US"/>
        </w:rPr>
        <w:t xml:space="preserve">Почивната база не </w:t>
      </w:r>
      <w:r w:rsidR="00D539D4">
        <w:rPr>
          <w:bCs/>
          <w:iCs/>
          <w:sz w:val="22"/>
          <w:szCs w:val="22"/>
          <w:lang w:eastAsia="en-US"/>
        </w:rPr>
        <w:t xml:space="preserve">се използва по предназначение, </w:t>
      </w:r>
      <w:r w:rsidRPr="001F7935">
        <w:rPr>
          <w:bCs/>
          <w:iCs/>
          <w:sz w:val="22"/>
          <w:szCs w:val="22"/>
          <w:lang w:eastAsia="en-US"/>
        </w:rPr>
        <w:t>към настоящия м</w:t>
      </w:r>
      <w:r w:rsidR="00D539D4">
        <w:rPr>
          <w:bCs/>
          <w:iCs/>
          <w:sz w:val="22"/>
          <w:szCs w:val="22"/>
          <w:lang w:eastAsia="en-US"/>
        </w:rPr>
        <w:t xml:space="preserve">омент се ползва за общежитие – </w:t>
      </w:r>
      <w:r w:rsidRPr="001F7935">
        <w:rPr>
          <w:bCs/>
          <w:iCs/>
          <w:sz w:val="22"/>
          <w:szCs w:val="22"/>
          <w:lang w:eastAsia="en-US"/>
        </w:rPr>
        <w:t xml:space="preserve">настанени са физически лица, цели семейства, възрастни хора със заболявания. </w:t>
      </w:r>
    </w:p>
    <w:p w14:paraId="11B1195A" w14:textId="77777777" w:rsidR="001F7935" w:rsidRPr="001F7935" w:rsidRDefault="001F7935" w:rsidP="00895087">
      <w:pPr>
        <w:shd w:val="clear" w:color="auto" w:fill="FFFFFF" w:themeFill="background1"/>
        <w:ind w:firstLine="426"/>
        <w:jc w:val="both"/>
        <w:rPr>
          <w:bCs/>
          <w:iCs/>
          <w:sz w:val="22"/>
          <w:szCs w:val="22"/>
          <w:lang w:eastAsia="en-US"/>
        </w:rPr>
      </w:pPr>
      <w:r w:rsidRPr="001F7935">
        <w:rPr>
          <w:bCs/>
          <w:iCs/>
          <w:sz w:val="22"/>
          <w:szCs w:val="22"/>
          <w:lang w:eastAsia="en-US"/>
        </w:rPr>
        <w:t>През отчетния период са проведени 1 бр. мероприятие на свободен прием. Реализираните нощувки са 216 бр. с нетните приходи в размер на 19 440 лв. Индивидуални ползватели са 36 броя с реализирани 203 нощувки, нетните приходи в размер на 5 417 лв.</w:t>
      </w:r>
    </w:p>
    <w:p w14:paraId="2222E7A6" w14:textId="77777777" w:rsidR="003D04D9" w:rsidRDefault="003D04D9">
      <w:pPr>
        <w:rPr>
          <w:b/>
          <w:sz w:val="22"/>
          <w:szCs w:val="22"/>
          <w:u w:val="single"/>
        </w:rPr>
      </w:pPr>
      <w:r>
        <w:rPr>
          <w:b/>
          <w:sz w:val="22"/>
          <w:szCs w:val="22"/>
          <w:u w:val="single"/>
        </w:rPr>
        <w:br w:type="page"/>
      </w:r>
    </w:p>
    <w:p w14:paraId="208362CE" w14:textId="7A301858" w:rsidR="001F7935" w:rsidRPr="00D539D4" w:rsidRDefault="001F7935" w:rsidP="00895087">
      <w:pPr>
        <w:shd w:val="clear" w:color="auto" w:fill="FFFFFF" w:themeFill="background1"/>
        <w:spacing w:before="120"/>
        <w:ind w:firstLine="425"/>
        <w:jc w:val="both"/>
        <w:rPr>
          <w:b/>
          <w:sz w:val="22"/>
          <w:szCs w:val="22"/>
          <w:u w:val="single"/>
        </w:rPr>
      </w:pPr>
      <w:r w:rsidRPr="00D539D4">
        <w:rPr>
          <w:b/>
          <w:sz w:val="22"/>
          <w:szCs w:val="22"/>
          <w:u w:val="single"/>
        </w:rPr>
        <w:lastRenderedPageBreak/>
        <w:t xml:space="preserve">Почивна база „Орлица” – Пампорово: </w:t>
      </w:r>
    </w:p>
    <w:p w14:paraId="6B72494E" w14:textId="4E5E85C0" w:rsidR="001F7935" w:rsidRPr="001F7935" w:rsidRDefault="001F7935" w:rsidP="00895087">
      <w:pPr>
        <w:shd w:val="clear" w:color="auto" w:fill="FFFFFF" w:themeFill="background1"/>
        <w:ind w:firstLine="426"/>
        <w:jc w:val="both"/>
        <w:rPr>
          <w:bCs/>
          <w:iCs/>
          <w:sz w:val="22"/>
          <w:szCs w:val="22"/>
          <w:lang w:eastAsia="en-US"/>
        </w:rPr>
      </w:pPr>
      <w:r w:rsidRPr="001F7935">
        <w:rPr>
          <w:bCs/>
          <w:iCs/>
          <w:sz w:val="22"/>
          <w:szCs w:val="22"/>
          <w:lang w:eastAsia="en-US"/>
        </w:rPr>
        <w:t xml:space="preserve">Общата численост на персонала към 30.06.2025 г. на Почивна „Орлица“ </w:t>
      </w:r>
      <w:r w:rsidR="00D539D4">
        <w:rPr>
          <w:bCs/>
          <w:iCs/>
          <w:sz w:val="22"/>
          <w:szCs w:val="22"/>
          <w:lang w:eastAsia="en-US"/>
        </w:rPr>
        <w:t>–</w:t>
      </w:r>
      <w:r w:rsidRPr="001F7935">
        <w:rPr>
          <w:bCs/>
          <w:iCs/>
          <w:sz w:val="22"/>
          <w:szCs w:val="22"/>
          <w:lang w:eastAsia="en-US"/>
        </w:rPr>
        <w:t xml:space="preserve"> Пампорово“ е общо 26 щатни бройки.</w:t>
      </w:r>
    </w:p>
    <w:p w14:paraId="15D298F1" w14:textId="7DB6E6B9" w:rsidR="005E30E0" w:rsidRPr="001F7935" w:rsidRDefault="001F7935" w:rsidP="00895087">
      <w:pPr>
        <w:shd w:val="clear" w:color="auto" w:fill="FFFFFF" w:themeFill="background1"/>
        <w:spacing w:after="120"/>
        <w:ind w:firstLine="426"/>
        <w:jc w:val="both"/>
        <w:rPr>
          <w:bCs/>
          <w:iCs/>
          <w:sz w:val="22"/>
          <w:szCs w:val="22"/>
          <w:lang w:eastAsia="en-US"/>
        </w:rPr>
      </w:pPr>
      <w:r w:rsidRPr="001F7935">
        <w:rPr>
          <w:bCs/>
          <w:iCs/>
          <w:sz w:val="22"/>
          <w:szCs w:val="22"/>
          <w:lang w:eastAsia="en-US"/>
        </w:rPr>
        <w:t>През отчетния период 01.01.2025 г. – 30.06.2025 г. в почивната база са проведени 5 организирани мероприятия. Реализирани са общо 5 135 нощувки от мероприятия и индивидуални ползватели с реализирани нет</w:t>
      </w:r>
      <w:r w:rsidR="00D539D4">
        <w:rPr>
          <w:bCs/>
          <w:iCs/>
          <w:sz w:val="22"/>
          <w:szCs w:val="22"/>
          <w:lang w:eastAsia="en-US"/>
        </w:rPr>
        <w:t xml:space="preserve">ни приходи в размер на 316 820 </w:t>
      </w:r>
      <w:r w:rsidRPr="001F7935">
        <w:rPr>
          <w:bCs/>
          <w:iCs/>
          <w:sz w:val="22"/>
          <w:szCs w:val="22"/>
          <w:lang w:eastAsia="en-US"/>
        </w:rPr>
        <w:t>лв.</w:t>
      </w:r>
    </w:p>
    <w:p w14:paraId="397E4362" w14:textId="77777777" w:rsidR="00F43C20" w:rsidRPr="00D539D4" w:rsidRDefault="00F43C20" w:rsidP="00895087">
      <w:pPr>
        <w:widowControl w:val="0"/>
        <w:shd w:val="clear" w:color="auto" w:fill="FFFFFF" w:themeFill="background1"/>
        <w:tabs>
          <w:tab w:val="left" w:pos="426"/>
        </w:tabs>
        <w:ind w:firstLine="425"/>
        <w:jc w:val="both"/>
        <w:outlineLvl w:val="3"/>
        <w:rPr>
          <w:b/>
          <w:bCs/>
          <w:iCs/>
          <w:color w:val="215E99" w:themeColor="text2" w:themeTint="BF"/>
          <w:sz w:val="22"/>
          <w:szCs w:val="22"/>
          <w:lang w:eastAsia="en-US"/>
        </w:rPr>
      </w:pPr>
      <w:r w:rsidRPr="00D539D4">
        <w:rPr>
          <w:b/>
          <w:bCs/>
          <w:iCs/>
          <w:color w:val="215E99" w:themeColor="text2" w:themeTint="BF"/>
          <w:sz w:val="22"/>
          <w:szCs w:val="22"/>
          <w:lang w:eastAsia="en-US"/>
        </w:rPr>
        <w:t>Отчет на разходите по бюджетната програма с разпределение по ведомствени и администрирани разходи</w:t>
      </w:r>
    </w:p>
    <w:p w14:paraId="456C7616" w14:textId="1218C267" w:rsidR="00D539D4" w:rsidRPr="005E5A06" w:rsidRDefault="009E2D8B" w:rsidP="00895087">
      <w:pPr>
        <w:pStyle w:val="BodyText2"/>
        <w:shd w:val="clear" w:color="auto" w:fill="FFFFFF" w:themeFill="background1"/>
        <w:spacing w:after="0" w:line="240" w:lineRule="auto"/>
        <w:jc w:val="right"/>
        <w:rPr>
          <w:i/>
          <w:sz w:val="20"/>
          <w:szCs w:val="20"/>
        </w:rPr>
      </w:pPr>
      <w:r w:rsidRPr="005E5A06">
        <w:rPr>
          <w:b/>
          <w:i/>
          <w:sz w:val="20"/>
          <w:szCs w:val="20"/>
        </w:rPr>
        <w:t>Приложение № 7</w:t>
      </w:r>
      <w:r w:rsidR="00D539D4" w:rsidRPr="005E5A06">
        <w:rPr>
          <w:i/>
          <w:sz w:val="20"/>
          <w:szCs w:val="20"/>
        </w:rPr>
        <w:t xml:space="preserve"> </w:t>
      </w:r>
    </w:p>
    <w:p w14:paraId="63BA98F6" w14:textId="34694442" w:rsidR="009E2D8B" w:rsidRDefault="009E2D8B" w:rsidP="00895087">
      <w:pPr>
        <w:pStyle w:val="BodyText2"/>
        <w:shd w:val="clear" w:color="auto" w:fill="FFFFFF" w:themeFill="background1"/>
        <w:spacing w:after="0" w:line="240" w:lineRule="auto"/>
        <w:jc w:val="both"/>
        <w:rPr>
          <w:i/>
          <w:sz w:val="20"/>
          <w:szCs w:val="20"/>
        </w:rPr>
      </w:pPr>
      <w:r w:rsidRPr="005E5A06">
        <w:rPr>
          <w:i/>
          <w:sz w:val="20"/>
          <w:szCs w:val="20"/>
        </w:rPr>
        <w:t>Отчет на разходите по бюджетните програми с разпределение по ведомствени и администрирани разходи</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354"/>
        <w:gridCol w:w="936"/>
        <w:gridCol w:w="936"/>
        <w:gridCol w:w="856"/>
      </w:tblGrid>
      <w:tr w:rsidR="008C1EFB" w:rsidRPr="008C1EFB" w14:paraId="08EE7881" w14:textId="77777777" w:rsidTr="00F06F4E">
        <w:trPr>
          <w:trHeight w:val="315"/>
        </w:trPr>
        <w:tc>
          <w:tcPr>
            <w:tcW w:w="237" w:type="pct"/>
            <w:vMerge w:val="restart"/>
            <w:shd w:val="clear" w:color="000000" w:fill="E6E6E6"/>
            <w:noWrap/>
            <w:vAlign w:val="center"/>
            <w:hideMark/>
          </w:tcPr>
          <w:p w14:paraId="6B1D492C" w14:textId="77777777" w:rsidR="008C1EFB" w:rsidRPr="008C1EFB" w:rsidRDefault="008C1EFB">
            <w:pPr>
              <w:jc w:val="center"/>
              <w:rPr>
                <w:b/>
                <w:bCs/>
                <w:sz w:val="16"/>
                <w:szCs w:val="16"/>
              </w:rPr>
            </w:pPr>
            <w:r w:rsidRPr="008C1EFB">
              <w:rPr>
                <w:b/>
                <w:bCs/>
                <w:sz w:val="16"/>
                <w:szCs w:val="16"/>
              </w:rPr>
              <w:t>№</w:t>
            </w:r>
          </w:p>
        </w:tc>
        <w:tc>
          <w:tcPr>
            <w:tcW w:w="3273" w:type="pct"/>
            <w:tcBorders>
              <w:bottom w:val="nil"/>
            </w:tcBorders>
            <w:shd w:val="clear" w:color="000000" w:fill="E6E6E6"/>
            <w:noWrap/>
            <w:vAlign w:val="center"/>
            <w:hideMark/>
          </w:tcPr>
          <w:p w14:paraId="5D8D15EB" w14:textId="77777777" w:rsidR="008C1EFB" w:rsidRPr="008C1EFB" w:rsidRDefault="008C1EFB">
            <w:pPr>
              <w:jc w:val="center"/>
              <w:rPr>
                <w:b/>
                <w:bCs/>
                <w:sz w:val="16"/>
                <w:szCs w:val="16"/>
              </w:rPr>
            </w:pPr>
            <w:r w:rsidRPr="008C1EFB">
              <w:rPr>
                <w:b/>
                <w:bCs/>
                <w:sz w:val="16"/>
                <w:szCs w:val="16"/>
              </w:rPr>
              <w:t>0300.07.01-Бюджетна програма „Други дейности и услуги“</w:t>
            </w:r>
          </w:p>
        </w:tc>
        <w:tc>
          <w:tcPr>
            <w:tcW w:w="485" w:type="pct"/>
            <w:vMerge w:val="restart"/>
            <w:shd w:val="clear" w:color="000000" w:fill="E6E6E6"/>
            <w:vAlign w:val="center"/>
            <w:hideMark/>
          </w:tcPr>
          <w:p w14:paraId="088EB8CF" w14:textId="77777777" w:rsidR="008C1EFB" w:rsidRPr="008C1EFB" w:rsidRDefault="008C1EFB">
            <w:pPr>
              <w:jc w:val="center"/>
              <w:rPr>
                <w:b/>
                <w:bCs/>
                <w:sz w:val="16"/>
                <w:szCs w:val="16"/>
              </w:rPr>
            </w:pPr>
            <w:r w:rsidRPr="008C1EFB">
              <w:rPr>
                <w:b/>
                <w:bCs/>
                <w:sz w:val="16"/>
                <w:szCs w:val="16"/>
              </w:rPr>
              <w:t>Закон</w:t>
            </w:r>
          </w:p>
        </w:tc>
        <w:tc>
          <w:tcPr>
            <w:tcW w:w="485" w:type="pct"/>
            <w:vMerge w:val="restart"/>
            <w:shd w:val="clear" w:color="000000" w:fill="E6E6E6"/>
            <w:vAlign w:val="center"/>
            <w:hideMark/>
          </w:tcPr>
          <w:p w14:paraId="665487E8" w14:textId="77777777" w:rsidR="008C1EFB" w:rsidRPr="008C1EFB" w:rsidRDefault="008C1EFB">
            <w:pPr>
              <w:jc w:val="center"/>
              <w:rPr>
                <w:b/>
                <w:bCs/>
                <w:sz w:val="16"/>
                <w:szCs w:val="16"/>
              </w:rPr>
            </w:pPr>
            <w:r w:rsidRPr="008C1EFB">
              <w:rPr>
                <w:b/>
                <w:bCs/>
                <w:sz w:val="16"/>
                <w:szCs w:val="16"/>
              </w:rPr>
              <w:t>Уточнен план</w:t>
            </w:r>
          </w:p>
        </w:tc>
        <w:tc>
          <w:tcPr>
            <w:tcW w:w="520" w:type="pct"/>
            <w:vMerge w:val="restart"/>
            <w:shd w:val="clear" w:color="000000" w:fill="E6E6E6"/>
            <w:vAlign w:val="center"/>
            <w:hideMark/>
          </w:tcPr>
          <w:p w14:paraId="53EEBDA6" w14:textId="77777777" w:rsidR="008C1EFB" w:rsidRPr="008C1EFB" w:rsidRDefault="008C1EFB">
            <w:pPr>
              <w:jc w:val="center"/>
              <w:rPr>
                <w:b/>
                <w:bCs/>
                <w:sz w:val="16"/>
                <w:szCs w:val="16"/>
              </w:rPr>
            </w:pPr>
            <w:r w:rsidRPr="008C1EFB">
              <w:rPr>
                <w:b/>
                <w:bCs/>
                <w:sz w:val="16"/>
                <w:szCs w:val="16"/>
              </w:rPr>
              <w:t>Отчет</w:t>
            </w:r>
          </w:p>
        </w:tc>
      </w:tr>
      <w:tr w:rsidR="008C1EFB" w:rsidRPr="008C1EFB" w14:paraId="3FFBB2E1" w14:textId="77777777" w:rsidTr="00F06F4E">
        <w:trPr>
          <w:trHeight w:val="157"/>
        </w:trPr>
        <w:tc>
          <w:tcPr>
            <w:tcW w:w="237" w:type="pct"/>
            <w:vMerge/>
            <w:vAlign w:val="center"/>
            <w:hideMark/>
          </w:tcPr>
          <w:p w14:paraId="3F918F41" w14:textId="77777777" w:rsidR="008C1EFB" w:rsidRPr="008C1EFB" w:rsidRDefault="008C1EFB">
            <w:pPr>
              <w:rPr>
                <w:b/>
                <w:bCs/>
                <w:sz w:val="16"/>
                <w:szCs w:val="16"/>
              </w:rPr>
            </w:pPr>
          </w:p>
        </w:tc>
        <w:tc>
          <w:tcPr>
            <w:tcW w:w="3273" w:type="pct"/>
            <w:tcBorders>
              <w:top w:val="nil"/>
            </w:tcBorders>
            <w:shd w:val="clear" w:color="000000" w:fill="E6E6E6"/>
            <w:noWrap/>
            <w:vAlign w:val="center"/>
            <w:hideMark/>
          </w:tcPr>
          <w:p w14:paraId="4E3198C3" w14:textId="77777777" w:rsidR="008C1EFB" w:rsidRPr="008C1EFB" w:rsidRDefault="008C1EFB">
            <w:pPr>
              <w:jc w:val="center"/>
              <w:rPr>
                <w:b/>
                <w:bCs/>
                <w:sz w:val="16"/>
                <w:szCs w:val="16"/>
              </w:rPr>
            </w:pPr>
            <w:r w:rsidRPr="008C1EFB">
              <w:rPr>
                <w:b/>
                <w:bCs/>
                <w:sz w:val="16"/>
                <w:szCs w:val="16"/>
              </w:rPr>
              <w:t>(в лева)</w:t>
            </w:r>
          </w:p>
        </w:tc>
        <w:tc>
          <w:tcPr>
            <w:tcW w:w="485" w:type="pct"/>
            <w:vMerge/>
            <w:vAlign w:val="center"/>
            <w:hideMark/>
          </w:tcPr>
          <w:p w14:paraId="5FBE5D1C" w14:textId="77777777" w:rsidR="008C1EFB" w:rsidRPr="008C1EFB" w:rsidRDefault="008C1EFB">
            <w:pPr>
              <w:rPr>
                <w:b/>
                <w:bCs/>
                <w:sz w:val="16"/>
                <w:szCs w:val="16"/>
              </w:rPr>
            </w:pPr>
          </w:p>
        </w:tc>
        <w:tc>
          <w:tcPr>
            <w:tcW w:w="485" w:type="pct"/>
            <w:vMerge/>
            <w:vAlign w:val="center"/>
            <w:hideMark/>
          </w:tcPr>
          <w:p w14:paraId="2506E712" w14:textId="77777777" w:rsidR="008C1EFB" w:rsidRPr="008C1EFB" w:rsidRDefault="008C1EFB">
            <w:pPr>
              <w:rPr>
                <w:b/>
                <w:bCs/>
                <w:sz w:val="16"/>
                <w:szCs w:val="16"/>
              </w:rPr>
            </w:pPr>
          </w:p>
        </w:tc>
        <w:tc>
          <w:tcPr>
            <w:tcW w:w="520" w:type="pct"/>
            <w:vMerge/>
            <w:vAlign w:val="center"/>
            <w:hideMark/>
          </w:tcPr>
          <w:p w14:paraId="14DB6699" w14:textId="77777777" w:rsidR="008C1EFB" w:rsidRPr="008C1EFB" w:rsidRDefault="008C1EFB">
            <w:pPr>
              <w:rPr>
                <w:b/>
                <w:bCs/>
                <w:sz w:val="16"/>
                <w:szCs w:val="16"/>
              </w:rPr>
            </w:pPr>
          </w:p>
        </w:tc>
      </w:tr>
      <w:tr w:rsidR="008C1EFB" w:rsidRPr="008C1EFB" w14:paraId="55909896" w14:textId="77777777" w:rsidTr="00F06F4E">
        <w:trPr>
          <w:trHeight w:val="246"/>
        </w:trPr>
        <w:tc>
          <w:tcPr>
            <w:tcW w:w="237" w:type="pct"/>
            <w:shd w:val="clear" w:color="000000" w:fill="E6E6E6"/>
            <w:noWrap/>
            <w:vAlign w:val="center"/>
            <w:hideMark/>
          </w:tcPr>
          <w:p w14:paraId="360A3D87" w14:textId="77777777" w:rsidR="008C1EFB" w:rsidRPr="008C1EFB" w:rsidRDefault="008C1EFB">
            <w:pPr>
              <w:jc w:val="both"/>
              <w:rPr>
                <w:b/>
                <w:bCs/>
                <w:sz w:val="16"/>
                <w:szCs w:val="16"/>
              </w:rPr>
            </w:pPr>
            <w:r w:rsidRPr="008C1EFB">
              <w:rPr>
                <w:b/>
                <w:bCs/>
                <w:sz w:val="16"/>
                <w:szCs w:val="16"/>
              </w:rPr>
              <w:t>І.</w:t>
            </w:r>
          </w:p>
        </w:tc>
        <w:tc>
          <w:tcPr>
            <w:tcW w:w="3273" w:type="pct"/>
            <w:shd w:val="clear" w:color="000000" w:fill="E6E6E6"/>
            <w:noWrap/>
            <w:vAlign w:val="center"/>
            <w:hideMark/>
          </w:tcPr>
          <w:p w14:paraId="41E72B13" w14:textId="77777777" w:rsidR="008C1EFB" w:rsidRPr="008C1EFB" w:rsidRDefault="008C1EFB">
            <w:pPr>
              <w:rPr>
                <w:b/>
                <w:bCs/>
                <w:sz w:val="16"/>
                <w:szCs w:val="16"/>
              </w:rPr>
            </w:pPr>
            <w:r w:rsidRPr="008C1EFB">
              <w:rPr>
                <w:b/>
                <w:bCs/>
                <w:sz w:val="16"/>
                <w:szCs w:val="16"/>
              </w:rPr>
              <w:t>Общо ведомствени разходи:</w:t>
            </w:r>
          </w:p>
        </w:tc>
        <w:tc>
          <w:tcPr>
            <w:tcW w:w="485" w:type="pct"/>
            <w:shd w:val="clear" w:color="000000" w:fill="E6E6E6"/>
            <w:noWrap/>
            <w:vAlign w:val="center"/>
            <w:hideMark/>
          </w:tcPr>
          <w:p w14:paraId="5C6C593C" w14:textId="77777777" w:rsidR="008C1EFB" w:rsidRPr="008C1EFB" w:rsidRDefault="008C1EFB">
            <w:pPr>
              <w:jc w:val="right"/>
              <w:rPr>
                <w:b/>
                <w:bCs/>
                <w:sz w:val="16"/>
                <w:szCs w:val="16"/>
              </w:rPr>
            </w:pPr>
            <w:r w:rsidRPr="008C1EFB">
              <w:rPr>
                <w:b/>
                <w:bCs/>
                <w:sz w:val="16"/>
                <w:szCs w:val="16"/>
              </w:rPr>
              <w:t>25 430 000</w:t>
            </w:r>
          </w:p>
        </w:tc>
        <w:tc>
          <w:tcPr>
            <w:tcW w:w="485" w:type="pct"/>
            <w:shd w:val="clear" w:color="000000" w:fill="E6E6E6"/>
            <w:noWrap/>
            <w:vAlign w:val="center"/>
            <w:hideMark/>
          </w:tcPr>
          <w:p w14:paraId="43A82AC3" w14:textId="77777777" w:rsidR="008C1EFB" w:rsidRPr="008C1EFB" w:rsidRDefault="008C1EFB">
            <w:pPr>
              <w:jc w:val="right"/>
              <w:rPr>
                <w:b/>
                <w:bCs/>
                <w:sz w:val="16"/>
                <w:szCs w:val="16"/>
              </w:rPr>
            </w:pPr>
            <w:r w:rsidRPr="008C1EFB">
              <w:rPr>
                <w:b/>
                <w:bCs/>
                <w:sz w:val="16"/>
                <w:szCs w:val="16"/>
              </w:rPr>
              <w:t>25 576 022</w:t>
            </w:r>
          </w:p>
        </w:tc>
        <w:tc>
          <w:tcPr>
            <w:tcW w:w="520" w:type="pct"/>
            <w:shd w:val="clear" w:color="000000" w:fill="E6E6E6"/>
            <w:noWrap/>
            <w:vAlign w:val="center"/>
            <w:hideMark/>
          </w:tcPr>
          <w:p w14:paraId="257D5E1F" w14:textId="77777777" w:rsidR="008C1EFB" w:rsidRPr="008C1EFB" w:rsidRDefault="008C1EFB">
            <w:pPr>
              <w:jc w:val="right"/>
              <w:rPr>
                <w:b/>
                <w:bCs/>
                <w:sz w:val="16"/>
                <w:szCs w:val="16"/>
              </w:rPr>
            </w:pPr>
            <w:r w:rsidRPr="008C1EFB">
              <w:rPr>
                <w:b/>
                <w:bCs/>
                <w:sz w:val="16"/>
                <w:szCs w:val="16"/>
              </w:rPr>
              <w:t>8 737 602</w:t>
            </w:r>
          </w:p>
        </w:tc>
      </w:tr>
      <w:tr w:rsidR="008C1EFB" w:rsidRPr="008C1EFB" w14:paraId="4110EE11" w14:textId="77777777" w:rsidTr="001D7CCA">
        <w:trPr>
          <w:trHeight w:val="122"/>
        </w:trPr>
        <w:tc>
          <w:tcPr>
            <w:tcW w:w="237" w:type="pct"/>
            <w:shd w:val="clear" w:color="auto" w:fill="auto"/>
            <w:noWrap/>
            <w:vAlign w:val="center"/>
            <w:hideMark/>
          </w:tcPr>
          <w:p w14:paraId="273A9DB7" w14:textId="77777777" w:rsidR="008C1EFB" w:rsidRPr="008C1EFB" w:rsidRDefault="008C1EFB">
            <w:pPr>
              <w:jc w:val="both"/>
              <w:rPr>
                <w:sz w:val="16"/>
                <w:szCs w:val="16"/>
              </w:rPr>
            </w:pPr>
            <w:r w:rsidRPr="008C1EFB">
              <w:rPr>
                <w:sz w:val="16"/>
                <w:szCs w:val="16"/>
              </w:rPr>
              <w:t> </w:t>
            </w:r>
          </w:p>
        </w:tc>
        <w:tc>
          <w:tcPr>
            <w:tcW w:w="3273" w:type="pct"/>
            <w:shd w:val="clear" w:color="auto" w:fill="auto"/>
            <w:noWrap/>
            <w:vAlign w:val="center"/>
            <w:hideMark/>
          </w:tcPr>
          <w:p w14:paraId="0EC14C8D" w14:textId="1EA08C3F" w:rsidR="008C1EFB" w:rsidRPr="008C1EFB" w:rsidRDefault="008C1EFB" w:rsidP="00F06F4E">
            <w:pPr>
              <w:ind w:firstLine="146"/>
              <w:rPr>
                <w:sz w:val="16"/>
                <w:szCs w:val="16"/>
              </w:rPr>
            </w:pPr>
            <w:r w:rsidRPr="008C1EFB">
              <w:rPr>
                <w:sz w:val="16"/>
                <w:szCs w:val="16"/>
              </w:rPr>
              <w:t>Персонал</w:t>
            </w:r>
          </w:p>
        </w:tc>
        <w:tc>
          <w:tcPr>
            <w:tcW w:w="485" w:type="pct"/>
            <w:shd w:val="clear" w:color="auto" w:fill="auto"/>
            <w:noWrap/>
            <w:vAlign w:val="center"/>
            <w:hideMark/>
          </w:tcPr>
          <w:p w14:paraId="28A2733F" w14:textId="77777777" w:rsidR="008C1EFB" w:rsidRPr="008C1EFB" w:rsidRDefault="008C1EFB">
            <w:pPr>
              <w:jc w:val="right"/>
              <w:rPr>
                <w:sz w:val="16"/>
                <w:szCs w:val="16"/>
              </w:rPr>
            </w:pPr>
            <w:r w:rsidRPr="008C1EFB">
              <w:rPr>
                <w:sz w:val="16"/>
                <w:szCs w:val="16"/>
              </w:rPr>
              <w:t>13 249 000</w:t>
            </w:r>
          </w:p>
        </w:tc>
        <w:tc>
          <w:tcPr>
            <w:tcW w:w="485" w:type="pct"/>
            <w:shd w:val="clear" w:color="auto" w:fill="auto"/>
            <w:noWrap/>
            <w:vAlign w:val="center"/>
            <w:hideMark/>
          </w:tcPr>
          <w:p w14:paraId="7B2C104C" w14:textId="77777777" w:rsidR="008C1EFB" w:rsidRPr="008C1EFB" w:rsidRDefault="008C1EFB">
            <w:pPr>
              <w:jc w:val="right"/>
              <w:rPr>
                <w:sz w:val="16"/>
                <w:szCs w:val="16"/>
              </w:rPr>
            </w:pPr>
            <w:r w:rsidRPr="008C1EFB">
              <w:rPr>
                <w:sz w:val="16"/>
                <w:szCs w:val="16"/>
              </w:rPr>
              <w:t>13 249 000</w:t>
            </w:r>
          </w:p>
        </w:tc>
        <w:tc>
          <w:tcPr>
            <w:tcW w:w="520" w:type="pct"/>
            <w:shd w:val="clear" w:color="auto" w:fill="auto"/>
            <w:noWrap/>
            <w:vAlign w:val="center"/>
            <w:hideMark/>
          </w:tcPr>
          <w:p w14:paraId="647A40B3" w14:textId="77777777" w:rsidR="008C1EFB" w:rsidRPr="008C1EFB" w:rsidRDefault="008C1EFB">
            <w:pPr>
              <w:jc w:val="right"/>
              <w:rPr>
                <w:sz w:val="16"/>
                <w:szCs w:val="16"/>
              </w:rPr>
            </w:pPr>
            <w:r w:rsidRPr="008C1EFB">
              <w:rPr>
                <w:sz w:val="16"/>
                <w:szCs w:val="16"/>
              </w:rPr>
              <w:t>5 574 915</w:t>
            </w:r>
          </w:p>
        </w:tc>
      </w:tr>
      <w:tr w:rsidR="008C1EFB" w:rsidRPr="008C1EFB" w14:paraId="6F908C65" w14:textId="77777777" w:rsidTr="001D7CCA">
        <w:trPr>
          <w:trHeight w:val="139"/>
        </w:trPr>
        <w:tc>
          <w:tcPr>
            <w:tcW w:w="237" w:type="pct"/>
            <w:shd w:val="clear" w:color="auto" w:fill="auto"/>
            <w:noWrap/>
            <w:vAlign w:val="center"/>
            <w:hideMark/>
          </w:tcPr>
          <w:p w14:paraId="4189D040" w14:textId="77777777" w:rsidR="008C1EFB" w:rsidRPr="008C1EFB" w:rsidRDefault="008C1EFB">
            <w:pPr>
              <w:jc w:val="both"/>
              <w:rPr>
                <w:sz w:val="16"/>
                <w:szCs w:val="16"/>
              </w:rPr>
            </w:pPr>
            <w:r w:rsidRPr="008C1EFB">
              <w:rPr>
                <w:sz w:val="16"/>
                <w:szCs w:val="16"/>
              </w:rPr>
              <w:t> </w:t>
            </w:r>
          </w:p>
        </w:tc>
        <w:tc>
          <w:tcPr>
            <w:tcW w:w="3273" w:type="pct"/>
            <w:shd w:val="clear" w:color="auto" w:fill="auto"/>
            <w:noWrap/>
            <w:vAlign w:val="center"/>
            <w:hideMark/>
          </w:tcPr>
          <w:p w14:paraId="5F070B6D" w14:textId="6E049B6E" w:rsidR="008C1EFB" w:rsidRPr="008C1EFB" w:rsidRDefault="008C1EFB" w:rsidP="00F06F4E">
            <w:pPr>
              <w:ind w:firstLine="146"/>
              <w:rPr>
                <w:sz w:val="16"/>
                <w:szCs w:val="16"/>
              </w:rPr>
            </w:pPr>
            <w:r w:rsidRPr="008C1EFB">
              <w:rPr>
                <w:sz w:val="16"/>
                <w:szCs w:val="16"/>
              </w:rPr>
              <w:t>Издръжка</w:t>
            </w:r>
          </w:p>
        </w:tc>
        <w:tc>
          <w:tcPr>
            <w:tcW w:w="485" w:type="pct"/>
            <w:shd w:val="clear" w:color="auto" w:fill="auto"/>
            <w:noWrap/>
            <w:vAlign w:val="center"/>
            <w:hideMark/>
          </w:tcPr>
          <w:p w14:paraId="2C4E4F2F" w14:textId="77777777" w:rsidR="008C1EFB" w:rsidRPr="008C1EFB" w:rsidRDefault="008C1EFB">
            <w:pPr>
              <w:jc w:val="right"/>
              <w:rPr>
                <w:sz w:val="16"/>
                <w:szCs w:val="16"/>
              </w:rPr>
            </w:pPr>
            <w:r w:rsidRPr="008C1EFB">
              <w:rPr>
                <w:sz w:val="16"/>
                <w:szCs w:val="16"/>
              </w:rPr>
              <w:t>5 690 000</w:t>
            </w:r>
          </w:p>
        </w:tc>
        <w:tc>
          <w:tcPr>
            <w:tcW w:w="485" w:type="pct"/>
            <w:shd w:val="clear" w:color="auto" w:fill="auto"/>
            <w:noWrap/>
            <w:vAlign w:val="center"/>
            <w:hideMark/>
          </w:tcPr>
          <w:p w14:paraId="534077D8" w14:textId="77777777" w:rsidR="008C1EFB" w:rsidRPr="008C1EFB" w:rsidRDefault="008C1EFB">
            <w:pPr>
              <w:jc w:val="right"/>
              <w:rPr>
                <w:sz w:val="16"/>
                <w:szCs w:val="16"/>
              </w:rPr>
            </w:pPr>
            <w:r w:rsidRPr="008C1EFB">
              <w:rPr>
                <w:sz w:val="16"/>
                <w:szCs w:val="16"/>
              </w:rPr>
              <w:t>5 869 334</w:t>
            </w:r>
          </w:p>
        </w:tc>
        <w:tc>
          <w:tcPr>
            <w:tcW w:w="520" w:type="pct"/>
            <w:shd w:val="clear" w:color="auto" w:fill="auto"/>
            <w:noWrap/>
            <w:vAlign w:val="center"/>
            <w:hideMark/>
          </w:tcPr>
          <w:p w14:paraId="6B427507" w14:textId="77777777" w:rsidR="008C1EFB" w:rsidRPr="008C1EFB" w:rsidRDefault="008C1EFB">
            <w:pPr>
              <w:jc w:val="right"/>
              <w:rPr>
                <w:sz w:val="16"/>
                <w:szCs w:val="16"/>
              </w:rPr>
            </w:pPr>
            <w:r w:rsidRPr="008C1EFB">
              <w:rPr>
                <w:sz w:val="16"/>
                <w:szCs w:val="16"/>
              </w:rPr>
              <w:t>3 122 613</w:t>
            </w:r>
          </w:p>
        </w:tc>
      </w:tr>
      <w:tr w:rsidR="008C1EFB" w:rsidRPr="008C1EFB" w14:paraId="03EB8745" w14:textId="77777777" w:rsidTr="001D7CCA">
        <w:trPr>
          <w:trHeight w:val="170"/>
        </w:trPr>
        <w:tc>
          <w:tcPr>
            <w:tcW w:w="237" w:type="pct"/>
            <w:shd w:val="clear" w:color="auto" w:fill="auto"/>
            <w:noWrap/>
            <w:vAlign w:val="center"/>
            <w:hideMark/>
          </w:tcPr>
          <w:p w14:paraId="1766EC77" w14:textId="77777777" w:rsidR="008C1EFB" w:rsidRPr="008C1EFB" w:rsidRDefault="008C1EFB">
            <w:pPr>
              <w:jc w:val="both"/>
              <w:rPr>
                <w:sz w:val="16"/>
                <w:szCs w:val="16"/>
              </w:rPr>
            </w:pPr>
            <w:r w:rsidRPr="008C1EFB">
              <w:rPr>
                <w:sz w:val="16"/>
                <w:szCs w:val="16"/>
              </w:rPr>
              <w:t> </w:t>
            </w:r>
          </w:p>
        </w:tc>
        <w:tc>
          <w:tcPr>
            <w:tcW w:w="3273" w:type="pct"/>
            <w:shd w:val="clear" w:color="auto" w:fill="auto"/>
            <w:noWrap/>
            <w:vAlign w:val="center"/>
            <w:hideMark/>
          </w:tcPr>
          <w:p w14:paraId="628A48C0" w14:textId="11FF27A1" w:rsidR="008C1EFB" w:rsidRPr="008C1EFB" w:rsidRDefault="008C1EFB" w:rsidP="00F06F4E">
            <w:pPr>
              <w:ind w:firstLine="146"/>
              <w:rPr>
                <w:sz w:val="16"/>
                <w:szCs w:val="16"/>
              </w:rPr>
            </w:pPr>
            <w:r w:rsidRPr="008C1EFB">
              <w:rPr>
                <w:sz w:val="16"/>
                <w:szCs w:val="16"/>
              </w:rPr>
              <w:t>Капиталови разходи</w:t>
            </w:r>
          </w:p>
        </w:tc>
        <w:tc>
          <w:tcPr>
            <w:tcW w:w="485" w:type="pct"/>
            <w:shd w:val="clear" w:color="auto" w:fill="auto"/>
            <w:noWrap/>
            <w:vAlign w:val="center"/>
            <w:hideMark/>
          </w:tcPr>
          <w:p w14:paraId="6E15DE71" w14:textId="77777777" w:rsidR="008C1EFB" w:rsidRPr="008C1EFB" w:rsidRDefault="008C1EFB">
            <w:pPr>
              <w:jc w:val="right"/>
              <w:rPr>
                <w:sz w:val="16"/>
                <w:szCs w:val="16"/>
              </w:rPr>
            </w:pPr>
            <w:r w:rsidRPr="008C1EFB">
              <w:rPr>
                <w:sz w:val="16"/>
                <w:szCs w:val="16"/>
              </w:rPr>
              <w:t>6 491 000</w:t>
            </w:r>
          </w:p>
        </w:tc>
        <w:tc>
          <w:tcPr>
            <w:tcW w:w="485" w:type="pct"/>
            <w:shd w:val="clear" w:color="auto" w:fill="auto"/>
            <w:noWrap/>
            <w:vAlign w:val="center"/>
            <w:hideMark/>
          </w:tcPr>
          <w:p w14:paraId="58037615" w14:textId="77777777" w:rsidR="008C1EFB" w:rsidRPr="008C1EFB" w:rsidRDefault="008C1EFB">
            <w:pPr>
              <w:jc w:val="right"/>
              <w:rPr>
                <w:sz w:val="16"/>
                <w:szCs w:val="16"/>
              </w:rPr>
            </w:pPr>
            <w:r w:rsidRPr="008C1EFB">
              <w:rPr>
                <w:sz w:val="16"/>
                <w:szCs w:val="16"/>
              </w:rPr>
              <w:t>6 457 688</w:t>
            </w:r>
          </w:p>
        </w:tc>
        <w:tc>
          <w:tcPr>
            <w:tcW w:w="520" w:type="pct"/>
            <w:shd w:val="clear" w:color="auto" w:fill="auto"/>
            <w:noWrap/>
            <w:vAlign w:val="center"/>
            <w:hideMark/>
          </w:tcPr>
          <w:p w14:paraId="17D5E62A" w14:textId="77777777" w:rsidR="008C1EFB" w:rsidRPr="008C1EFB" w:rsidRDefault="008C1EFB">
            <w:pPr>
              <w:jc w:val="right"/>
              <w:rPr>
                <w:sz w:val="16"/>
                <w:szCs w:val="16"/>
              </w:rPr>
            </w:pPr>
            <w:r w:rsidRPr="008C1EFB">
              <w:rPr>
                <w:sz w:val="16"/>
                <w:szCs w:val="16"/>
              </w:rPr>
              <w:t>40 074</w:t>
            </w:r>
          </w:p>
        </w:tc>
      </w:tr>
      <w:tr w:rsidR="008C1EFB" w:rsidRPr="008C1EFB" w14:paraId="44EDBB54" w14:textId="77777777" w:rsidTr="001D7CCA">
        <w:trPr>
          <w:trHeight w:val="116"/>
        </w:trPr>
        <w:tc>
          <w:tcPr>
            <w:tcW w:w="237" w:type="pct"/>
            <w:shd w:val="clear" w:color="000000" w:fill="E6E6E6"/>
            <w:noWrap/>
            <w:vAlign w:val="center"/>
            <w:hideMark/>
          </w:tcPr>
          <w:p w14:paraId="7DB10368" w14:textId="77777777" w:rsidR="008C1EFB" w:rsidRPr="008C1EFB" w:rsidRDefault="008C1EFB">
            <w:pPr>
              <w:jc w:val="both"/>
              <w:rPr>
                <w:b/>
                <w:bCs/>
                <w:sz w:val="16"/>
                <w:szCs w:val="16"/>
              </w:rPr>
            </w:pPr>
            <w:r w:rsidRPr="008C1EFB">
              <w:rPr>
                <w:b/>
                <w:bCs/>
                <w:sz w:val="16"/>
                <w:szCs w:val="16"/>
              </w:rPr>
              <w:t>1</w:t>
            </w:r>
          </w:p>
        </w:tc>
        <w:tc>
          <w:tcPr>
            <w:tcW w:w="3273" w:type="pct"/>
            <w:shd w:val="clear" w:color="000000" w:fill="E6E6E6"/>
            <w:noWrap/>
            <w:vAlign w:val="center"/>
            <w:hideMark/>
          </w:tcPr>
          <w:p w14:paraId="0ADCA678" w14:textId="77777777" w:rsidR="008C1EFB" w:rsidRPr="008C1EFB" w:rsidRDefault="008C1EFB">
            <w:pPr>
              <w:ind w:firstLineChars="300" w:firstLine="482"/>
              <w:rPr>
                <w:b/>
                <w:bCs/>
                <w:sz w:val="16"/>
                <w:szCs w:val="16"/>
              </w:rPr>
            </w:pPr>
            <w:r w:rsidRPr="008C1EFB">
              <w:rPr>
                <w:b/>
                <w:bCs/>
                <w:sz w:val="16"/>
                <w:szCs w:val="16"/>
              </w:rPr>
              <w:t>Ведомствени разходи по бюджета на ПРБ:</w:t>
            </w:r>
          </w:p>
        </w:tc>
        <w:tc>
          <w:tcPr>
            <w:tcW w:w="485" w:type="pct"/>
            <w:shd w:val="clear" w:color="000000" w:fill="E6E6E6"/>
            <w:noWrap/>
            <w:vAlign w:val="center"/>
            <w:hideMark/>
          </w:tcPr>
          <w:p w14:paraId="4DEAFC78" w14:textId="77777777" w:rsidR="008C1EFB" w:rsidRPr="008C1EFB" w:rsidRDefault="008C1EFB">
            <w:pPr>
              <w:jc w:val="right"/>
              <w:rPr>
                <w:b/>
                <w:bCs/>
                <w:sz w:val="16"/>
                <w:szCs w:val="16"/>
              </w:rPr>
            </w:pPr>
            <w:r w:rsidRPr="008C1EFB">
              <w:rPr>
                <w:b/>
                <w:bCs/>
                <w:sz w:val="16"/>
                <w:szCs w:val="16"/>
              </w:rPr>
              <w:t>25 430 000</w:t>
            </w:r>
          </w:p>
        </w:tc>
        <w:tc>
          <w:tcPr>
            <w:tcW w:w="485" w:type="pct"/>
            <w:shd w:val="clear" w:color="000000" w:fill="E6E6E6"/>
            <w:noWrap/>
            <w:vAlign w:val="center"/>
            <w:hideMark/>
          </w:tcPr>
          <w:p w14:paraId="4AE46E3F" w14:textId="77777777" w:rsidR="008C1EFB" w:rsidRPr="008C1EFB" w:rsidRDefault="008C1EFB">
            <w:pPr>
              <w:jc w:val="right"/>
              <w:rPr>
                <w:b/>
                <w:bCs/>
                <w:sz w:val="16"/>
                <w:szCs w:val="16"/>
              </w:rPr>
            </w:pPr>
            <w:r w:rsidRPr="008C1EFB">
              <w:rPr>
                <w:b/>
                <w:bCs/>
                <w:sz w:val="16"/>
                <w:szCs w:val="16"/>
              </w:rPr>
              <w:t>25 576 022</w:t>
            </w:r>
          </w:p>
        </w:tc>
        <w:tc>
          <w:tcPr>
            <w:tcW w:w="520" w:type="pct"/>
            <w:shd w:val="clear" w:color="000000" w:fill="E6E6E6"/>
            <w:noWrap/>
            <w:vAlign w:val="center"/>
            <w:hideMark/>
          </w:tcPr>
          <w:p w14:paraId="38663AE2" w14:textId="77777777" w:rsidR="008C1EFB" w:rsidRPr="008C1EFB" w:rsidRDefault="008C1EFB">
            <w:pPr>
              <w:jc w:val="right"/>
              <w:rPr>
                <w:b/>
                <w:bCs/>
                <w:sz w:val="16"/>
                <w:szCs w:val="16"/>
              </w:rPr>
            </w:pPr>
            <w:r w:rsidRPr="008C1EFB">
              <w:rPr>
                <w:b/>
                <w:bCs/>
                <w:sz w:val="16"/>
                <w:szCs w:val="16"/>
              </w:rPr>
              <w:t>8 332 908</w:t>
            </w:r>
          </w:p>
        </w:tc>
      </w:tr>
      <w:tr w:rsidR="008C1EFB" w:rsidRPr="008C1EFB" w14:paraId="571ED311" w14:textId="77777777" w:rsidTr="008D19AB">
        <w:trPr>
          <w:trHeight w:val="61"/>
        </w:trPr>
        <w:tc>
          <w:tcPr>
            <w:tcW w:w="237" w:type="pct"/>
            <w:shd w:val="clear" w:color="auto" w:fill="auto"/>
            <w:noWrap/>
            <w:vAlign w:val="center"/>
            <w:hideMark/>
          </w:tcPr>
          <w:p w14:paraId="6F386D70" w14:textId="77777777" w:rsidR="008C1EFB" w:rsidRPr="008C1EFB" w:rsidRDefault="008C1EFB">
            <w:pPr>
              <w:jc w:val="both"/>
              <w:rPr>
                <w:sz w:val="16"/>
                <w:szCs w:val="16"/>
              </w:rPr>
            </w:pPr>
            <w:r w:rsidRPr="008C1EFB">
              <w:rPr>
                <w:sz w:val="16"/>
                <w:szCs w:val="16"/>
              </w:rPr>
              <w:t> </w:t>
            </w:r>
          </w:p>
        </w:tc>
        <w:tc>
          <w:tcPr>
            <w:tcW w:w="3273" w:type="pct"/>
            <w:shd w:val="clear" w:color="auto" w:fill="auto"/>
            <w:noWrap/>
            <w:vAlign w:val="center"/>
            <w:hideMark/>
          </w:tcPr>
          <w:p w14:paraId="62CB5F6A" w14:textId="276BD939" w:rsidR="008C1EFB" w:rsidRPr="008C1EFB" w:rsidRDefault="008C1EFB" w:rsidP="001D7CCA">
            <w:pPr>
              <w:ind w:firstLineChars="356" w:firstLine="570"/>
              <w:rPr>
                <w:sz w:val="16"/>
                <w:szCs w:val="16"/>
              </w:rPr>
            </w:pPr>
            <w:r w:rsidRPr="008C1EFB">
              <w:rPr>
                <w:sz w:val="16"/>
                <w:szCs w:val="16"/>
              </w:rPr>
              <w:t>Персонал</w:t>
            </w:r>
          </w:p>
        </w:tc>
        <w:tc>
          <w:tcPr>
            <w:tcW w:w="485" w:type="pct"/>
            <w:shd w:val="clear" w:color="auto" w:fill="auto"/>
            <w:noWrap/>
            <w:vAlign w:val="center"/>
            <w:hideMark/>
          </w:tcPr>
          <w:p w14:paraId="2F185DEB" w14:textId="77777777" w:rsidR="008C1EFB" w:rsidRPr="008C1EFB" w:rsidRDefault="008C1EFB">
            <w:pPr>
              <w:jc w:val="right"/>
              <w:rPr>
                <w:sz w:val="16"/>
                <w:szCs w:val="16"/>
              </w:rPr>
            </w:pPr>
            <w:r w:rsidRPr="008C1EFB">
              <w:rPr>
                <w:sz w:val="16"/>
                <w:szCs w:val="16"/>
              </w:rPr>
              <w:t>13 249 000</w:t>
            </w:r>
          </w:p>
        </w:tc>
        <w:tc>
          <w:tcPr>
            <w:tcW w:w="485" w:type="pct"/>
            <w:shd w:val="clear" w:color="auto" w:fill="auto"/>
            <w:noWrap/>
            <w:vAlign w:val="center"/>
            <w:hideMark/>
          </w:tcPr>
          <w:p w14:paraId="54D7D63D" w14:textId="77777777" w:rsidR="008C1EFB" w:rsidRPr="008C1EFB" w:rsidRDefault="008C1EFB">
            <w:pPr>
              <w:jc w:val="right"/>
              <w:rPr>
                <w:sz w:val="16"/>
                <w:szCs w:val="16"/>
              </w:rPr>
            </w:pPr>
            <w:r w:rsidRPr="008C1EFB">
              <w:rPr>
                <w:sz w:val="16"/>
                <w:szCs w:val="16"/>
              </w:rPr>
              <w:t>13 249 000</w:t>
            </w:r>
          </w:p>
        </w:tc>
        <w:tc>
          <w:tcPr>
            <w:tcW w:w="520" w:type="pct"/>
            <w:shd w:val="clear" w:color="auto" w:fill="auto"/>
            <w:noWrap/>
            <w:vAlign w:val="center"/>
            <w:hideMark/>
          </w:tcPr>
          <w:p w14:paraId="7742C224" w14:textId="77777777" w:rsidR="008C1EFB" w:rsidRPr="008C1EFB" w:rsidRDefault="008C1EFB">
            <w:pPr>
              <w:jc w:val="right"/>
              <w:rPr>
                <w:sz w:val="16"/>
                <w:szCs w:val="16"/>
              </w:rPr>
            </w:pPr>
            <w:r w:rsidRPr="008C1EFB">
              <w:rPr>
                <w:sz w:val="16"/>
                <w:szCs w:val="16"/>
              </w:rPr>
              <w:t>5 434 732</w:t>
            </w:r>
          </w:p>
        </w:tc>
      </w:tr>
      <w:tr w:rsidR="008C1EFB" w:rsidRPr="008C1EFB" w14:paraId="4572FD1A" w14:textId="77777777" w:rsidTr="008D19AB">
        <w:trPr>
          <w:trHeight w:val="150"/>
        </w:trPr>
        <w:tc>
          <w:tcPr>
            <w:tcW w:w="237" w:type="pct"/>
            <w:shd w:val="clear" w:color="auto" w:fill="auto"/>
            <w:noWrap/>
            <w:vAlign w:val="center"/>
            <w:hideMark/>
          </w:tcPr>
          <w:p w14:paraId="549413E8" w14:textId="77777777" w:rsidR="008C1EFB" w:rsidRPr="008C1EFB" w:rsidRDefault="008C1EFB">
            <w:pPr>
              <w:jc w:val="both"/>
              <w:rPr>
                <w:sz w:val="16"/>
                <w:szCs w:val="16"/>
              </w:rPr>
            </w:pPr>
            <w:r w:rsidRPr="008C1EFB">
              <w:rPr>
                <w:sz w:val="16"/>
                <w:szCs w:val="16"/>
              </w:rPr>
              <w:t> </w:t>
            </w:r>
          </w:p>
        </w:tc>
        <w:tc>
          <w:tcPr>
            <w:tcW w:w="3273" w:type="pct"/>
            <w:shd w:val="clear" w:color="auto" w:fill="auto"/>
            <w:noWrap/>
            <w:vAlign w:val="center"/>
            <w:hideMark/>
          </w:tcPr>
          <w:p w14:paraId="4FCC983A" w14:textId="0F0F1C3C" w:rsidR="008C1EFB" w:rsidRPr="008C1EFB" w:rsidRDefault="008C1EFB" w:rsidP="001D7CCA">
            <w:pPr>
              <w:ind w:firstLineChars="356" w:firstLine="570"/>
              <w:rPr>
                <w:sz w:val="16"/>
                <w:szCs w:val="16"/>
              </w:rPr>
            </w:pPr>
            <w:r w:rsidRPr="008C1EFB">
              <w:rPr>
                <w:sz w:val="16"/>
                <w:szCs w:val="16"/>
              </w:rPr>
              <w:t>Издръжка</w:t>
            </w:r>
          </w:p>
        </w:tc>
        <w:tc>
          <w:tcPr>
            <w:tcW w:w="485" w:type="pct"/>
            <w:shd w:val="clear" w:color="auto" w:fill="auto"/>
            <w:noWrap/>
            <w:vAlign w:val="center"/>
            <w:hideMark/>
          </w:tcPr>
          <w:p w14:paraId="76F8C6F4" w14:textId="77777777" w:rsidR="008C1EFB" w:rsidRPr="008C1EFB" w:rsidRDefault="008C1EFB">
            <w:pPr>
              <w:jc w:val="right"/>
              <w:rPr>
                <w:sz w:val="16"/>
                <w:szCs w:val="16"/>
              </w:rPr>
            </w:pPr>
            <w:r w:rsidRPr="008C1EFB">
              <w:rPr>
                <w:sz w:val="16"/>
                <w:szCs w:val="16"/>
              </w:rPr>
              <w:t>5 690 000</w:t>
            </w:r>
          </w:p>
        </w:tc>
        <w:tc>
          <w:tcPr>
            <w:tcW w:w="485" w:type="pct"/>
            <w:shd w:val="clear" w:color="auto" w:fill="auto"/>
            <w:noWrap/>
            <w:vAlign w:val="center"/>
            <w:hideMark/>
          </w:tcPr>
          <w:p w14:paraId="40F56F55" w14:textId="77777777" w:rsidR="008C1EFB" w:rsidRPr="008C1EFB" w:rsidRDefault="008C1EFB">
            <w:pPr>
              <w:jc w:val="right"/>
              <w:rPr>
                <w:sz w:val="16"/>
                <w:szCs w:val="16"/>
              </w:rPr>
            </w:pPr>
            <w:r w:rsidRPr="008C1EFB">
              <w:rPr>
                <w:sz w:val="16"/>
                <w:szCs w:val="16"/>
              </w:rPr>
              <w:t>5 869 334</w:t>
            </w:r>
          </w:p>
        </w:tc>
        <w:tc>
          <w:tcPr>
            <w:tcW w:w="520" w:type="pct"/>
            <w:shd w:val="clear" w:color="auto" w:fill="auto"/>
            <w:noWrap/>
            <w:vAlign w:val="center"/>
            <w:hideMark/>
          </w:tcPr>
          <w:p w14:paraId="22BCF0EA" w14:textId="77777777" w:rsidR="008C1EFB" w:rsidRPr="008C1EFB" w:rsidRDefault="008C1EFB">
            <w:pPr>
              <w:jc w:val="right"/>
              <w:rPr>
                <w:sz w:val="16"/>
                <w:szCs w:val="16"/>
              </w:rPr>
            </w:pPr>
            <w:r w:rsidRPr="008C1EFB">
              <w:rPr>
                <w:sz w:val="16"/>
                <w:szCs w:val="16"/>
              </w:rPr>
              <w:t>2 886 182</w:t>
            </w:r>
          </w:p>
        </w:tc>
      </w:tr>
      <w:tr w:rsidR="008C1EFB" w:rsidRPr="008C1EFB" w14:paraId="796FFA30" w14:textId="77777777" w:rsidTr="008D19AB">
        <w:trPr>
          <w:trHeight w:val="238"/>
        </w:trPr>
        <w:tc>
          <w:tcPr>
            <w:tcW w:w="237" w:type="pct"/>
            <w:shd w:val="clear" w:color="auto" w:fill="auto"/>
            <w:noWrap/>
            <w:vAlign w:val="center"/>
            <w:hideMark/>
          </w:tcPr>
          <w:p w14:paraId="67649BD8" w14:textId="77777777" w:rsidR="008C1EFB" w:rsidRPr="008C1EFB" w:rsidRDefault="008C1EFB">
            <w:pPr>
              <w:jc w:val="both"/>
              <w:rPr>
                <w:sz w:val="16"/>
                <w:szCs w:val="16"/>
              </w:rPr>
            </w:pPr>
            <w:r w:rsidRPr="008C1EFB">
              <w:rPr>
                <w:sz w:val="16"/>
                <w:szCs w:val="16"/>
              </w:rPr>
              <w:t> </w:t>
            </w:r>
          </w:p>
        </w:tc>
        <w:tc>
          <w:tcPr>
            <w:tcW w:w="3273" w:type="pct"/>
            <w:shd w:val="clear" w:color="auto" w:fill="auto"/>
            <w:noWrap/>
            <w:vAlign w:val="center"/>
            <w:hideMark/>
          </w:tcPr>
          <w:p w14:paraId="19BB9FAA" w14:textId="58252557" w:rsidR="008C1EFB" w:rsidRPr="008C1EFB" w:rsidRDefault="008C1EFB" w:rsidP="001D7CCA">
            <w:pPr>
              <w:ind w:firstLineChars="356" w:firstLine="570"/>
              <w:rPr>
                <w:sz w:val="16"/>
                <w:szCs w:val="16"/>
              </w:rPr>
            </w:pPr>
            <w:r w:rsidRPr="008C1EFB">
              <w:rPr>
                <w:sz w:val="16"/>
                <w:szCs w:val="16"/>
              </w:rPr>
              <w:t>Капиталови разходи</w:t>
            </w:r>
          </w:p>
        </w:tc>
        <w:tc>
          <w:tcPr>
            <w:tcW w:w="485" w:type="pct"/>
            <w:shd w:val="clear" w:color="auto" w:fill="auto"/>
            <w:noWrap/>
            <w:vAlign w:val="center"/>
            <w:hideMark/>
          </w:tcPr>
          <w:p w14:paraId="4DE8E957" w14:textId="77777777" w:rsidR="008C1EFB" w:rsidRPr="008C1EFB" w:rsidRDefault="008C1EFB">
            <w:pPr>
              <w:jc w:val="right"/>
              <w:rPr>
                <w:sz w:val="16"/>
                <w:szCs w:val="16"/>
              </w:rPr>
            </w:pPr>
            <w:r w:rsidRPr="008C1EFB">
              <w:rPr>
                <w:sz w:val="16"/>
                <w:szCs w:val="16"/>
              </w:rPr>
              <w:t>6 491 000</w:t>
            </w:r>
          </w:p>
        </w:tc>
        <w:tc>
          <w:tcPr>
            <w:tcW w:w="485" w:type="pct"/>
            <w:shd w:val="clear" w:color="auto" w:fill="auto"/>
            <w:noWrap/>
            <w:vAlign w:val="center"/>
            <w:hideMark/>
          </w:tcPr>
          <w:p w14:paraId="7B4C8B5D" w14:textId="77777777" w:rsidR="008C1EFB" w:rsidRPr="008C1EFB" w:rsidRDefault="008C1EFB">
            <w:pPr>
              <w:jc w:val="right"/>
              <w:rPr>
                <w:sz w:val="16"/>
                <w:szCs w:val="16"/>
              </w:rPr>
            </w:pPr>
            <w:r w:rsidRPr="008C1EFB">
              <w:rPr>
                <w:sz w:val="16"/>
                <w:szCs w:val="16"/>
              </w:rPr>
              <w:t>6 457 688</w:t>
            </w:r>
          </w:p>
        </w:tc>
        <w:tc>
          <w:tcPr>
            <w:tcW w:w="520" w:type="pct"/>
            <w:shd w:val="clear" w:color="auto" w:fill="auto"/>
            <w:noWrap/>
            <w:vAlign w:val="center"/>
            <w:hideMark/>
          </w:tcPr>
          <w:p w14:paraId="428B6A0B" w14:textId="77777777" w:rsidR="008C1EFB" w:rsidRPr="008C1EFB" w:rsidRDefault="008C1EFB">
            <w:pPr>
              <w:jc w:val="right"/>
              <w:rPr>
                <w:sz w:val="16"/>
                <w:szCs w:val="16"/>
              </w:rPr>
            </w:pPr>
            <w:r w:rsidRPr="008C1EFB">
              <w:rPr>
                <w:sz w:val="16"/>
                <w:szCs w:val="16"/>
              </w:rPr>
              <w:t>11 994</w:t>
            </w:r>
          </w:p>
        </w:tc>
      </w:tr>
      <w:tr w:rsidR="008C1EFB" w:rsidRPr="008C1EFB" w14:paraId="57BA3A0A" w14:textId="77777777" w:rsidTr="00AD412A">
        <w:trPr>
          <w:trHeight w:val="128"/>
        </w:trPr>
        <w:tc>
          <w:tcPr>
            <w:tcW w:w="237" w:type="pct"/>
            <w:shd w:val="clear" w:color="000000" w:fill="E6E6E6"/>
            <w:noWrap/>
            <w:vAlign w:val="center"/>
            <w:hideMark/>
          </w:tcPr>
          <w:p w14:paraId="57DE0D9B" w14:textId="77777777" w:rsidR="008C1EFB" w:rsidRPr="008C1EFB" w:rsidRDefault="008C1EFB">
            <w:pPr>
              <w:jc w:val="both"/>
              <w:rPr>
                <w:b/>
                <w:bCs/>
                <w:sz w:val="16"/>
                <w:szCs w:val="16"/>
              </w:rPr>
            </w:pPr>
            <w:r w:rsidRPr="008C1EFB">
              <w:rPr>
                <w:b/>
                <w:bCs/>
                <w:sz w:val="16"/>
                <w:szCs w:val="16"/>
              </w:rPr>
              <w:t>2</w:t>
            </w:r>
          </w:p>
        </w:tc>
        <w:tc>
          <w:tcPr>
            <w:tcW w:w="3273" w:type="pct"/>
            <w:shd w:val="clear" w:color="000000" w:fill="E6E6E6"/>
            <w:noWrap/>
            <w:vAlign w:val="center"/>
            <w:hideMark/>
          </w:tcPr>
          <w:p w14:paraId="7CBCCB0C" w14:textId="77777777" w:rsidR="008C1EFB" w:rsidRPr="008C1EFB" w:rsidRDefault="008C1EFB">
            <w:pPr>
              <w:ind w:firstLineChars="300" w:firstLine="482"/>
              <w:rPr>
                <w:b/>
                <w:bCs/>
                <w:sz w:val="16"/>
                <w:szCs w:val="16"/>
              </w:rPr>
            </w:pPr>
            <w:r w:rsidRPr="008C1EFB">
              <w:rPr>
                <w:b/>
                <w:bCs/>
                <w:sz w:val="16"/>
                <w:szCs w:val="16"/>
              </w:rPr>
              <w:t xml:space="preserve">Ведомствени разходи по други бюджети и сметки за средства от ЕС </w:t>
            </w:r>
          </w:p>
        </w:tc>
        <w:tc>
          <w:tcPr>
            <w:tcW w:w="485" w:type="pct"/>
            <w:shd w:val="clear" w:color="000000" w:fill="E6E6E6"/>
            <w:noWrap/>
            <w:vAlign w:val="center"/>
            <w:hideMark/>
          </w:tcPr>
          <w:p w14:paraId="71C68018" w14:textId="77777777" w:rsidR="008C1EFB" w:rsidRPr="008C1EFB" w:rsidRDefault="008C1EFB">
            <w:pPr>
              <w:jc w:val="right"/>
              <w:rPr>
                <w:b/>
                <w:bCs/>
                <w:sz w:val="16"/>
                <w:szCs w:val="16"/>
              </w:rPr>
            </w:pPr>
            <w:r w:rsidRPr="008C1EFB">
              <w:rPr>
                <w:b/>
                <w:bCs/>
                <w:sz w:val="16"/>
                <w:szCs w:val="16"/>
              </w:rPr>
              <w:t>0</w:t>
            </w:r>
          </w:p>
        </w:tc>
        <w:tc>
          <w:tcPr>
            <w:tcW w:w="485" w:type="pct"/>
            <w:shd w:val="clear" w:color="000000" w:fill="E6E6E6"/>
            <w:noWrap/>
            <w:vAlign w:val="center"/>
            <w:hideMark/>
          </w:tcPr>
          <w:p w14:paraId="672D18EB" w14:textId="77777777" w:rsidR="008C1EFB" w:rsidRPr="008C1EFB" w:rsidRDefault="008C1EFB">
            <w:pPr>
              <w:jc w:val="right"/>
              <w:rPr>
                <w:b/>
                <w:bCs/>
                <w:sz w:val="16"/>
                <w:szCs w:val="16"/>
              </w:rPr>
            </w:pPr>
            <w:r w:rsidRPr="008C1EFB">
              <w:rPr>
                <w:b/>
                <w:bCs/>
                <w:sz w:val="16"/>
                <w:szCs w:val="16"/>
              </w:rPr>
              <w:t>0</w:t>
            </w:r>
          </w:p>
        </w:tc>
        <w:tc>
          <w:tcPr>
            <w:tcW w:w="520" w:type="pct"/>
            <w:shd w:val="clear" w:color="000000" w:fill="E6E6E6"/>
            <w:noWrap/>
            <w:vAlign w:val="center"/>
            <w:hideMark/>
          </w:tcPr>
          <w:p w14:paraId="4821E77B" w14:textId="77777777" w:rsidR="008C1EFB" w:rsidRPr="008C1EFB" w:rsidRDefault="008C1EFB">
            <w:pPr>
              <w:jc w:val="right"/>
              <w:rPr>
                <w:b/>
                <w:bCs/>
                <w:sz w:val="16"/>
                <w:szCs w:val="16"/>
              </w:rPr>
            </w:pPr>
            <w:r w:rsidRPr="008C1EFB">
              <w:rPr>
                <w:b/>
                <w:bCs/>
                <w:sz w:val="16"/>
                <w:szCs w:val="16"/>
              </w:rPr>
              <w:t>404 694</w:t>
            </w:r>
          </w:p>
        </w:tc>
      </w:tr>
      <w:tr w:rsidR="008C1EFB" w:rsidRPr="008C1EFB" w14:paraId="678A3DC4" w14:textId="77777777" w:rsidTr="0090629C">
        <w:trPr>
          <w:trHeight w:val="146"/>
        </w:trPr>
        <w:tc>
          <w:tcPr>
            <w:tcW w:w="237" w:type="pct"/>
            <w:shd w:val="clear" w:color="auto" w:fill="auto"/>
            <w:noWrap/>
            <w:vAlign w:val="center"/>
            <w:hideMark/>
          </w:tcPr>
          <w:p w14:paraId="1E51821A" w14:textId="77777777" w:rsidR="008C1EFB" w:rsidRPr="008C1EFB" w:rsidRDefault="008C1EFB">
            <w:pPr>
              <w:jc w:val="both"/>
              <w:rPr>
                <w:sz w:val="16"/>
                <w:szCs w:val="16"/>
              </w:rPr>
            </w:pPr>
            <w:r w:rsidRPr="008C1EFB">
              <w:rPr>
                <w:sz w:val="16"/>
                <w:szCs w:val="16"/>
              </w:rPr>
              <w:t> </w:t>
            </w:r>
          </w:p>
        </w:tc>
        <w:tc>
          <w:tcPr>
            <w:tcW w:w="3273" w:type="pct"/>
            <w:shd w:val="clear" w:color="auto" w:fill="auto"/>
            <w:noWrap/>
            <w:vAlign w:val="center"/>
            <w:hideMark/>
          </w:tcPr>
          <w:p w14:paraId="37F8EB93" w14:textId="23BDD685" w:rsidR="008C1EFB" w:rsidRPr="008C1EFB" w:rsidRDefault="008C1EFB" w:rsidP="0090629C">
            <w:pPr>
              <w:ind w:firstLineChars="356" w:firstLine="570"/>
              <w:rPr>
                <w:sz w:val="16"/>
                <w:szCs w:val="16"/>
              </w:rPr>
            </w:pPr>
            <w:r w:rsidRPr="008C1EFB">
              <w:rPr>
                <w:sz w:val="16"/>
                <w:szCs w:val="16"/>
              </w:rPr>
              <w:t>Персонал</w:t>
            </w:r>
          </w:p>
        </w:tc>
        <w:tc>
          <w:tcPr>
            <w:tcW w:w="485" w:type="pct"/>
            <w:shd w:val="clear" w:color="auto" w:fill="auto"/>
            <w:noWrap/>
            <w:vAlign w:val="center"/>
            <w:hideMark/>
          </w:tcPr>
          <w:p w14:paraId="63722EDB" w14:textId="77777777" w:rsidR="008C1EFB" w:rsidRPr="008C1EFB" w:rsidRDefault="008C1EFB">
            <w:pPr>
              <w:jc w:val="right"/>
              <w:rPr>
                <w:sz w:val="16"/>
                <w:szCs w:val="16"/>
              </w:rPr>
            </w:pPr>
            <w:r w:rsidRPr="008C1EFB">
              <w:rPr>
                <w:sz w:val="16"/>
                <w:szCs w:val="16"/>
              </w:rPr>
              <w:t> </w:t>
            </w:r>
          </w:p>
        </w:tc>
        <w:tc>
          <w:tcPr>
            <w:tcW w:w="485" w:type="pct"/>
            <w:shd w:val="clear" w:color="auto" w:fill="auto"/>
            <w:noWrap/>
            <w:vAlign w:val="center"/>
            <w:hideMark/>
          </w:tcPr>
          <w:p w14:paraId="2E7C7A33" w14:textId="77777777" w:rsidR="008C1EFB" w:rsidRPr="008C1EFB" w:rsidRDefault="008C1EFB">
            <w:pPr>
              <w:jc w:val="right"/>
              <w:rPr>
                <w:sz w:val="16"/>
                <w:szCs w:val="16"/>
              </w:rPr>
            </w:pPr>
            <w:r w:rsidRPr="008C1EFB">
              <w:rPr>
                <w:sz w:val="16"/>
                <w:szCs w:val="16"/>
              </w:rPr>
              <w:t> </w:t>
            </w:r>
          </w:p>
        </w:tc>
        <w:tc>
          <w:tcPr>
            <w:tcW w:w="520" w:type="pct"/>
            <w:shd w:val="clear" w:color="000000" w:fill="FFFFFF"/>
            <w:noWrap/>
            <w:vAlign w:val="center"/>
            <w:hideMark/>
          </w:tcPr>
          <w:p w14:paraId="7868CCEB" w14:textId="77777777" w:rsidR="008C1EFB" w:rsidRPr="008C1EFB" w:rsidRDefault="008C1EFB">
            <w:pPr>
              <w:jc w:val="right"/>
              <w:rPr>
                <w:sz w:val="16"/>
                <w:szCs w:val="16"/>
              </w:rPr>
            </w:pPr>
            <w:r w:rsidRPr="008C1EFB">
              <w:rPr>
                <w:sz w:val="16"/>
                <w:szCs w:val="16"/>
              </w:rPr>
              <w:t>140 183</w:t>
            </w:r>
          </w:p>
        </w:tc>
      </w:tr>
      <w:tr w:rsidR="008C1EFB" w:rsidRPr="008C1EFB" w14:paraId="530534A7" w14:textId="77777777" w:rsidTr="0090629C">
        <w:trPr>
          <w:trHeight w:val="219"/>
        </w:trPr>
        <w:tc>
          <w:tcPr>
            <w:tcW w:w="237" w:type="pct"/>
            <w:shd w:val="clear" w:color="auto" w:fill="auto"/>
            <w:noWrap/>
            <w:vAlign w:val="center"/>
            <w:hideMark/>
          </w:tcPr>
          <w:p w14:paraId="3D7085B5" w14:textId="77777777" w:rsidR="008C1EFB" w:rsidRPr="008C1EFB" w:rsidRDefault="008C1EFB">
            <w:pPr>
              <w:jc w:val="both"/>
              <w:rPr>
                <w:sz w:val="16"/>
                <w:szCs w:val="16"/>
              </w:rPr>
            </w:pPr>
            <w:r w:rsidRPr="008C1EFB">
              <w:rPr>
                <w:sz w:val="16"/>
                <w:szCs w:val="16"/>
              </w:rPr>
              <w:t> </w:t>
            </w:r>
          </w:p>
        </w:tc>
        <w:tc>
          <w:tcPr>
            <w:tcW w:w="3273" w:type="pct"/>
            <w:shd w:val="clear" w:color="auto" w:fill="auto"/>
            <w:noWrap/>
            <w:vAlign w:val="center"/>
            <w:hideMark/>
          </w:tcPr>
          <w:p w14:paraId="20C6541C" w14:textId="375EF598" w:rsidR="008C1EFB" w:rsidRPr="008C1EFB" w:rsidRDefault="008C1EFB" w:rsidP="0090629C">
            <w:pPr>
              <w:ind w:firstLineChars="356" w:firstLine="570"/>
              <w:rPr>
                <w:sz w:val="16"/>
                <w:szCs w:val="16"/>
              </w:rPr>
            </w:pPr>
            <w:r w:rsidRPr="008C1EFB">
              <w:rPr>
                <w:sz w:val="16"/>
                <w:szCs w:val="16"/>
              </w:rPr>
              <w:t>Издръжка</w:t>
            </w:r>
          </w:p>
        </w:tc>
        <w:tc>
          <w:tcPr>
            <w:tcW w:w="485" w:type="pct"/>
            <w:shd w:val="clear" w:color="auto" w:fill="auto"/>
            <w:noWrap/>
            <w:vAlign w:val="center"/>
            <w:hideMark/>
          </w:tcPr>
          <w:p w14:paraId="73958A77" w14:textId="77777777" w:rsidR="008C1EFB" w:rsidRPr="008C1EFB" w:rsidRDefault="008C1EFB">
            <w:pPr>
              <w:jc w:val="right"/>
              <w:rPr>
                <w:sz w:val="16"/>
                <w:szCs w:val="16"/>
              </w:rPr>
            </w:pPr>
            <w:r w:rsidRPr="008C1EFB">
              <w:rPr>
                <w:sz w:val="16"/>
                <w:szCs w:val="16"/>
              </w:rPr>
              <w:t> </w:t>
            </w:r>
          </w:p>
        </w:tc>
        <w:tc>
          <w:tcPr>
            <w:tcW w:w="485" w:type="pct"/>
            <w:shd w:val="clear" w:color="auto" w:fill="auto"/>
            <w:noWrap/>
            <w:vAlign w:val="center"/>
            <w:hideMark/>
          </w:tcPr>
          <w:p w14:paraId="4AEDDE55" w14:textId="77777777" w:rsidR="008C1EFB" w:rsidRPr="008C1EFB" w:rsidRDefault="008C1EFB">
            <w:pPr>
              <w:jc w:val="right"/>
              <w:rPr>
                <w:sz w:val="16"/>
                <w:szCs w:val="16"/>
              </w:rPr>
            </w:pPr>
            <w:r w:rsidRPr="008C1EFB">
              <w:rPr>
                <w:sz w:val="16"/>
                <w:szCs w:val="16"/>
              </w:rPr>
              <w:t> </w:t>
            </w:r>
          </w:p>
        </w:tc>
        <w:tc>
          <w:tcPr>
            <w:tcW w:w="520" w:type="pct"/>
            <w:shd w:val="clear" w:color="000000" w:fill="FFFFFF"/>
            <w:noWrap/>
            <w:vAlign w:val="center"/>
            <w:hideMark/>
          </w:tcPr>
          <w:p w14:paraId="22773A53" w14:textId="77777777" w:rsidR="008C1EFB" w:rsidRPr="008C1EFB" w:rsidRDefault="008C1EFB">
            <w:pPr>
              <w:jc w:val="right"/>
              <w:rPr>
                <w:sz w:val="16"/>
                <w:szCs w:val="16"/>
              </w:rPr>
            </w:pPr>
            <w:r w:rsidRPr="008C1EFB">
              <w:rPr>
                <w:sz w:val="16"/>
                <w:szCs w:val="16"/>
              </w:rPr>
              <w:t>236 431</w:t>
            </w:r>
          </w:p>
        </w:tc>
      </w:tr>
      <w:tr w:rsidR="008C1EFB" w:rsidRPr="008C1EFB" w14:paraId="59C5BCDA" w14:textId="77777777" w:rsidTr="0090629C">
        <w:trPr>
          <w:trHeight w:val="138"/>
        </w:trPr>
        <w:tc>
          <w:tcPr>
            <w:tcW w:w="237" w:type="pct"/>
            <w:shd w:val="clear" w:color="auto" w:fill="auto"/>
            <w:noWrap/>
            <w:vAlign w:val="center"/>
            <w:hideMark/>
          </w:tcPr>
          <w:p w14:paraId="09C1D4D8" w14:textId="77777777" w:rsidR="008C1EFB" w:rsidRPr="008C1EFB" w:rsidRDefault="008C1EFB">
            <w:pPr>
              <w:jc w:val="both"/>
              <w:rPr>
                <w:sz w:val="16"/>
                <w:szCs w:val="16"/>
              </w:rPr>
            </w:pPr>
            <w:r w:rsidRPr="008C1EFB">
              <w:rPr>
                <w:sz w:val="16"/>
                <w:szCs w:val="16"/>
              </w:rPr>
              <w:t> </w:t>
            </w:r>
          </w:p>
        </w:tc>
        <w:tc>
          <w:tcPr>
            <w:tcW w:w="3273" w:type="pct"/>
            <w:shd w:val="clear" w:color="auto" w:fill="auto"/>
            <w:noWrap/>
            <w:vAlign w:val="center"/>
            <w:hideMark/>
          </w:tcPr>
          <w:p w14:paraId="6C0F24B4" w14:textId="5687C099" w:rsidR="008C1EFB" w:rsidRPr="008C1EFB" w:rsidRDefault="008C1EFB" w:rsidP="0090629C">
            <w:pPr>
              <w:ind w:firstLineChars="356" w:firstLine="570"/>
              <w:rPr>
                <w:sz w:val="16"/>
                <w:szCs w:val="16"/>
              </w:rPr>
            </w:pPr>
            <w:r w:rsidRPr="008C1EFB">
              <w:rPr>
                <w:sz w:val="16"/>
                <w:szCs w:val="16"/>
              </w:rPr>
              <w:t>Капиталови разходи</w:t>
            </w:r>
          </w:p>
        </w:tc>
        <w:tc>
          <w:tcPr>
            <w:tcW w:w="485" w:type="pct"/>
            <w:shd w:val="clear" w:color="auto" w:fill="auto"/>
            <w:noWrap/>
            <w:vAlign w:val="center"/>
            <w:hideMark/>
          </w:tcPr>
          <w:p w14:paraId="1BFFFD1C" w14:textId="77777777" w:rsidR="008C1EFB" w:rsidRPr="008C1EFB" w:rsidRDefault="008C1EFB">
            <w:pPr>
              <w:jc w:val="right"/>
              <w:rPr>
                <w:sz w:val="16"/>
                <w:szCs w:val="16"/>
              </w:rPr>
            </w:pPr>
            <w:r w:rsidRPr="008C1EFB">
              <w:rPr>
                <w:sz w:val="16"/>
                <w:szCs w:val="16"/>
              </w:rPr>
              <w:t> </w:t>
            </w:r>
          </w:p>
        </w:tc>
        <w:tc>
          <w:tcPr>
            <w:tcW w:w="485" w:type="pct"/>
            <w:shd w:val="clear" w:color="auto" w:fill="auto"/>
            <w:noWrap/>
            <w:vAlign w:val="center"/>
            <w:hideMark/>
          </w:tcPr>
          <w:p w14:paraId="469DEE6B" w14:textId="77777777" w:rsidR="008C1EFB" w:rsidRPr="008C1EFB" w:rsidRDefault="008C1EFB">
            <w:pPr>
              <w:jc w:val="right"/>
              <w:rPr>
                <w:sz w:val="16"/>
                <w:szCs w:val="16"/>
              </w:rPr>
            </w:pPr>
            <w:r w:rsidRPr="008C1EFB">
              <w:rPr>
                <w:sz w:val="16"/>
                <w:szCs w:val="16"/>
              </w:rPr>
              <w:t> </w:t>
            </w:r>
          </w:p>
        </w:tc>
        <w:tc>
          <w:tcPr>
            <w:tcW w:w="520" w:type="pct"/>
            <w:shd w:val="clear" w:color="000000" w:fill="FFFFFF"/>
            <w:noWrap/>
            <w:vAlign w:val="center"/>
            <w:hideMark/>
          </w:tcPr>
          <w:p w14:paraId="33D05125" w14:textId="77777777" w:rsidR="008C1EFB" w:rsidRPr="008C1EFB" w:rsidRDefault="008C1EFB">
            <w:pPr>
              <w:jc w:val="right"/>
              <w:rPr>
                <w:sz w:val="16"/>
                <w:szCs w:val="16"/>
              </w:rPr>
            </w:pPr>
            <w:r w:rsidRPr="008C1EFB">
              <w:rPr>
                <w:sz w:val="16"/>
                <w:szCs w:val="16"/>
              </w:rPr>
              <w:t>28 080</w:t>
            </w:r>
          </w:p>
        </w:tc>
      </w:tr>
      <w:tr w:rsidR="008C1EFB" w:rsidRPr="008C1EFB" w14:paraId="25C538E3" w14:textId="77777777" w:rsidTr="00D8547F">
        <w:trPr>
          <w:trHeight w:val="98"/>
        </w:trPr>
        <w:tc>
          <w:tcPr>
            <w:tcW w:w="237" w:type="pct"/>
            <w:shd w:val="clear" w:color="auto" w:fill="auto"/>
            <w:noWrap/>
            <w:vAlign w:val="center"/>
            <w:hideMark/>
          </w:tcPr>
          <w:p w14:paraId="11EACAD2" w14:textId="77777777" w:rsidR="008C1EFB" w:rsidRPr="008C1EFB" w:rsidRDefault="008C1EFB">
            <w:pPr>
              <w:jc w:val="both"/>
              <w:rPr>
                <w:sz w:val="16"/>
                <w:szCs w:val="16"/>
              </w:rPr>
            </w:pPr>
            <w:r w:rsidRPr="008C1EFB">
              <w:rPr>
                <w:sz w:val="16"/>
                <w:szCs w:val="16"/>
              </w:rPr>
              <w:t> </w:t>
            </w:r>
          </w:p>
        </w:tc>
        <w:tc>
          <w:tcPr>
            <w:tcW w:w="3273" w:type="pct"/>
            <w:shd w:val="clear" w:color="auto" w:fill="auto"/>
            <w:noWrap/>
            <w:vAlign w:val="center"/>
            <w:hideMark/>
          </w:tcPr>
          <w:p w14:paraId="777382AC" w14:textId="77777777" w:rsidR="008C1EFB" w:rsidRPr="008C1EFB" w:rsidRDefault="008C1EFB">
            <w:pPr>
              <w:ind w:firstLineChars="200" w:firstLine="320"/>
              <w:rPr>
                <w:sz w:val="16"/>
                <w:szCs w:val="16"/>
              </w:rPr>
            </w:pPr>
            <w:r w:rsidRPr="008C1EFB">
              <w:rPr>
                <w:sz w:val="16"/>
                <w:szCs w:val="16"/>
              </w:rPr>
              <w:t xml:space="preserve">От тях за: * </w:t>
            </w:r>
          </w:p>
        </w:tc>
        <w:tc>
          <w:tcPr>
            <w:tcW w:w="485" w:type="pct"/>
            <w:shd w:val="clear" w:color="auto" w:fill="auto"/>
            <w:noWrap/>
            <w:vAlign w:val="center"/>
            <w:hideMark/>
          </w:tcPr>
          <w:p w14:paraId="2568FD04" w14:textId="77777777" w:rsidR="008C1EFB" w:rsidRPr="008C1EFB" w:rsidRDefault="008C1EFB">
            <w:pPr>
              <w:jc w:val="right"/>
              <w:rPr>
                <w:sz w:val="16"/>
                <w:szCs w:val="16"/>
              </w:rPr>
            </w:pPr>
            <w:r w:rsidRPr="008C1EFB">
              <w:rPr>
                <w:sz w:val="16"/>
                <w:szCs w:val="16"/>
              </w:rPr>
              <w:t> </w:t>
            </w:r>
          </w:p>
        </w:tc>
        <w:tc>
          <w:tcPr>
            <w:tcW w:w="485" w:type="pct"/>
            <w:shd w:val="clear" w:color="auto" w:fill="auto"/>
            <w:noWrap/>
            <w:vAlign w:val="center"/>
            <w:hideMark/>
          </w:tcPr>
          <w:p w14:paraId="47BF5819" w14:textId="77777777" w:rsidR="008C1EFB" w:rsidRPr="008C1EFB" w:rsidRDefault="008C1EFB">
            <w:pPr>
              <w:jc w:val="right"/>
              <w:rPr>
                <w:sz w:val="16"/>
                <w:szCs w:val="16"/>
              </w:rPr>
            </w:pPr>
            <w:r w:rsidRPr="008C1EFB">
              <w:rPr>
                <w:sz w:val="16"/>
                <w:szCs w:val="16"/>
              </w:rPr>
              <w:t> </w:t>
            </w:r>
          </w:p>
        </w:tc>
        <w:tc>
          <w:tcPr>
            <w:tcW w:w="520" w:type="pct"/>
            <w:shd w:val="clear" w:color="000000" w:fill="FFFFFF"/>
            <w:noWrap/>
            <w:vAlign w:val="center"/>
            <w:hideMark/>
          </w:tcPr>
          <w:p w14:paraId="12A3822A" w14:textId="77777777" w:rsidR="008C1EFB" w:rsidRPr="008C1EFB" w:rsidRDefault="008C1EFB">
            <w:pPr>
              <w:jc w:val="right"/>
              <w:rPr>
                <w:sz w:val="16"/>
                <w:szCs w:val="16"/>
              </w:rPr>
            </w:pPr>
            <w:r w:rsidRPr="008C1EFB">
              <w:rPr>
                <w:sz w:val="16"/>
                <w:szCs w:val="16"/>
              </w:rPr>
              <w:t> </w:t>
            </w:r>
          </w:p>
        </w:tc>
      </w:tr>
      <w:tr w:rsidR="008C1EFB" w:rsidRPr="008C1EFB" w14:paraId="3690A6D9" w14:textId="77777777" w:rsidTr="00183C7D">
        <w:trPr>
          <w:trHeight w:val="171"/>
        </w:trPr>
        <w:tc>
          <w:tcPr>
            <w:tcW w:w="237" w:type="pct"/>
            <w:shd w:val="clear" w:color="auto" w:fill="auto"/>
            <w:noWrap/>
            <w:vAlign w:val="center"/>
            <w:hideMark/>
          </w:tcPr>
          <w:p w14:paraId="1A2415B6" w14:textId="77777777" w:rsidR="008C1EFB" w:rsidRPr="008C1EFB" w:rsidRDefault="008C1EFB">
            <w:pPr>
              <w:jc w:val="both"/>
              <w:rPr>
                <w:sz w:val="16"/>
                <w:szCs w:val="16"/>
              </w:rPr>
            </w:pPr>
            <w:r w:rsidRPr="008C1EFB">
              <w:rPr>
                <w:sz w:val="16"/>
                <w:szCs w:val="16"/>
              </w:rPr>
              <w:t> 2.1</w:t>
            </w:r>
          </w:p>
        </w:tc>
        <w:tc>
          <w:tcPr>
            <w:tcW w:w="3273" w:type="pct"/>
            <w:shd w:val="clear" w:color="auto" w:fill="auto"/>
            <w:vAlign w:val="center"/>
            <w:hideMark/>
          </w:tcPr>
          <w:p w14:paraId="7561B843" w14:textId="6B881BBB" w:rsidR="008C1EFB" w:rsidRPr="008C1EFB" w:rsidRDefault="008C1EFB" w:rsidP="00D8547F">
            <w:pPr>
              <w:ind w:firstLineChars="268" w:firstLine="429"/>
              <w:rPr>
                <w:sz w:val="16"/>
                <w:szCs w:val="16"/>
              </w:rPr>
            </w:pPr>
            <w:r w:rsidRPr="008C1EFB">
              <w:rPr>
                <w:sz w:val="16"/>
                <w:szCs w:val="16"/>
              </w:rPr>
              <w:t xml:space="preserve">ЕФРР </w:t>
            </w:r>
            <w:r w:rsidR="00D8547F">
              <w:rPr>
                <w:sz w:val="16"/>
                <w:szCs w:val="16"/>
              </w:rPr>
              <w:t>–</w:t>
            </w:r>
            <w:r w:rsidRPr="008C1EFB">
              <w:rPr>
                <w:sz w:val="16"/>
                <w:szCs w:val="16"/>
              </w:rPr>
              <w:t xml:space="preserve"> ОП "Техническа помощ"</w:t>
            </w:r>
          </w:p>
        </w:tc>
        <w:tc>
          <w:tcPr>
            <w:tcW w:w="485" w:type="pct"/>
            <w:shd w:val="clear" w:color="auto" w:fill="auto"/>
            <w:noWrap/>
            <w:vAlign w:val="center"/>
            <w:hideMark/>
          </w:tcPr>
          <w:p w14:paraId="40E6D7AE" w14:textId="77777777" w:rsidR="008C1EFB" w:rsidRPr="008C1EFB" w:rsidRDefault="008C1EFB">
            <w:pPr>
              <w:jc w:val="right"/>
              <w:rPr>
                <w:sz w:val="16"/>
                <w:szCs w:val="16"/>
              </w:rPr>
            </w:pPr>
            <w:r w:rsidRPr="008C1EFB">
              <w:rPr>
                <w:sz w:val="16"/>
                <w:szCs w:val="16"/>
              </w:rPr>
              <w:t> </w:t>
            </w:r>
          </w:p>
        </w:tc>
        <w:tc>
          <w:tcPr>
            <w:tcW w:w="485" w:type="pct"/>
            <w:shd w:val="clear" w:color="auto" w:fill="auto"/>
            <w:noWrap/>
            <w:vAlign w:val="center"/>
            <w:hideMark/>
          </w:tcPr>
          <w:p w14:paraId="72ECF311" w14:textId="77777777" w:rsidR="008C1EFB" w:rsidRPr="008C1EFB" w:rsidRDefault="008C1EFB">
            <w:pPr>
              <w:jc w:val="right"/>
              <w:rPr>
                <w:sz w:val="16"/>
                <w:szCs w:val="16"/>
              </w:rPr>
            </w:pPr>
            <w:r w:rsidRPr="008C1EFB">
              <w:rPr>
                <w:sz w:val="16"/>
                <w:szCs w:val="16"/>
              </w:rPr>
              <w:t> </w:t>
            </w:r>
          </w:p>
        </w:tc>
        <w:tc>
          <w:tcPr>
            <w:tcW w:w="520" w:type="pct"/>
            <w:shd w:val="clear" w:color="000000" w:fill="FFFFFF"/>
            <w:noWrap/>
            <w:vAlign w:val="center"/>
            <w:hideMark/>
          </w:tcPr>
          <w:p w14:paraId="0735D09C" w14:textId="77777777" w:rsidR="008C1EFB" w:rsidRPr="008C1EFB" w:rsidRDefault="008C1EFB">
            <w:pPr>
              <w:jc w:val="right"/>
              <w:rPr>
                <w:sz w:val="16"/>
                <w:szCs w:val="16"/>
              </w:rPr>
            </w:pPr>
            <w:r w:rsidRPr="008C1EFB">
              <w:rPr>
                <w:sz w:val="16"/>
                <w:szCs w:val="16"/>
              </w:rPr>
              <w:t>188 599</w:t>
            </w:r>
          </w:p>
        </w:tc>
      </w:tr>
      <w:tr w:rsidR="008C1EFB" w:rsidRPr="008C1EFB" w14:paraId="63FDD576" w14:textId="77777777" w:rsidTr="008C1EFB">
        <w:trPr>
          <w:trHeight w:val="330"/>
        </w:trPr>
        <w:tc>
          <w:tcPr>
            <w:tcW w:w="237" w:type="pct"/>
            <w:shd w:val="clear" w:color="auto" w:fill="auto"/>
            <w:noWrap/>
            <w:vAlign w:val="center"/>
            <w:hideMark/>
          </w:tcPr>
          <w:p w14:paraId="665D92D2" w14:textId="77777777" w:rsidR="008C1EFB" w:rsidRPr="008C1EFB" w:rsidRDefault="008C1EFB">
            <w:pPr>
              <w:jc w:val="both"/>
              <w:rPr>
                <w:sz w:val="16"/>
                <w:szCs w:val="16"/>
              </w:rPr>
            </w:pPr>
            <w:r w:rsidRPr="008C1EFB">
              <w:rPr>
                <w:sz w:val="16"/>
                <w:szCs w:val="16"/>
              </w:rPr>
              <w:t> 2.2</w:t>
            </w:r>
          </w:p>
        </w:tc>
        <w:tc>
          <w:tcPr>
            <w:tcW w:w="3273" w:type="pct"/>
            <w:shd w:val="clear" w:color="auto" w:fill="auto"/>
            <w:vAlign w:val="center"/>
            <w:hideMark/>
          </w:tcPr>
          <w:p w14:paraId="2ED660C6" w14:textId="77777777" w:rsidR="008C1EFB" w:rsidRPr="008C1EFB" w:rsidRDefault="008C1EFB" w:rsidP="00D8547F">
            <w:pPr>
              <w:ind w:left="430"/>
              <w:rPr>
                <w:sz w:val="16"/>
                <w:szCs w:val="16"/>
              </w:rPr>
            </w:pPr>
            <w:r w:rsidRPr="008C1EFB">
              <w:rPr>
                <w:sz w:val="16"/>
                <w:szCs w:val="16"/>
              </w:rPr>
              <w:t>Други програми и проекти финансирани от фондове и институции на Европейския съюз (ДЕС)</w:t>
            </w:r>
          </w:p>
        </w:tc>
        <w:tc>
          <w:tcPr>
            <w:tcW w:w="485" w:type="pct"/>
            <w:shd w:val="clear" w:color="auto" w:fill="auto"/>
            <w:noWrap/>
            <w:vAlign w:val="center"/>
            <w:hideMark/>
          </w:tcPr>
          <w:p w14:paraId="714B67A4" w14:textId="77777777" w:rsidR="008C1EFB" w:rsidRPr="008C1EFB" w:rsidRDefault="008C1EFB">
            <w:pPr>
              <w:jc w:val="right"/>
              <w:rPr>
                <w:sz w:val="16"/>
                <w:szCs w:val="16"/>
              </w:rPr>
            </w:pPr>
            <w:r w:rsidRPr="008C1EFB">
              <w:rPr>
                <w:sz w:val="16"/>
                <w:szCs w:val="16"/>
              </w:rPr>
              <w:t> </w:t>
            </w:r>
          </w:p>
        </w:tc>
        <w:tc>
          <w:tcPr>
            <w:tcW w:w="485" w:type="pct"/>
            <w:shd w:val="clear" w:color="auto" w:fill="auto"/>
            <w:noWrap/>
            <w:vAlign w:val="center"/>
            <w:hideMark/>
          </w:tcPr>
          <w:p w14:paraId="74D3E501" w14:textId="77777777" w:rsidR="008C1EFB" w:rsidRPr="008C1EFB" w:rsidRDefault="008C1EFB">
            <w:pPr>
              <w:jc w:val="right"/>
              <w:rPr>
                <w:sz w:val="16"/>
                <w:szCs w:val="16"/>
              </w:rPr>
            </w:pPr>
            <w:r w:rsidRPr="008C1EFB">
              <w:rPr>
                <w:sz w:val="16"/>
                <w:szCs w:val="16"/>
              </w:rPr>
              <w:t> </w:t>
            </w:r>
          </w:p>
        </w:tc>
        <w:tc>
          <w:tcPr>
            <w:tcW w:w="520" w:type="pct"/>
            <w:shd w:val="clear" w:color="000000" w:fill="FFFFFF"/>
            <w:noWrap/>
            <w:vAlign w:val="center"/>
            <w:hideMark/>
          </w:tcPr>
          <w:p w14:paraId="00053CE5" w14:textId="77777777" w:rsidR="008C1EFB" w:rsidRPr="008C1EFB" w:rsidRDefault="008C1EFB">
            <w:pPr>
              <w:jc w:val="right"/>
              <w:rPr>
                <w:sz w:val="16"/>
                <w:szCs w:val="16"/>
              </w:rPr>
            </w:pPr>
            <w:r w:rsidRPr="008C1EFB">
              <w:rPr>
                <w:sz w:val="16"/>
                <w:szCs w:val="16"/>
              </w:rPr>
              <w:t>216 095</w:t>
            </w:r>
          </w:p>
        </w:tc>
      </w:tr>
      <w:tr w:rsidR="008C1EFB" w:rsidRPr="008C1EFB" w14:paraId="656A0618" w14:textId="77777777" w:rsidTr="00183C7D">
        <w:trPr>
          <w:trHeight w:val="179"/>
        </w:trPr>
        <w:tc>
          <w:tcPr>
            <w:tcW w:w="237" w:type="pct"/>
            <w:shd w:val="clear" w:color="auto" w:fill="auto"/>
            <w:noWrap/>
            <w:vAlign w:val="center"/>
            <w:hideMark/>
          </w:tcPr>
          <w:p w14:paraId="1BF2F985" w14:textId="77777777" w:rsidR="008C1EFB" w:rsidRPr="008C1EFB" w:rsidRDefault="008C1EFB">
            <w:pPr>
              <w:jc w:val="both"/>
              <w:rPr>
                <w:sz w:val="16"/>
                <w:szCs w:val="16"/>
              </w:rPr>
            </w:pPr>
            <w:r w:rsidRPr="008C1EFB">
              <w:rPr>
                <w:sz w:val="16"/>
                <w:szCs w:val="16"/>
              </w:rPr>
              <w:t> </w:t>
            </w:r>
          </w:p>
        </w:tc>
        <w:tc>
          <w:tcPr>
            <w:tcW w:w="3273" w:type="pct"/>
            <w:shd w:val="clear" w:color="auto" w:fill="auto"/>
            <w:noWrap/>
            <w:vAlign w:val="center"/>
            <w:hideMark/>
          </w:tcPr>
          <w:p w14:paraId="535B2900" w14:textId="77777777" w:rsidR="008C1EFB" w:rsidRPr="008C1EFB" w:rsidRDefault="008C1EFB">
            <w:pPr>
              <w:rPr>
                <w:i/>
                <w:iCs/>
                <w:sz w:val="16"/>
                <w:szCs w:val="16"/>
              </w:rPr>
            </w:pPr>
            <w:r w:rsidRPr="008C1EFB">
              <w:rPr>
                <w:i/>
                <w:iCs/>
                <w:sz w:val="16"/>
                <w:szCs w:val="16"/>
              </w:rPr>
              <w:t xml:space="preserve">Администрирани разходни показатели </w:t>
            </w:r>
            <w:r w:rsidRPr="008C1EFB">
              <w:rPr>
                <w:sz w:val="16"/>
                <w:szCs w:val="16"/>
              </w:rPr>
              <w:t>**</w:t>
            </w:r>
          </w:p>
        </w:tc>
        <w:tc>
          <w:tcPr>
            <w:tcW w:w="485" w:type="pct"/>
            <w:shd w:val="clear" w:color="auto" w:fill="auto"/>
            <w:noWrap/>
            <w:vAlign w:val="center"/>
            <w:hideMark/>
          </w:tcPr>
          <w:p w14:paraId="6B40BBFD" w14:textId="77777777" w:rsidR="008C1EFB" w:rsidRPr="008C1EFB" w:rsidRDefault="008C1EFB">
            <w:pPr>
              <w:jc w:val="right"/>
              <w:rPr>
                <w:sz w:val="16"/>
                <w:szCs w:val="16"/>
              </w:rPr>
            </w:pPr>
            <w:r w:rsidRPr="008C1EFB">
              <w:rPr>
                <w:sz w:val="16"/>
                <w:szCs w:val="16"/>
              </w:rPr>
              <w:t> </w:t>
            </w:r>
          </w:p>
        </w:tc>
        <w:tc>
          <w:tcPr>
            <w:tcW w:w="485" w:type="pct"/>
            <w:shd w:val="clear" w:color="auto" w:fill="auto"/>
            <w:noWrap/>
            <w:vAlign w:val="center"/>
            <w:hideMark/>
          </w:tcPr>
          <w:p w14:paraId="2D78D4B1" w14:textId="77777777" w:rsidR="008C1EFB" w:rsidRPr="008C1EFB" w:rsidRDefault="008C1EFB">
            <w:pPr>
              <w:jc w:val="right"/>
              <w:rPr>
                <w:sz w:val="16"/>
                <w:szCs w:val="16"/>
              </w:rPr>
            </w:pPr>
            <w:r w:rsidRPr="008C1EFB">
              <w:rPr>
                <w:sz w:val="16"/>
                <w:szCs w:val="16"/>
              </w:rPr>
              <w:t> </w:t>
            </w:r>
          </w:p>
        </w:tc>
        <w:tc>
          <w:tcPr>
            <w:tcW w:w="520" w:type="pct"/>
            <w:shd w:val="clear" w:color="auto" w:fill="auto"/>
            <w:noWrap/>
            <w:vAlign w:val="center"/>
            <w:hideMark/>
          </w:tcPr>
          <w:p w14:paraId="0F8466D7" w14:textId="77777777" w:rsidR="008C1EFB" w:rsidRPr="008C1EFB" w:rsidRDefault="008C1EFB">
            <w:pPr>
              <w:jc w:val="right"/>
              <w:rPr>
                <w:sz w:val="16"/>
                <w:szCs w:val="16"/>
              </w:rPr>
            </w:pPr>
            <w:r w:rsidRPr="008C1EFB">
              <w:rPr>
                <w:sz w:val="16"/>
                <w:szCs w:val="16"/>
              </w:rPr>
              <w:t> </w:t>
            </w:r>
          </w:p>
        </w:tc>
      </w:tr>
      <w:tr w:rsidR="008C1EFB" w:rsidRPr="008C1EFB" w14:paraId="5EED9155" w14:textId="77777777" w:rsidTr="00183C7D">
        <w:trPr>
          <w:trHeight w:val="60"/>
        </w:trPr>
        <w:tc>
          <w:tcPr>
            <w:tcW w:w="237" w:type="pct"/>
            <w:shd w:val="clear" w:color="000000" w:fill="E6E6E6"/>
            <w:noWrap/>
            <w:vAlign w:val="center"/>
            <w:hideMark/>
          </w:tcPr>
          <w:p w14:paraId="2F78A534" w14:textId="77777777" w:rsidR="008C1EFB" w:rsidRPr="008C1EFB" w:rsidRDefault="008C1EFB">
            <w:pPr>
              <w:jc w:val="both"/>
              <w:rPr>
                <w:b/>
                <w:bCs/>
                <w:sz w:val="16"/>
                <w:szCs w:val="16"/>
              </w:rPr>
            </w:pPr>
            <w:r w:rsidRPr="008C1EFB">
              <w:rPr>
                <w:b/>
                <w:bCs/>
                <w:sz w:val="16"/>
                <w:szCs w:val="16"/>
              </w:rPr>
              <w:t>ІІ.</w:t>
            </w:r>
          </w:p>
        </w:tc>
        <w:tc>
          <w:tcPr>
            <w:tcW w:w="3273" w:type="pct"/>
            <w:shd w:val="clear" w:color="000000" w:fill="E6E6E6"/>
            <w:noWrap/>
            <w:vAlign w:val="center"/>
            <w:hideMark/>
          </w:tcPr>
          <w:p w14:paraId="4266979A" w14:textId="77777777" w:rsidR="008C1EFB" w:rsidRPr="008C1EFB" w:rsidRDefault="008C1EFB">
            <w:pPr>
              <w:rPr>
                <w:b/>
                <w:bCs/>
                <w:sz w:val="16"/>
                <w:szCs w:val="16"/>
              </w:rPr>
            </w:pPr>
            <w:r w:rsidRPr="008C1EFB">
              <w:rPr>
                <w:b/>
                <w:bCs/>
                <w:sz w:val="16"/>
                <w:szCs w:val="16"/>
              </w:rPr>
              <w:t xml:space="preserve">Администрирани разходни параграфи по бюджета </w:t>
            </w:r>
          </w:p>
        </w:tc>
        <w:tc>
          <w:tcPr>
            <w:tcW w:w="485" w:type="pct"/>
            <w:shd w:val="clear" w:color="000000" w:fill="E6E6E6"/>
            <w:noWrap/>
            <w:vAlign w:val="center"/>
            <w:hideMark/>
          </w:tcPr>
          <w:p w14:paraId="74D2D55F" w14:textId="77777777" w:rsidR="008C1EFB" w:rsidRPr="008C1EFB" w:rsidRDefault="008C1EFB">
            <w:pPr>
              <w:jc w:val="right"/>
              <w:rPr>
                <w:b/>
                <w:bCs/>
                <w:sz w:val="16"/>
                <w:szCs w:val="16"/>
              </w:rPr>
            </w:pPr>
            <w:r w:rsidRPr="008C1EFB">
              <w:rPr>
                <w:b/>
                <w:bCs/>
                <w:sz w:val="16"/>
                <w:szCs w:val="16"/>
              </w:rPr>
              <w:t>0</w:t>
            </w:r>
          </w:p>
        </w:tc>
        <w:tc>
          <w:tcPr>
            <w:tcW w:w="485" w:type="pct"/>
            <w:shd w:val="clear" w:color="000000" w:fill="E6E6E6"/>
            <w:noWrap/>
            <w:vAlign w:val="center"/>
            <w:hideMark/>
          </w:tcPr>
          <w:p w14:paraId="575082F7" w14:textId="77777777" w:rsidR="008C1EFB" w:rsidRPr="008C1EFB" w:rsidRDefault="008C1EFB">
            <w:pPr>
              <w:jc w:val="right"/>
              <w:rPr>
                <w:b/>
                <w:bCs/>
                <w:sz w:val="16"/>
                <w:szCs w:val="16"/>
              </w:rPr>
            </w:pPr>
            <w:r w:rsidRPr="008C1EFB">
              <w:rPr>
                <w:b/>
                <w:bCs/>
                <w:sz w:val="16"/>
                <w:szCs w:val="16"/>
              </w:rPr>
              <w:t>0</w:t>
            </w:r>
          </w:p>
        </w:tc>
        <w:tc>
          <w:tcPr>
            <w:tcW w:w="520" w:type="pct"/>
            <w:shd w:val="clear" w:color="000000" w:fill="E6E6E6"/>
            <w:noWrap/>
            <w:vAlign w:val="center"/>
            <w:hideMark/>
          </w:tcPr>
          <w:p w14:paraId="46BD1579" w14:textId="77777777" w:rsidR="008C1EFB" w:rsidRPr="008C1EFB" w:rsidRDefault="008C1EFB">
            <w:pPr>
              <w:jc w:val="right"/>
              <w:rPr>
                <w:b/>
                <w:bCs/>
                <w:sz w:val="16"/>
                <w:szCs w:val="16"/>
              </w:rPr>
            </w:pPr>
            <w:r w:rsidRPr="008C1EFB">
              <w:rPr>
                <w:b/>
                <w:bCs/>
                <w:sz w:val="16"/>
                <w:szCs w:val="16"/>
              </w:rPr>
              <w:t>0</w:t>
            </w:r>
          </w:p>
        </w:tc>
      </w:tr>
      <w:tr w:rsidR="008C1EFB" w:rsidRPr="008C1EFB" w14:paraId="77024088" w14:textId="77777777" w:rsidTr="00183C7D">
        <w:trPr>
          <w:trHeight w:val="72"/>
        </w:trPr>
        <w:tc>
          <w:tcPr>
            <w:tcW w:w="237" w:type="pct"/>
            <w:shd w:val="clear" w:color="auto" w:fill="auto"/>
            <w:noWrap/>
            <w:vAlign w:val="center"/>
            <w:hideMark/>
          </w:tcPr>
          <w:p w14:paraId="5AED4391" w14:textId="77777777" w:rsidR="008C1EFB" w:rsidRPr="008C1EFB" w:rsidRDefault="008C1EFB">
            <w:pPr>
              <w:jc w:val="both"/>
              <w:rPr>
                <w:sz w:val="16"/>
                <w:szCs w:val="16"/>
              </w:rPr>
            </w:pPr>
            <w:r w:rsidRPr="008C1EFB">
              <w:rPr>
                <w:sz w:val="16"/>
                <w:szCs w:val="16"/>
              </w:rPr>
              <w:t> </w:t>
            </w:r>
          </w:p>
        </w:tc>
        <w:tc>
          <w:tcPr>
            <w:tcW w:w="3273" w:type="pct"/>
            <w:shd w:val="clear" w:color="auto" w:fill="auto"/>
            <w:noWrap/>
            <w:vAlign w:val="center"/>
            <w:hideMark/>
          </w:tcPr>
          <w:p w14:paraId="5B45FBC6" w14:textId="77777777" w:rsidR="008C1EFB" w:rsidRPr="008C1EFB" w:rsidRDefault="008C1EFB">
            <w:pPr>
              <w:ind w:firstLineChars="200" w:firstLine="320"/>
              <w:rPr>
                <w:sz w:val="16"/>
                <w:szCs w:val="16"/>
              </w:rPr>
            </w:pPr>
            <w:r w:rsidRPr="008C1EFB">
              <w:rPr>
                <w:sz w:val="16"/>
                <w:szCs w:val="16"/>
              </w:rPr>
              <w:t> </w:t>
            </w:r>
          </w:p>
        </w:tc>
        <w:tc>
          <w:tcPr>
            <w:tcW w:w="485" w:type="pct"/>
            <w:shd w:val="clear" w:color="auto" w:fill="auto"/>
            <w:noWrap/>
            <w:vAlign w:val="center"/>
            <w:hideMark/>
          </w:tcPr>
          <w:p w14:paraId="26D8BC90" w14:textId="77777777" w:rsidR="008C1EFB" w:rsidRPr="008C1EFB" w:rsidRDefault="008C1EFB">
            <w:pPr>
              <w:jc w:val="right"/>
              <w:rPr>
                <w:sz w:val="16"/>
                <w:szCs w:val="16"/>
              </w:rPr>
            </w:pPr>
            <w:r w:rsidRPr="008C1EFB">
              <w:rPr>
                <w:sz w:val="16"/>
                <w:szCs w:val="16"/>
              </w:rPr>
              <w:t> </w:t>
            </w:r>
          </w:p>
        </w:tc>
        <w:tc>
          <w:tcPr>
            <w:tcW w:w="485" w:type="pct"/>
            <w:shd w:val="clear" w:color="auto" w:fill="auto"/>
            <w:noWrap/>
            <w:vAlign w:val="center"/>
            <w:hideMark/>
          </w:tcPr>
          <w:p w14:paraId="63C6ADC9" w14:textId="77777777" w:rsidR="008C1EFB" w:rsidRPr="008C1EFB" w:rsidRDefault="008C1EFB">
            <w:pPr>
              <w:jc w:val="right"/>
              <w:rPr>
                <w:sz w:val="16"/>
                <w:szCs w:val="16"/>
              </w:rPr>
            </w:pPr>
            <w:r w:rsidRPr="008C1EFB">
              <w:rPr>
                <w:sz w:val="16"/>
                <w:szCs w:val="16"/>
              </w:rPr>
              <w:t> </w:t>
            </w:r>
          </w:p>
        </w:tc>
        <w:tc>
          <w:tcPr>
            <w:tcW w:w="520" w:type="pct"/>
            <w:shd w:val="clear" w:color="auto" w:fill="auto"/>
            <w:noWrap/>
            <w:vAlign w:val="center"/>
            <w:hideMark/>
          </w:tcPr>
          <w:p w14:paraId="5805F12D" w14:textId="77777777" w:rsidR="008C1EFB" w:rsidRPr="008C1EFB" w:rsidRDefault="008C1EFB">
            <w:pPr>
              <w:jc w:val="right"/>
              <w:rPr>
                <w:sz w:val="16"/>
                <w:szCs w:val="16"/>
              </w:rPr>
            </w:pPr>
            <w:r w:rsidRPr="008C1EFB">
              <w:rPr>
                <w:sz w:val="16"/>
                <w:szCs w:val="16"/>
              </w:rPr>
              <w:t> </w:t>
            </w:r>
          </w:p>
        </w:tc>
      </w:tr>
      <w:tr w:rsidR="008C1EFB" w:rsidRPr="008C1EFB" w14:paraId="1E69598D" w14:textId="77777777" w:rsidTr="00183C7D">
        <w:trPr>
          <w:trHeight w:val="159"/>
        </w:trPr>
        <w:tc>
          <w:tcPr>
            <w:tcW w:w="237" w:type="pct"/>
            <w:shd w:val="clear" w:color="000000" w:fill="E6E6E6"/>
            <w:noWrap/>
            <w:vAlign w:val="center"/>
            <w:hideMark/>
          </w:tcPr>
          <w:p w14:paraId="2C72A4E8" w14:textId="77777777" w:rsidR="008C1EFB" w:rsidRPr="008C1EFB" w:rsidRDefault="008C1EFB">
            <w:pPr>
              <w:jc w:val="both"/>
              <w:rPr>
                <w:b/>
                <w:bCs/>
                <w:sz w:val="16"/>
                <w:szCs w:val="16"/>
              </w:rPr>
            </w:pPr>
            <w:r w:rsidRPr="008C1EFB">
              <w:rPr>
                <w:b/>
                <w:bCs/>
                <w:sz w:val="16"/>
                <w:szCs w:val="16"/>
              </w:rPr>
              <w:t>ІІІ.</w:t>
            </w:r>
          </w:p>
        </w:tc>
        <w:tc>
          <w:tcPr>
            <w:tcW w:w="3273" w:type="pct"/>
            <w:shd w:val="clear" w:color="000000" w:fill="E6E6E6"/>
            <w:noWrap/>
            <w:vAlign w:val="center"/>
            <w:hideMark/>
          </w:tcPr>
          <w:p w14:paraId="452D29BA" w14:textId="77777777" w:rsidR="008C1EFB" w:rsidRPr="008C1EFB" w:rsidRDefault="008C1EFB">
            <w:pPr>
              <w:rPr>
                <w:b/>
                <w:bCs/>
                <w:sz w:val="16"/>
                <w:szCs w:val="16"/>
              </w:rPr>
            </w:pPr>
            <w:r w:rsidRPr="008C1EFB">
              <w:rPr>
                <w:b/>
                <w:bCs/>
                <w:sz w:val="16"/>
                <w:szCs w:val="16"/>
              </w:rPr>
              <w:t>Администрирани разходни параграфи по други бюджети и сметки за средства от ЕС</w:t>
            </w:r>
          </w:p>
        </w:tc>
        <w:tc>
          <w:tcPr>
            <w:tcW w:w="485" w:type="pct"/>
            <w:shd w:val="clear" w:color="000000" w:fill="E6E6E6"/>
            <w:noWrap/>
            <w:vAlign w:val="center"/>
            <w:hideMark/>
          </w:tcPr>
          <w:p w14:paraId="70A6AF6A" w14:textId="77777777" w:rsidR="008C1EFB" w:rsidRPr="008C1EFB" w:rsidRDefault="008C1EFB">
            <w:pPr>
              <w:jc w:val="right"/>
              <w:rPr>
                <w:b/>
                <w:bCs/>
                <w:sz w:val="16"/>
                <w:szCs w:val="16"/>
              </w:rPr>
            </w:pPr>
            <w:r w:rsidRPr="008C1EFB">
              <w:rPr>
                <w:b/>
                <w:bCs/>
                <w:sz w:val="16"/>
                <w:szCs w:val="16"/>
              </w:rPr>
              <w:t>0</w:t>
            </w:r>
          </w:p>
        </w:tc>
        <w:tc>
          <w:tcPr>
            <w:tcW w:w="485" w:type="pct"/>
            <w:shd w:val="clear" w:color="000000" w:fill="E6E6E6"/>
            <w:noWrap/>
            <w:vAlign w:val="center"/>
            <w:hideMark/>
          </w:tcPr>
          <w:p w14:paraId="45A47676" w14:textId="77777777" w:rsidR="008C1EFB" w:rsidRPr="008C1EFB" w:rsidRDefault="008C1EFB">
            <w:pPr>
              <w:jc w:val="right"/>
              <w:rPr>
                <w:b/>
                <w:bCs/>
                <w:sz w:val="16"/>
                <w:szCs w:val="16"/>
              </w:rPr>
            </w:pPr>
            <w:r w:rsidRPr="008C1EFB">
              <w:rPr>
                <w:b/>
                <w:bCs/>
                <w:sz w:val="16"/>
                <w:szCs w:val="16"/>
              </w:rPr>
              <w:t>0</w:t>
            </w:r>
          </w:p>
        </w:tc>
        <w:tc>
          <w:tcPr>
            <w:tcW w:w="520" w:type="pct"/>
            <w:shd w:val="clear" w:color="000000" w:fill="E6E6E6"/>
            <w:noWrap/>
            <w:vAlign w:val="center"/>
            <w:hideMark/>
          </w:tcPr>
          <w:p w14:paraId="51615792" w14:textId="77777777" w:rsidR="008C1EFB" w:rsidRPr="008C1EFB" w:rsidRDefault="008C1EFB">
            <w:pPr>
              <w:jc w:val="right"/>
              <w:rPr>
                <w:b/>
                <w:bCs/>
                <w:sz w:val="16"/>
                <w:szCs w:val="16"/>
              </w:rPr>
            </w:pPr>
            <w:r w:rsidRPr="008C1EFB">
              <w:rPr>
                <w:b/>
                <w:bCs/>
                <w:sz w:val="16"/>
                <w:szCs w:val="16"/>
              </w:rPr>
              <w:t>0</w:t>
            </w:r>
          </w:p>
        </w:tc>
      </w:tr>
      <w:tr w:rsidR="008C1EFB" w:rsidRPr="008C1EFB" w14:paraId="32C102CA" w14:textId="77777777" w:rsidTr="00183C7D">
        <w:trPr>
          <w:trHeight w:val="106"/>
        </w:trPr>
        <w:tc>
          <w:tcPr>
            <w:tcW w:w="237" w:type="pct"/>
            <w:shd w:val="clear" w:color="auto" w:fill="auto"/>
            <w:noWrap/>
            <w:vAlign w:val="center"/>
            <w:hideMark/>
          </w:tcPr>
          <w:p w14:paraId="4A9D4413" w14:textId="77777777" w:rsidR="008C1EFB" w:rsidRPr="008C1EFB" w:rsidRDefault="008C1EFB">
            <w:pPr>
              <w:jc w:val="both"/>
              <w:rPr>
                <w:sz w:val="16"/>
                <w:szCs w:val="16"/>
              </w:rPr>
            </w:pPr>
            <w:r w:rsidRPr="008C1EFB">
              <w:rPr>
                <w:sz w:val="16"/>
                <w:szCs w:val="16"/>
              </w:rPr>
              <w:t> </w:t>
            </w:r>
          </w:p>
        </w:tc>
        <w:tc>
          <w:tcPr>
            <w:tcW w:w="3273" w:type="pct"/>
            <w:shd w:val="clear" w:color="auto" w:fill="auto"/>
            <w:noWrap/>
            <w:vAlign w:val="center"/>
            <w:hideMark/>
          </w:tcPr>
          <w:p w14:paraId="0E495C2E" w14:textId="77777777" w:rsidR="008C1EFB" w:rsidRPr="008C1EFB" w:rsidRDefault="008C1EFB">
            <w:pPr>
              <w:ind w:firstLineChars="200" w:firstLine="320"/>
              <w:rPr>
                <w:sz w:val="16"/>
                <w:szCs w:val="16"/>
              </w:rPr>
            </w:pPr>
            <w:r w:rsidRPr="008C1EFB">
              <w:rPr>
                <w:sz w:val="16"/>
                <w:szCs w:val="16"/>
              </w:rPr>
              <w:t> </w:t>
            </w:r>
          </w:p>
        </w:tc>
        <w:tc>
          <w:tcPr>
            <w:tcW w:w="485" w:type="pct"/>
            <w:shd w:val="clear" w:color="auto" w:fill="auto"/>
            <w:noWrap/>
            <w:vAlign w:val="center"/>
            <w:hideMark/>
          </w:tcPr>
          <w:p w14:paraId="2F620AEE" w14:textId="77777777" w:rsidR="008C1EFB" w:rsidRPr="008C1EFB" w:rsidRDefault="008C1EFB">
            <w:pPr>
              <w:jc w:val="right"/>
              <w:rPr>
                <w:sz w:val="16"/>
                <w:szCs w:val="16"/>
              </w:rPr>
            </w:pPr>
            <w:r w:rsidRPr="008C1EFB">
              <w:rPr>
                <w:sz w:val="16"/>
                <w:szCs w:val="16"/>
              </w:rPr>
              <w:t> </w:t>
            </w:r>
          </w:p>
        </w:tc>
        <w:tc>
          <w:tcPr>
            <w:tcW w:w="485" w:type="pct"/>
            <w:shd w:val="clear" w:color="auto" w:fill="auto"/>
            <w:noWrap/>
            <w:vAlign w:val="center"/>
            <w:hideMark/>
          </w:tcPr>
          <w:p w14:paraId="5F4A2B78" w14:textId="77777777" w:rsidR="008C1EFB" w:rsidRPr="008C1EFB" w:rsidRDefault="008C1EFB">
            <w:pPr>
              <w:jc w:val="right"/>
              <w:rPr>
                <w:sz w:val="16"/>
                <w:szCs w:val="16"/>
              </w:rPr>
            </w:pPr>
            <w:r w:rsidRPr="008C1EFB">
              <w:rPr>
                <w:sz w:val="16"/>
                <w:szCs w:val="16"/>
              </w:rPr>
              <w:t> </w:t>
            </w:r>
          </w:p>
        </w:tc>
        <w:tc>
          <w:tcPr>
            <w:tcW w:w="520" w:type="pct"/>
            <w:shd w:val="clear" w:color="auto" w:fill="auto"/>
            <w:noWrap/>
            <w:vAlign w:val="center"/>
            <w:hideMark/>
          </w:tcPr>
          <w:p w14:paraId="3B7280B9" w14:textId="77777777" w:rsidR="008C1EFB" w:rsidRPr="008C1EFB" w:rsidRDefault="008C1EFB">
            <w:pPr>
              <w:jc w:val="right"/>
              <w:rPr>
                <w:sz w:val="16"/>
                <w:szCs w:val="16"/>
              </w:rPr>
            </w:pPr>
            <w:r w:rsidRPr="008C1EFB">
              <w:rPr>
                <w:sz w:val="16"/>
                <w:szCs w:val="16"/>
              </w:rPr>
              <w:t> </w:t>
            </w:r>
          </w:p>
        </w:tc>
      </w:tr>
      <w:tr w:rsidR="008C1EFB" w:rsidRPr="008C1EFB" w14:paraId="20CCC2E7" w14:textId="77777777" w:rsidTr="00183C7D">
        <w:trPr>
          <w:trHeight w:val="194"/>
        </w:trPr>
        <w:tc>
          <w:tcPr>
            <w:tcW w:w="237" w:type="pct"/>
            <w:shd w:val="clear" w:color="000000" w:fill="E6E6E6"/>
            <w:noWrap/>
            <w:vAlign w:val="center"/>
            <w:hideMark/>
          </w:tcPr>
          <w:p w14:paraId="3194C119" w14:textId="77777777" w:rsidR="008C1EFB" w:rsidRPr="008C1EFB" w:rsidRDefault="008C1EFB">
            <w:pPr>
              <w:jc w:val="both"/>
              <w:rPr>
                <w:b/>
                <w:bCs/>
                <w:sz w:val="16"/>
                <w:szCs w:val="16"/>
              </w:rPr>
            </w:pPr>
            <w:r w:rsidRPr="008C1EFB">
              <w:rPr>
                <w:b/>
                <w:bCs/>
                <w:sz w:val="16"/>
                <w:szCs w:val="16"/>
              </w:rPr>
              <w:t> </w:t>
            </w:r>
          </w:p>
        </w:tc>
        <w:tc>
          <w:tcPr>
            <w:tcW w:w="3273" w:type="pct"/>
            <w:shd w:val="clear" w:color="000000" w:fill="E6E6E6"/>
            <w:noWrap/>
            <w:vAlign w:val="center"/>
            <w:hideMark/>
          </w:tcPr>
          <w:p w14:paraId="32C09B06" w14:textId="77777777" w:rsidR="008C1EFB" w:rsidRPr="008C1EFB" w:rsidRDefault="008C1EFB">
            <w:pPr>
              <w:rPr>
                <w:b/>
                <w:bCs/>
                <w:sz w:val="16"/>
                <w:szCs w:val="16"/>
              </w:rPr>
            </w:pPr>
            <w:r w:rsidRPr="008C1EFB">
              <w:rPr>
                <w:b/>
                <w:bCs/>
                <w:sz w:val="16"/>
                <w:szCs w:val="16"/>
              </w:rPr>
              <w:t>Общо администрирани разходи (ІІ.+ІІІ.):</w:t>
            </w:r>
          </w:p>
        </w:tc>
        <w:tc>
          <w:tcPr>
            <w:tcW w:w="485" w:type="pct"/>
            <w:shd w:val="clear" w:color="000000" w:fill="E6E6E6"/>
            <w:noWrap/>
            <w:vAlign w:val="center"/>
            <w:hideMark/>
          </w:tcPr>
          <w:p w14:paraId="2207FED6" w14:textId="77777777" w:rsidR="008C1EFB" w:rsidRPr="008C1EFB" w:rsidRDefault="008C1EFB">
            <w:pPr>
              <w:jc w:val="right"/>
              <w:rPr>
                <w:b/>
                <w:bCs/>
                <w:sz w:val="16"/>
                <w:szCs w:val="16"/>
              </w:rPr>
            </w:pPr>
            <w:r w:rsidRPr="008C1EFB">
              <w:rPr>
                <w:b/>
                <w:bCs/>
                <w:sz w:val="16"/>
                <w:szCs w:val="16"/>
              </w:rPr>
              <w:t>0</w:t>
            </w:r>
          </w:p>
        </w:tc>
        <w:tc>
          <w:tcPr>
            <w:tcW w:w="485" w:type="pct"/>
            <w:shd w:val="clear" w:color="000000" w:fill="E6E6E6"/>
            <w:noWrap/>
            <w:vAlign w:val="center"/>
            <w:hideMark/>
          </w:tcPr>
          <w:p w14:paraId="27C8206D" w14:textId="77777777" w:rsidR="008C1EFB" w:rsidRPr="008C1EFB" w:rsidRDefault="008C1EFB">
            <w:pPr>
              <w:jc w:val="right"/>
              <w:rPr>
                <w:b/>
                <w:bCs/>
                <w:sz w:val="16"/>
                <w:szCs w:val="16"/>
              </w:rPr>
            </w:pPr>
            <w:r w:rsidRPr="008C1EFB">
              <w:rPr>
                <w:b/>
                <w:bCs/>
                <w:sz w:val="16"/>
                <w:szCs w:val="16"/>
              </w:rPr>
              <w:t>0</w:t>
            </w:r>
          </w:p>
        </w:tc>
        <w:tc>
          <w:tcPr>
            <w:tcW w:w="520" w:type="pct"/>
            <w:shd w:val="clear" w:color="000000" w:fill="E6E6E6"/>
            <w:noWrap/>
            <w:vAlign w:val="center"/>
            <w:hideMark/>
          </w:tcPr>
          <w:p w14:paraId="4390B06B" w14:textId="77777777" w:rsidR="008C1EFB" w:rsidRPr="008C1EFB" w:rsidRDefault="008C1EFB">
            <w:pPr>
              <w:jc w:val="right"/>
              <w:rPr>
                <w:b/>
                <w:bCs/>
                <w:sz w:val="16"/>
                <w:szCs w:val="16"/>
              </w:rPr>
            </w:pPr>
            <w:r w:rsidRPr="008C1EFB">
              <w:rPr>
                <w:b/>
                <w:bCs/>
                <w:sz w:val="16"/>
                <w:szCs w:val="16"/>
              </w:rPr>
              <w:t>0</w:t>
            </w:r>
          </w:p>
        </w:tc>
      </w:tr>
      <w:tr w:rsidR="008C1EFB" w:rsidRPr="008C1EFB" w14:paraId="597B1B6D" w14:textId="77777777" w:rsidTr="00183C7D">
        <w:trPr>
          <w:trHeight w:val="139"/>
        </w:trPr>
        <w:tc>
          <w:tcPr>
            <w:tcW w:w="237" w:type="pct"/>
            <w:shd w:val="clear" w:color="auto" w:fill="auto"/>
            <w:noWrap/>
            <w:vAlign w:val="center"/>
            <w:hideMark/>
          </w:tcPr>
          <w:p w14:paraId="6A5DDD13" w14:textId="77777777" w:rsidR="008C1EFB" w:rsidRPr="008C1EFB" w:rsidRDefault="008C1EFB">
            <w:pPr>
              <w:jc w:val="both"/>
              <w:rPr>
                <w:sz w:val="16"/>
                <w:szCs w:val="16"/>
              </w:rPr>
            </w:pPr>
            <w:r w:rsidRPr="008C1EFB">
              <w:rPr>
                <w:sz w:val="16"/>
                <w:szCs w:val="16"/>
              </w:rPr>
              <w:t> </w:t>
            </w:r>
          </w:p>
        </w:tc>
        <w:tc>
          <w:tcPr>
            <w:tcW w:w="3273" w:type="pct"/>
            <w:shd w:val="clear" w:color="auto" w:fill="auto"/>
            <w:noWrap/>
            <w:vAlign w:val="center"/>
            <w:hideMark/>
          </w:tcPr>
          <w:p w14:paraId="2DF714D8" w14:textId="77777777" w:rsidR="008C1EFB" w:rsidRPr="008C1EFB" w:rsidRDefault="008C1EFB">
            <w:pPr>
              <w:rPr>
                <w:sz w:val="16"/>
                <w:szCs w:val="16"/>
              </w:rPr>
            </w:pPr>
            <w:r w:rsidRPr="008C1EFB">
              <w:rPr>
                <w:sz w:val="16"/>
                <w:szCs w:val="16"/>
              </w:rPr>
              <w:t> </w:t>
            </w:r>
          </w:p>
        </w:tc>
        <w:tc>
          <w:tcPr>
            <w:tcW w:w="485" w:type="pct"/>
            <w:shd w:val="clear" w:color="auto" w:fill="auto"/>
            <w:noWrap/>
            <w:vAlign w:val="center"/>
            <w:hideMark/>
          </w:tcPr>
          <w:p w14:paraId="7AE76E5E" w14:textId="77777777" w:rsidR="008C1EFB" w:rsidRPr="008C1EFB" w:rsidRDefault="008C1EFB">
            <w:pPr>
              <w:jc w:val="right"/>
              <w:rPr>
                <w:sz w:val="16"/>
                <w:szCs w:val="16"/>
              </w:rPr>
            </w:pPr>
            <w:r w:rsidRPr="008C1EFB">
              <w:rPr>
                <w:sz w:val="16"/>
                <w:szCs w:val="16"/>
              </w:rPr>
              <w:t> </w:t>
            </w:r>
          </w:p>
        </w:tc>
        <w:tc>
          <w:tcPr>
            <w:tcW w:w="485" w:type="pct"/>
            <w:shd w:val="clear" w:color="auto" w:fill="auto"/>
            <w:noWrap/>
            <w:vAlign w:val="center"/>
            <w:hideMark/>
          </w:tcPr>
          <w:p w14:paraId="1B820C6E" w14:textId="77777777" w:rsidR="008C1EFB" w:rsidRPr="008C1EFB" w:rsidRDefault="008C1EFB">
            <w:pPr>
              <w:jc w:val="right"/>
              <w:rPr>
                <w:sz w:val="16"/>
                <w:szCs w:val="16"/>
              </w:rPr>
            </w:pPr>
            <w:r w:rsidRPr="008C1EFB">
              <w:rPr>
                <w:sz w:val="16"/>
                <w:szCs w:val="16"/>
              </w:rPr>
              <w:t> </w:t>
            </w:r>
          </w:p>
        </w:tc>
        <w:tc>
          <w:tcPr>
            <w:tcW w:w="520" w:type="pct"/>
            <w:shd w:val="clear" w:color="auto" w:fill="auto"/>
            <w:noWrap/>
            <w:vAlign w:val="center"/>
            <w:hideMark/>
          </w:tcPr>
          <w:p w14:paraId="67238A3C" w14:textId="77777777" w:rsidR="008C1EFB" w:rsidRPr="008C1EFB" w:rsidRDefault="008C1EFB">
            <w:pPr>
              <w:jc w:val="right"/>
              <w:rPr>
                <w:sz w:val="16"/>
                <w:szCs w:val="16"/>
              </w:rPr>
            </w:pPr>
            <w:r w:rsidRPr="008C1EFB">
              <w:rPr>
                <w:sz w:val="16"/>
                <w:szCs w:val="16"/>
              </w:rPr>
              <w:t> </w:t>
            </w:r>
          </w:p>
        </w:tc>
      </w:tr>
      <w:tr w:rsidR="008C1EFB" w:rsidRPr="008C1EFB" w14:paraId="3EE75ED3" w14:textId="77777777" w:rsidTr="00AD412A">
        <w:trPr>
          <w:trHeight w:val="170"/>
        </w:trPr>
        <w:tc>
          <w:tcPr>
            <w:tcW w:w="237" w:type="pct"/>
            <w:shd w:val="clear" w:color="000000" w:fill="E6E6E6"/>
            <w:noWrap/>
            <w:vAlign w:val="center"/>
            <w:hideMark/>
          </w:tcPr>
          <w:p w14:paraId="62D8198F" w14:textId="77777777" w:rsidR="008C1EFB" w:rsidRPr="008C1EFB" w:rsidRDefault="008C1EFB">
            <w:pPr>
              <w:jc w:val="both"/>
              <w:rPr>
                <w:b/>
                <w:bCs/>
                <w:sz w:val="16"/>
                <w:szCs w:val="16"/>
              </w:rPr>
            </w:pPr>
            <w:r w:rsidRPr="008C1EFB">
              <w:rPr>
                <w:b/>
                <w:bCs/>
                <w:sz w:val="16"/>
                <w:szCs w:val="16"/>
              </w:rPr>
              <w:t> </w:t>
            </w:r>
          </w:p>
        </w:tc>
        <w:tc>
          <w:tcPr>
            <w:tcW w:w="3273" w:type="pct"/>
            <w:shd w:val="clear" w:color="000000" w:fill="E6E6E6"/>
            <w:noWrap/>
            <w:vAlign w:val="center"/>
            <w:hideMark/>
          </w:tcPr>
          <w:p w14:paraId="1759718C" w14:textId="77777777" w:rsidR="008C1EFB" w:rsidRPr="008C1EFB" w:rsidRDefault="008C1EFB">
            <w:pPr>
              <w:rPr>
                <w:b/>
                <w:bCs/>
                <w:sz w:val="16"/>
                <w:szCs w:val="16"/>
              </w:rPr>
            </w:pPr>
            <w:r w:rsidRPr="008C1EFB">
              <w:rPr>
                <w:b/>
                <w:bCs/>
                <w:sz w:val="16"/>
                <w:szCs w:val="16"/>
              </w:rPr>
              <w:t>Общо разходи по бюджета (І.1+ІІ.):</w:t>
            </w:r>
          </w:p>
        </w:tc>
        <w:tc>
          <w:tcPr>
            <w:tcW w:w="485" w:type="pct"/>
            <w:shd w:val="clear" w:color="000000" w:fill="E6E6E6"/>
            <w:noWrap/>
            <w:vAlign w:val="center"/>
            <w:hideMark/>
          </w:tcPr>
          <w:p w14:paraId="5D65BF3B" w14:textId="77777777" w:rsidR="008C1EFB" w:rsidRPr="008C1EFB" w:rsidRDefault="008C1EFB">
            <w:pPr>
              <w:jc w:val="right"/>
              <w:rPr>
                <w:b/>
                <w:bCs/>
                <w:sz w:val="16"/>
                <w:szCs w:val="16"/>
              </w:rPr>
            </w:pPr>
            <w:r w:rsidRPr="008C1EFB">
              <w:rPr>
                <w:b/>
                <w:bCs/>
                <w:sz w:val="16"/>
                <w:szCs w:val="16"/>
              </w:rPr>
              <w:t>25 430 000</w:t>
            </w:r>
          </w:p>
        </w:tc>
        <w:tc>
          <w:tcPr>
            <w:tcW w:w="485" w:type="pct"/>
            <w:shd w:val="clear" w:color="000000" w:fill="E6E6E6"/>
            <w:noWrap/>
            <w:vAlign w:val="center"/>
            <w:hideMark/>
          </w:tcPr>
          <w:p w14:paraId="23661D31" w14:textId="77777777" w:rsidR="008C1EFB" w:rsidRPr="008C1EFB" w:rsidRDefault="008C1EFB">
            <w:pPr>
              <w:jc w:val="right"/>
              <w:rPr>
                <w:b/>
                <w:bCs/>
                <w:sz w:val="16"/>
                <w:szCs w:val="16"/>
              </w:rPr>
            </w:pPr>
            <w:r w:rsidRPr="008C1EFB">
              <w:rPr>
                <w:b/>
                <w:bCs/>
                <w:sz w:val="16"/>
                <w:szCs w:val="16"/>
              </w:rPr>
              <w:t>25 576 022</w:t>
            </w:r>
          </w:p>
        </w:tc>
        <w:tc>
          <w:tcPr>
            <w:tcW w:w="520" w:type="pct"/>
            <w:shd w:val="clear" w:color="000000" w:fill="E6E6E6"/>
            <w:noWrap/>
            <w:vAlign w:val="center"/>
            <w:hideMark/>
          </w:tcPr>
          <w:p w14:paraId="1F7AA3B7" w14:textId="77777777" w:rsidR="008C1EFB" w:rsidRPr="008C1EFB" w:rsidRDefault="008C1EFB">
            <w:pPr>
              <w:jc w:val="right"/>
              <w:rPr>
                <w:b/>
                <w:bCs/>
                <w:sz w:val="16"/>
                <w:szCs w:val="16"/>
              </w:rPr>
            </w:pPr>
            <w:r w:rsidRPr="008C1EFB">
              <w:rPr>
                <w:b/>
                <w:bCs/>
                <w:sz w:val="16"/>
                <w:szCs w:val="16"/>
              </w:rPr>
              <w:t>8 332 908</w:t>
            </w:r>
          </w:p>
        </w:tc>
      </w:tr>
      <w:tr w:rsidR="008C1EFB" w:rsidRPr="008C1EFB" w14:paraId="2BDD6664" w14:textId="77777777" w:rsidTr="00183C7D">
        <w:trPr>
          <w:trHeight w:val="131"/>
        </w:trPr>
        <w:tc>
          <w:tcPr>
            <w:tcW w:w="237" w:type="pct"/>
            <w:shd w:val="clear" w:color="auto" w:fill="auto"/>
            <w:noWrap/>
            <w:vAlign w:val="center"/>
            <w:hideMark/>
          </w:tcPr>
          <w:p w14:paraId="4D2D9919" w14:textId="77777777" w:rsidR="008C1EFB" w:rsidRPr="008C1EFB" w:rsidRDefault="008C1EFB">
            <w:pPr>
              <w:jc w:val="both"/>
              <w:rPr>
                <w:sz w:val="16"/>
                <w:szCs w:val="16"/>
              </w:rPr>
            </w:pPr>
            <w:r w:rsidRPr="008C1EFB">
              <w:rPr>
                <w:sz w:val="16"/>
                <w:szCs w:val="16"/>
              </w:rPr>
              <w:t> </w:t>
            </w:r>
          </w:p>
        </w:tc>
        <w:tc>
          <w:tcPr>
            <w:tcW w:w="3273" w:type="pct"/>
            <w:shd w:val="clear" w:color="auto" w:fill="auto"/>
            <w:noWrap/>
            <w:vAlign w:val="center"/>
            <w:hideMark/>
          </w:tcPr>
          <w:p w14:paraId="695722C1" w14:textId="77777777" w:rsidR="008C1EFB" w:rsidRPr="008C1EFB" w:rsidRDefault="008C1EFB">
            <w:pPr>
              <w:rPr>
                <w:sz w:val="16"/>
                <w:szCs w:val="16"/>
              </w:rPr>
            </w:pPr>
            <w:r w:rsidRPr="008C1EFB">
              <w:rPr>
                <w:sz w:val="16"/>
                <w:szCs w:val="16"/>
              </w:rPr>
              <w:t> </w:t>
            </w:r>
          </w:p>
        </w:tc>
        <w:tc>
          <w:tcPr>
            <w:tcW w:w="485" w:type="pct"/>
            <w:shd w:val="clear" w:color="auto" w:fill="auto"/>
            <w:noWrap/>
            <w:vAlign w:val="center"/>
            <w:hideMark/>
          </w:tcPr>
          <w:p w14:paraId="4EDD3BAD" w14:textId="77777777" w:rsidR="008C1EFB" w:rsidRPr="008C1EFB" w:rsidRDefault="008C1EFB">
            <w:pPr>
              <w:jc w:val="right"/>
              <w:rPr>
                <w:sz w:val="16"/>
                <w:szCs w:val="16"/>
              </w:rPr>
            </w:pPr>
            <w:r w:rsidRPr="008C1EFB">
              <w:rPr>
                <w:sz w:val="16"/>
                <w:szCs w:val="16"/>
              </w:rPr>
              <w:t> </w:t>
            </w:r>
          </w:p>
        </w:tc>
        <w:tc>
          <w:tcPr>
            <w:tcW w:w="485" w:type="pct"/>
            <w:shd w:val="clear" w:color="auto" w:fill="auto"/>
            <w:noWrap/>
            <w:vAlign w:val="center"/>
            <w:hideMark/>
          </w:tcPr>
          <w:p w14:paraId="18473577" w14:textId="77777777" w:rsidR="008C1EFB" w:rsidRPr="008C1EFB" w:rsidRDefault="008C1EFB">
            <w:pPr>
              <w:jc w:val="right"/>
              <w:rPr>
                <w:sz w:val="16"/>
                <w:szCs w:val="16"/>
              </w:rPr>
            </w:pPr>
            <w:r w:rsidRPr="008C1EFB">
              <w:rPr>
                <w:sz w:val="16"/>
                <w:szCs w:val="16"/>
              </w:rPr>
              <w:t> </w:t>
            </w:r>
          </w:p>
        </w:tc>
        <w:tc>
          <w:tcPr>
            <w:tcW w:w="520" w:type="pct"/>
            <w:shd w:val="clear" w:color="auto" w:fill="auto"/>
            <w:noWrap/>
            <w:vAlign w:val="center"/>
            <w:hideMark/>
          </w:tcPr>
          <w:p w14:paraId="7EDAD2FE" w14:textId="77777777" w:rsidR="008C1EFB" w:rsidRPr="008C1EFB" w:rsidRDefault="008C1EFB">
            <w:pPr>
              <w:jc w:val="right"/>
              <w:rPr>
                <w:sz w:val="16"/>
                <w:szCs w:val="16"/>
              </w:rPr>
            </w:pPr>
            <w:r w:rsidRPr="008C1EFB">
              <w:rPr>
                <w:sz w:val="16"/>
                <w:szCs w:val="16"/>
              </w:rPr>
              <w:t> </w:t>
            </w:r>
          </w:p>
        </w:tc>
      </w:tr>
      <w:tr w:rsidR="008C1EFB" w:rsidRPr="008C1EFB" w14:paraId="0A05DC89" w14:textId="77777777" w:rsidTr="00183C7D">
        <w:trPr>
          <w:trHeight w:val="92"/>
        </w:trPr>
        <w:tc>
          <w:tcPr>
            <w:tcW w:w="237" w:type="pct"/>
            <w:shd w:val="clear" w:color="000000" w:fill="E6E6E6"/>
            <w:noWrap/>
            <w:vAlign w:val="center"/>
            <w:hideMark/>
          </w:tcPr>
          <w:p w14:paraId="67ADD794" w14:textId="77777777" w:rsidR="008C1EFB" w:rsidRPr="008C1EFB" w:rsidRDefault="008C1EFB">
            <w:pPr>
              <w:jc w:val="both"/>
              <w:rPr>
                <w:b/>
                <w:bCs/>
                <w:sz w:val="16"/>
                <w:szCs w:val="16"/>
              </w:rPr>
            </w:pPr>
            <w:r w:rsidRPr="008C1EFB">
              <w:rPr>
                <w:b/>
                <w:bCs/>
                <w:sz w:val="16"/>
                <w:szCs w:val="16"/>
              </w:rPr>
              <w:t> </w:t>
            </w:r>
          </w:p>
        </w:tc>
        <w:tc>
          <w:tcPr>
            <w:tcW w:w="3273" w:type="pct"/>
            <w:shd w:val="clear" w:color="000000" w:fill="E6E6E6"/>
            <w:noWrap/>
            <w:vAlign w:val="center"/>
            <w:hideMark/>
          </w:tcPr>
          <w:p w14:paraId="13342D06" w14:textId="77777777" w:rsidR="008C1EFB" w:rsidRPr="008C1EFB" w:rsidRDefault="008C1EFB">
            <w:pPr>
              <w:rPr>
                <w:b/>
                <w:bCs/>
                <w:sz w:val="16"/>
                <w:szCs w:val="16"/>
              </w:rPr>
            </w:pPr>
            <w:r w:rsidRPr="008C1EFB">
              <w:rPr>
                <w:b/>
                <w:bCs/>
                <w:sz w:val="16"/>
                <w:szCs w:val="16"/>
              </w:rPr>
              <w:t>Общо разходи (І.+ІІ.+ІІІ.):</w:t>
            </w:r>
          </w:p>
        </w:tc>
        <w:tc>
          <w:tcPr>
            <w:tcW w:w="485" w:type="pct"/>
            <w:shd w:val="clear" w:color="000000" w:fill="E6E6E6"/>
            <w:noWrap/>
            <w:vAlign w:val="center"/>
            <w:hideMark/>
          </w:tcPr>
          <w:p w14:paraId="53AFF401" w14:textId="77777777" w:rsidR="008C1EFB" w:rsidRPr="008C1EFB" w:rsidRDefault="008C1EFB">
            <w:pPr>
              <w:jc w:val="right"/>
              <w:rPr>
                <w:b/>
                <w:bCs/>
                <w:sz w:val="16"/>
                <w:szCs w:val="16"/>
              </w:rPr>
            </w:pPr>
            <w:r w:rsidRPr="008C1EFB">
              <w:rPr>
                <w:b/>
                <w:bCs/>
                <w:sz w:val="16"/>
                <w:szCs w:val="16"/>
              </w:rPr>
              <w:t>25 430 000</w:t>
            </w:r>
          </w:p>
        </w:tc>
        <w:tc>
          <w:tcPr>
            <w:tcW w:w="485" w:type="pct"/>
            <w:shd w:val="clear" w:color="000000" w:fill="E6E6E6"/>
            <w:noWrap/>
            <w:vAlign w:val="center"/>
            <w:hideMark/>
          </w:tcPr>
          <w:p w14:paraId="2030A661" w14:textId="77777777" w:rsidR="008C1EFB" w:rsidRPr="008C1EFB" w:rsidRDefault="008C1EFB">
            <w:pPr>
              <w:jc w:val="right"/>
              <w:rPr>
                <w:b/>
                <w:bCs/>
                <w:sz w:val="16"/>
                <w:szCs w:val="16"/>
              </w:rPr>
            </w:pPr>
            <w:r w:rsidRPr="008C1EFB">
              <w:rPr>
                <w:b/>
                <w:bCs/>
                <w:sz w:val="16"/>
                <w:szCs w:val="16"/>
              </w:rPr>
              <w:t>25 576 022</w:t>
            </w:r>
          </w:p>
        </w:tc>
        <w:tc>
          <w:tcPr>
            <w:tcW w:w="520" w:type="pct"/>
            <w:shd w:val="clear" w:color="000000" w:fill="E6E6E6"/>
            <w:noWrap/>
            <w:vAlign w:val="center"/>
            <w:hideMark/>
          </w:tcPr>
          <w:p w14:paraId="056B8CD1" w14:textId="77777777" w:rsidR="008C1EFB" w:rsidRPr="008C1EFB" w:rsidRDefault="008C1EFB">
            <w:pPr>
              <w:jc w:val="right"/>
              <w:rPr>
                <w:b/>
                <w:bCs/>
                <w:sz w:val="16"/>
                <w:szCs w:val="16"/>
              </w:rPr>
            </w:pPr>
            <w:r w:rsidRPr="008C1EFB">
              <w:rPr>
                <w:b/>
                <w:bCs/>
                <w:sz w:val="16"/>
                <w:szCs w:val="16"/>
              </w:rPr>
              <w:t>8 737 602</w:t>
            </w:r>
          </w:p>
        </w:tc>
      </w:tr>
      <w:tr w:rsidR="008C1EFB" w:rsidRPr="008C1EFB" w14:paraId="5BC7F143" w14:textId="77777777" w:rsidTr="00183C7D">
        <w:trPr>
          <w:trHeight w:val="166"/>
        </w:trPr>
        <w:tc>
          <w:tcPr>
            <w:tcW w:w="237" w:type="pct"/>
            <w:shd w:val="clear" w:color="auto" w:fill="auto"/>
            <w:noWrap/>
            <w:vAlign w:val="center"/>
            <w:hideMark/>
          </w:tcPr>
          <w:p w14:paraId="1DEA2680" w14:textId="77777777" w:rsidR="008C1EFB" w:rsidRPr="008C1EFB" w:rsidRDefault="008C1EFB">
            <w:pPr>
              <w:jc w:val="both"/>
              <w:rPr>
                <w:sz w:val="16"/>
                <w:szCs w:val="16"/>
              </w:rPr>
            </w:pPr>
            <w:r w:rsidRPr="008C1EFB">
              <w:rPr>
                <w:sz w:val="16"/>
                <w:szCs w:val="16"/>
              </w:rPr>
              <w:t> </w:t>
            </w:r>
          </w:p>
        </w:tc>
        <w:tc>
          <w:tcPr>
            <w:tcW w:w="3273" w:type="pct"/>
            <w:shd w:val="clear" w:color="auto" w:fill="auto"/>
            <w:noWrap/>
            <w:vAlign w:val="center"/>
            <w:hideMark/>
          </w:tcPr>
          <w:p w14:paraId="3AD3AEDA" w14:textId="77777777" w:rsidR="008C1EFB" w:rsidRPr="008C1EFB" w:rsidRDefault="008C1EFB">
            <w:pPr>
              <w:rPr>
                <w:sz w:val="16"/>
                <w:szCs w:val="16"/>
              </w:rPr>
            </w:pPr>
            <w:r w:rsidRPr="008C1EFB">
              <w:rPr>
                <w:sz w:val="16"/>
                <w:szCs w:val="16"/>
              </w:rPr>
              <w:t>Численост на щатния персонал</w:t>
            </w:r>
          </w:p>
        </w:tc>
        <w:tc>
          <w:tcPr>
            <w:tcW w:w="485" w:type="pct"/>
            <w:shd w:val="clear" w:color="auto" w:fill="auto"/>
            <w:noWrap/>
            <w:vAlign w:val="center"/>
            <w:hideMark/>
          </w:tcPr>
          <w:p w14:paraId="65E7BD6E" w14:textId="77777777" w:rsidR="008C1EFB" w:rsidRPr="008C1EFB" w:rsidRDefault="008C1EFB">
            <w:pPr>
              <w:jc w:val="right"/>
              <w:rPr>
                <w:sz w:val="16"/>
                <w:szCs w:val="16"/>
              </w:rPr>
            </w:pPr>
            <w:r w:rsidRPr="008C1EFB">
              <w:rPr>
                <w:sz w:val="16"/>
                <w:szCs w:val="16"/>
              </w:rPr>
              <w:t>467</w:t>
            </w:r>
          </w:p>
        </w:tc>
        <w:tc>
          <w:tcPr>
            <w:tcW w:w="485" w:type="pct"/>
            <w:shd w:val="clear" w:color="auto" w:fill="auto"/>
            <w:noWrap/>
            <w:vAlign w:val="center"/>
            <w:hideMark/>
          </w:tcPr>
          <w:p w14:paraId="065B15CF" w14:textId="77777777" w:rsidR="008C1EFB" w:rsidRPr="008C1EFB" w:rsidRDefault="008C1EFB">
            <w:pPr>
              <w:jc w:val="right"/>
              <w:rPr>
                <w:sz w:val="16"/>
                <w:szCs w:val="16"/>
              </w:rPr>
            </w:pPr>
            <w:r w:rsidRPr="008C1EFB">
              <w:rPr>
                <w:sz w:val="16"/>
                <w:szCs w:val="16"/>
              </w:rPr>
              <w:t>467</w:t>
            </w:r>
          </w:p>
        </w:tc>
        <w:tc>
          <w:tcPr>
            <w:tcW w:w="520" w:type="pct"/>
            <w:shd w:val="clear" w:color="auto" w:fill="auto"/>
            <w:noWrap/>
            <w:vAlign w:val="center"/>
            <w:hideMark/>
          </w:tcPr>
          <w:p w14:paraId="6F604870" w14:textId="77777777" w:rsidR="008C1EFB" w:rsidRPr="008C1EFB" w:rsidRDefault="008C1EFB">
            <w:pPr>
              <w:jc w:val="right"/>
              <w:rPr>
                <w:sz w:val="16"/>
                <w:szCs w:val="16"/>
              </w:rPr>
            </w:pPr>
            <w:r w:rsidRPr="008C1EFB">
              <w:rPr>
                <w:sz w:val="16"/>
                <w:szCs w:val="16"/>
              </w:rPr>
              <w:t>368</w:t>
            </w:r>
          </w:p>
        </w:tc>
      </w:tr>
    </w:tbl>
    <w:p w14:paraId="2C15CFD3" w14:textId="77777777" w:rsidR="00435D74" w:rsidRPr="00F4631A" w:rsidRDefault="00435D74" w:rsidP="008206E6">
      <w:pPr>
        <w:pStyle w:val="BodyText2"/>
        <w:spacing w:after="0" w:line="240" w:lineRule="auto"/>
        <w:rPr>
          <w:b/>
          <w:bCs/>
          <w:color w:val="0000FF"/>
          <w:sz w:val="2"/>
          <w:szCs w:val="2"/>
        </w:rPr>
      </w:pPr>
    </w:p>
    <w:p w14:paraId="5BD2935D" w14:textId="77777777" w:rsidR="008206E6" w:rsidRPr="00402574" w:rsidRDefault="00AE3B70" w:rsidP="00070830">
      <w:pPr>
        <w:pStyle w:val="BodyText2"/>
        <w:shd w:val="clear" w:color="auto" w:fill="FFFFFF" w:themeFill="background1"/>
        <w:spacing w:before="120" w:after="0" w:line="240" w:lineRule="auto"/>
        <w:ind w:firstLine="425"/>
        <w:rPr>
          <w:b/>
          <w:bCs/>
          <w:iCs/>
          <w:color w:val="215E99" w:themeColor="text2" w:themeTint="BF"/>
          <w:sz w:val="22"/>
          <w:szCs w:val="22"/>
          <w:lang w:eastAsia="en-US"/>
        </w:rPr>
      </w:pPr>
      <w:r w:rsidRPr="00402574">
        <w:rPr>
          <w:b/>
          <w:bCs/>
          <w:iCs/>
          <w:color w:val="215E99" w:themeColor="text2" w:themeTint="BF"/>
          <w:sz w:val="22"/>
          <w:szCs w:val="22"/>
          <w:lang w:eastAsia="en-US"/>
        </w:rPr>
        <w:t>Отговорност за изпълнението на програмата</w:t>
      </w:r>
    </w:p>
    <w:p w14:paraId="620779EE" w14:textId="2B5C5C4B" w:rsidR="00402574" w:rsidRDefault="00AE3B70" w:rsidP="00070830">
      <w:pPr>
        <w:pStyle w:val="BodyText2"/>
        <w:shd w:val="clear" w:color="auto" w:fill="FFFFFF" w:themeFill="background1"/>
        <w:spacing w:after="240" w:line="240" w:lineRule="auto"/>
        <w:ind w:firstLine="425"/>
        <w:jc w:val="both"/>
        <w:rPr>
          <w:sz w:val="22"/>
          <w:szCs w:val="22"/>
        </w:rPr>
      </w:pPr>
      <w:r w:rsidRPr="008066AA">
        <w:rPr>
          <w:sz w:val="22"/>
          <w:szCs w:val="22"/>
          <w:lang w:eastAsia="en-US"/>
        </w:rPr>
        <w:t xml:space="preserve">Отговорността е на </w:t>
      </w:r>
      <w:r w:rsidR="00402574" w:rsidRPr="00F53CFC">
        <w:rPr>
          <w:sz w:val="22"/>
          <w:szCs w:val="22"/>
        </w:rPr>
        <w:t>Националната комисия за борба с трафика на хора, Инстит</w:t>
      </w:r>
      <w:r w:rsidR="00402574">
        <w:rPr>
          <w:sz w:val="22"/>
          <w:szCs w:val="22"/>
        </w:rPr>
        <w:t xml:space="preserve">ута по публична администрация, </w:t>
      </w:r>
      <w:r w:rsidR="00402574" w:rsidRPr="00F53CFC">
        <w:rPr>
          <w:sz w:val="22"/>
          <w:szCs w:val="22"/>
        </w:rPr>
        <w:t>Централната комисия за борба с противообществените прояви на</w:t>
      </w:r>
      <w:r w:rsidR="00402574">
        <w:rPr>
          <w:sz w:val="22"/>
          <w:szCs w:val="22"/>
        </w:rPr>
        <w:t xml:space="preserve"> малолетните и непълнолетните, </w:t>
      </w:r>
      <w:r w:rsidR="00402574" w:rsidRPr="00F53CFC">
        <w:rPr>
          <w:sz w:val="22"/>
          <w:szCs w:val="22"/>
        </w:rPr>
        <w:t xml:space="preserve">Държавната агенция „Безопасност на движението по пътищата”, Почивна база „Слънчев бряг”, Почивна база „Орлица” </w:t>
      </w:r>
      <w:r w:rsidR="00402574">
        <w:rPr>
          <w:sz w:val="22"/>
          <w:szCs w:val="22"/>
        </w:rPr>
        <w:t>–</w:t>
      </w:r>
      <w:r w:rsidR="00402574" w:rsidRPr="00F53CFC">
        <w:rPr>
          <w:sz w:val="22"/>
          <w:szCs w:val="22"/>
        </w:rPr>
        <w:t xml:space="preserve"> Пампорово, обектите с представителни и социални дейности към МС – Комплекс „Бояна”, Стопанство „Евксиноград” и обект „Шабла”.</w:t>
      </w:r>
    </w:p>
    <w:p w14:paraId="02C31DC1" w14:textId="77777777" w:rsidR="007D20B1" w:rsidRPr="00667B09" w:rsidRDefault="0014431E" w:rsidP="00FE5CDF">
      <w:pPr>
        <w:pStyle w:val="Heading1"/>
      </w:pPr>
      <w:r w:rsidRPr="00667B09">
        <w:t>9</w:t>
      </w:r>
      <w:r w:rsidR="007D20B1" w:rsidRPr="00667B09">
        <w:t>.9 Бюджетна програма 0300.</w:t>
      </w:r>
      <w:r w:rsidR="00723A2F" w:rsidRPr="00667B09">
        <w:t>0</w:t>
      </w:r>
      <w:r w:rsidR="00D42921" w:rsidRPr="00667B09">
        <w:t>7</w:t>
      </w:r>
      <w:r w:rsidR="007D20B1" w:rsidRPr="00667B09">
        <w:t>.02 “Убежище и бежанци”</w:t>
      </w:r>
    </w:p>
    <w:p w14:paraId="686CB681" w14:textId="77777777" w:rsidR="007D20B1" w:rsidRPr="002813CF" w:rsidRDefault="007D20B1" w:rsidP="00CA7DA3">
      <w:pPr>
        <w:widowControl w:val="0"/>
        <w:shd w:val="clear" w:color="auto" w:fill="FFFFFF" w:themeFill="background1"/>
        <w:tabs>
          <w:tab w:val="left" w:pos="426"/>
        </w:tabs>
        <w:ind w:firstLine="425"/>
        <w:jc w:val="both"/>
        <w:outlineLvl w:val="3"/>
        <w:rPr>
          <w:b/>
          <w:bCs/>
          <w:iCs/>
          <w:color w:val="215E99" w:themeColor="text2" w:themeTint="BF"/>
          <w:sz w:val="22"/>
          <w:szCs w:val="22"/>
          <w:lang w:eastAsia="en-US"/>
        </w:rPr>
      </w:pPr>
      <w:r w:rsidRPr="002813CF">
        <w:rPr>
          <w:b/>
          <w:bCs/>
          <w:iCs/>
          <w:color w:val="215E99" w:themeColor="text2" w:themeTint="BF"/>
          <w:sz w:val="22"/>
          <w:szCs w:val="22"/>
          <w:lang w:eastAsia="en-US"/>
        </w:rPr>
        <w:t>Описание на степента на изпълнение на заложените в програмата цели:</w:t>
      </w:r>
    </w:p>
    <w:p w14:paraId="2DA25C24" w14:textId="443043AF" w:rsidR="007D20B1" w:rsidRDefault="007D20B1" w:rsidP="00CA7DA3">
      <w:pPr>
        <w:shd w:val="clear" w:color="auto" w:fill="FFFFFF" w:themeFill="background1"/>
        <w:ind w:firstLine="426"/>
        <w:jc w:val="both"/>
        <w:rPr>
          <w:b/>
          <w:bCs/>
          <w:i/>
          <w:sz w:val="22"/>
          <w:szCs w:val="22"/>
        </w:rPr>
      </w:pPr>
      <w:r w:rsidRPr="00667B09">
        <w:rPr>
          <w:b/>
          <w:bCs/>
          <w:i/>
          <w:sz w:val="22"/>
          <w:szCs w:val="22"/>
        </w:rPr>
        <w:t>Основните цели на програмата са:</w:t>
      </w:r>
    </w:p>
    <w:p w14:paraId="79A2C188" w14:textId="563614C2" w:rsidR="002813CF" w:rsidRPr="002813CF" w:rsidRDefault="002813CF" w:rsidP="00CA7DA3">
      <w:pPr>
        <w:pStyle w:val="ListParagraph"/>
        <w:numPr>
          <w:ilvl w:val="0"/>
          <w:numId w:val="57"/>
        </w:numPr>
        <w:shd w:val="clear" w:color="auto" w:fill="FFFFFF" w:themeFill="background1"/>
        <w:ind w:left="709" w:hanging="283"/>
        <w:jc w:val="both"/>
        <w:rPr>
          <w:bCs/>
          <w:sz w:val="22"/>
          <w:szCs w:val="22"/>
        </w:rPr>
      </w:pPr>
      <w:r w:rsidRPr="002813CF">
        <w:rPr>
          <w:bCs/>
          <w:sz w:val="22"/>
          <w:szCs w:val="22"/>
        </w:rPr>
        <w:t xml:space="preserve">Провеждане на ефективни политики в областта на международната закрила и поддържане на капацитет за бърза и адекватна реакция в случай на миграционен натиск; </w:t>
      </w:r>
    </w:p>
    <w:p w14:paraId="73E77670" w14:textId="5C35E183" w:rsidR="002813CF" w:rsidRPr="002813CF" w:rsidRDefault="002813CF" w:rsidP="00CA7DA3">
      <w:pPr>
        <w:pStyle w:val="ListParagraph"/>
        <w:numPr>
          <w:ilvl w:val="0"/>
          <w:numId w:val="57"/>
        </w:numPr>
        <w:shd w:val="clear" w:color="auto" w:fill="FFFFFF" w:themeFill="background1"/>
        <w:ind w:left="709" w:hanging="283"/>
        <w:jc w:val="both"/>
        <w:rPr>
          <w:bCs/>
          <w:sz w:val="22"/>
          <w:szCs w:val="22"/>
        </w:rPr>
      </w:pPr>
      <w:r w:rsidRPr="002813CF">
        <w:rPr>
          <w:bCs/>
          <w:sz w:val="22"/>
          <w:szCs w:val="22"/>
        </w:rPr>
        <w:t>Постигане на устойчивост по отношение подобряване на качеството на процедурата за международна закрила;</w:t>
      </w:r>
    </w:p>
    <w:p w14:paraId="11B7A698" w14:textId="1D575725" w:rsidR="002813CF" w:rsidRPr="002813CF" w:rsidRDefault="002813CF" w:rsidP="00CA7DA3">
      <w:pPr>
        <w:pStyle w:val="ListParagraph"/>
        <w:numPr>
          <w:ilvl w:val="0"/>
          <w:numId w:val="57"/>
        </w:numPr>
        <w:shd w:val="clear" w:color="auto" w:fill="FFFFFF" w:themeFill="background1"/>
        <w:ind w:left="709" w:hanging="283"/>
        <w:jc w:val="both"/>
        <w:rPr>
          <w:bCs/>
          <w:sz w:val="22"/>
          <w:szCs w:val="22"/>
        </w:rPr>
      </w:pPr>
      <w:r w:rsidRPr="002813CF">
        <w:rPr>
          <w:bCs/>
          <w:sz w:val="22"/>
          <w:szCs w:val="22"/>
        </w:rPr>
        <w:t>Поддържане на материално-техническата база на ДАБ при МС и подобряване условията за живот в местата за настаняване на лица, търсещи закрила;</w:t>
      </w:r>
    </w:p>
    <w:p w14:paraId="4D7ECB17" w14:textId="13E30E2C" w:rsidR="002813CF" w:rsidRPr="002813CF" w:rsidRDefault="002813CF" w:rsidP="00CA7DA3">
      <w:pPr>
        <w:pStyle w:val="ListParagraph"/>
        <w:numPr>
          <w:ilvl w:val="0"/>
          <w:numId w:val="57"/>
        </w:numPr>
        <w:shd w:val="clear" w:color="auto" w:fill="FFFFFF" w:themeFill="background1"/>
        <w:ind w:left="709" w:hanging="283"/>
        <w:jc w:val="both"/>
        <w:rPr>
          <w:bCs/>
          <w:sz w:val="22"/>
          <w:szCs w:val="22"/>
        </w:rPr>
      </w:pPr>
      <w:r w:rsidRPr="002813CF">
        <w:rPr>
          <w:bCs/>
          <w:sz w:val="22"/>
          <w:szCs w:val="22"/>
        </w:rPr>
        <w:t xml:space="preserve">Създаване на условия за своевременно медицинско обслужване на чужденците, търсещи закрила, с особено внимание на уязвимите групи. Предоставяне на услуги по социално и </w:t>
      </w:r>
      <w:r w:rsidRPr="002813CF">
        <w:rPr>
          <w:bCs/>
          <w:sz w:val="22"/>
          <w:szCs w:val="22"/>
        </w:rPr>
        <w:lastRenderedPageBreak/>
        <w:t>здравно подпомагане, оказване на психологическа помощ и посредничество на пазара на труда;</w:t>
      </w:r>
    </w:p>
    <w:p w14:paraId="1A6E52C9" w14:textId="615A16AF" w:rsidR="002813CF" w:rsidRPr="002813CF" w:rsidRDefault="002813CF" w:rsidP="00CA7DA3">
      <w:pPr>
        <w:pStyle w:val="ListParagraph"/>
        <w:numPr>
          <w:ilvl w:val="0"/>
          <w:numId w:val="57"/>
        </w:numPr>
        <w:shd w:val="clear" w:color="auto" w:fill="FFFFFF" w:themeFill="background1"/>
        <w:ind w:left="709" w:hanging="283"/>
        <w:jc w:val="both"/>
        <w:rPr>
          <w:bCs/>
          <w:sz w:val="22"/>
          <w:szCs w:val="22"/>
        </w:rPr>
      </w:pPr>
      <w:r w:rsidRPr="002813CF">
        <w:rPr>
          <w:bCs/>
          <w:sz w:val="22"/>
          <w:szCs w:val="22"/>
        </w:rPr>
        <w:t>Ефективно сътрудничество с европейски и международни организации, с организациите на гражданското общество и неправителствения сектор.</w:t>
      </w:r>
    </w:p>
    <w:p w14:paraId="169B1C15" w14:textId="77777777" w:rsidR="002813CF" w:rsidRPr="002813CF" w:rsidRDefault="002813CF" w:rsidP="00CA7DA3">
      <w:pPr>
        <w:shd w:val="clear" w:color="auto" w:fill="FFFFFF" w:themeFill="background1"/>
        <w:spacing w:after="200"/>
        <w:ind w:firstLine="426"/>
        <w:contextualSpacing/>
        <w:jc w:val="both"/>
        <w:rPr>
          <w:rFonts w:eastAsia="Calibri"/>
          <w:sz w:val="22"/>
          <w:szCs w:val="22"/>
          <w:lang w:eastAsia="en-US"/>
        </w:rPr>
      </w:pPr>
      <w:r w:rsidRPr="002813CF">
        <w:rPr>
          <w:rFonts w:eastAsia="Calibri"/>
          <w:sz w:val="22"/>
          <w:szCs w:val="22"/>
          <w:lang w:eastAsia="en-US"/>
        </w:rPr>
        <w:t xml:space="preserve">ДАБ при МС продължава усилено да работи за оптимизирането и повишаване качеството на процедурата за предоставяне на международна закрила. Това се постига чрез постоянно участие на служители на Агенцията в обучения, организирани от партньорски организации, както и провеждане на тематични обучения относно производството по отношение на интервюиращи органи и регистратори в териториалните поделения. Създадени са механизми за внедряване на наученото от служителите в рамките на работния процес. Изграден е системен подход за запознаване на новоназначените служители с нормативната база и практическото й приложение, с цел по-бързо адаптиране към процеса на работа. Разработени са насоки и вътрешни правила за провеждане на процедурните действия при разглеждането на молбите за закрила. Участието в различни обучителни формати допринася за обмяната на опит и добри практики в областта на предоставянето на международна закрила. </w:t>
      </w:r>
    </w:p>
    <w:p w14:paraId="5B9C3324" w14:textId="5A3DCDDD" w:rsidR="002813CF" w:rsidRDefault="002813CF" w:rsidP="00CA7DA3">
      <w:pPr>
        <w:shd w:val="clear" w:color="auto" w:fill="FFFFFF" w:themeFill="background1"/>
        <w:spacing w:before="120" w:after="120"/>
        <w:ind w:firstLine="425"/>
        <w:contextualSpacing/>
        <w:jc w:val="both"/>
        <w:rPr>
          <w:rFonts w:eastAsia="Calibri"/>
          <w:sz w:val="22"/>
          <w:szCs w:val="22"/>
          <w:lang w:eastAsia="en-US"/>
        </w:rPr>
      </w:pPr>
      <w:r w:rsidRPr="002813CF">
        <w:rPr>
          <w:rFonts w:eastAsia="Calibri"/>
          <w:sz w:val="22"/>
          <w:szCs w:val="22"/>
          <w:lang w:eastAsia="en-US"/>
        </w:rPr>
        <w:t>С оглед осъществяването на горепосочените цели и извършваните</w:t>
      </w:r>
      <w:r>
        <w:rPr>
          <w:rFonts w:eastAsia="Calibri"/>
          <w:sz w:val="22"/>
          <w:szCs w:val="22"/>
          <w:lang w:eastAsia="en-US"/>
        </w:rPr>
        <w:t xml:space="preserve"> дейности за тяхното постигане </w:t>
      </w:r>
      <w:r w:rsidRPr="002813CF">
        <w:rPr>
          <w:rFonts w:eastAsia="Calibri"/>
          <w:sz w:val="22"/>
          <w:szCs w:val="22"/>
          <w:lang w:eastAsia="en-US"/>
        </w:rPr>
        <w:t>се полагат усилия за осигуряване на трайност, устойчивост и приемственост на политиките при провеждане на процедурата за международна закрила, както и уеднаквяване на практиката при вземането на решения по молбите за закрила.</w:t>
      </w:r>
    </w:p>
    <w:p w14:paraId="7EB27339" w14:textId="01E33E94" w:rsidR="00AB5B39" w:rsidRDefault="007D20B1" w:rsidP="00CA7DA3">
      <w:pPr>
        <w:widowControl w:val="0"/>
        <w:shd w:val="clear" w:color="auto" w:fill="FFFFFF" w:themeFill="background1"/>
        <w:spacing w:before="120" w:after="120"/>
        <w:ind w:firstLine="425"/>
        <w:jc w:val="both"/>
        <w:outlineLvl w:val="3"/>
        <w:rPr>
          <w:b/>
          <w:i/>
          <w:color w:val="800000"/>
          <w:sz w:val="22"/>
          <w:szCs w:val="22"/>
        </w:rPr>
      </w:pPr>
      <w:r w:rsidRPr="00667B09">
        <w:rPr>
          <w:b/>
          <w:i/>
          <w:color w:val="800000"/>
          <w:sz w:val="22"/>
          <w:szCs w:val="22"/>
        </w:rPr>
        <w:t>Продукти/услуги предоставяни по програмата</w:t>
      </w:r>
    </w:p>
    <w:p w14:paraId="581BC081" w14:textId="308BB052" w:rsidR="00AB5B39" w:rsidRPr="00AB5B39" w:rsidRDefault="00AB5B39" w:rsidP="00CA7DA3">
      <w:pPr>
        <w:pStyle w:val="ListParagraph"/>
        <w:numPr>
          <w:ilvl w:val="0"/>
          <w:numId w:val="6"/>
        </w:numPr>
        <w:shd w:val="clear" w:color="auto" w:fill="FFFFFF" w:themeFill="background1"/>
        <w:jc w:val="both"/>
        <w:rPr>
          <w:b/>
          <w:sz w:val="22"/>
          <w:szCs w:val="22"/>
        </w:rPr>
      </w:pPr>
      <w:r w:rsidRPr="00AB5B39">
        <w:rPr>
          <w:b/>
          <w:sz w:val="22"/>
          <w:szCs w:val="22"/>
        </w:rPr>
        <w:t>Настаняване на лица, търсещи международна закрила в териториалните поделения на ДАБ при МС;</w:t>
      </w:r>
    </w:p>
    <w:p w14:paraId="3BB4FF0A" w14:textId="7858701F" w:rsidR="00AB5B39" w:rsidRPr="00AB5B39" w:rsidRDefault="00AB5B39" w:rsidP="00CA7DA3">
      <w:pPr>
        <w:pStyle w:val="ListParagraph"/>
        <w:numPr>
          <w:ilvl w:val="0"/>
          <w:numId w:val="6"/>
        </w:numPr>
        <w:shd w:val="clear" w:color="auto" w:fill="FFFFFF" w:themeFill="background1"/>
        <w:jc w:val="both"/>
        <w:rPr>
          <w:b/>
          <w:sz w:val="22"/>
          <w:szCs w:val="22"/>
        </w:rPr>
      </w:pPr>
      <w:r w:rsidRPr="00AB5B39">
        <w:rPr>
          <w:b/>
          <w:sz w:val="22"/>
          <w:szCs w:val="22"/>
        </w:rPr>
        <w:t>Постановени решения по молби за предоставяне на международна закрила (решения за предоставяне на статут на бежанец, хуманитарен статут, откази за предоставяне на статут и прекратяване на производство);</w:t>
      </w:r>
    </w:p>
    <w:p w14:paraId="29A8E4DF" w14:textId="0CCED435" w:rsidR="00AB5B39" w:rsidRPr="00AB5B39" w:rsidRDefault="00AB5B39" w:rsidP="00CA7DA3">
      <w:pPr>
        <w:pStyle w:val="ListParagraph"/>
        <w:numPr>
          <w:ilvl w:val="0"/>
          <w:numId w:val="6"/>
        </w:numPr>
        <w:shd w:val="clear" w:color="auto" w:fill="FFFFFF" w:themeFill="background1"/>
        <w:jc w:val="both"/>
        <w:rPr>
          <w:b/>
          <w:sz w:val="22"/>
          <w:szCs w:val="22"/>
        </w:rPr>
      </w:pPr>
      <w:r w:rsidRPr="00AB5B39">
        <w:rPr>
          <w:b/>
          <w:sz w:val="22"/>
          <w:szCs w:val="22"/>
        </w:rPr>
        <w:t>Прилагане на механизма по презаселване съгласно Решение № 750 от 30</w:t>
      </w:r>
      <w:r>
        <w:rPr>
          <w:b/>
          <w:sz w:val="22"/>
          <w:szCs w:val="22"/>
          <w:lang w:val="bg-BG"/>
        </w:rPr>
        <w:t>.11.</w:t>
      </w:r>
      <w:r w:rsidRPr="00AB5B39">
        <w:rPr>
          <w:b/>
          <w:sz w:val="22"/>
          <w:szCs w:val="22"/>
        </w:rPr>
        <w:t>2017</w:t>
      </w:r>
      <w:r>
        <w:rPr>
          <w:b/>
          <w:sz w:val="22"/>
          <w:szCs w:val="22"/>
          <w:lang w:val="bg-BG"/>
        </w:rPr>
        <w:t xml:space="preserve"> </w:t>
      </w:r>
      <w:r w:rsidRPr="00AB5B39">
        <w:rPr>
          <w:b/>
          <w:sz w:val="22"/>
          <w:szCs w:val="22"/>
        </w:rPr>
        <w:t>г. за изменение на Решение № 263 на Министерския съвет от 2016 г. за одобряване на рамка за национален механизъм за изпълнение на ангажиментите на Република България;</w:t>
      </w:r>
    </w:p>
    <w:p w14:paraId="4F61085E" w14:textId="0B9DB740" w:rsidR="00AB5B39" w:rsidRPr="00AB5B39" w:rsidRDefault="00AB5B39" w:rsidP="00CA7DA3">
      <w:pPr>
        <w:pStyle w:val="ListParagraph"/>
        <w:numPr>
          <w:ilvl w:val="0"/>
          <w:numId w:val="6"/>
        </w:numPr>
        <w:shd w:val="clear" w:color="auto" w:fill="FFFFFF" w:themeFill="background1"/>
        <w:jc w:val="both"/>
        <w:rPr>
          <w:b/>
          <w:sz w:val="22"/>
          <w:szCs w:val="22"/>
        </w:rPr>
      </w:pPr>
      <w:r w:rsidRPr="00AB5B39">
        <w:rPr>
          <w:b/>
          <w:sz w:val="22"/>
          <w:szCs w:val="22"/>
        </w:rPr>
        <w:t xml:space="preserve">Предоставяне на грижи и услуги на лица, търсещи международна закрила </w:t>
      </w:r>
      <w:r>
        <w:rPr>
          <w:b/>
          <w:sz w:val="22"/>
          <w:szCs w:val="22"/>
        </w:rPr>
        <w:t>–</w:t>
      </w:r>
      <w:r w:rsidRPr="00AB5B39">
        <w:rPr>
          <w:b/>
          <w:sz w:val="22"/>
          <w:szCs w:val="22"/>
        </w:rPr>
        <w:t xml:space="preserve"> социално и здравно подпомагане, оказване на психологическа помощ и посредничество на пазара на труда; </w:t>
      </w:r>
    </w:p>
    <w:p w14:paraId="588AD151" w14:textId="2FE83CF2" w:rsidR="00AB5B39" w:rsidRPr="00AB5B39" w:rsidRDefault="00AB5B39" w:rsidP="00CA7DA3">
      <w:pPr>
        <w:pStyle w:val="ListParagraph"/>
        <w:numPr>
          <w:ilvl w:val="0"/>
          <w:numId w:val="6"/>
        </w:numPr>
        <w:shd w:val="clear" w:color="auto" w:fill="FFFFFF" w:themeFill="background1"/>
        <w:jc w:val="both"/>
        <w:rPr>
          <w:b/>
          <w:sz w:val="22"/>
          <w:szCs w:val="22"/>
        </w:rPr>
      </w:pPr>
      <w:r w:rsidRPr="00AB5B39">
        <w:rPr>
          <w:b/>
          <w:sz w:val="22"/>
          <w:szCs w:val="22"/>
        </w:rPr>
        <w:t>Осигуряване на материално-техническа база и условия за настаняване, които отговарят на стандартите на директива на Съвета на ЕС 2013/33/ЕС от 26</w:t>
      </w:r>
      <w:r>
        <w:rPr>
          <w:b/>
          <w:sz w:val="22"/>
          <w:szCs w:val="22"/>
          <w:lang w:val="bg-BG"/>
        </w:rPr>
        <w:t>.06.</w:t>
      </w:r>
      <w:r w:rsidRPr="00AB5B39">
        <w:rPr>
          <w:b/>
          <w:sz w:val="22"/>
          <w:szCs w:val="22"/>
        </w:rPr>
        <w:t>2013 г. за определяне на стандарти относно приемането на кандидати за международна закрила.</w:t>
      </w:r>
    </w:p>
    <w:p w14:paraId="75975BFA" w14:textId="78F8AE73" w:rsidR="00AB5B39" w:rsidRPr="00CD7A19" w:rsidRDefault="00AB5B39" w:rsidP="00CA7DA3">
      <w:pPr>
        <w:pStyle w:val="ListParagraph"/>
        <w:numPr>
          <w:ilvl w:val="0"/>
          <w:numId w:val="6"/>
        </w:numPr>
        <w:shd w:val="clear" w:color="auto" w:fill="FFFFFF" w:themeFill="background1"/>
        <w:jc w:val="both"/>
        <w:rPr>
          <w:b/>
          <w:sz w:val="22"/>
          <w:szCs w:val="22"/>
        </w:rPr>
      </w:pPr>
      <w:r w:rsidRPr="00AB5B39">
        <w:rPr>
          <w:b/>
          <w:sz w:val="22"/>
          <w:szCs w:val="22"/>
        </w:rPr>
        <w:t>Предоставяне на бързо и качествено производство при спазване на всички нормативни изисквания и защита правата, личните данни и законните интереси на кандидатстващите за международна закрила лица чрез повишаване и надграждане на административния капацитет на ДАБ при МС.</w:t>
      </w:r>
    </w:p>
    <w:p w14:paraId="001073B8" w14:textId="56A9C308" w:rsidR="009D1977" w:rsidRPr="009E6306" w:rsidRDefault="009D1977" w:rsidP="007C169D">
      <w:pPr>
        <w:widowControl w:val="0"/>
        <w:shd w:val="clear" w:color="auto" w:fill="FFFFFF" w:themeFill="background1"/>
        <w:spacing w:before="120" w:after="120"/>
        <w:ind w:firstLine="425"/>
        <w:jc w:val="both"/>
        <w:outlineLvl w:val="3"/>
        <w:rPr>
          <w:b/>
          <w:sz w:val="22"/>
          <w:szCs w:val="22"/>
        </w:rPr>
      </w:pPr>
      <w:r w:rsidRPr="009E6306">
        <w:rPr>
          <w:b/>
          <w:sz w:val="22"/>
          <w:szCs w:val="22"/>
        </w:rPr>
        <w:t>Показате</w:t>
      </w:r>
      <w:r w:rsidR="00467325" w:rsidRPr="009E6306">
        <w:rPr>
          <w:b/>
          <w:sz w:val="22"/>
          <w:szCs w:val="22"/>
        </w:rPr>
        <w:t>ли за изпълнение на програмата:</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08"/>
        <w:gridCol w:w="1080"/>
        <w:gridCol w:w="1080"/>
        <w:gridCol w:w="1341"/>
      </w:tblGrid>
      <w:tr w:rsidR="003F57D4" w:rsidRPr="001509B9" w14:paraId="13A115D5" w14:textId="77777777" w:rsidTr="00F10AA1">
        <w:trPr>
          <w:trHeight w:val="476"/>
          <w:jc w:val="center"/>
        </w:trPr>
        <w:tc>
          <w:tcPr>
            <w:tcW w:w="5708" w:type="dxa"/>
            <w:shd w:val="clear" w:color="auto" w:fill="F7CAAC"/>
            <w:vAlign w:val="center"/>
            <w:hideMark/>
          </w:tcPr>
          <w:p w14:paraId="725A2FAD" w14:textId="77777777" w:rsidR="00126A82" w:rsidRPr="001509B9" w:rsidRDefault="00126A82" w:rsidP="00B614D2">
            <w:pPr>
              <w:jc w:val="center"/>
              <w:rPr>
                <w:b/>
                <w:bCs/>
                <w:sz w:val="18"/>
                <w:szCs w:val="18"/>
              </w:rPr>
            </w:pPr>
            <w:r w:rsidRPr="001509B9">
              <w:rPr>
                <w:b/>
                <w:bCs/>
                <w:iCs/>
                <w:sz w:val="18"/>
                <w:szCs w:val="18"/>
              </w:rPr>
              <w:t>Показатели за изпълнение</w:t>
            </w:r>
          </w:p>
        </w:tc>
        <w:tc>
          <w:tcPr>
            <w:tcW w:w="1080" w:type="dxa"/>
            <w:shd w:val="clear" w:color="auto" w:fill="F7CAAC"/>
            <w:vAlign w:val="center"/>
            <w:hideMark/>
          </w:tcPr>
          <w:p w14:paraId="08E3E7DF" w14:textId="77777777" w:rsidR="00126A82" w:rsidRPr="001509B9" w:rsidRDefault="00126A82">
            <w:pPr>
              <w:jc w:val="center"/>
              <w:rPr>
                <w:b/>
                <w:bCs/>
                <w:sz w:val="18"/>
                <w:szCs w:val="18"/>
              </w:rPr>
            </w:pPr>
            <w:r w:rsidRPr="001509B9">
              <w:rPr>
                <w:b/>
                <w:bCs/>
                <w:sz w:val="18"/>
                <w:szCs w:val="18"/>
              </w:rPr>
              <w:t>Мерна единица</w:t>
            </w:r>
          </w:p>
        </w:tc>
        <w:tc>
          <w:tcPr>
            <w:tcW w:w="1080" w:type="dxa"/>
            <w:shd w:val="clear" w:color="auto" w:fill="F7CAAC"/>
            <w:vAlign w:val="center"/>
            <w:hideMark/>
          </w:tcPr>
          <w:p w14:paraId="2A430631" w14:textId="77777777" w:rsidR="00126A82" w:rsidRPr="001509B9" w:rsidRDefault="00126A82">
            <w:pPr>
              <w:jc w:val="center"/>
              <w:rPr>
                <w:b/>
                <w:bCs/>
                <w:sz w:val="18"/>
                <w:szCs w:val="18"/>
              </w:rPr>
            </w:pPr>
            <w:r w:rsidRPr="001509B9">
              <w:rPr>
                <w:b/>
                <w:bCs/>
                <w:sz w:val="18"/>
                <w:szCs w:val="18"/>
              </w:rPr>
              <w:t>Целева стойност</w:t>
            </w:r>
          </w:p>
        </w:tc>
        <w:tc>
          <w:tcPr>
            <w:tcW w:w="1341" w:type="dxa"/>
            <w:shd w:val="clear" w:color="auto" w:fill="F7CAAC"/>
            <w:vAlign w:val="center"/>
            <w:hideMark/>
          </w:tcPr>
          <w:p w14:paraId="685157C5" w14:textId="77777777" w:rsidR="00126A82" w:rsidRPr="001509B9" w:rsidRDefault="00126A82">
            <w:pPr>
              <w:jc w:val="center"/>
              <w:rPr>
                <w:b/>
                <w:bCs/>
                <w:sz w:val="18"/>
                <w:szCs w:val="18"/>
              </w:rPr>
            </w:pPr>
            <w:r w:rsidRPr="001509B9">
              <w:rPr>
                <w:b/>
                <w:bCs/>
                <w:sz w:val="18"/>
                <w:szCs w:val="18"/>
              </w:rPr>
              <w:t>Отчет</w:t>
            </w:r>
          </w:p>
        </w:tc>
      </w:tr>
      <w:tr w:rsidR="00F062F1" w:rsidRPr="001509B9" w14:paraId="5E2BCF1E" w14:textId="77777777" w:rsidTr="00F10AA1">
        <w:trPr>
          <w:trHeight w:val="128"/>
          <w:jc w:val="center"/>
        </w:trPr>
        <w:tc>
          <w:tcPr>
            <w:tcW w:w="5708" w:type="dxa"/>
            <w:shd w:val="clear" w:color="auto" w:fill="auto"/>
            <w:hideMark/>
          </w:tcPr>
          <w:p w14:paraId="25CF4A1F" w14:textId="77777777" w:rsidR="00173D63" w:rsidRPr="001509B9" w:rsidRDefault="00173D63" w:rsidP="00173D63">
            <w:pPr>
              <w:rPr>
                <w:sz w:val="18"/>
                <w:szCs w:val="18"/>
              </w:rPr>
            </w:pPr>
            <w:r w:rsidRPr="001509B9">
              <w:rPr>
                <w:sz w:val="18"/>
                <w:szCs w:val="18"/>
              </w:rPr>
              <w:t>1. Новорегистрирани молби на лица, търсещи международна закрила</w:t>
            </w:r>
          </w:p>
        </w:tc>
        <w:tc>
          <w:tcPr>
            <w:tcW w:w="1080" w:type="dxa"/>
            <w:shd w:val="clear" w:color="auto" w:fill="auto"/>
            <w:vAlign w:val="center"/>
            <w:hideMark/>
          </w:tcPr>
          <w:p w14:paraId="1C5B5484" w14:textId="77777777" w:rsidR="00173D63" w:rsidRPr="001509B9" w:rsidRDefault="00173D63" w:rsidP="00173D63">
            <w:pPr>
              <w:jc w:val="center"/>
              <w:rPr>
                <w:sz w:val="18"/>
                <w:szCs w:val="18"/>
              </w:rPr>
            </w:pPr>
            <w:r w:rsidRPr="001509B9">
              <w:rPr>
                <w:sz w:val="18"/>
                <w:szCs w:val="18"/>
              </w:rPr>
              <w:t>брой</w:t>
            </w:r>
          </w:p>
        </w:tc>
        <w:tc>
          <w:tcPr>
            <w:tcW w:w="1080" w:type="dxa"/>
            <w:shd w:val="clear" w:color="auto" w:fill="auto"/>
            <w:hideMark/>
          </w:tcPr>
          <w:p w14:paraId="76C609D7" w14:textId="79C7DE8A" w:rsidR="00173D63" w:rsidRPr="001509B9" w:rsidRDefault="00951B37" w:rsidP="00173D63">
            <w:pPr>
              <w:jc w:val="right"/>
              <w:rPr>
                <w:sz w:val="18"/>
                <w:szCs w:val="18"/>
              </w:rPr>
            </w:pPr>
            <w:r w:rsidRPr="001509B9">
              <w:rPr>
                <w:sz w:val="18"/>
                <w:szCs w:val="18"/>
              </w:rPr>
              <w:t>14 5</w:t>
            </w:r>
            <w:r w:rsidR="007639E2" w:rsidRPr="001509B9">
              <w:rPr>
                <w:sz w:val="18"/>
                <w:szCs w:val="18"/>
              </w:rPr>
              <w:t>00</w:t>
            </w:r>
          </w:p>
        </w:tc>
        <w:tc>
          <w:tcPr>
            <w:tcW w:w="1341" w:type="dxa"/>
            <w:shd w:val="clear" w:color="auto" w:fill="auto"/>
            <w:hideMark/>
          </w:tcPr>
          <w:p w14:paraId="26747EA9" w14:textId="0928D955" w:rsidR="00173D63" w:rsidRPr="001509B9" w:rsidRDefault="00951B37" w:rsidP="00173D63">
            <w:pPr>
              <w:jc w:val="right"/>
              <w:rPr>
                <w:sz w:val="18"/>
                <w:szCs w:val="18"/>
              </w:rPr>
            </w:pPr>
            <w:r w:rsidRPr="001509B9">
              <w:rPr>
                <w:sz w:val="18"/>
                <w:szCs w:val="18"/>
              </w:rPr>
              <w:t xml:space="preserve">1 </w:t>
            </w:r>
            <w:r w:rsidR="007639E2" w:rsidRPr="001509B9">
              <w:rPr>
                <w:sz w:val="18"/>
                <w:szCs w:val="18"/>
              </w:rPr>
              <w:t>7</w:t>
            </w:r>
            <w:r w:rsidRPr="001509B9">
              <w:rPr>
                <w:sz w:val="18"/>
                <w:szCs w:val="18"/>
              </w:rPr>
              <w:t>42</w:t>
            </w:r>
          </w:p>
        </w:tc>
      </w:tr>
      <w:tr w:rsidR="00F062F1" w:rsidRPr="001509B9" w14:paraId="10EA3AA6" w14:textId="77777777" w:rsidTr="00F10AA1">
        <w:trPr>
          <w:trHeight w:val="69"/>
          <w:jc w:val="center"/>
        </w:trPr>
        <w:tc>
          <w:tcPr>
            <w:tcW w:w="5708" w:type="dxa"/>
            <w:shd w:val="clear" w:color="auto" w:fill="auto"/>
            <w:hideMark/>
          </w:tcPr>
          <w:p w14:paraId="51B594CE" w14:textId="77777777" w:rsidR="00173D63" w:rsidRPr="001509B9" w:rsidRDefault="00173D63" w:rsidP="00173D63">
            <w:pPr>
              <w:rPr>
                <w:sz w:val="18"/>
                <w:szCs w:val="18"/>
              </w:rPr>
            </w:pPr>
            <w:r w:rsidRPr="001509B9">
              <w:rPr>
                <w:sz w:val="18"/>
                <w:szCs w:val="18"/>
              </w:rPr>
              <w:t>2. Лица с предоставен статут на бежанец</w:t>
            </w:r>
          </w:p>
        </w:tc>
        <w:tc>
          <w:tcPr>
            <w:tcW w:w="1080" w:type="dxa"/>
            <w:shd w:val="clear" w:color="auto" w:fill="auto"/>
            <w:vAlign w:val="center"/>
            <w:hideMark/>
          </w:tcPr>
          <w:p w14:paraId="3E1A73AF" w14:textId="77777777" w:rsidR="00173D63" w:rsidRPr="001509B9" w:rsidRDefault="00173D63" w:rsidP="00173D63">
            <w:pPr>
              <w:jc w:val="center"/>
              <w:rPr>
                <w:sz w:val="18"/>
                <w:szCs w:val="18"/>
              </w:rPr>
            </w:pPr>
            <w:r w:rsidRPr="001509B9">
              <w:rPr>
                <w:sz w:val="18"/>
                <w:szCs w:val="18"/>
              </w:rPr>
              <w:t>брой</w:t>
            </w:r>
          </w:p>
        </w:tc>
        <w:tc>
          <w:tcPr>
            <w:tcW w:w="1080" w:type="dxa"/>
            <w:shd w:val="clear" w:color="auto" w:fill="auto"/>
            <w:hideMark/>
          </w:tcPr>
          <w:p w14:paraId="17D4DA0B" w14:textId="5C625813" w:rsidR="00173D63" w:rsidRPr="001509B9" w:rsidRDefault="00951B37" w:rsidP="00951B37">
            <w:pPr>
              <w:jc w:val="right"/>
              <w:rPr>
                <w:sz w:val="18"/>
                <w:szCs w:val="18"/>
              </w:rPr>
            </w:pPr>
            <w:r w:rsidRPr="001509B9">
              <w:rPr>
                <w:sz w:val="18"/>
                <w:szCs w:val="18"/>
              </w:rPr>
              <w:t>1 100</w:t>
            </w:r>
          </w:p>
        </w:tc>
        <w:tc>
          <w:tcPr>
            <w:tcW w:w="1341" w:type="dxa"/>
            <w:shd w:val="clear" w:color="auto" w:fill="auto"/>
            <w:hideMark/>
          </w:tcPr>
          <w:p w14:paraId="5BBD86D3" w14:textId="0FE2803C" w:rsidR="00173D63" w:rsidRPr="001509B9" w:rsidRDefault="00951B37" w:rsidP="00173D63">
            <w:pPr>
              <w:jc w:val="right"/>
              <w:rPr>
                <w:sz w:val="18"/>
                <w:szCs w:val="18"/>
              </w:rPr>
            </w:pPr>
            <w:r w:rsidRPr="001509B9">
              <w:rPr>
                <w:sz w:val="18"/>
                <w:szCs w:val="18"/>
              </w:rPr>
              <w:t>4</w:t>
            </w:r>
            <w:r w:rsidR="00173D63" w:rsidRPr="001509B9">
              <w:rPr>
                <w:sz w:val="18"/>
                <w:szCs w:val="18"/>
              </w:rPr>
              <w:t>6</w:t>
            </w:r>
          </w:p>
        </w:tc>
      </w:tr>
      <w:tr w:rsidR="00F062F1" w:rsidRPr="001509B9" w14:paraId="357E6D7D" w14:textId="77777777" w:rsidTr="00F10AA1">
        <w:trPr>
          <w:trHeight w:val="142"/>
          <w:jc w:val="center"/>
        </w:trPr>
        <w:tc>
          <w:tcPr>
            <w:tcW w:w="5708" w:type="dxa"/>
            <w:shd w:val="clear" w:color="auto" w:fill="auto"/>
            <w:hideMark/>
          </w:tcPr>
          <w:p w14:paraId="04D8BEA9" w14:textId="77777777" w:rsidR="00173D63" w:rsidRPr="001509B9" w:rsidRDefault="00173D63" w:rsidP="00173D63">
            <w:pPr>
              <w:rPr>
                <w:sz w:val="18"/>
                <w:szCs w:val="18"/>
              </w:rPr>
            </w:pPr>
            <w:r w:rsidRPr="001509B9">
              <w:rPr>
                <w:sz w:val="18"/>
                <w:szCs w:val="18"/>
              </w:rPr>
              <w:t>3. Лица с предоставен хуманитарен статут</w:t>
            </w:r>
          </w:p>
        </w:tc>
        <w:tc>
          <w:tcPr>
            <w:tcW w:w="1080" w:type="dxa"/>
            <w:shd w:val="clear" w:color="auto" w:fill="auto"/>
            <w:vAlign w:val="center"/>
            <w:hideMark/>
          </w:tcPr>
          <w:p w14:paraId="0A171065" w14:textId="77777777" w:rsidR="00173D63" w:rsidRPr="001509B9" w:rsidRDefault="00173D63" w:rsidP="00173D63">
            <w:pPr>
              <w:jc w:val="center"/>
              <w:rPr>
                <w:sz w:val="18"/>
                <w:szCs w:val="18"/>
              </w:rPr>
            </w:pPr>
            <w:r w:rsidRPr="001509B9">
              <w:rPr>
                <w:sz w:val="18"/>
                <w:szCs w:val="18"/>
              </w:rPr>
              <w:t>брой</w:t>
            </w:r>
          </w:p>
        </w:tc>
        <w:tc>
          <w:tcPr>
            <w:tcW w:w="1080" w:type="dxa"/>
            <w:shd w:val="clear" w:color="auto" w:fill="auto"/>
            <w:hideMark/>
          </w:tcPr>
          <w:p w14:paraId="31DCB29B" w14:textId="5D6E3B1B" w:rsidR="00173D63" w:rsidRPr="001509B9" w:rsidRDefault="00173D63" w:rsidP="007639E2">
            <w:pPr>
              <w:jc w:val="right"/>
              <w:rPr>
                <w:sz w:val="18"/>
                <w:szCs w:val="18"/>
              </w:rPr>
            </w:pPr>
            <w:r w:rsidRPr="001509B9">
              <w:rPr>
                <w:sz w:val="18"/>
                <w:szCs w:val="18"/>
              </w:rPr>
              <w:t xml:space="preserve">4 </w:t>
            </w:r>
            <w:r w:rsidR="00951B37" w:rsidRPr="001509B9">
              <w:rPr>
                <w:sz w:val="18"/>
                <w:szCs w:val="18"/>
              </w:rPr>
              <w:t>5</w:t>
            </w:r>
            <w:r w:rsidRPr="001509B9">
              <w:rPr>
                <w:sz w:val="18"/>
                <w:szCs w:val="18"/>
              </w:rPr>
              <w:t>00</w:t>
            </w:r>
          </w:p>
        </w:tc>
        <w:tc>
          <w:tcPr>
            <w:tcW w:w="1341" w:type="dxa"/>
            <w:shd w:val="clear" w:color="auto" w:fill="auto"/>
            <w:hideMark/>
          </w:tcPr>
          <w:p w14:paraId="7ABCBBD2" w14:textId="29711DAC" w:rsidR="00173D63" w:rsidRPr="001509B9" w:rsidRDefault="00951B37" w:rsidP="00173D63">
            <w:pPr>
              <w:jc w:val="right"/>
              <w:rPr>
                <w:sz w:val="18"/>
                <w:szCs w:val="18"/>
              </w:rPr>
            </w:pPr>
            <w:r w:rsidRPr="001509B9">
              <w:rPr>
                <w:sz w:val="18"/>
                <w:szCs w:val="18"/>
              </w:rPr>
              <w:t>621</w:t>
            </w:r>
          </w:p>
        </w:tc>
      </w:tr>
      <w:tr w:rsidR="00F062F1" w:rsidRPr="001509B9" w14:paraId="339C0C8A" w14:textId="77777777" w:rsidTr="00F10AA1">
        <w:trPr>
          <w:trHeight w:val="89"/>
          <w:jc w:val="center"/>
        </w:trPr>
        <w:tc>
          <w:tcPr>
            <w:tcW w:w="5708" w:type="dxa"/>
            <w:shd w:val="clear" w:color="auto" w:fill="auto"/>
            <w:hideMark/>
          </w:tcPr>
          <w:p w14:paraId="4E3B142C" w14:textId="77777777" w:rsidR="00173D63" w:rsidRPr="001509B9" w:rsidRDefault="00173D63" w:rsidP="00173D63">
            <w:pPr>
              <w:rPr>
                <w:sz w:val="18"/>
                <w:szCs w:val="18"/>
              </w:rPr>
            </w:pPr>
            <w:r w:rsidRPr="001509B9">
              <w:rPr>
                <w:sz w:val="18"/>
                <w:szCs w:val="18"/>
              </w:rPr>
              <w:t>4. Откази за предоставяне на статут</w:t>
            </w:r>
          </w:p>
        </w:tc>
        <w:tc>
          <w:tcPr>
            <w:tcW w:w="1080" w:type="dxa"/>
            <w:shd w:val="clear" w:color="auto" w:fill="auto"/>
            <w:vAlign w:val="center"/>
            <w:hideMark/>
          </w:tcPr>
          <w:p w14:paraId="4B81CBED" w14:textId="77777777" w:rsidR="00173D63" w:rsidRPr="001509B9" w:rsidRDefault="00173D63" w:rsidP="00173D63">
            <w:pPr>
              <w:jc w:val="center"/>
              <w:rPr>
                <w:sz w:val="18"/>
                <w:szCs w:val="18"/>
              </w:rPr>
            </w:pPr>
            <w:r w:rsidRPr="001509B9">
              <w:rPr>
                <w:sz w:val="18"/>
                <w:szCs w:val="18"/>
              </w:rPr>
              <w:t>брой</w:t>
            </w:r>
          </w:p>
        </w:tc>
        <w:tc>
          <w:tcPr>
            <w:tcW w:w="1080" w:type="dxa"/>
            <w:shd w:val="clear" w:color="auto" w:fill="auto"/>
            <w:hideMark/>
          </w:tcPr>
          <w:p w14:paraId="4D792B2C" w14:textId="65A991B1" w:rsidR="00173D63" w:rsidRPr="001509B9" w:rsidRDefault="00951B37" w:rsidP="00173D63">
            <w:pPr>
              <w:jc w:val="right"/>
              <w:rPr>
                <w:sz w:val="18"/>
                <w:szCs w:val="18"/>
              </w:rPr>
            </w:pPr>
            <w:r w:rsidRPr="001509B9">
              <w:rPr>
                <w:sz w:val="18"/>
                <w:szCs w:val="18"/>
              </w:rPr>
              <w:t>3 7</w:t>
            </w:r>
            <w:r w:rsidR="00173D63" w:rsidRPr="001509B9">
              <w:rPr>
                <w:sz w:val="18"/>
                <w:szCs w:val="18"/>
              </w:rPr>
              <w:t>00</w:t>
            </w:r>
          </w:p>
        </w:tc>
        <w:tc>
          <w:tcPr>
            <w:tcW w:w="1341" w:type="dxa"/>
            <w:shd w:val="clear" w:color="auto" w:fill="auto"/>
            <w:hideMark/>
          </w:tcPr>
          <w:p w14:paraId="3C7A1C4A" w14:textId="77F72FD6" w:rsidR="00173D63" w:rsidRPr="001509B9" w:rsidRDefault="00951B37" w:rsidP="00173D63">
            <w:pPr>
              <w:jc w:val="right"/>
              <w:rPr>
                <w:sz w:val="18"/>
                <w:szCs w:val="18"/>
              </w:rPr>
            </w:pPr>
            <w:r w:rsidRPr="001509B9">
              <w:rPr>
                <w:sz w:val="18"/>
                <w:szCs w:val="18"/>
              </w:rPr>
              <w:t>2 228</w:t>
            </w:r>
          </w:p>
        </w:tc>
      </w:tr>
      <w:tr w:rsidR="00173D63" w:rsidRPr="001509B9" w14:paraId="326FF47C" w14:textId="77777777" w:rsidTr="00F10AA1">
        <w:trPr>
          <w:trHeight w:val="177"/>
          <w:jc w:val="center"/>
        </w:trPr>
        <w:tc>
          <w:tcPr>
            <w:tcW w:w="5708" w:type="dxa"/>
            <w:shd w:val="clear" w:color="auto" w:fill="auto"/>
            <w:hideMark/>
          </w:tcPr>
          <w:p w14:paraId="0499D2D1" w14:textId="77777777" w:rsidR="00173D63" w:rsidRPr="001509B9" w:rsidRDefault="00173D63" w:rsidP="00173D63">
            <w:pPr>
              <w:rPr>
                <w:sz w:val="18"/>
                <w:szCs w:val="18"/>
              </w:rPr>
            </w:pPr>
            <w:r w:rsidRPr="001509B9">
              <w:rPr>
                <w:sz w:val="18"/>
                <w:szCs w:val="18"/>
              </w:rPr>
              <w:t>5. Лица в процедура</w:t>
            </w:r>
          </w:p>
        </w:tc>
        <w:tc>
          <w:tcPr>
            <w:tcW w:w="1080" w:type="dxa"/>
            <w:shd w:val="clear" w:color="auto" w:fill="auto"/>
            <w:vAlign w:val="center"/>
            <w:hideMark/>
          </w:tcPr>
          <w:p w14:paraId="1C3956BF" w14:textId="77777777" w:rsidR="00173D63" w:rsidRPr="001509B9" w:rsidRDefault="00173D63" w:rsidP="00173D63">
            <w:pPr>
              <w:jc w:val="center"/>
              <w:rPr>
                <w:sz w:val="18"/>
                <w:szCs w:val="18"/>
              </w:rPr>
            </w:pPr>
            <w:r w:rsidRPr="001509B9">
              <w:rPr>
                <w:sz w:val="18"/>
                <w:szCs w:val="18"/>
              </w:rPr>
              <w:t>брой</w:t>
            </w:r>
          </w:p>
        </w:tc>
        <w:tc>
          <w:tcPr>
            <w:tcW w:w="1080" w:type="dxa"/>
            <w:shd w:val="clear" w:color="auto" w:fill="auto"/>
            <w:hideMark/>
          </w:tcPr>
          <w:p w14:paraId="5EC1A76A" w14:textId="0544AF66" w:rsidR="00173D63" w:rsidRPr="001509B9" w:rsidRDefault="00951B37" w:rsidP="00951B37">
            <w:pPr>
              <w:jc w:val="right"/>
              <w:rPr>
                <w:sz w:val="18"/>
                <w:szCs w:val="18"/>
              </w:rPr>
            </w:pPr>
            <w:r w:rsidRPr="001509B9">
              <w:rPr>
                <w:sz w:val="18"/>
                <w:szCs w:val="18"/>
              </w:rPr>
              <w:t>13</w:t>
            </w:r>
            <w:r w:rsidR="00173D63" w:rsidRPr="001509B9">
              <w:rPr>
                <w:sz w:val="18"/>
                <w:szCs w:val="18"/>
              </w:rPr>
              <w:t xml:space="preserve"> </w:t>
            </w:r>
            <w:r w:rsidRPr="001509B9">
              <w:rPr>
                <w:sz w:val="18"/>
                <w:szCs w:val="18"/>
              </w:rPr>
              <w:t>0</w:t>
            </w:r>
            <w:r w:rsidR="00173D63" w:rsidRPr="001509B9">
              <w:rPr>
                <w:sz w:val="18"/>
                <w:szCs w:val="18"/>
              </w:rPr>
              <w:t>00</w:t>
            </w:r>
          </w:p>
        </w:tc>
        <w:tc>
          <w:tcPr>
            <w:tcW w:w="1341" w:type="dxa"/>
            <w:shd w:val="clear" w:color="auto" w:fill="auto"/>
            <w:hideMark/>
          </w:tcPr>
          <w:p w14:paraId="46407908" w14:textId="2569E684" w:rsidR="00173D63" w:rsidRPr="001509B9" w:rsidRDefault="00951B37" w:rsidP="00951B37">
            <w:pPr>
              <w:jc w:val="right"/>
              <w:rPr>
                <w:sz w:val="18"/>
                <w:szCs w:val="18"/>
              </w:rPr>
            </w:pPr>
            <w:r w:rsidRPr="001509B9">
              <w:rPr>
                <w:sz w:val="18"/>
                <w:szCs w:val="18"/>
              </w:rPr>
              <w:t>2 84</w:t>
            </w:r>
            <w:r w:rsidR="00E227D8" w:rsidRPr="001509B9">
              <w:rPr>
                <w:sz w:val="18"/>
                <w:szCs w:val="18"/>
              </w:rPr>
              <w:t>3</w:t>
            </w:r>
          </w:p>
        </w:tc>
      </w:tr>
      <w:tr w:rsidR="00F062F1" w:rsidRPr="001509B9" w14:paraId="70767455" w14:textId="77777777" w:rsidTr="00F10AA1">
        <w:trPr>
          <w:trHeight w:val="50"/>
          <w:jc w:val="center"/>
        </w:trPr>
        <w:tc>
          <w:tcPr>
            <w:tcW w:w="5708" w:type="dxa"/>
            <w:shd w:val="clear" w:color="auto" w:fill="auto"/>
            <w:hideMark/>
          </w:tcPr>
          <w:p w14:paraId="0C0304F4" w14:textId="77777777" w:rsidR="00173D63" w:rsidRPr="001509B9" w:rsidRDefault="00173D63" w:rsidP="00173D63">
            <w:pPr>
              <w:rPr>
                <w:sz w:val="18"/>
                <w:szCs w:val="18"/>
              </w:rPr>
            </w:pPr>
            <w:r w:rsidRPr="001509B9">
              <w:rPr>
                <w:sz w:val="18"/>
                <w:szCs w:val="18"/>
              </w:rPr>
              <w:t>6. Лица, на които производството е прекратено</w:t>
            </w:r>
          </w:p>
        </w:tc>
        <w:tc>
          <w:tcPr>
            <w:tcW w:w="1080" w:type="dxa"/>
            <w:shd w:val="clear" w:color="auto" w:fill="auto"/>
            <w:vAlign w:val="center"/>
            <w:hideMark/>
          </w:tcPr>
          <w:p w14:paraId="6AE1B830" w14:textId="77777777" w:rsidR="00173D63" w:rsidRPr="001509B9" w:rsidRDefault="00173D63" w:rsidP="00173D63">
            <w:pPr>
              <w:jc w:val="center"/>
              <w:rPr>
                <w:sz w:val="18"/>
                <w:szCs w:val="18"/>
              </w:rPr>
            </w:pPr>
            <w:r w:rsidRPr="001509B9">
              <w:rPr>
                <w:sz w:val="18"/>
                <w:szCs w:val="18"/>
              </w:rPr>
              <w:t>брой</w:t>
            </w:r>
          </w:p>
        </w:tc>
        <w:tc>
          <w:tcPr>
            <w:tcW w:w="1080" w:type="dxa"/>
            <w:shd w:val="clear" w:color="auto" w:fill="auto"/>
            <w:hideMark/>
          </w:tcPr>
          <w:p w14:paraId="70640870" w14:textId="57B17B3E" w:rsidR="00173D63" w:rsidRPr="001509B9" w:rsidRDefault="00173D63" w:rsidP="00E227D8">
            <w:pPr>
              <w:jc w:val="right"/>
              <w:rPr>
                <w:sz w:val="18"/>
                <w:szCs w:val="18"/>
              </w:rPr>
            </w:pPr>
            <w:r w:rsidRPr="001509B9">
              <w:rPr>
                <w:sz w:val="18"/>
                <w:szCs w:val="18"/>
              </w:rPr>
              <w:t xml:space="preserve">6 </w:t>
            </w:r>
            <w:r w:rsidR="00951B37" w:rsidRPr="001509B9">
              <w:rPr>
                <w:sz w:val="18"/>
                <w:szCs w:val="18"/>
              </w:rPr>
              <w:t>3</w:t>
            </w:r>
            <w:r w:rsidRPr="001509B9">
              <w:rPr>
                <w:sz w:val="18"/>
                <w:szCs w:val="18"/>
              </w:rPr>
              <w:t>00</w:t>
            </w:r>
          </w:p>
        </w:tc>
        <w:tc>
          <w:tcPr>
            <w:tcW w:w="1341" w:type="dxa"/>
            <w:shd w:val="clear" w:color="auto" w:fill="auto"/>
            <w:hideMark/>
          </w:tcPr>
          <w:p w14:paraId="48A4AC65" w14:textId="12FD9D69" w:rsidR="00173D63" w:rsidRPr="001509B9" w:rsidRDefault="00951B37" w:rsidP="00951B37">
            <w:pPr>
              <w:jc w:val="right"/>
              <w:rPr>
                <w:sz w:val="18"/>
                <w:szCs w:val="18"/>
              </w:rPr>
            </w:pPr>
            <w:r w:rsidRPr="001509B9">
              <w:rPr>
                <w:sz w:val="18"/>
                <w:szCs w:val="18"/>
              </w:rPr>
              <w:t>1</w:t>
            </w:r>
            <w:r w:rsidR="00E227D8" w:rsidRPr="001509B9">
              <w:rPr>
                <w:sz w:val="18"/>
                <w:szCs w:val="18"/>
              </w:rPr>
              <w:t xml:space="preserve"> </w:t>
            </w:r>
            <w:r w:rsidRPr="001509B9">
              <w:rPr>
                <w:sz w:val="18"/>
                <w:szCs w:val="18"/>
              </w:rPr>
              <w:t>7</w:t>
            </w:r>
            <w:r w:rsidR="00691398" w:rsidRPr="001509B9">
              <w:rPr>
                <w:sz w:val="18"/>
                <w:szCs w:val="18"/>
              </w:rPr>
              <w:t>27</w:t>
            </w:r>
          </w:p>
        </w:tc>
      </w:tr>
      <w:tr w:rsidR="00F062F1" w:rsidRPr="001509B9" w14:paraId="2037688F" w14:textId="77777777" w:rsidTr="00F10AA1">
        <w:trPr>
          <w:trHeight w:val="447"/>
          <w:jc w:val="center"/>
        </w:trPr>
        <w:tc>
          <w:tcPr>
            <w:tcW w:w="5708" w:type="dxa"/>
            <w:shd w:val="clear" w:color="auto" w:fill="auto"/>
            <w:hideMark/>
          </w:tcPr>
          <w:p w14:paraId="0B59D253" w14:textId="77777777" w:rsidR="00173D63" w:rsidRPr="001509B9" w:rsidRDefault="00173D63" w:rsidP="00173D63">
            <w:pPr>
              <w:rPr>
                <w:sz w:val="18"/>
                <w:szCs w:val="18"/>
              </w:rPr>
            </w:pPr>
            <w:r w:rsidRPr="001509B9">
              <w:rPr>
                <w:sz w:val="18"/>
                <w:szCs w:val="18"/>
              </w:rPr>
              <w:t>7. Подобряване на материално-техническата база в съответствие с Директива на Съвета на ЕС 2013/33/ЕС от 26 юни 2013 г. и осигуряване на капацитет за настаняване</w:t>
            </w:r>
          </w:p>
        </w:tc>
        <w:tc>
          <w:tcPr>
            <w:tcW w:w="1080" w:type="dxa"/>
            <w:shd w:val="clear" w:color="auto" w:fill="auto"/>
            <w:vAlign w:val="center"/>
            <w:hideMark/>
          </w:tcPr>
          <w:p w14:paraId="0FE66DEE" w14:textId="77777777" w:rsidR="00173D63" w:rsidRPr="001509B9" w:rsidRDefault="00173D63" w:rsidP="00173D63">
            <w:pPr>
              <w:jc w:val="center"/>
              <w:rPr>
                <w:sz w:val="18"/>
                <w:szCs w:val="18"/>
              </w:rPr>
            </w:pPr>
            <w:r w:rsidRPr="001509B9">
              <w:rPr>
                <w:sz w:val="18"/>
                <w:szCs w:val="18"/>
              </w:rPr>
              <w:t>брой</w:t>
            </w:r>
          </w:p>
        </w:tc>
        <w:tc>
          <w:tcPr>
            <w:tcW w:w="1080" w:type="dxa"/>
            <w:shd w:val="clear" w:color="auto" w:fill="auto"/>
            <w:hideMark/>
          </w:tcPr>
          <w:p w14:paraId="16140AA5" w14:textId="77777777" w:rsidR="00173D63" w:rsidRPr="001509B9" w:rsidRDefault="00173D63" w:rsidP="00173D63">
            <w:pPr>
              <w:jc w:val="right"/>
              <w:rPr>
                <w:sz w:val="18"/>
                <w:szCs w:val="18"/>
              </w:rPr>
            </w:pPr>
            <w:r w:rsidRPr="001509B9">
              <w:rPr>
                <w:sz w:val="18"/>
                <w:szCs w:val="18"/>
              </w:rPr>
              <w:t>5 160</w:t>
            </w:r>
          </w:p>
        </w:tc>
        <w:tc>
          <w:tcPr>
            <w:tcW w:w="1341" w:type="dxa"/>
            <w:shd w:val="clear" w:color="auto" w:fill="auto"/>
            <w:hideMark/>
          </w:tcPr>
          <w:p w14:paraId="19E924D9" w14:textId="05855F28" w:rsidR="00173D63" w:rsidRPr="001509B9" w:rsidRDefault="00E227D8" w:rsidP="00173D63">
            <w:pPr>
              <w:jc w:val="right"/>
              <w:rPr>
                <w:sz w:val="18"/>
                <w:szCs w:val="18"/>
              </w:rPr>
            </w:pPr>
            <w:r w:rsidRPr="001509B9">
              <w:rPr>
                <w:sz w:val="18"/>
                <w:szCs w:val="18"/>
              </w:rPr>
              <w:t>3</w:t>
            </w:r>
            <w:r w:rsidR="00F10AA1" w:rsidRPr="001509B9">
              <w:rPr>
                <w:sz w:val="18"/>
                <w:szCs w:val="18"/>
              </w:rPr>
              <w:t> </w:t>
            </w:r>
            <w:r w:rsidRPr="001509B9">
              <w:rPr>
                <w:sz w:val="18"/>
                <w:szCs w:val="18"/>
              </w:rPr>
              <w:t>225</w:t>
            </w:r>
            <w:r w:rsidR="00F10AA1" w:rsidRPr="001509B9">
              <w:rPr>
                <w:sz w:val="18"/>
                <w:szCs w:val="18"/>
              </w:rPr>
              <w:t xml:space="preserve"> места,</w:t>
            </w:r>
            <w:r w:rsidR="00F10AA1" w:rsidRPr="001509B9">
              <w:rPr>
                <w:sz w:val="18"/>
                <w:szCs w:val="18"/>
              </w:rPr>
              <w:br/>
              <w:t>563 настанени лица</w:t>
            </w:r>
          </w:p>
        </w:tc>
      </w:tr>
      <w:tr w:rsidR="00F062F1" w:rsidRPr="001509B9" w14:paraId="57E225DE" w14:textId="77777777" w:rsidTr="00F10AA1">
        <w:trPr>
          <w:trHeight w:val="332"/>
          <w:jc w:val="center"/>
        </w:trPr>
        <w:tc>
          <w:tcPr>
            <w:tcW w:w="5708" w:type="dxa"/>
            <w:shd w:val="clear" w:color="auto" w:fill="auto"/>
            <w:hideMark/>
          </w:tcPr>
          <w:p w14:paraId="08B2F39E" w14:textId="77777777" w:rsidR="00173D63" w:rsidRPr="001509B9" w:rsidRDefault="00173D63" w:rsidP="00173D63">
            <w:pPr>
              <w:rPr>
                <w:sz w:val="18"/>
                <w:szCs w:val="18"/>
              </w:rPr>
            </w:pPr>
            <w:r w:rsidRPr="001509B9">
              <w:rPr>
                <w:sz w:val="18"/>
                <w:szCs w:val="18"/>
              </w:rPr>
              <w:t>8. Експерти, участие в заседания на комитети и работни групи към Европейската комисия и Съвета на Европейския съюз</w:t>
            </w:r>
          </w:p>
        </w:tc>
        <w:tc>
          <w:tcPr>
            <w:tcW w:w="1080" w:type="dxa"/>
            <w:shd w:val="clear" w:color="auto" w:fill="auto"/>
            <w:vAlign w:val="center"/>
            <w:hideMark/>
          </w:tcPr>
          <w:p w14:paraId="5438BAAE" w14:textId="77777777" w:rsidR="00173D63" w:rsidRPr="001509B9" w:rsidRDefault="00173D63" w:rsidP="00173D63">
            <w:pPr>
              <w:jc w:val="center"/>
              <w:rPr>
                <w:sz w:val="18"/>
                <w:szCs w:val="18"/>
              </w:rPr>
            </w:pPr>
            <w:r w:rsidRPr="001509B9">
              <w:rPr>
                <w:sz w:val="18"/>
                <w:szCs w:val="18"/>
              </w:rPr>
              <w:t>брой</w:t>
            </w:r>
          </w:p>
        </w:tc>
        <w:tc>
          <w:tcPr>
            <w:tcW w:w="1080" w:type="dxa"/>
            <w:shd w:val="clear" w:color="auto" w:fill="auto"/>
            <w:hideMark/>
          </w:tcPr>
          <w:p w14:paraId="1F5E8D97" w14:textId="77777777" w:rsidR="00173D63" w:rsidRPr="001509B9" w:rsidRDefault="00173D63" w:rsidP="00173D63">
            <w:pPr>
              <w:jc w:val="right"/>
              <w:rPr>
                <w:sz w:val="18"/>
                <w:szCs w:val="18"/>
              </w:rPr>
            </w:pPr>
            <w:r w:rsidRPr="001509B9">
              <w:rPr>
                <w:sz w:val="18"/>
                <w:szCs w:val="18"/>
              </w:rPr>
              <w:t>30</w:t>
            </w:r>
          </w:p>
        </w:tc>
        <w:tc>
          <w:tcPr>
            <w:tcW w:w="1341" w:type="dxa"/>
            <w:shd w:val="clear" w:color="auto" w:fill="auto"/>
            <w:hideMark/>
          </w:tcPr>
          <w:p w14:paraId="096A8E4F" w14:textId="561A47C6" w:rsidR="00173D63" w:rsidRPr="001509B9" w:rsidRDefault="00F10AA1" w:rsidP="00173D63">
            <w:pPr>
              <w:jc w:val="right"/>
              <w:rPr>
                <w:sz w:val="18"/>
                <w:szCs w:val="18"/>
              </w:rPr>
            </w:pPr>
            <w:r w:rsidRPr="001509B9">
              <w:rPr>
                <w:sz w:val="18"/>
                <w:szCs w:val="18"/>
              </w:rPr>
              <w:t>9</w:t>
            </w:r>
          </w:p>
        </w:tc>
      </w:tr>
      <w:tr w:rsidR="00173D63" w:rsidRPr="001509B9" w14:paraId="1346A78F" w14:textId="77777777" w:rsidTr="00F10AA1">
        <w:trPr>
          <w:trHeight w:val="271"/>
          <w:jc w:val="center"/>
        </w:trPr>
        <w:tc>
          <w:tcPr>
            <w:tcW w:w="5708" w:type="dxa"/>
            <w:shd w:val="clear" w:color="auto" w:fill="auto"/>
            <w:hideMark/>
          </w:tcPr>
          <w:p w14:paraId="19D3A632" w14:textId="38885682" w:rsidR="00173D63" w:rsidRPr="001509B9" w:rsidRDefault="00173D63" w:rsidP="00951B37">
            <w:pPr>
              <w:rPr>
                <w:sz w:val="18"/>
                <w:szCs w:val="18"/>
              </w:rPr>
            </w:pPr>
            <w:r w:rsidRPr="001509B9">
              <w:rPr>
                <w:sz w:val="18"/>
                <w:szCs w:val="18"/>
              </w:rPr>
              <w:t xml:space="preserve">9. Обучени служители по модули от учебния план на </w:t>
            </w:r>
            <w:r w:rsidR="00951B37" w:rsidRPr="001509B9">
              <w:rPr>
                <w:sz w:val="18"/>
                <w:szCs w:val="18"/>
              </w:rPr>
              <w:t>Агенция на Европейския съюз в областта</w:t>
            </w:r>
            <w:r w:rsidRPr="001509B9">
              <w:rPr>
                <w:sz w:val="18"/>
                <w:szCs w:val="18"/>
              </w:rPr>
              <w:t xml:space="preserve"> на убежището</w:t>
            </w:r>
            <w:r w:rsidR="00CF3422" w:rsidRPr="001509B9">
              <w:rPr>
                <w:sz w:val="18"/>
                <w:szCs w:val="18"/>
              </w:rPr>
              <w:t xml:space="preserve"> </w:t>
            </w:r>
            <w:r w:rsidRPr="001509B9">
              <w:rPr>
                <w:sz w:val="18"/>
                <w:szCs w:val="18"/>
              </w:rPr>
              <w:t>–</w:t>
            </w:r>
            <w:r w:rsidR="00CF3422" w:rsidRPr="001509B9">
              <w:rPr>
                <w:sz w:val="18"/>
                <w:szCs w:val="18"/>
              </w:rPr>
              <w:t xml:space="preserve"> </w:t>
            </w:r>
            <w:r w:rsidRPr="001509B9">
              <w:rPr>
                <w:sz w:val="18"/>
                <w:szCs w:val="18"/>
              </w:rPr>
              <w:t>АЕСУ/ЕСПОУ/</w:t>
            </w:r>
          </w:p>
        </w:tc>
        <w:tc>
          <w:tcPr>
            <w:tcW w:w="1080" w:type="dxa"/>
            <w:shd w:val="clear" w:color="auto" w:fill="auto"/>
            <w:vAlign w:val="center"/>
            <w:hideMark/>
          </w:tcPr>
          <w:p w14:paraId="679B78E5" w14:textId="77777777" w:rsidR="00173D63" w:rsidRPr="001509B9" w:rsidRDefault="00173D63" w:rsidP="00173D63">
            <w:pPr>
              <w:jc w:val="center"/>
              <w:rPr>
                <w:sz w:val="18"/>
                <w:szCs w:val="18"/>
              </w:rPr>
            </w:pPr>
            <w:r w:rsidRPr="001509B9">
              <w:rPr>
                <w:sz w:val="18"/>
                <w:szCs w:val="18"/>
              </w:rPr>
              <w:t>брой</w:t>
            </w:r>
          </w:p>
        </w:tc>
        <w:tc>
          <w:tcPr>
            <w:tcW w:w="1080" w:type="dxa"/>
            <w:shd w:val="clear" w:color="auto" w:fill="auto"/>
            <w:hideMark/>
          </w:tcPr>
          <w:p w14:paraId="5279D3E3" w14:textId="20951CA1" w:rsidR="00173D63" w:rsidRPr="001509B9" w:rsidRDefault="00173D63" w:rsidP="00F10AA1">
            <w:pPr>
              <w:jc w:val="right"/>
              <w:rPr>
                <w:sz w:val="18"/>
                <w:szCs w:val="18"/>
              </w:rPr>
            </w:pPr>
            <w:r w:rsidRPr="001509B9">
              <w:rPr>
                <w:sz w:val="18"/>
                <w:szCs w:val="18"/>
              </w:rPr>
              <w:t>1</w:t>
            </w:r>
            <w:r w:rsidR="00F10AA1" w:rsidRPr="001509B9">
              <w:rPr>
                <w:sz w:val="18"/>
                <w:szCs w:val="18"/>
              </w:rPr>
              <w:t>3</w:t>
            </w:r>
          </w:p>
        </w:tc>
        <w:tc>
          <w:tcPr>
            <w:tcW w:w="1341" w:type="dxa"/>
            <w:shd w:val="clear" w:color="auto" w:fill="auto"/>
            <w:hideMark/>
          </w:tcPr>
          <w:p w14:paraId="26C29E7B" w14:textId="4DCD86DF" w:rsidR="00173D63" w:rsidRPr="001509B9" w:rsidRDefault="00F10AA1" w:rsidP="00173D63">
            <w:pPr>
              <w:jc w:val="right"/>
              <w:rPr>
                <w:sz w:val="18"/>
                <w:szCs w:val="18"/>
              </w:rPr>
            </w:pPr>
            <w:r w:rsidRPr="001509B9">
              <w:rPr>
                <w:sz w:val="18"/>
                <w:szCs w:val="18"/>
              </w:rPr>
              <w:t>0</w:t>
            </w:r>
          </w:p>
        </w:tc>
      </w:tr>
      <w:tr w:rsidR="00173D63" w:rsidRPr="001509B9" w14:paraId="75E680A1" w14:textId="77777777" w:rsidTr="00F10AA1">
        <w:trPr>
          <w:trHeight w:val="305"/>
          <w:jc w:val="center"/>
        </w:trPr>
        <w:tc>
          <w:tcPr>
            <w:tcW w:w="5708" w:type="dxa"/>
            <w:shd w:val="clear" w:color="auto" w:fill="auto"/>
            <w:hideMark/>
          </w:tcPr>
          <w:p w14:paraId="1896C862" w14:textId="77777777" w:rsidR="00173D63" w:rsidRPr="001509B9" w:rsidRDefault="00173D63" w:rsidP="00173D63">
            <w:pPr>
              <w:rPr>
                <w:sz w:val="18"/>
                <w:szCs w:val="18"/>
              </w:rPr>
            </w:pPr>
            <w:r w:rsidRPr="001509B9">
              <w:rPr>
                <w:sz w:val="18"/>
                <w:szCs w:val="18"/>
              </w:rPr>
              <w:lastRenderedPageBreak/>
              <w:t>10. Учебни посещения в други държави членки по линия на АЕСУ /ЕСПОУ/ с цел обмен на опит и добри практики</w:t>
            </w:r>
          </w:p>
        </w:tc>
        <w:tc>
          <w:tcPr>
            <w:tcW w:w="1080" w:type="dxa"/>
            <w:shd w:val="clear" w:color="auto" w:fill="auto"/>
            <w:vAlign w:val="center"/>
            <w:hideMark/>
          </w:tcPr>
          <w:p w14:paraId="6B920A40" w14:textId="77777777" w:rsidR="00173D63" w:rsidRPr="001509B9" w:rsidRDefault="00173D63" w:rsidP="00173D63">
            <w:pPr>
              <w:jc w:val="center"/>
              <w:rPr>
                <w:sz w:val="18"/>
                <w:szCs w:val="18"/>
              </w:rPr>
            </w:pPr>
            <w:r w:rsidRPr="001509B9">
              <w:rPr>
                <w:sz w:val="18"/>
                <w:szCs w:val="18"/>
              </w:rPr>
              <w:t>брой</w:t>
            </w:r>
          </w:p>
        </w:tc>
        <w:tc>
          <w:tcPr>
            <w:tcW w:w="1080" w:type="dxa"/>
            <w:shd w:val="clear" w:color="auto" w:fill="auto"/>
            <w:hideMark/>
          </w:tcPr>
          <w:p w14:paraId="5CA0315C" w14:textId="77777777" w:rsidR="00173D63" w:rsidRPr="001509B9" w:rsidRDefault="00F062F1" w:rsidP="00173D63">
            <w:pPr>
              <w:jc w:val="right"/>
              <w:rPr>
                <w:sz w:val="18"/>
                <w:szCs w:val="18"/>
              </w:rPr>
            </w:pPr>
            <w:r w:rsidRPr="001509B9">
              <w:rPr>
                <w:sz w:val="18"/>
                <w:szCs w:val="18"/>
              </w:rPr>
              <w:t>8</w:t>
            </w:r>
          </w:p>
        </w:tc>
        <w:tc>
          <w:tcPr>
            <w:tcW w:w="1341" w:type="dxa"/>
            <w:shd w:val="clear" w:color="auto" w:fill="auto"/>
            <w:hideMark/>
          </w:tcPr>
          <w:p w14:paraId="089276DC" w14:textId="77777777" w:rsidR="00173D63" w:rsidRPr="001509B9" w:rsidRDefault="00F062F1" w:rsidP="00173D63">
            <w:pPr>
              <w:jc w:val="right"/>
              <w:rPr>
                <w:sz w:val="18"/>
                <w:szCs w:val="18"/>
              </w:rPr>
            </w:pPr>
            <w:r w:rsidRPr="001509B9">
              <w:rPr>
                <w:sz w:val="18"/>
                <w:szCs w:val="18"/>
              </w:rPr>
              <w:t>0</w:t>
            </w:r>
          </w:p>
        </w:tc>
      </w:tr>
      <w:tr w:rsidR="00B07983" w:rsidRPr="001509B9" w14:paraId="0693CC96" w14:textId="77777777" w:rsidTr="00F10AA1">
        <w:trPr>
          <w:trHeight w:val="340"/>
          <w:jc w:val="center"/>
        </w:trPr>
        <w:tc>
          <w:tcPr>
            <w:tcW w:w="5708" w:type="dxa"/>
            <w:shd w:val="clear" w:color="auto" w:fill="auto"/>
            <w:hideMark/>
          </w:tcPr>
          <w:p w14:paraId="26E18EDC" w14:textId="06BD7B1D" w:rsidR="00173D63" w:rsidRPr="001509B9" w:rsidRDefault="00173D63" w:rsidP="00173D63">
            <w:pPr>
              <w:rPr>
                <w:sz w:val="18"/>
                <w:szCs w:val="18"/>
              </w:rPr>
            </w:pPr>
            <w:r w:rsidRPr="001509B9">
              <w:rPr>
                <w:sz w:val="18"/>
                <w:szCs w:val="18"/>
              </w:rPr>
              <w:t>11. Участия в срещи по линия на АЕСУ с цел обмен на информация и експертиз</w:t>
            </w:r>
            <w:r w:rsidR="00951B37" w:rsidRPr="001509B9">
              <w:rPr>
                <w:sz w:val="18"/>
                <w:szCs w:val="18"/>
              </w:rPr>
              <w:t xml:space="preserve">а между държавите членки и/или </w:t>
            </w:r>
            <w:r w:rsidRPr="001509B9">
              <w:rPr>
                <w:sz w:val="18"/>
                <w:szCs w:val="18"/>
              </w:rPr>
              <w:t>подпомагане на дейността на ЕСПОУ</w:t>
            </w:r>
            <w:r w:rsidR="00CF3422" w:rsidRPr="001509B9">
              <w:rPr>
                <w:sz w:val="18"/>
                <w:szCs w:val="18"/>
              </w:rPr>
              <w:t xml:space="preserve"> /ЕСПОУ/</w:t>
            </w:r>
          </w:p>
        </w:tc>
        <w:tc>
          <w:tcPr>
            <w:tcW w:w="1080" w:type="dxa"/>
            <w:shd w:val="clear" w:color="auto" w:fill="auto"/>
            <w:vAlign w:val="center"/>
            <w:hideMark/>
          </w:tcPr>
          <w:p w14:paraId="363256D4" w14:textId="77777777" w:rsidR="00173D63" w:rsidRPr="001509B9" w:rsidRDefault="00173D63" w:rsidP="00173D63">
            <w:pPr>
              <w:jc w:val="center"/>
              <w:rPr>
                <w:sz w:val="18"/>
                <w:szCs w:val="18"/>
              </w:rPr>
            </w:pPr>
            <w:r w:rsidRPr="001509B9">
              <w:rPr>
                <w:sz w:val="18"/>
                <w:szCs w:val="18"/>
              </w:rPr>
              <w:t>брой</w:t>
            </w:r>
          </w:p>
        </w:tc>
        <w:tc>
          <w:tcPr>
            <w:tcW w:w="1080" w:type="dxa"/>
            <w:shd w:val="clear" w:color="auto" w:fill="auto"/>
            <w:hideMark/>
          </w:tcPr>
          <w:p w14:paraId="4439D2BD" w14:textId="77777777" w:rsidR="00173D63" w:rsidRPr="001509B9" w:rsidRDefault="00173D63" w:rsidP="00173D63">
            <w:pPr>
              <w:jc w:val="right"/>
              <w:rPr>
                <w:sz w:val="18"/>
                <w:szCs w:val="18"/>
              </w:rPr>
            </w:pPr>
            <w:r w:rsidRPr="001509B9">
              <w:rPr>
                <w:sz w:val="18"/>
                <w:szCs w:val="18"/>
              </w:rPr>
              <w:t>30</w:t>
            </w:r>
          </w:p>
        </w:tc>
        <w:tc>
          <w:tcPr>
            <w:tcW w:w="1341" w:type="dxa"/>
            <w:shd w:val="clear" w:color="auto" w:fill="auto"/>
            <w:hideMark/>
          </w:tcPr>
          <w:p w14:paraId="795680B0" w14:textId="22E97961" w:rsidR="00173D63" w:rsidRPr="001509B9" w:rsidRDefault="00F10AA1" w:rsidP="00173D63">
            <w:pPr>
              <w:jc w:val="right"/>
              <w:rPr>
                <w:sz w:val="18"/>
                <w:szCs w:val="18"/>
              </w:rPr>
            </w:pPr>
            <w:r w:rsidRPr="001509B9">
              <w:rPr>
                <w:sz w:val="18"/>
                <w:szCs w:val="18"/>
              </w:rPr>
              <w:t>5</w:t>
            </w:r>
          </w:p>
        </w:tc>
      </w:tr>
      <w:tr w:rsidR="00F062F1" w:rsidRPr="001509B9" w14:paraId="22E1326C" w14:textId="77777777" w:rsidTr="00F10AA1">
        <w:trPr>
          <w:trHeight w:val="348"/>
          <w:jc w:val="center"/>
        </w:trPr>
        <w:tc>
          <w:tcPr>
            <w:tcW w:w="5708" w:type="dxa"/>
            <w:shd w:val="clear" w:color="auto" w:fill="auto"/>
            <w:hideMark/>
          </w:tcPr>
          <w:p w14:paraId="6F1C58A7" w14:textId="77777777" w:rsidR="00173D63" w:rsidRPr="001509B9" w:rsidRDefault="00173D63" w:rsidP="00173D63">
            <w:pPr>
              <w:rPr>
                <w:sz w:val="18"/>
                <w:szCs w:val="18"/>
              </w:rPr>
            </w:pPr>
            <w:r w:rsidRPr="001509B9">
              <w:rPr>
                <w:sz w:val="18"/>
                <w:szCs w:val="18"/>
              </w:rPr>
              <w:t xml:space="preserve">12. Други </w:t>
            </w:r>
            <w:r w:rsidRPr="001509B9">
              <w:rPr>
                <w:sz w:val="18"/>
                <w:szCs w:val="18"/>
                <w:lang w:val="en-US"/>
              </w:rPr>
              <w:t>Ad hoc</w:t>
            </w:r>
            <w:r w:rsidRPr="001509B9">
              <w:rPr>
                <w:sz w:val="18"/>
                <w:szCs w:val="18"/>
              </w:rPr>
              <w:t xml:space="preserve"> срещи и участия по линия на международни организации, двустранно и многостранно сътрудничество</w:t>
            </w:r>
          </w:p>
        </w:tc>
        <w:tc>
          <w:tcPr>
            <w:tcW w:w="1080" w:type="dxa"/>
            <w:shd w:val="clear" w:color="auto" w:fill="auto"/>
            <w:vAlign w:val="center"/>
            <w:hideMark/>
          </w:tcPr>
          <w:p w14:paraId="2D81E76B" w14:textId="77777777" w:rsidR="00173D63" w:rsidRPr="001509B9" w:rsidRDefault="00173D63" w:rsidP="00173D63">
            <w:pPr>
              <w:jc w:val="center"/>
              <w:rPr>
                <w:sz w:val="18"/>
                <w:szCs w:val="18"/>
              </w:rPr>
            </w:pPr>
            <w:r w:rsidRPr="001509B9">
              <w:rPr>
                <w:sz w:val="18"/>
                <w:szCs w:val="18"/>
              </w:rPr>
              <w:t>брой</w:t>
            </w:r>
          </w:p>
        </w:tc>
        <w:tc>
          <w:tcPr>
            <w:tcW w:w="1080" w:type="dxa"/>
            <w:shd w:val="clear" w:color="auto" w:fill="auto"/>
            <w:hideMark/>
          </w:tcPr>
          <w:p w14:paraId="6B97CB4F" w14:textId="77777777" w:rsidR="00173D63" w:rsidRPr="001509B9" w:rsidRDefault="00173D63" w:rsidP="00F062F1">
            <w:pPr>
              <w:jc w:val="right"/>
              <w:rPr>
                <w:sz w:val="18"/>
                <w:szCs w:val="18"/>
              </w:rPr>
            </w:pPr>
            <w:r w:rsidRPr="001509B9">
              <w:rPr>
                <w:sz w:val="18"/>
                <w:szCs w:val="18"/>
              </w:rPr>
              <w:t>1</w:t>
            </w:r>
            <w:r w:rsidR="00F062F1" w:rsidRPr="001509B9">
              <w:rPr>
                <w:sz w:val="18"/>
                <w:szCs w:val="18"/>
              </w:rPr>
              <w:t>5</w:t>
            </w:r>
          </w:p>
        </w:tc>
        <w:tc>
          <w:tcPr>
            <w:tcW w:w="1341" w:type="dxa"/>
            <w:shd w:val="clear" w:color="auto" w:fill="auto"/>
            <w:hideMark/>
          </w:tcPr>
          <w:p w14:paraId="395F94EE" w14:textId="1F4F1513" w:rsidR="00173D63" w:rsidRPr="001509B9" w:rsidRDefault="00F10AA1" w:rsidP="00173D63">
            <w:pPr>
              <w:jc w:val="right"/>
              <w:rPr>
                <w:sz w:val="18"/>
                <w:szCs w:val="18"/>
              </w:rPr>
            </w:pPr>
            <w:r w:rsidRPr="001509B9">
              <w:rPr>
                <w:sz w:val="18"/>
                <w:szCs w:val="18"/>
              </w:rPr>
              <w:t>2</w:t>
            </w:r>
          </w:p>
        </w:tc>
      </w:tr>
    </w:tbl>
    <w:p w14:paraId="5495D116" w14:textId="77777777" w:rsidR="009E6306" w:rsidRPr="009E6306" w:rsidRDefault="009E6306" w:rsidP="00CA7DA3">
      <w:pPr>
        <w:shd w:val="clear" w:color="auto" w:fill="FFFFFF" w:themeFill="background1"/>
        <w:spacing w:before="120"/>
        <w:ind w:firstLine="426"/>
        <w:jc w:val="both"/>
        <w:rPr>
          <w:sz w:val="22"/>
          <w:szCs w:val="22"/>
        </w:rPr>
      </w:pPr>
      <w:r w:rsidRPr="009E6306">
        <w:rPr>
          <w:sz w:val="22"/>
          <w:szCs w:val="22"/>
        </w:rPr>
        <w:t>За периода от 1 януари до 30 юни 2025 г. в териториалните поделения на ДАБ при МС са подадени 1 742 молби за регистриране на лица търсещи международна закрила. Годишната целева стойност на показателя за изпълнение е 14 500 лица, като заложената прогнозна стойност е изчислена въз основа на статистически данни за броя на подадените молби за международна закрила през предходните няколко години, когато броят им е варирал.</w:t>
      </w:r>
    </w:p>
    <w:p w14:paraId="12831515" w14:textId="77777777" w:rsidR="009E6306" w:rsidRPr="009E6306" w:rsidRDefault="009E6306" w:rsidP="00CA7DA3">
      <w:pPr>
        <w:shd w:val="clear" w:color="auto" w:fill="FFFFFF" w:themeFill="background1"/>
        <w:ind w:firstLine="425"/>
        <w:jc w:val="both"/>
        <w:rPr>
          <w:sz w:val="22"/>
          <w:szCs w:val="22"/>
        </w:rPr>
      </w:pPr>
      <w:r w:rsidRPr="009E6306">
        <w:rPr>
          <w:sz w:val="22"/>
          <w:szCs w:val="22"/>
        </w:rPr>
        <w:t xml:space="preserve">Динамиката на миграционните потоци зависи от много фактори, преобладаващата част от които външни и върху които агенцията няма възможност пряко да влияе. </w:t>
      </w:r>
    </w:p>
    <w:p w14:paraId="49CC832C" w14:textId="77777777" w:rsidR="009E6306" w:rsidRPr="009E6306" w:rsidRDefault="009E6306" w:rsidP="00CA7DA3">
      <w:pPr>
        <w:shd w:val="clear" w:color="auto" w:fill="FFFFFF" w:themeFill="background1"/>
        <w:ind w:firstLine="425"/>
        <w:jc w:val="both"/>
        <w:rPr>
          <w:sz w:val="22"/>
          <w:szCs w:val="22"/>
        </w:rPr>
      </w:pPr>
      <w:r w:rsidRPr="009E6306">
        <w:rPr>
          <w:sz w:val="22"/>
          <w:szCs w:val="22"/>
        </w:rPr>
        <w:t xml:space="preserve">Горепосоченият подход е използван и при определянето на целевите годишни стойности на показателите лица с предоставен статут на бежанец, лица с предоставен хуманитарен статут, откази за предоставяне на международна закрила и лица, на които производството е прекратено. </w:t>
      </w:r>
    </w:p>
    <w:p w14:paraId="45D0FFD5" w14:textId="3FE6F892" w:rsidR="009E6306" w:rsidRPr="009E6306" w:rsidRDefault="00755545" w:rsidP="00CA7DA3">
      <w:pPr>
        <w:shd w:val="clear" w:color="auto" w:fill="FFFFFF" w:themeFill="background1"/>
        <w:ind w:firstLine="425"/>
        <w:jc w:val="both"/>
        <w:rPr>
          <w:sz w:val="22"/>
          <w:szCs w:val="22"/>
        </w:rPr>
      </w:pPr>
      <w:r>
        <w:rPr>
          <w:sz w:val="22"/>
          <w:szCs w:val="22"/>
        </w:rPr>
        <w:t>Към 30.06.</w:t>
      </w:r>
      <w:r w:rsidR="009E6306" w:rsidRPr="009E6306">
        <w:rPr>
          <w:sz w:val="22"/>
          <w:szCs w:val="22"/>
        </w:rPr>
        <w:t xml:space="preserve">2025 г. е предоставен статут на бежанец на 46 лица, на 621 лица е предоставен хуманитарен статут, на 2 228 лица е отказано предоставянето на закрила, а на 1 727 лица производството е прекратено. </w:t>
      </w:r>
    </w:p>
    <w:p w14:paraId="7DF367D7" w14:textId="77777777" w:rsidR="009E6306" w:rsidRPr="009E6306" w:rsidRDefault="009E6306" w:rsidP="00CA7DA3">
      <w:pPr>
        <w:shd w:val="clear" w:color="auto" w:fill="FFFFFF" w:themeFill="background1"/>
        <w:ind w:firstLine="425"/>
        <w:jc w:val="both"/>
        <w:rPr>
          <w:sz w:val="22"/>
          <w:szCs w:val="22"/>
        </w:rPr>
      </w:pPr>
      <w:r w:rsidRPr="009E6306">
        <w:rPr>
          <w:sz w:val="22"/>
          <w:szCs w:val="22"/>
        </w:rPr>
        <w:t xml:space="preserve">На търсещите международна закрила лица се предоставят услуги по социално и здравно подпомагане, оказване на психологическа помощ и посредничество на пазара на труда. През 2025 г. за предоставянето на тези услуги са ангажирани общо 20 броя служители на ДАБ при МС – социални работници, психолози, здравни работници. </w:t>
      </w:r>
    </w:p>
    <w:p w14:paraId="7DE39EA9" w14:textId="3B986E39" w:rsidR="009E6306" w:rsidRPr="009E6306" w:rsidRDefault="009E6306" w:rsidP="00CA7DA3">
      <w:pPr>
        <w:shd w:val="clear" w:color="auto" w:fill="FFFFFF" w:themeFill="background1"/>
        <w:ind w:firstLine="425"/>
        <w:jc w:val="both"/>
        <w:rPr>
          <w:sz w:val="22"/>
          <w:szCs w:val="22"/>
        </w:rPr>
      </w:pPr>
      <w:r w:rsidRPr="009E6306">
        <w:rPr>
          <w:sz w:val="22"/>
          <w:szCs w:val="22"/>
        </w:rPr>
        <w:t>През 2025 г., разходите за издръжка на центровете (осигуряване на храна, охрана, преводачески услуги, текуща поддръжка и покриване на режийни разходи), както и осигуряване на допълнителен персонал д</w:t>
      </w:r>
      <w:r w:rsidR="00755545">
        <w:rPr>
          <w:sz w:val="22"/>
          <w:szCs w:val="22"/>
        </w:rPr>
        <w:t xml:space="preserve">о 30.06.2025 г. се осигуряваха </w:t>
      </w:r>
      <w:r w:rsidRPr="009E6306">
        <w:rPr>
          <w:sz w:val="22"/>
          <w:szCs w:val="22"/>
        </w:rPr>
        <w:t>по линия на грантови споразумения и договори за безвъзмездна финансова помощ на фонд „Убежище, миграция и интеграция“ 2021</w:t>
      </w:r>
      <w:r w:rsidR="00755545">
        <w:rPr>
          <w:sz w:val="22"/>
          <w:szCs w:val="22"/>
        </w:rPr>
        <w:t xml:space="preserve"> – </w:t>
      </w:r>
      <w:r w:rsidRPr="009E6306">
        <w:rPr>
          <w:sz w:val="22"/>
          <w:szCs w:val="22"/>
        </w:rPr>
        <w:t>2027 г. (ФУМИ), Спешна помощ и Национални програми.</w:t>
      </w:r>
    </w:p>
    <w:p w14:paraId="204AA777" w14:textId="0D449D8B" w:rsidR="009E6306" w:rsidRPr="009E6306" w:rsidRDefault="009E6306" w:rsidP="00CA7DA3">
      <w:pPr>
        <w:shd w:val="clear" w:color="auto" w:fill="FFFFFF" w:themeFill="background1"/>
        <w:ind w:firstLine="425"/>
        <w:jc w:val="both"/>
        <w:rPr>
          <w:sz w:val="22"/>
          <w:szCs w:val="22"/>
        </w:rPr>
      </w:pPr>
      <w:r w:rsidRPr="009E6306">
        <w:rPr>
          <w:sz w:val="22"/>
          <w:szCs w:val="22"/>
        </w:rPr>
        <w:t>ДАБ при МС развива международна дейност чрез участие в заседания на комитети и работни групи в различен формат по линия на Европейската комисия и Съвета на ЕС. Поддържат се контакти и се осъществява двустранно и многостранно сътрудничество с различни международни партньорски организации.</w:t>
      </w:r>
    </w:p>
    <w:p w14:paraId="6B0753A0" w14:textId="24AFAEC5" w:rsidR="009E6306" w:rsidRPr="009E6306" w:rsidRDefault="009E6306" w:rsidP="00CA7DA3">
      <w:pPr>
        <w:shd w:val="clear" w:color="auto" w:fill="FFFFFF" w:themeFill="background1"/>
        <w:ind w:firstLine="425"/>
        <w:jc w:val="both"/>
        <w:rPr>
          <w:sz w:val="22"/>
          <w:szCs w:val="22"/>
        </w:rPr>
      </w:pPr>
      <w:r w:rsidRPr="009E6306">
        <w:rPr>
          <w:sz w:val="22"/>
          <w:szCs w:val="22"/>
        </w:rPr>
        <w:t>През 2025 г., служители на ДАБ при МС участваха в 6 заседания на работна група ,,Убежище“, по линия на Европе</w:t>
      </w:r>
      <w:r>
        <w:rPr>
          <w:sz w:val="22"/>
          <w:szCs w:val="22"/>
        </w:rPr>
        <w:t xml:space="preserve">йската комисия и Съвета на ЕС. </w:t>
      </w:r>
    </w:p>
    <w:p w14:paraId="34582969" w14:textId="13200156" w:rsidR="00196F36" w:rsidRPr="009E6306" w:rsidRDefault="009E6306" w:rsidP="00CA7DA3">
      <w:pPr>
        <w:shd w:val="clear" w:color="auto" w:fill="FFFFFF" w:themeFill="background1"/>
        <w:ind w:firstLine="425"/>
        <w:jc w:val="both"/>
        <w:rPr>
          <w:sz w:val="22"/>
          <w:szCs w:val="22"/>
        </w:rPr>
      </w:pPr>
      <w:r w:rsidRPr="009E6306">
        <w:rPr>
          <w:sz w:val="22"/>
          <w:szCs w:val="22"/>
        </w:rPr>
        <w:t xml:space="preserve">В раздел „Други </w:t>
      </w:r>
      <w:r w:rsidRPr="009E6306">
        <w:rPr>
          <w:sz w:val="22"/>
          <w:szCs w:val="22"/>
          <w:lang w:val="en-US"/>
        </w:rPr>
        <w:t>Ad hoc</w:t>
      </w:r>
      <w:r w:rsidRPr="009E6306">
        <w:rPr>
          <w:sz w:val="22"/>
          <w:szCs w:val="22"/>
        </w:rPr>
        <w:t xml:space="preserve"> срещи и участия по линия на международни организации, двустранно и многостранно сътрудничество“ за отчетния период бяха командировани 9 служители на агенцията.</w:t>
      </w:r>
    </w:p>
    <w:p w14:paraId="2D72E118" w14:textId="5632D71F" w:rsidR="009B6501" w:rsidRPr="009E6306" w:rsidRDefault="009B6501" w:rsidP="00CA7DA3">
      <w:pPr>
        <w:pStyle w:val="BodyText2"/>
        <w:shd w:val="clear" w:color="auto" w:fill="FFFFFF" w:themeFill="background1"/>
        <w:spacing w:before="120" w:after="0" w:line="240" w:lineRule="auto"/>
        <w:ind w:firstLine="426"/>
        <w:rPr>
          <w:b/>
          <w:bCs/>
          <w:iCs/>
          <w:color w:val="215E99" w:themeColor="text2" w:themeTint="BF"/>
          <w:sz w:val="22"/>
          <w:szCs w:val="22"/>
          <w:lang w:eastAsia="en-US"/>
        </w:rPr>
      </w:pPr>
      <w:r w:rsidRPr="009E6306">
        <w:rPr>
          <w:b/>
          <w:bCs/>
          <w:iCs/>
          <w:color w:val="215E99" w:themeColor="text2" w:themeTint="BF"/>
          <w:sz w:val="22"/>
          <w:szCs w:val="22"/>
          <w:lang w:eastAsia="en-US"/>
        </w:rPr>
        <w:t>Информация за наличността и качеството на данните:</w:t>
      </w:r>
    </w:p>
    <w:p w14:paraId="2B3220E0" w14:textId="77777777" w:rsidR="009B6501" w:rsidRDefault="009B6501" w:rsidP="00CA7DA3">
      <w:pPr>
        <w:shd w:val="clear" w:color="auto" w:fill="FFFFFF" w:themeFill="background1"/>
        <w:ind w:firstLine="426"/>
        <w:jc w:val="both"/>
        <w:rPr>
          <w:rFonts w:eastAsia="Calibri"/>
          <w:sz w:val="22"/>
          <w:szCs w:val="22"/>
          <w:lang w:eastAsia="en-US"/>
        </w:rPr>
      </w:pPr>
      <w:r w:rsidRPr="004A6982">
        <w:rPr>
          <w:rFonts w:eastAsia="Calibri"/>
          <w:sz w:val="22"/>
          <w:szCs w:val="22"/>
          <w:lang w:eastAsia="en-US"/>
        </w:rPr>
        <w:t>Периодични отчети за дейността на ДАБ при МС.</w:t>
      </w:r>
    </w:p>
    <w:p w14:paraId="26206495" w14:textId="77777777" w:rsidR="009B6501" w:rsidRPr="009E6306" w:rsidRDefault="009B6501" w:rsidP="00CA7DA3">
      <w:pPr>
        <w:pStyle w:val="BodyText2"/>
        <w:shd w:val="clear" w:color="auto" w:fill="FFFFFF" w:themeFill="background1"/>
        <w:spacing w:before="120" w:after="0" w:line="240" w:lineRule="auto"/>
        <w:ind w:firstLine="426"/>
        <w:jc w:val="both"/>
        <w:rPr>
          <w:b/>
          <w:bCs/>
          <w:iCs/>
          <w:color w:val="215E99" w:themeColor="text2" w:themeTint="BF"/>
          <w:sz w:val="22"/>
          <w:szCs w:val="22"/>
          <w:lang w:eastAsia="en-US"/>
        </w:rPr>
      </w:pPr>
      <w:r w:rsidRPr="009E6306">
        <w:rPr>
          <w:b/>
          <w:bCs/>
          <w:iCs/>
          <w:color w:val="215E99" w:themeColor="text2" w:themeTint="BF"/>
          <w:sz w:val="22"/>
          <w:szCs w:val="22"/>
          <w:lang w:eastAsia="en-US"/>
        </w:rPr>
        <w:t>Външни фактори, които оказват въздействие върху постигането на целите на програмата:</w:t>
      </w:r>
    </w:p>
    <w:p w14:paraId="43BF79A7" w14:textId="77777777" w:rsidR="00173D63" w:rsidRDefault="00173D63" w:rsidP="00CA7DA3">
      <w:pPr>
        <w:shd w:val="clear" w:color="auto" w:fill="FFFFFF" w:themeFill="background1"/>
        <w:ind w:firstLine="426"/>
        <w:jc w:val="both"/>
        <w:rPr>
          <w:rFonts w:eastAsia="Calibri"/>
          <w:sz w:val="22"/>
          <w:szCs w:val="22"/>
          <w:lang w:eastAsia="en-US"/>
        </w:rPr>
      </w:pPr>
      <w:r w:rsidRPr="004A6982">
        <w:rPr>
          <w:rFonts w:eastAsia="Calibri"/>
          <w:sz w:val="22"/>
          <w:szCs w:val="22"/>
          <w:lang w:eastAsia="en-US"/>
        </w:rPr>
        <w:t xml:space="preserve">Промяната в международната обстановка и геополитическото положение на България оказва влияние върху миграционните процеси и респективно върху броя на лицата, търсещи международна закрила в България. </w:t>
      </w:r>
    </w:p>
    <w:p w14:paraId="2B79580C" w14:textId="77777777" w:rsidR="00354DD3" w:rsidRDefault="00354DD3">
      <w:pPr>
        <w:rPr>
          <w:b/>
          <w:bCs/>
          <w:iCs/>
          <w:color w:val="215E99" w:themeColor="text2" w:themeTint="BF"/>
          <w:sz w:val="22"/>
          <w:szCs w:val="22"/>
          <w:lang w:eastAsia="en-US"/>
        </w:rPr>
      </w:pPr>
      <w:r>
        <w:rPr>
          <w:b/>
          <w:bCs/>
          <w:iCs/>
          <w:color w:val="215E99" w:themeColor="text2" w:themeTint="BF"/>
          <w:sz w:val="22"/>
          <w:szCs w:val="22"/>
          <w:lang w:eastAsia="en-US"/>
        </w:rPr>
        <w:br w:type="page"/>
      </w:r>
    </w:p>
    <w:p w14:paraId="69A5C6BA" w14:textId="4CBA8B28" w:rsidR="00295820" w:rsidRPr="009E6306" w:rsidRDefault="00295820" w:rsidP="002E19F4">
      <w:pPr>
        <w:widowControl w:val="0"/>
        <w:shd w:val="clear" w:color="auto" w:fill="FFFFFF" w:themeFill="background1"/>
        <w:tabs>
          <w:tab w:val="left" w:pos="426"/>
        </w:tabs>
        <w:spacing w:before="120"/>
        <w:ind w:firstLine="425"/>
        <w:jc w:val="both"/>
        <w:outlineLvl w:val="3"/>
        <w:rPr>
          <w:b/>
          <w:bCs/>
          <w:iCs/>
          <w:color w:val="215E99" w:themeColor="text2" w:themeTint="BF"/>
          <w:sz w:val="22"/>
          <w:szCs w:val="22"/>
          <w:lang w:eastAsia="en-US"/>
        </w:rPr>
      </w:pPr>
      <w:r w:rsidRPr="009E6306">
        <w:rPr>
          <w:b/>
          <w:bCs/>
          <w:iCs/>
          <w:color w:val="215E99" w:themeColor="text2" w:themeTint="BF"/>
          <w:sz w:val="22"/>
          <w:szCs w:val="22"/>
          <w:lang w:eastAsia="en-US"/>
        </w:rPr>
        <w:lastRenderedPageBreak/>
        <w:t>Отчет на разходите по бюджетната програма с разпределение по ведомствени и администрирани разходи</w:t>
      </w:r>
    </w:p>
    <w:p w14:paraId="2FFFD959" w14:textId="77777777" w:rsidR="009E6306" w:rsidRPr="00CD7A19" w:rsidRDefault="00DB7632" w:rsidP="00CA7DA3">
      <w:pPr>
        <w:pStyle w:val="BodyText2"/>
        <w:shd w:val="clear" w:color="auto" w:fill="FFFFFF" w:themeFill="background1"/>
        <w:spacing w:after="0" w:line="240" w:lineRule="auto"/>
        <w:jc w:val="right"/>
        <w:rPr>
          <w:i/>
          <w:sz w:val="20"/>
          <w:szCs w:val="20"/>
        </w:rPr>
      </w:pPr>
      <w:r w:rsidRPr="00CD7A19">
        <w:rPr>
          <w:b/>
          <w:i/>
          <w:sz w:val="20"/>
          <w:szCs w:val="20"/>
        </w:rPr>
        <w:t>Приложение № 7</w:t>
      </w:r>
      <w:r w:rsidR="009E6306" w:rsidRPr="00CD7A19">
        <w:rPr>
          <w:i/>
          <w:sz w:val="20"/>
          <w:szCs w:val="20"/>
        </w:rPr>
        <w:t xml:space="preserve"> </w:t>
      </w:r>
    </w:p>
    <w:p w14:paraId="2AF8E852" w14:textId="3483667F" w:rsidR="00DB7632" w:rsidRDefault="00DB7632" w:rsidP="00CA7DA3">
      <w:pPr>
        <w:pStyle w:val="BodyText2"/>
        <w:shd w:val="clear" w:color="auto" w:fill="FFFFFF" w:themeFill="background1"/>
        <w:spacing w:line="240" w:lineRule="auto"/>
        <w:jc w:val="both"/>
        <w:rPr>
          <w:i/>
          <w:sz w:val="20"/>
          <w:szCs w:val="20"/>
        </w:rPr>
      </w:pPr>
      <w:r w:rsidRPr="00CD7A19">
        <w:rPr>
          <w:i/>
          <w:sz w:val="20"/>
          <w:szCs w:val="20"/>
        </w:rPr>
        <w:t>Отчет на разходите по бюджетните програми с разпределение по ведомствени и администрирани разходи</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354"/>
        <w:gridCol w:w="936"/>
        <w:gridCol w:w="936"/>
        <w:gridCol w:w="856"/>
      </w:tblGrid>
      <w:tr w:rsidR="00AC3C95" w:rsidRPr="00AC3C95" w14:paraId="2751162C" w14:textId="77777777" w:rsidTr="0021605F">
        <w:trPr>
          <w:trHeight w:val="315"/>
        </w:trPr>
        <w:tc>
          <w:tcPr>
            <w:tcW w:w="237" w:type="pct"/>
            <w:vMerge w:val="restart"/>
            <w:shd w:val="clear" w:color="000000" w:fill="E6E6E6"/>
            <w:noWrap/>
            <w:vAlign w:val="center"/>
            <w:hideMark/>
          </w:tcPr>
          <w:p w14:paraId="328A0D2C" w14:textId="77777777" w:rsidR="00AC3C95" w:rsidRPr="00AC3C95" w:rsidRDefault="00AC3C95">
            <w:pPr>
              <w:jc w:val="center"/>
              <w:rPr>
                <w:b/>
                <w:bCs/>
                <w:sz w:val="16"/>
                <w:szCs w:val="16"/>
              </w:rPr>
            </w:pPr>
            <w:r w:rsidRPr="00AC3C95">
              <w:rPr>
                <w:b/>
                <w:bCs/>
                <w:sz w:val="16"/>
                <w:szCs w:val="16"/>
              </w:rPr>
              <w:t>№</w:t>
            </w:r>
          </w:p>
        </w:tc>
        <w:tc>
          <w:tcPr>
            <w:tcW w:w="3273" w:type="pct"/>
            <w:tcBorders>
              <w:bottom w:val="nil"/>
            </w:tcBorders>
            <w:shd w:val="clear" w:color="000000" w:fill="E6E6E6"/>
            <w:noWrap/>
            <w:vAlign w:val="center"/>
            <w:hideMark/>
          </w:tcPr>
          <w:p w14:paraId="75282BB8" w14:textId="77777777" w:rsidR="00AC3C95" w:rsidRPr="00AC3C95" w:rsidRDefault="00AC3C95">
            <w:pPr>
              <w:jc w:val="center"/>
              <w:rPr>
                <w:b/>
                <w:bCs/>
                <w:sz w:val="16"/>
                <w:szCs w:val="16"/>
              </w:rPr>
            </w:pPr>
            <w:r w:rsidRPr="00AC3C95">
              <w:rPr>
                <w:b/>
                <w:bCs/>
                <w:sz w:val="16"/>
                <w:szCs w:val="16"/>
              </w:rPr>
              <w:t>0300.07.02-Бюджетна програма „Убежище и бежанци“</w:t>
            </w:r>
          </w:p>
        </w:tc>
        <w:tc>
          <w:tcPr>
            <w:tcW w:w="485" w:type="pct"/>
            <w:vMerge w:val="restart"/>
            <w:shd w:val="clear" w:color="000000" w:fill="E6E6E6"/>
            <w:vAlign w:val="center"/>
            <w:hideMark/>
          </w:tcPr>
          <w:p w14:paraId="212230C6" w14:textId="77777777" w:rsidR="00AC3C95" w:rsidRPr="00AC3C95" w:rsidRDefault="00AC3C95">
            <w:pPr>
              <w:jc w:val="center"/>
              <w:rPr>
                <w:b/>
                <w:bCs/>
                <w:sz w:val="16"/>
                <w:szCs w:val="16"/>
              </w:rPr>
            </w:pPr>
            <w:r w:rsidRPr="00AC3C95">
              <w:rPr>
                <w:b/>
                <w:bCs/>
                <w:sz w:val="16"/>
                <w:szCs w:val="16"/>
              </w:rPr>
              <w:t>Закон</w:t>
            </w:r>
          </w:p>
        </w:tc>
        <w:tc>
          <w:tcPr>
            <w:tcW w:w="485" w:type="pct"/>
            <w:vMerge w:val="restart"/>
            <w:shd w:val="clear" w:color="000000" w:fill="E6E6E6"/>
            <w:vAlign w:val="center"/>
            <w:hideMark/>
          </w:tcPr>
          <w:p w14:paraId="37B5EA61" w14:textId="77777777" w:rsidR="00AC3C95" w:rsidRPr="00AC3C95" w:rsidRDefault="00AC3C95">
            <w:pPr>
              <w:jc w:val="center"/>
              <w:rPr>
                <w:b/>
                <w:bCs/>
                <w:sz w:val="16"/>
                <w:szCs w:val="16"/>
              </w:rPr>
            </w:pPr>
            <w:r w:rsidRPr="00AC3C95">
              <w:rPr>
                <w:b/>
                <w:bCs/>
                <w:sz w:val="16"/>
                <w:szCs w:val="16"/>
              </w:rPr>
              <w:t>Уточнен план</w:t>
            </w:r>
          </w:p>
        </w:tc>
        <w:tc>
          <w:tcPr>
            <w:tcW w:w="520" w:type="pct"/>
            <w:vMerge w:val="restart"/>
            <w:shd w:val="clear" w:color="000000" w:fill="E6E6E6"/>
            <w:vAlign w:val="center"/>
            <w:hideMark/>
          </w:tcPr>
          <w:p w14:paraId="58ED6BE5" w14:textId="77777777" w:rsidR="00AC3C95" w:rsidRPr="00AC3C95" w:rsidRDefault="00AC3C95">
            <w:pPr>
              <w:jc w:val="center"/>
              <w:rPr>
                <w:b/>
                <w:bCs/>
                <w:sz w:val="16"/>
                <w:szCs w:val="16"/>
              </w:rPr>
            </w:pPr>
            <w:r w:rsidRPr="00AC3C95">
              <w:rPr>
                <w:b/>
                <w:bCs/>
                <w:sz w:val="16"/>
                <w:szCs w:val="16"/>
              </w:rPr>
              <w:t>Отчет</w:t>
            </w:r>
          </w:p>
        </w:tc>
      </w:tr>
      <w:tr w:rsidR="0021605F" w:rsidRPr="00AC3C95" w14:paraId="45BFD624" w14:textId="77777777" w:rsidTr="0021605F">
        <w:trPr>
          <w:trHeight w:val="200"/>
        </w:trPr>
        <w:tc>
          <w:tcPr>
            <w:tcW w:w="237" w:type="pct"/>
            <w:vMerge/>
            <w:vAlign w:val="center"/>
            <w:hideMark/>
          </w:tcPr>
          <w:p w14:paraId="6CCC51A0" w14:textId="77777777" w:rsidR="00AC3C95" w:rsidRPr="00AC3C95" w:rsidRDefault="00AC3C95">
            <w:pPr>
              <w:rPr>
                <w:b/>
                <w:bCs/>
                <w:sz w:val="16"/>
                <w:szCs w:val="16"/>
              </w:rPr>
            </w:pPr>
          </w:p>
        </w:tc>
        <w:tc>
          <w:tcPr>
            <w:tcW w:w="3273" w:type="pct"/>
            <w:tcBorders>
              <w:top w:val="nil"/>
            </w:tcBorders>
            <w:shd w:val="clear" w:color="000000" w:fill="E6E6E6"/>
            <w:noWrap/>
            <w:vAlign w:val="center"/>
            <w:hideMark/>
          </w:tcPr>
          <w:p w14:paraId="75645771" w14:textId="77777777" w:rsidR="00AC3C95" w:rsidRPr="00AC3C95" w:rsidRDefault="00AC3C95">
            <w:pPr>
              <w:jc w:val="center"/>
              <w:rPr>
                <w:b/>
                <w:bCs/>
                <w:sz w:val="16"/>
                <w:szCs w:val="16"/>
              </w:rPr>
            </w:pPr>
            <w:r w:rsidRPr="00AC3C95">
              <w:rPr>
                <w:b/>
                <w:bCs/>
                <w:sz w:val="16"/>
                <w:szCs w:val="16"/>
              </w:rPr>
              <w:t>(в лева)</w:t>
            </w:r>
          </w:p>
        </w:tc>
        <w:tc>
          <w:tcPr>
            <w:tcW w:w="485" w:type="pct"/>
            <w:vMerge/>
            <w:vAlign w:val="center"/>
            <w:hideMark/>
          </w:tcPr>
          <w:p w14:paraId="257B6EAE" w14:textId="77777777" w:rsidR="00AC3C95" w:rsidRPr="00AC3C95" w:rsidRDefault="00AC3C95">
            <w:pPr>
              <w:rPr>
                <w:b/>
                <w:bCs/>
                <w:sz w:val="16"/>
                <w:szCs w:val="16"/>
              </w:rPr>
            </w:pPr>
          </w:p>
        </w:tc>
        <w:tc>
          <w:tcPr>
            <w:tcW w:w="485" w:type="pct"/>
            <w:vMerge/>
            <w:vAlign w:val="center"/>
            <w:hideMark/>
          </w:tcPr>
          <w:p w14:paraId="0B51E0F5" w14:textId="77777777" w:rsidR="00AC3C95" w:rsidRPr="00AC3C95" w:rsidRDefault="00AC3C95">
            <w:pPr>
              <w:rPr>
                <w:b/>
                <w:bCs/>
                <w:sz w:val="16"/>
                <w:szCs w:val="16"/>
              </w:rPr>
            </w:pPr>
          </w:p>
        </w:tc>
        <w:tc>
          <w:tcPr>
            <w:tcW w:w="520" w:type="pct"/>
            <w:vMerge/>
            <w:vAlign w:val="center"/>
            <w:hideMark/>
          </w:tcPr>
          <w:p w14:paraId="5F2FBF04" w14:textId="77777777" w:rsidR="00AC3C95" w:rsidRPr="00AC3C95" w:rsidRDefault="00AC3C95">
            <w:pPr>
              <w:rPr>
                <w:b/>
                <w:bCs/>
                <w:sz w:val="16"/>
                <w:szCs w:val="16"/>
              </w:rPr>
            </w:pPr>
          </w:p>
        </w:tc>
      </w:tr>
      <w:tr w:rsidR="00AC3C95" w:rsidRPr="00AC3C95" w14:paraId="7FC5B576" w14:textId="77777777" w:rsidTr="0021605F">
        <w:trPr>
          <w:trHeight w:val="274"/>
        </w:trPr>
        <w:tc>
          <w:tcPr>
            <w:tcW w:w="237" w:type="pct"/>
            <w:shd w:val="clear" w:color="000000" w:fill="E6E6E6"/>
            <w:noWrap/>
            <w:vAlign w:val="center"/>
            <w:hideMark/>
          </w:tcPr>
          <w:p w14:paraId="6B870D2D" w14:textId="77777777" w:rsidR="00AC3C95" w:rsidRPr="00AC3C95" w:rsidRDefault="00AC3C95">
            <w:pPr>
              <w:jc w:val="both"/>
              <w:rPr>
                <w:b/>
                <w:bCs/>
                <w:sz w:val="16"/>
                <w:szCs w:val="16"/>
              </w:rPr>
            </w:pPr>
            <w:r w:rsidRPr="00AC3C95">
              <w:rPr>
                <w:b/>
                <w:bCs/>
                <w:sz w:val="16"/>
                <w:szCs w:val="16"/>
              </w:rPr>
              <w:t>І.</w:t>
            </w:r>
          </w:p>
        </w:tc>
        <w:tc>
          <w:tcPr>
            <w:tcW w:w="3273" w:type="pct"/>
            <w:shd w:val="clear" w:color="000000" w:fill="E6E6E6"/>
            <w:noWrap/>
            <w:vAlign w:val="center"/>
            <w:hideMark/>
          </w:tcPr>
          <w:p w14:paraId="371158FB" w14:textId="77777777" w:rsidR="00AC3C95" w:rsidRPr="00AC3C95" w:rsidRDefault="00AC3C95">
            <w:pPr>
              <w:rPr>
                <w:b/>
                <w:bCs/>
                <w:sz w:val="16"/>
                <w:szCs w:val="16"/>
              </w:rPr>
            </w:pPr>
            <w:r w:rsidRPr="00AC3C95">
              <w:rPr>
                <w:b/>
                <w:bCs/>
                <w:sz w:val="16"/>
                <w:szCs w:val="16"/>
              </w:rPr>
              <w:t>Общо ведомствени разходи:</w:t>
            </w:r>
          </w:p>
        </w:tc>
        <w:tc>
          <w:tcPr>
            <w:tcW w:w="485" w:type="pct"/>
            <w:shd w:val="clear" w:color="000000" w:fill="E6E6E6"/>
            <w:noWrap/>
            <w:vAlign w:val="center"/>
            <w:hideMark/>
          </w:tcPr>
          <w:p w14:paraId="2F8F62BC" w14:textId="77777777" w:rsidR="00AC3C95" w:rsidRPr="00AC3C95" w:rsidRDefault="00AC3C95">
            <w:pPr>
              <w:jc w:val="right"/>
              <w:rPr>
                <w:b/>
                <w:bCs/>
                <w:sz w:val="16"/>
                <w:szCs w:val="16"/>
              </w:rPr>
            </w:pPr>
            <w:r w:rsidRPr="00AC3C95">
              <w:rPr>
                <w:b/>
                <w:bCs/>
                <w:sz w:val="16"/>
                <w:szCs w:val="16"/>
              </w:rPr>
              <w:t>16 003 900</w:t>
            </w:r>
          </w:p>
        </w:tc>
        <w:tc>
          <w:tcPr>
            <w:tcW w:w="485" w:type="pct"/>
            <w:shd w:val="clear" w:color="000000" w:fill="E6E6E6"/>
            <w:noWrap/>
            <w:vAlign w:val="center"/>
            <w:hideMark/>
          </w:tcPr>
          <w:p w14:paraId="2ACBA010" w14:textId="77777777" w:rsidR="00AC3C95" w:rsidRPr="00AC3C95" w:rsidRDefault="00AC3C95">
            <w:pPr>
              <w:jc w:val="right"/>
              <w:rPr>
                <w:b/>
                <w:bCs/>
                <w:sz w:val="16"/>
                <w:szCs w:val="16"/>
              </w:rPr>
            </w:pPr>
            <w:r w:rsidRPr="00AC3C95">
              <w:rPr>
                <w:b/>
                <w:bCs/>
                <w:sz w:val="16"/>
                <w:szCs w:val="16"/>
              </w:rPr>
              <w:t>16 018 052</w:t>
            </w:r>
          </w:p>
        </w:tc>
        <w:tc>
          <w:tcPr>
            <w:tcW w:w="520" w:type="pct"/>
            <w:shd w:val="clear" w:color="000000" w:fill="E6E6E6"/>
            <w:noWrap/>
            <w:vAlign w:val="center"/>
            <w:hideMark/>
          </w:tcPr>
          <w:p w14:paraId="60C85084" w14:textId="77777777" w:rsidR="00AC3C95" w:rsidRPr="00AC3C95" w:rsidRDefault="00AC3C95">
            <w:pPr>
              <w:jc w:val="right"/>
              <w:rPr>
                <w:b/>
                <w:bCs/>
                <w:sz w:val="16"/>
                <w:szCs w:val="16"/>
              </w:rPr>
            </w:pPr>
            <w:r w:rsidRPr="00AC3C95">
              <w:rPr>
                <w:b/>
                <w:bCs/>
                <w:sz w:val="16"/>
                <w:szCs w:val="16"/>
              </w:rPr>
              <w:t>8 537 859</w:t>
            </w:r>
          </w:p>
        </w:tc>
      </w:tr>
      <w:tr w:rsidR="00AC3C95" w:rsidRPr="00AC3C95" w14:paraId="7EA9D3E0" w14:textId="77777777" w:rsidTr="0021605F">
        <w:trPr>
          <w:trHeight w:val="135"/>
        </w:trPr>
        <w:tc>
          <w:tcPr>
            <w:tcW w:w="237" w:type="pct"/>
            <w:shd w:val="clear" w:color="auto" w:fill="auto"/>
            <w:noWrap/>
            <w:vAlign w:val="center"/>
            <w:hideMark/>
          </w:tcPr>
          <w:p w14:paraId="5ECF6414" w14:textId="77777777" w:rsidR="00AC3C95" w:rsidRPr="00AC3C95" w:rsidRDefault="00AC3C95">
            <w:pPr>
              <w:jc w:val="both"/>
              <w:rPr>
                <w:sz w:val="16"/>
                <w:szCs w:val="16"/>
              </w:rPr>
            </w:pPr>
            <w:r w:rsidRPr="00AC3C95">
              <w:rPr>
                <w:sz w:val="16"/>
                <w:szCs w:val="16"/>
              </w:rPr>
              <w:t> </w:t>
            </w:r>
          </w:p>
        </w:tc>
        <w:tc>
          <w:tcPr>
            <w:tcW w:w="3273" w:type="pct"/>
            <w:shd w:val="clear" w:color="auto" w:fill="auto"/>
            <w:noWrap/>
            <w:vAlign w:val="center"/>
            <w:hideMark/>
          </w:tcPr>
          <w:p w14:paraId="553F48FA" w14:textId="57813F11" w:rsidR="00AC3C95" w:rsidRPr="00AC3C95" w:rsidRDefault="00AC3C95" w:rsidP="00AC3C95">
            <w:pPr>
              <w:ind w:firstLine="146"/>
              <w:rPr>
                <w:sz w:val="16"/>
                <w:szCs w:val="16"/>
              </w:rPr>
            </w:pPr>
            <w:r w:rsidRPr="00AC3C95">
              <w:rPr>
                <w:sz w:val="16"/>
                <w:szCs w:val="16"/>
              </w:rPr>
              <w:t>Персонал</w:t>
            </w:r>
          </w:p>
        </w:tc>
        <w:tc>
          <w:tcPr>
            <w:tcW w:w="485" w:type="pct"/>
            <w:shd w:val="clear" w:color="auto" w:fill="auto"/>
            <w:noWrap/>
            <w:vAlign w:val="center"/>
            <w:hideMark/>
          </w:tcPr>
          <w:p w14:paraId="77DF865E" w14:textId="77777777" w:rsidR="00AC3C95" w:rsidRPr="00AC3C95" w:rsidRDefault="00AC3C95">
            <w:pPr>
              <w:jc w:val="right"/>
              <w:rPr>
                <w:sz w:val="16"/>
                <w:szCs w:val="16"/>
              </w:rPr>
            </w:pPr>
            <w:r w:rsidRPr="00AC3C95">
              <w:rPr>
                <w:sz w:val="16"/>
                <w:szCs w:val="16"/>
              </w:rPr>
              <w:t>8 877 000</w:t>
            </w:r>
          </w:p>
        </w:tc>
        <w:tc>
          <w:tcPr>
            <w:tcW w:w="485" w:type="pct"/>
            <w:shd w:val="clear" w:color="auto" w:fill="auto"/>
            <w:noWrap/>
            <w:vAlign w:val="center"/>
            <w:hideMark/>
          </w:tcPr>
          <w:p w14:paraId="5532C566" w14:textId="77777777" w:rsidR="00AC3C95" w:rsidRPr="00AC3C95" w:rsidRDefault="00AC3C95">
            <w:pPr>
              <w:jc w:val="right"/>
              <w:rPr>
                <w:sz w:val="16"/>
                <w:szCs w:val="16"/>
              </w:rPr>
            </w:pPr>
            <w:r w:rsidRPr="00AC3C95">
              <w:rPr>
                <w:sz w:val="16"/>
                <w:szCs w:val="16"/>
              </w:rPr>
              <w:t>8 891 152</w:t>
            </w:r>
          </w:p>
        </w:tc>
        <w:tc>
          <w:tcPr>
            <w:tcW w:w="520" w:type="pct"/>
            <w:shd w:val="clear" w:color="auto" w:fill="auto"/>
            <w:noWrap/>
            <w:vAlign w:val="center"/>
            <w:hideMark/>
          </w:tcPr>
          <w:p w14:paraId="17CBC0A2" w14:textId="77777777" w:rsidR="00AC3C95" w:rsidRPr="00AC3C95" w:rsidRDefault="00AC3C95">
            <w:pPr>
              <w:jc w:val="right"/>
              <w:rPr>
                <w:sz w:val="16"/>
                <w:szCs w:val="16"/>
              </w:rPr>
            </w:pPr>
            <w:r w:rsidRPr="00AC3C95">
              <w:rPr>
                <w:sz w:val="16"/>
                <w:szCs w:val="16"/>
              </w:rPr>
              <w:t>5 305 823</w:t>
            </w:r>
          </w:p>
        </w:tc>
      </w:tr>
      <w:tr w:rsidR="00AC3C95" w:rsidRPr="00AC3C95" w14:paraId="28B3467D" w14:textId="77777777" w:rsidTr="0021605F">
        <w:trPr>
          <w:trHeight w:val="82"/>
        </w:trPr>
        <w:tc>
          <w:tcPr>
            <w:tcW w:w="237" w:type="pct"/>
            <w:shd w:val="clear" w:color="auto" w:fill="auto"/>
            <w:noWrap/>
            <w:vAlign w:val="center"/>
            <w:hideMark/>
          </w:tcPr>
          <w:p w14:paraId="54322E16" w14:textId="77777777" w:rsidR="00AC3C95" w:rsidRPr="00AC3C95" w:rsidRDefault="00AC3C95">
            <w:pPr>
              <w:jc w:val="both"/>
              <w:rPr>
                <w:sz w:val="16"/>
                <w:szCs w:val="16"/>
              </w:rPr>
            </w:pPr>
            <w:r w:rsidRPr="00AC3C95">
              <w:rPr>
                <w:sz w:val="16"/>
                <w:szCs w:val="16"/>
              </w:rPr>
              <w:t> </w:t>
            </w:r>
          </w:p>
        </w:tc>
        <w:tc>
          <w:tcPr>
            <w:tcW w:w="3273" w:type="pct"/>
            <w:shd w:val="clear" w:color="auto" w:fill="auto"/>
            <w:noWrap/>
            <w:vAlign w:val="center"/>
            <w:hideMark/>
          </w:tcPr>
          <w:p w14:paraId="241EE99F" w14:textId="3A2FB9CA" w:rsidR="00AC3C95" w:rsidRPr="00AC3C95" w:rsidRDefault="00AC3C95" w:rsidP="00AC3C95">
            <w:pPr>
              <w:ind w:firstLine="146"/>
              <w:rPr>
                <w:sz w:val="16"/>
                <w:szCs w:val="16"/>
              </w:rPr>
            </w:pPr>
            <w:r w:rsidRPr="00AC3C95">
              <w:rPr>
                <w:sz w:val="16"/>
                <w:szCs w:val="16"/>
              </w:rPr>
              <w:t>Издръжка</w:t>
            </w:r>
          </w:p>
        </w:tc>
        <w:tc>
          <w:tcPr>
            <w:tcW w:w="485" w:type="pct"/>
            <w:shd w:val="clear" w:color="auto" w:fill="auto"/>
            <w:noWrap/>
            <w:vAlign w:val="center"/>
            <w:hideMark/>
          </w:tcPr>
          <w:p w14:paraId="50F53441" w14:textId="77777777" w:rsidR="00AC3C95" w:rsidRPr="00AC3C95" w:rsidRDefault="00AC3C95">
            <w:pPr>
              <w:jc w:val="right"/>
              <w:rPr>
                <w:sz w:val="16"/>
                <w:szCs w:val="16"/>
              </w:rPr>
            </w:pPr>
            <w:r w:rsidRPr="00AC3C95">
              <w:rPr>
                <w:sz w:val="16"/>
                <w:szCs w:val="16"/>
              </w:rPr>
              <w:t>3 208 100</w:t>
            </w:r>
          </w:p>
        </w:tc>
        <w:tc>
          <w:tcPr>
            <w:tcW w:w="485" w:type="pct"/>
            <w:shd w:val="clear" w:color="auto" w:fill="auto"/>
            <w:noWrap/>
            <w:vAlign w:val="center"/>
            <w:hideMark/>
          </w:tcPr>
          <w:p w14:paraId="69E283FE" w14:textId="77777777" w:rsidR="00AC3C95" w:rsidRPr="00AC3C95" w:rsidRDefault="00AC3C95">
            <w:pPr>
              <w:jc w:val="right"/>
              <w:rPr>
                <w:sz w:val="16"/>
                <w:szCs w:val="16"/>
              </w:rPr>
            </w:pPr>
            <w:r w:rsidRPr="00AC3C95">
              <w:rPr>
                <w:sz w:val="16"/>
                <w:szCs w:val="16"/>
              </w:rPr>
              <w:t>3 208 100</w:t>
            </w:r>
          </w:p>
        </w:tc>
        <w:tc>
          <w:tcPr>
            <w:tcW w:w="520" w:type="pct"/>
            <w:shd w:val="clear" w:color="auto" w:fill="auto"/>
            <w:noWrap/>
            <w:vAlign w:val="center"/>
            <w:hideMark/>
          </w:tcPr>
          <w:p w14:paraId="31EE9412" w14:textId="77777777" w:rsidR="00AC3C95" w:rsidRPr="00AC3C95" w:rsidRDefault="00AC3C95">
            <w:pPr>
              <w:jc w:val="right"/>
              <w:rPr>
                <w:sz w:val="16"/>
                <w:szCs w:val="16"/>
              </w:rPr>
            </w:pPr>
            <w:r w:rsidRPr="00AC3C95">
              <w:rPr>
                <w:sz w:val="16"/>
                <w:szCs w:val="16"/>
              </w:rPr>
              <w:t>3 232 036</w:t>
            </w:r>
          </w:p>
        </w:tc>
      </w:tr>
      <w:tr w:rsidR="00AC3C95" w:rsidRPr="00AC3C95" w14:paraId="0D908B7C" w14:textId="77777777" w:rsidTr="0021605F">
        <w:trPr>
          <w:trHeight w:val="169"/>
        </w:trPr>
        <w:tc>
          <w:tcPr>
            <w:tcW w:w="237" w:type="pct"/>
            <w:shd w:val="clear" w:color="auto" w:fill="auto"/>
            <w:noWrap/>
            <w:vAlign w:val="center"/>
            <w:hideMark/>
          </w:tcPr>
          <w:p w14:paraId="00A3FBFC" w14:textId="77777777" w:rsidR="00AC3C95" w:rsidRPr="00AC3C95" w:rsidRDefault="00AC3C95">
            <w:pPr>
              <w:jc w:val="both"/>
              <w:rPr>
                <w:sz w:val="16"/>
                <w:szCs w:val="16"/>
              </w:rPr>
            </w:pPr>
            <w:r w:rsidRPr="00AC3C95">
              <w:rPr>
                <w:sz w:val="16"/>
                <w:szCs w:val="16"/>
              </w:rPr>
              <w:t> </w:t>
            </w:r>
          </w:p>
        </w:tc>
        <w:tc>
          <w:tcPr>
            <w:tcW w:w="3273" w:type="pct"/>
            <w:shd w:val="clear" w:color="auto" w:fill="auto"/>
            <w:noWrap/>
            <w:vAlign w:val="center"/>
            <w:hideMark/>
          </w:tcPr>
          <w:p w14:paraId="2E06AC78" w14:textId="032D66CD" w:rsidR="00AC3C95" w:rsidRPr="00AC3C95" w:rsidRDefault="00AC3C95" w:rsidP="0021605F">
            <w:pPr>
              <w:ind w:firstLine="146"/>
              <w:rPr>
                <w:sz w:val="16"/>
                <w:szCs w:val="16"/>
              </w:rPr>
            </w:pPr>
            <w:r w:rsidRPr="00AC3C95">
              <w:rPr>
                <w:sz w:val="16"/>
                <w:szCs w:val="16"/>
              </w:rPr>
              <w:t>Капиталови разходи</w:t>
            </w:r>
          </w:p>
        </w:tc>
        <w:tc>
          <w:tcPr>
            <w:tcW w:w="485" w:type="pct"/>
            <w:shd w:val="clear" w:color="auto" w:fill="auto"/>
            <w:noWrap/>
            <w:vAlign w:val="center"/>
            <w:hideMark/>
          </w:tcPr>
          <w:p w14:paraId="51133ABB" w14:textId="77777777" w:rsidR="00AC3C95" w:rsidRPr="00AC3C95" w:rsidRDefault="00AC3C95">
            <w:pPr>
              <w:jc w:val="right"/>
              <w:rPr>
                <w:sz w:val="16"/>
                <w:szCs w:val="16"/>
              </w:rPr>
            </w:pPr>
            <w:r w:rsidRPr="00AC3C95">
              <w:rPr>
                <w:sz w:val="16"/>
                <w:szCs w:val="16"/>
              </w:rPr>
              <w:t>3 918 800</w:t>
            </w:r>
          </w:p>
        </w:tc>
        <w:tc>
          <w:tcPr>
            <w:tcW w:w="485" w:type="pct"/>
            <w:shd w:val="clear" w:color="auto" w:fill="auto"/>
            <w:noWrap/>
            <w:vAlign w:val="center"/>
            <w:hideMark/>
          </w:tcPr>
          <w:p w14:paraId="69C0F3AE" w14:textId="77777777" w:rsidR="00AC3C95" w:rsidRPr="00AC3C95" w:rsidRDefault="00AC3C95">
            <w:pPr>
              <w:jc w:val="right"/>
              <w:rPr>
                <w:sz w:val="16"/>
                <w:szCs w:val="16"/>
              </w:rPr>
            </w:pPr>
            <w:r w:rsidRPr="00AC3C95">
              <w:rPr>
                <w:sz w:val="16"/>
                <w:szCs w:val="16"/>
              </w:rPr>
              <w:t>3 918 800</w:t>
            </w:r>
          </w:p>
        </w:tc>
        <w:tc>
          <w:tcPr>
            <w:tcW w:w="520" w:type="pct"/>
            <w:shd w:val="clear" w:color="auto" w:fill="auto"/>
            <w:noWrap/>
            <w:vAlign w:val="center"/>
            <w:hideMark/>
          </w:tcPr>
          <w:p w14:paraId="2A515758" w14:textId="77777777" w:rsidR="00AC3C95" w:rsidRPr="00AC3C95" w:rsidRDefault="00AC3C95">
            <w:pPr>
              <w:jc w:val="right"/>
              <w:rPr>
                <w:sz w:val="16"/>
                <w:szCs w:val="16"/>
              </w:rPr>
            </w:pPr>
            <w:r w:rsidRPr="00AC3C95">
              <w:rPr>
                <w:sz w:val="16"/>
                <w:szCs w:val="16"/>
              </w:rPr>
              <w:t>0</w:t>
            </w:r>
          </w:p>
        </w:tc>
      </w:tr>
      <w:tr w:rsidR="00AC3C95" w:rsidRPr="00AC3C95" w14:paraId="1A4CEC76" w14:textId="77777777" w:rsidTr="0047040C">
        <w:trPr>
          <w:trHeight w:val="258"/>
        </w:trPr>
        <w:tc>
          <w:tcPr>
            <w:tcW w:w="237" w:type="pct"/>
            <w:shd w:val="clear" w:color="000000" w:fill="E6E6E6"/>
            <w:noWrap/>
            <w:vAlign w:val="center"/>
            <w:hideMark/>
          </w:tcPr>
          <w:p w14:paraId="7D43D694" w14:textId="77777777" w:rsidR="00AC3C95" w:rsidRPr="00AC3C95" w:rsidRDefault="00AC3C95">
            <w:pPr>
              <w:jc w:val="both"/>
              <w:rPr>
                <w:b/>
                <w:bCs/>
                <w:sz w:val="16"/>
                <w:szCs w:val="16"/>
              </w:rPr>
            </w:pPr>
            <w:r w:rsidRPr="00AC3C95">
              <w:rPr>
                <w:b/>
                <w:bCs/>
                <w:sz w:val="16"/>
                <w:szCs w:val="16"/>
              </w:rPr>
              <w:t>1</w:t>
            </w:r>
          </w:p>
        </w:tc>
        <w:tc>
          <w:tcPr>
            <w:tcW w:w="3273" w:type="pct"/>
            <w:shd w:val="clear" w:color="000000" w:fill="E6E6E6"/>
            <w:noWrap/>
            <w:vAlign w:val="center"/>
            <w:hideMark/>
          </w:tcPr>
          <w:p w14:paraId="2E8BF75C" w14:textId="77777777" w:rsidR="00AC3C95" w:rsidRPr="00AC3C95" w:rsidRDefault="00AC3C95">
            <w:pPr>
              <w:ind w:firstLineChars="300" w:firstLine="482"/>
              <w:rPr>
                <w:b/>
                <w:bCs/>
                <w:sz w:val="16"/>
                <w:szCs w:val="16"/>
              </w:rPr>
            </w:pPr>
            <w:r w:rsidRPr="00AC3C95">
              <w:rPr>
                <w:b/>
                <w:bCs/>
                <w:sz w:val="16"/>
                <w:szCs w:val="16"/>
              </w:rPr>
              <w:t>Ведомствени разходи по бюджета на ПРБ:</w:t>
            </w:r>
          </w:p>
        </w:tc>
        <w:tc>
          <w:tcPr>
            <w:tcW w:w="485" w:type="pct"/>
            <w:shd w:val="clear" w:color="000000" w:fill="E6E6E6"/>
            <w:noWrap/>
            <w:vAlign w:val="center"/>
            <w:hideMark/>
          </w:tcPr>
          <w:p w14:paraId="4A9D472F" w14:textId="77777777" w:rsidR="00AC3C95" w:rsidRPr="00AC3C95" w:rsidRDefault="00AC3C95">
            <w:pPr>
              <w:jc w:val="right"/>
              <w:rPr>
                <w:b/>
                <w:bCs/>
                <w:sz w:val="16"/>
                <w:szCs w:val="16"/>
              </w:rPr>
            </w:pPr>
            <w:r w:rsidRPr="00AC3C95">
              <w:rPr>
                <w:b/>
                <w:bCs/>
                <w:sz w:val="16"/>
                <w:szCs w:val="16"/>
              </w:rPr>
              <w:t>16 003 900</w:t>
            </w:r>
          </w:p>
        </w:tc>
        <w:tc>
          <w:tcPr>
            <w:tcW w:w="485" w:type="pct"/>
            <w:shd w:val="clear" w:color="000000" w:fill="E6E6E6"/>
            <w:noWrap/>
            <w:vAlign w:val="center"/>
            <w:hideMark/>
          </w:tcPr>
          <w:p w14:paraId="0EC0A9D9" w14:textId="77777777" w:rsidR="00AC3C95" w:rsidRPr="00AC3C95" w:rsidRDefault="00AC3C95">
            <w:pPr>
              <w:jc w:val="right"/>
              <w:rPr>
                <w:b/>
                <w:bCs/>
                <w:sz w:val="16"/>
                <w:szCs w:val="16"/>
              </w:rPr>
            </w:pPr>
            <w:r w:rsidRPr="00AC3C95">
              <w:rPr>
                <w:b/>
                <w:bCs/>
                <w:sz w:val="16"/>
                <w:szCs w:val="16"/>
              </w:rPr>
              <w:t>16 018 052</w:t>
            </w:r>
          </w:p>
        </w:tc>
        <w:tc>
          <w:tcPr>
            <w:tcW w:w="520" w:type="pct"/>
            <w:shd w:val="clear" w:color="000000" w:fill="E6E6E6"/>
            <w:noWrap/>
            <w:vAlign w:val="center"/>
            <w:hideMark/>
          </w:tcPr>
          <w:p w14:paraId="1040A029" w14:textId="77777777" w:rsidR="00AC3C95" w:rsidRPr="00AC3C95" w:rsidRDefault="00AC3C95">
            <w:pPr>
              <w:jc w:val="right"/>
              <w:rPr>
                <w:b/>
                <w:bCs/>
                <w:sz w:val="16"/>
                <w:szCs w:val="16"/>
              </w:rPr>
            </w:pPr>
            <w:r w:rsidRPr="00AC3C95">
              <w:rPr>
                <w:b/>
                <w:bCs/>
                <w:sz w:val="16"/>
                <w:szCs w:val="16"/>
              </w:rPr>
              <w:t>5 419 499</w:t>
            </w:r>
          </w:p>
        </w:tc>
      </w:tr>
      <w:tr w:rsidR="00AC3C95" w:rsidRPr="00AC3C95" w14:paraId="00E28ADC" w14:textId="77777777" w:rsidTr="0047040C">
        <w:trPr>
          <w:trHeight w:val="134"/>
        </w:trPr>
        <w:tc>
          <w:tcPr>
            <w:tcW w:w="237" w:type="pct"/>
            <w:shd w:val="clear" w:color="auto" w:fill="auto"/>
            <w:noWrap/>
            <w:vAlign w:val="center"/>
            <w:hideMark/>
          </w:tcPr>
          <w:p w14:paraId="14181AC0" w14:textId="77777777" w:rsidR="00AC3C95" w:rsidRPr="00AC3C95" w:rsidRDefault="00AC3C95">
            <w:pPr>
              <w:jc w:val="both"/>
              <w:rPr>
                <w:sz w:val="16"/>
                <w:szCs w:val="16"/>
              </w:rPr>
            </w:pPr>
            <w:r w:rsidRPr="00AC3C95">
              <w:rPr>
                <w:sz w:val="16"/>
                <w:szCs w:val="16"/>
              </w:rPr>
              <w:t> </w:t>
            </w:r>
          </w:p>
        </w:tc>
        <w:tc>
          <w:tcPr>
            <w:tcW w:w="3273" w:type="pct"/>
            <w:shd w:val="clear" w:color="auto" w:fill="auto"/>
            <w:noWrap/>
            <w:vAlign w:val="center"/>
            <w:hideMark/>
          </w:tcPr>
          <w:p w14:paraId="7BC6EDD8" w14:textId="7659877A" w:rsidR="00AC3C95" w:rsidRPr="00AC3C95" w:rsidRDefault="00AC3C95" w:rsidP="0047040C">
            <w:pPr>
              <w:ind w:firstLineChars="356" w:firstLine="570"/>
              <w:rPr>
                <w:sz w:val="16"/>
                <w:szCs w:val="16"/>
              </w:rPr>
            </w:pPr>
            <w:r w:rsidRPr="00AC3C95">
              <w:rPr>
                <w:sz w:val="16"/>
                <w:szCs w:val="16"/>
              </w:rPr>
              <w:t>Персонал</w:t>
            </w:r>
          </w:p>
        </w:tc>
        <w:tc>
          <w:tcPr>
            <w:tcW w:w="485" w:type="pct"/>
            <w:shd w:val="clear" w:color="auto" w:fill="auto"/>
            <w:noWrap/>
            <w:vAlign w:val="center"/>
            <w:hideMark/>
          </w:tcPr>
          <w:p w14:paraId="199F7D38" w14:textId="77777777" w:rsidR="00AC3C95" w:rsidRPr="00AC3C95" w:rsidRDefault="00AC3C95">
            <w:pPr>
              <w:jc w:val="right"/>
              <w:rPr>
                <w:sz w:val="16"/>
                <w:szCs w:val="16"/>
              </w:rPr>
            </w:pPr>
            <w:r w:rsidRPr="00AC3C95">
              <w:rPr>
                <w:sz w:val="16"/>
                <w:szCs w:val="16"/>
              </w:rPr>
              <w:t>8 877 000</w:t>
            </w:r>
          </w:p>
        </w:tc>
        <w:tc>
          <w:tcPr>
            <w:tcW w:w="485" w:type="pct"/>
            <w:shd w:val="clear" w:color="auto" w:fill="auto"/>
            <w:noWrap/>
            <w:vAlign w:val="center"/>
            <w:hideMark/>
          </w:tcPr>
          <w:p w14:paraId="169389AA" w14:textId="77777777" w:rsidR="00AC3C95" w:rsidRPr="00AC3C95" w:rsidRDefault="00AC3C95">
            <w:pPr>
              <w:jc w:val="right"/>
              <w:rPr>
                <w:sz w:val="16"/>
                <w:szCs w:val="16"/>
              </w:rPr>
            </w:pPr>
            <w:r w:rsidRPr="00AC3C95">
              <w:rPr>
                <w:sz w:val="16"/>
                <w:szCs w:val="16"/>
              </w:rPr>
              <w:t>8 891 152</w:t>
            </w:r>
          </w:p>
        </w:tc>
        <w:tc>
          <w:tcPr>
            <w:tcW w:w="520" w:type="pct"/>
            <w:shd w:val="clear" w:color="auto" w:fill="auto"/>
            <w:noWrap/>
            <w:vAlign w:val="center"/>
            <w:hideMark/>
          </w:tcPr>
          <w:p w14:paraId="3514FAB4" w14:textId="77777777" w:rsidR="00AC3C95" w:rsidRPr="00AC3C95" w:rsidRDefault="00AC3C95">
            <w:pPr>
              <w:jc w:val="right"/>
              <w:rPr>
                <w:sz w:val="16"/>
                <w:szCs w:val="16"/>
              </w:rPr>
            </w:pPr>
            <w:r w:rsidRPr="00AC3C95">
              <w:rPr>
                <w:sz w:val="16"/>
                <w:szCs w:val="16"/>
              </w:rPr>
              <w:t>4 582 624</w:t>
            </w:r>
          </w:p>
        </w:tc>
      </w:tr>
      <w:tr w:rsidR="00AC3C95" w:rsidRPr="00AC3C95" w14:paraId="41976BB3" w14:textId="77777777" w:rsidTr="0047040C">
        <w:trPr>
          <w:trHeight w:val="221"/>
        </w:trPr>
        <w:tc>
          <w:tcPr>
            <w:tcW w:w="237" w:type="pct"/>
            <w:shd w:val="clear" w:color="auto" w:fill="auto"/>
            <w:noWrap/>
            <w:vAlign w:val="center"/>
            <w:hideMark/>
          </w:tcPr>
          <w:p w14:paraId="0DF5C7A2" w14:textId="77777777" w:rsidR="00AC3C95" w:rsidRPr="00AC3C95" w:rsidRDefault="00AC3C95">
            <w:pPr>
              <w:jc w:val="both"/>
              <w:rPr>
                <w:sz w:val="16"/>
                <w:szCs w:val="16"/>
              </w:rPr>
            </w:pPr>
            <w:r w:rsidRPr="00AC3C95">
              <w:rPr>
                <w:sz w:val="16"/>
                <w:szCs w:val="16"/>
              </w:rPr>
              <w:t> </w:t>
            </w:r>
          </w:p>
        </w:tc>
        <w:tc>
          <w:tcPr>
            <w:tcW w:w="3273" w:type="pct"/>
            <w:shd w:val="clear" w:color="auto" w:fill="auto"/>
            <w:noWrap/>
            <w:vAlign w:val="center"/>
            <w:hideMark/>
          </w:tcPr>
          <w:p w14:paraId="28F83DB0" w14:textId="2579F59D" w:rsidR="00AC3C95" w:rsidRPr="00AC3C95" w:rsidRDefault="00AC3C95" w:rsidP="0047040C">
            <w:pPr>
              <w:ind w:firstLineChars="356" w:firstLine="570"/>
              <w:rPr>
                <w:sz w:val="16"/>
                <w:szCs w:val="16"/>
              </w:rPr>
            </w:pPr>
            <w:r w:rsidRPr="00AC3C95">
              <w:rPr>
                <w:sz w:val="16"/>
                <w:szCs w:val="16"/>
              </w:rPr>
              <w:t>Издръжка</w:t>
            </w:r>
          </w:p>
        </w:tc>
        <w:tc>
          <w:tcPr>
            <w:tcW w:w="485" w:type="pct"/>
            <w:shd w:val="clear" w:color="auto" w:fill="auto"/>
            <w:noWrap/>
            <w:vAlign w:val="center"/>
            <w:hideMark/>
          </w:tcPr>
          <w:p w14:paraId="566351E1" w14:textId="77777777" w:rsidR="00AC3C95" w:rsidRPr="00AC3C95" w:rsidRDefault="00AC3C95">
            <w:pPr>
              <w:jc w:val="right"/>
              <w:rPr>
                <w:sz w:val="16"/>
                <w:szCs w:val="16"/>
              </w:rPr>
            </w:pPr>
            <w:r w:rsidRPr="00AC3C95">
              <w:rPr>
                <w:sz w:val="16"/>
                <w:szCs w:val="16"/>
              </w:rPr>
              <w:t>3 208 100</w:t>
            </w:r>
          </w:p>
        </w:tc>
        <w:tc>
          <w:tcPr>
            <w:tcW w:w="485" w:type="pct"/>
            <w:shd w:val="clear" w:color="auto" w:fill="auto"/>
            <w:noWrap/>
            <w:vAlign w:val="center"/>
            <w:hideMark/>
          </w:tcPr>
          <w:p w14:paraId="3B490B21" w14:textId="77777777" w:rsidR="00AC3C95" w:rsidRPr="00AC3C95" w:rsidRDefault="00AC3C95">
            <w:pPr>
              <w:jc w:val="right"/>
              <w:rPr>
                <w:sz w:val="16"/>
                <w:szCs w:val="16"/>
              </w:rPr>
            </w:pPr>
            <w:r w:rsidRPr="00AC3C95">
              <w:rPr>
                <w:sz w:val="16"/>
                <w:szCs w:val="16"/>
              </w:rPr>
              <w:t>3 208 100</w:t>
            </w:r>
          </w:p>
        </w:tc>
        <w:tc>
          <w:tcPr>
            <w:tcW w:w="520" w:type="pct"/>
            <w:shd w:val="clear" w:color="auto" w:fill="auto"/>
            <w:noWrap/>
            <w:vAlign w:val="center"/>
            <w:hideMark/>
          </w:tcPr>
          <w:p w14:paraId="7C3CBFCF" w14:textId="77777777" w:rsidR="00AC3C95" w:rsidRPr="00AC3C95" w:rsidRDefault="00AC3C95">
            <w:pPr>
              <w:jc w:val="right"/>
              <w:rPr>
                <w:sz w:val="16"/>
                <w:szCs w:val="16"/>
              </w:rPr>
            </w:pPr>
            <w:r w:rsidRPr="00AC3C95">
              <w:rPr>
                <w:sz w:val="16"/>
                <w:szCs w:val="16"/>
              </w:rPr>
              <w:t>836 875</w:t>
            </w:r>
          </w:p>
        </w:tc>
      </w:tr>
      <w:tr w:rsidR="00AC3C95" w:rsidRPr="00AC3C95" w14:paraId="48309DE6" w14:textId="77777777" w:rsidTr="0047040C">
        <w:trPr>
          <w:trHeight w:val="140"/>
        </w:trPr>
        <w:tc>
          <w:tcPr>
            <w:tcW w:w="237" w:type="pct"/>
            <w:shd w:val="clear" w:color="auto" w:fill="auto"/>
            <w:noWrap/>
            <w:vAlign w:val="center"/>
            <w:hideMark/>
          </w:tcPr>
          <w:p w14:paraId="690B8379" w14:textId="77777777" w:rsidR="00AC3C95" w:rsidRPr="00AC3C95" w:rsidRDefault="00AC3C95">
            <w:pPr>
              <w:jc w:val="both"/>
              <w:rPr>
                <w:sz w:val="16"/>
                <w:szCs w:val="16"/>
              </w:rPr>
            </w:pPr>
            <w:r w:rsidRPr="00AC3C95">
              <w:rPr>
                <w:sz w:val="16"/>
                <w:szCs w:val="16"/>
              </w:rPr>
              <w:t> </w:t>
            </w:r>
          </w:p>
        </w:tc>
        <w:tc>
          <w:tcPr>
            <w:tcW w:w="3273" w:type="pct"/>
            <w:shd w:val="clear" w:color="auto" w:fill="auto"/>
            <w:noWrap/>
            <w:vAlign w:val="center"/>
            <w:hideMark/>
          </w:tcPr>
          <w:p w14:paraId="79BFA3CD" w14:textId="6B357B5C" w:rsidR="00AC3C95" w:rsidRPr="00AC3C95" w:rsidRDefault="00AC3C95" w:rsidP="0047040C">
            <w:pPr>
              <w:ind w:firstLineChars="356" w:firstLine="570"/>
              <w:rPr>
                <w:sz w:val="16"/>
                <w:szCs w:val="16"/>
              </w:rPr>
            </w:pPr>
            <w:r w:rsidRPr="00AC3C95">
              <w:rPr>
                <w:sz w:val="16"/>
                <w:szCs w:val="16"/>
              </w:rPr>
              <w:t>Капиталови разходи</w:t>
            </w:r>
          </w:p>
        </w:tc>
        <w:tc>
          <w:tcPr>
            <w:tcW w:w="485" w:type="pct"/>
            <w:shd w:val="clear" w:color="auto" w:fill="auto"/>
            <w:noWrap/>
            <w:vAlign w:val="center"/>
            <w:hideMark/>
          </w:tcPr>
          <w:p w14:paraId="47FBF06D" w14:textId="77777777" w:rsidR="00AC3C95" w:rsidRPr="00AC3C95" w:rsidRDefault="00AC3C95">
            <w:pPr>
              <w:jc w:val="right"/>
              <w:rPr>
                <w:sz w:val="16"/>
                <w:szCs w:val="16"/>
              </w:rPr>
            </w:pPr>
            <w:r w:rsidRPr="00AC3C95">
              <w:rPr>
                <w:sz w:val="16"/>
                <w:szCs w:val="16"/>
              </w:rPr>
              <w:t>3 918 800</w:t>
            </w:r>
          </w:p>
        </w:tc>
        <w:tc>
          <w:tcPr>
            <w:tcW w:w="485" w:type="pct"/>
            <w:shd w:val="clear" w:color="auto" w:fill="auto"/>
            <w:noWrap/>
            <w:vAlign w:val="center"/>
            <w:hideMark/>
          </w:tcPr>
          <w:p w14:paraId="2743504E" w14:textId="77777777" w:rsidR="00AC3C95" w:rsidRPr="00AC3C95" w:rsidRDefault="00AC3C95">
            <w:pPr>
              <w:jc w:val="right"/>
              <w:rPr>
                <w:sz w:val="16"/>
                <w:szCs w:val="16"/>
              </w:rPr>
            </w:pPr>
            <w:r w:rsidRPr="00AC3C95">
              <w:rPr>
                <w:sz w:val="16"/>
                <w:szCs w:val="16"/>
              </w:rPr>
              <w:t>3 918 800</w:t>
            </w:r>
          </w:p>
        </w:tc>
        <w:tc>
          <w:tcPr>
            <w:tcW w:w="520" w:type="pct"/>
            <w:shd w:val="clear" w:color="auto" w:fill="auto"/>
            <w:noWrap/>
            <w:vAlign w:val="center"/>
            <w:hideMark/>
          </w:tcPr>
          <w:p w14:paraId="5C6C777B" w14:textId="77777777" w:rsidR="00AC3C95" w:rsidRPr="00AC3C95" w:rsidRDefault="00AC3C95">
            <w:pPr>
              <w:jc w:val="right"/>
              <w:rPr>
                <w:sz w:val="16"/>
                <w:szCs w:val="16"/>
              </w:rPr>
            </w:pPr>
            <w:r w:rsidRPr="00AC3C95">
              <w:rPr>
                <w:sz w:val="16"/>
                <w:szCs w:val="16"/>
              </w:rPr>
              <w:t> </w:t>
            </w:r>
          </w:p>
        </w:tc>
      </w:tr>
      <w:tr w:rsidR="00AC3C95" w:rsidRPr="00AC3C95" w14:paraId="7C92F6D9" w14:textId="77777777" w:rsidTr="0047040C">
        <w:trPr>
          <w:trHeight w:val="214"/>
        </w:trPr>
        <w:tc>
          <w:tcPr>
            <w:tcW w:w="237" w:type="pct"/>
            <w:shd w:val="clear" w:color="000000" w:fill="E6E6E6"/>
            <w:noWrap/>
            <w:vAlign w:val="center"/>
            <w:hideMark/>
          </w:tcPr>
          <w:p w14:paraId="0C264FD5" w14:textId="77777777" w:rsidR="00AC3C95" w:rsidRPr="00AC3C95" w:rsidRDefault="00AC3C95">
            <w:pPr>
              <w:jc w:val="both"/>
              <w:rPr>
                <w:b/>
                <w:bCs/>
                <w:sz w:val="16"/>
                <w:szCs w:val="16"/>
              </w:rPr>
            </w:pPr>
            <w:r w:rsidRPr="00AC3C95">
              <w:rPr>
                <w:b/>
                <w:bCs/>
                <w:sz w:val="16"/>
                <w:szCs w:val="16"/>
              </w:rPr>
              <w:t>2</w:t>
            </w:r>
          </w:p>
        </w:tc>
        <w:tc>
          <w:tcPr>
            <w:tcW w:w="3273" w:type="pct"/>
            <w:shd w:val="clear" w:color="000000" w:fill="E6E6E6"/>
            <w:noWrap/>
            <w:vAlign w:val="center"/>
            <w:hideMark/>
          </w:tcPr>
          <w:p w14:paraId="34D15899" w14:textId="77777777" w:rsidR="00AC3C95" w:rsidRPr="00AC3C95" w:rsidRDefault="00AC3C95">
            <w:pPr>
              <w:ind w:firstLineChars="300" w:firstLine="482"/>
              <w:rPr>
                <w:b/>
                <w:bCs/>
                <w:sz w:val="16"/>
                <w:szCs w:val="16"/>
              </w:rPr>
            </w:pPr>
            <w:r w:rsidRPr="00AC3C95">
              <w:rPr>
                <w:b/>
                <w:bCs/>
                <w:sz w:val="16"/>
                <w:szCs w:val="16"/>
              </w:rPr>
              <w:t xml:space="preserve">Ведомствени разходи по други бюджети и сметки за средства от ЕС </w:t>
            </w:r>
          </w:p>
        </w:tc>
        <w:tc>
          <w:tcPr>
            <w:tcW w:w="485" w:type="pct"/>
            <w:shd w:val="clear" w:color="000000" w:fill="E6E6E6"/>
            <w:noWrap/>
            <w:vAlign w:val="center"/>
            <w:hideMark/>
          </w:tcPr>
          <w:p w14:paraId="5E40C497" w14:textId="77777777" w:rsidR="00AC3C95" w:rsidRPr="00AC3C95" w:rsidRDefault="00AC3C95">
            <w:pPr>
              <w:jc w:val="right"/>
              <w:rPr>
                <w:b/>
                <w:bCs/>
                <w:sz w:val="16"/>
                <w:szCs w:val="16"/>
              </w:rPr>
            </w:pPr>
            <w:r w:rsidRPr="00AC3C95">
              <w:rPr>
                <w:b/>
                <w:bCs/>
                <w:sz w:val="16"/>
                <w:szCs w:val="16"/>
              </w:rPr>
              <w:t>0</w:t>
            </w:r>
          </w:p>
        </w:tc>
        <w:tc>
          <w:tcPr>
            <w:tcW w:w="485" w:type="pct"/>
            <w:shd w:val="clear" w:color="000000" w:fill="E6E6E6"/>
            <w:noWrap/>
            <w:vAlign w:val="center"/>
            <w:hideMark/>
          </w:tcPr>
          <w:p w14:paraId="75C2BAFB" w14:textId="77777777" w:rsidR="00AC3C95" w:rsidRPr="00AC3C95" w:rsidRDefault="00AC3C95">
            <w:pPr>
              <w:jc w:val="right"/>
              <w:rPr>
                <w:b/>
                <w:bCs/>
                <w:sz w:val="16"/>
                <w:szCs w:val="16"/>
              </w:rPr>
            </w:pPr>
            <w:r w:rsidRPr="00AC3C95">
              <w:rPr>
                <w:b/>
                <w:bCs/>
                <w:sz w:val="16"/>
                <w:szCs w:val="16"/>
              </w:rPr>
              <w:t>0</w:t>
            </w:r>
          </w:p>
        </w:tc>
        <w:tc>
          <w:tcPr>
            <w:tcW w:w="520" w:type="pct"/>
            <w:shd w:val="clear" w:color="000000" w:fill="E6E6E6"/>
            <w:noWrap/>
            <w:vAlign w:val="center"/>
            <w:hideMark/>
          </w:tcPr>
          <w:p w14:paraId="4A8C1F20" w14:textId="77777777" w:rsidR="00AC3C95" w:rsidRPr="00AC3C95" w:rsidRDefault="00AC3C95">
            <w:pPr>
              <w:jc w:val="right"/>
              <w:rPr>
                <w:b/>
                <w:bCs/>
                <w:sz w:val="16"/>
                <w:szCs w:val="16"/>
              </w:rPr>
            </w:pPr>
            <w:r w:rsidRPr="00AC3C95">
              <w:rPr>
                <w:b/>
                <w:bCs/>
                <w:sz w:val="16"/>
                <w:szCs w:val="16"/>
              </w:rPr>
              <w:t>3 118 360</w:t>
            </w:r>
          </w:p>
        </w:tc>
      </w:tr>
      <w:tr w:rsidR="00AC3C95" w:rsidRPr="00AC3C95" w14:paraId="29B13843" w14:textId="77777777" w:rsidTr="001329AB">
        <w:trPr>
          <w:trHeight w:val="131"/>
        </w:trPr>
        <w:tc>
          <w:tcPr>
            <w:tcW w:w="237" w:type="pct"/>
            <w:shd w:val="clear" w:color="auto" w:fill="auto"/>
            <w:noWrap/>
            <w:vAlign w:val="center"/>
            <w:hideMark/>
          </w:tcPr>
          <w:p w14:paraId="2D14D613" w14:textId="77777777" w:rsidR="00AC3C95" w:rsidRPr="00AC3C95" w:rsidRDefault="00AC3C95">
            <w:pPr>
              <w:jc w:val="both"/>
              <w:rPr>
                <w:sz w:val="16"/>
                <w:szCs w:val="16"/>
              </w:rPr>
            </w:pPr>
            <w:r w:rsidRPr="00AC3C95">
              <w:rPr>
                <w:sz w:val="16"/>
                <w:szCs w:val="16"/>
              </w:rPr>
              <w:t> </w:t>
            </w:r>
          </w:p>
        </w:tc>
        <w:tc>
          <w:tcPr>
            <w:tcW w:w="3273" w:type="pct"/>
            <w:shd w:val="clear" w:color="auto" w:fill="auto"/>
            <w:noWrap/>
            <w:vAlign w:val="center"/>
            <w:hideMark/>
          </w:tcPr>
          <w:p w14:paraId="13655878" w14:textId="6AD3E5E7" w:rsidR="00AC3C95" w:rsidRPr="00AC3C95" w:rsidRDefault="00AC3C95" w:rsidP="0047040C">
            <w:pPr>
              <w:ind w:firstLineChars="356" w:firstLine="570"/>
              <w:rPr>
                <w:sz w:val="16"/>
                <w:szCs w:val="16"/>
              </w:rPr>
            </w:pPr>
            <w:r w:rsidRPr="00AC3C95">
              <w:rPr>
                <w:sz w:val="16"/>
                <w:szCs w:val="16"/>
              </w:rPr>
              <w:t>Персонал</w:t>
            </w:r>
          </w:p>
        </w:tc>
        <w:tc>
          <w:tcPr>
            <w:tcW w:w="485" w:type="pct"/>
            <w:shd w:val="clear" w:color="auto" w:fill="auto"/>
            <w:noWrap/>
            <w:vAlign w:val="center"/>
            <w:hideMark/>
          </w:tcPr>
          <w:p w14:paraId="31FFA499" w14:textId="77777777" w:rsidR="00AC3C95" w:rsidRPr="00AC3C95" w:rsidRDefault="00AC3C95">
            <w:pPr>
              <w:jc w:val="right"/>
              <w:rPr>
                <w:sz w:val="16"/>
                <w:szCs w:val="16"/>
              </w:rPr>
            </w:pPr>
            <w:r w:rsidRPr="00AC3C95">
              <w:rPr>
                <w:sz w:val="16"/>
                <w:szCs w:val="16"/>
              </w:rPr>
              <w:t> </w:t>
            </w:r>
          </w:p>
        </w:tc>
        <w:tc>
          <w:tcPr>
            <w:tcW w:w="485" w:type="pct"/>
            <w:shd w:val="clear" w:color="auto" w:fill="auto"/>
            <w:noWrap/>
            <w:vAlign w:val="center"/>
            <w:hideMark/>
          </w:tcPr>
          <w:p w14:paraId="375A537B" w14:textId="77777777" w:rsidR="00AC3C95" w:rsidRPr="00AC3C95" w:rsidRDefault="00AC3C95">
            <w:pPr>
              <w:jc w:val="right"/>
              <w:rPr>
                <w:sz w:val="16"/>
                <w:szCs w:val="16"/>
              </w:rPr>
            </w:pPr>
            <w:r w:rsidRPr="00AC3C95">
              <w:rPr>
                <w:sz w:val="16"/>
                <w:szCs w:val="16"/>
              </w:rPr>
              <w:t> </w:t>
            </w:r>
          </w:p>
        </w:tc>
        <w:tc>
          <w:tcPr>
            <w:tcW w:w="520" w:type="pct"/>
            <w:shd w:val="clear" w:color="auto" w:fill="auto"/>
            <w:noWrap/>
            <w:vAlign w:val="center"/>
            <w:hideMark/>
          </w:tcPr>
          <w:p w14:paraId="1F415D9E" w14:textId="77777777" w:rsidR="00AC3C95" w:rsidRPr="00AC3C95" w:rsidRDefault="00AC3C95">
            <w:pPr>
              <w:jc w:val="right"/>
              <w:rPr>
                <w:sz w:val="16"/>
                <w:szCs w:val="16"/>
              </w:rPr>
            </w:pPr>
            <w:r w:rsidRPr="00AC3C95">
              <w:rPr>
                <w:sz w:val="16"/>
                <w:szCs w:val="16"/>
              </w:rPr>
              <w:t>723 199</w:t>
            </w:r>
          </w:p>
        </w:tc>
      </w:tr>
      <w:tr w:rsidR="00AC3C95" w:rsidRPr="00AC3C95" w14:paraId="41163CC7" w14:textId="77777777" w:rsidTr="001329AB">
        <w:trPr>
          <w:trHeight w:val="92"/>
        </w:trPr>
        <w:tc>
          <w:tcPr>
            <w:tcW w:w="237" w:type="pct"/>
            <w:shd w:val="clear" w:color="auto" w:fill="auto"/>
            <w:noWrap/>
            <w:vAlign w:val="center"/>
            <w:hideMark/>
          </w:tcPr>
          <w:p w14:paraId="0EC82F38" w14:textId="77777777" w:rsidR="00AC3C95" w:rsidRPr="00AC3C95" w:rsidRDefault="00AC3C95">
            <w:pPr>
              <w:jc w:val="both"/>
              <w:rPr>
                <w:sz w:val="16"/>
                <w:szCs w:val="16"/>
              </w:rPr>
            </w:pPr>
            <w:r w:rsidRPr="00AC3C95">
              <w:rPr>
                <w:sz w:val="16"/>
                <w:szCs w:val="16"/>
              </w:rPr>
              <w:t> </w:t>
            </w:r>
          </w:p>
        </w:tc>
        <w:tc>
          <w:tcPr>
            <w:tcW w:w="3273" w:type="pct"/>
            <w:shd w:val="clear" w:color="auto" w:fill="auto"/>
            <w:noWrap/>
            <w:vAlign w:val="center"/>
            <w:hideMark/>
          </w:tcPr>
          <w:p w14:paraId="30C838C2" w14:textId="634C5BA6" w:rsidR="00AC3C95" w:rsidRPr="00AC3C95" w:rsidRDefault="00AC3C95" w:rsidP="0047040C">
            <w:pPr>
              <w:ind w:firstLineChars="356" w:firstLine="570"/>
              <w:rPr>
                <w:sz w:val="16"/>
                <w:szCs w:val="16"/>
              </w:rPr>
            </w:pPr>
            <w:r w:rsidRPr="00AC3C95">
              <w:rPr>
                <w:sz w:val="16"/>
                <w:szCs w:val="16"/>
              </w:rPr>
              <w:t>Издръжка</w:t>
            </w:r>
          </w:p>
        </w:tc>
        <w:tc>
          <w:tcPr>
            <w:tcW w:w="485" w:type="pct"/>
            <w:shd w:val="clear" w:color="auto" w:fill="auto"/>
            <w:noWrap/>
            <w:vAlign w:val="center"/>
            <w:hideMark/>
          </w:tcPr>
          <w:p w14:paraId="0C3633E9" w14:textId="77777777" w:rsidR="00AC3C95" w:rsidRPr="00AC3C95" w:rsidRDefault="00AC3C95">
            <w:pPr>
              <w:jc w:val="right"/>
              <w:rPr>
                <w:sz w:val="16"/>
                <w:szCs w:val="16"/>
              </w:rPr>
            </w:pPr>
            <w:r w:rsidRPr="00AC3C95">
              <w:rPr>
                <w:sz w:val="16"/>
                <w:szCs w:val="16"/>
              </w:rPr>
              <w:t> </w:t>
            </w:r>
          </w:p>
        </w:tc>
        <w:tc>
          <w:tcPr>
            <w:tcW w:w="485" w:type="pct"/>
            <w:shd w:val="clear" w:color="auto" w:fill="auto"/>
            <w:noWrap/>
            <w:vAlign w:val="center"/>
            <w:hideMark/>
          </w:tcPr>
          <w:p w14:paraId="1672256C" w14:textId="77777777" w:rsidR="00AC3C95" w:rsidRPr="00AC3C95" w:rsidRDefault="00AC3C95">
            <w:pPr>
              <w:jc w:val="right"/>
              <w:rPr>
                <w:sz w:val="16"/>
                <w:szCs w:val="16"/>
              </w:rPr>
            </w:pPr>
            <w:r w:rsidRPr="00AC3C95">
              <w:rPr>
                <w:sz w:val="16"/>
                <w:szCs w:val="16"/>
              </w:rPr>
              <w:t> </w:t>
            </w:r>
          </w:p>
        </w:tc>
        <w:tc>
          <w:tcPr>
            <w:tcW w:w="520" w:type="pct"/>
            <w:shd w:val="clear" w:color="auto" w:fill="auto"/>
            <w:noWrap/>
            <w:vAlign w:val="center"/>
            <w:hideMark/>
          </w:tcPr>
          <w:p w14:paraId="3412676B" w14:textId="77777777" w:rsidR="00AC3C95" w:rsidRPr="00AC3C95" w:rsidRDefault="00AC3C95">
            <w:pPr>
              <w:jc w:val="right"/>
              <w:rPr>
                <w:sz w:val="16"/>
                <w:szCs w:val="16"/>
              </w:rPr>
            </w:pPr>
            <w:r w:rsidRPr="00AC3C95">
              <w:rPr>
                <w:sz w:val="16"/>
                <w:szCs w:val="16"/>
              </w:rPr>
              <w:t>2 395 161</w:t>
            </w:r>
          </w:p>
        </w:tc>
      </w:tr>
      <w:tr w:rsidR="00AC3C95" w:rsidRPr="00AC3C95" w14:paraId="6560DC1C" w14:textId="77777777" w:rsidTr="001329AB">
        <w:trPr>
          <w:trHeight w:val="165"/>
        </w:trPr>
        <w:tc>
          <w:tcPr>
            <w:tcW w:w="237" w:type="pct"/>
            <w:shd w:val="clear" w:color="auto" w:fill="auto"/>
            <w:noWrap/>
            <w:vAlign w:val="center"/>
            <w:hideMark/>
          </w:tcPr>
          <w:p w14:paraId="0D266E05" w14:textId="77777777" w:rsidR="00AC3C95" w:rsidRPr="00AC3C95" w:rsidRDefault="00AC3C95">
            <w:pPr>
              <w:jc w:val="both"/>
              <w:rPr>
                <w:sz w:val="16"/>
                <w:szCs w:val="16"/>
              </w:rPr>
            </w:pPr>
            <w:r w:rsidRPr="00AC3C95">
              <w:rPr>
                <w:sz w:val="16"/>
                <w:szCs w:val="16"/>
              </w:rPr>
              <w:t> </w:t>
            </w:r>
          </w:p>
        </w:tc>
        <w:tc>
          <w:tcPr>
            <w:tcW w:w="3273" w:type="pct"/>
            <w:shd w:val="clear" w:color="auto" w:fill="auto"/>
            <w:noWrap/>
            <w:vAlign w:val="center"/>
            <w:hideMark/>
          </w:tcPr>
          <w:p w14:paraId="1657737C" w14:textId="7A9DBD51" w:rsidR="00AC3C95" w:rsidRPr="00AC3C95" w:rsidRDefault="00AC3C95" w:rsidP="0047040C">
            <w:pPr>
              <w:ind w:firstLineChars="356" w:firstLine="570"/>
              <w:rPr>
                <w:sz w:val="16"/>
                <w:szCs w:val="16"/>
              </w:rPr>
            </w:pPr>
            <w:r w:rsidRPr="00AC3C95">
              <w:rPr>
                <w:sz w:val="16"/>
                <w:szCs w:val="16"/>
              </w:rPr>
              <w:t>Капиталови разходи</w:t>
            </w:r>
          </w:p>
        </w:tc>
        <w:tc>
          <w:tcPr>
            <w:tcW w:w="485" w:type="pct"/>
            <w:shd w:val="clear" w:color="auto" w:fill="auto"/>
            <w:noWrap/>
            <w:vAlign w:val="center"/>
            <w:hideMark/>
          </w:tcPr>
          <w:p w14:paraId="33F62255" w14:textId="77777777" w:rsidR="00AC3C95" w:rsidRPr="00AC3C95" w:rsidRDefault="00AC3C95">
            <w:pPr>
              <w:jc w:val="right"/>
              <w:rPr>
                <w:sz w:val="16"/>
                <w:szCs w:val="16"/>
              </w:rPr>
            </w:pPr>
            <w:r w:rsidRPr="00AC3C95">
              <w:rPr>
                <w:sz w:val="16"/>
                <w:szCs w:val="16"/>
              </w:rPr>
              <w:t> </w:t>
            </w:r>
          </w:p>
        </w:tc>
        <w:tc>
          <w:tcPr>
            <w:tcW w:w="485" w:type="pct"/>
            <w:shd w:val="clear" w:color="auto" w:fill="auto"/>
            <w:noWrap/>
            <w:vAlign w:val="center"/>
            <w:hideMark/>
          </w:tcPr>
          <w:p w14:paraId="048FD8E5" w14:textId="77777777" w:rsidR="00AC3C95" w:rsidRPr="00AC3C95" w:rsidRDefault="00AC3C95">
            <w:pPr>
              <w:jc w:val="right"/>
              <w:rPr>
                <w:sz w:val="16"/>
                <w:szCs w:val="16"/>
              </w:rPr>
            </w:pPr>
            <w:r w:rsidRPr="00AC3C95">
              <w:rPr>
                <w:sz w:val="16"/>
                <w:szCs w:val="16"/>
              </w:rPr>
              <w:t> </w:t>
            </w:r>
          </w:p>
        </w:tc>
        <w:tc>
          <w:tcPr>
            <w:tcW w:w="520" w:type="pct"/>
            <w:shd w:val="clear" w:color="auto" w:fill="auto"/>
            <w:noWrap/>
            <w:vAlign w:val="center"/>
            <w:hideMark/>
          </w:tcPr>
          <w:p w14:paraId="1D807DA5" w14:textId="77777777" w:rsidR="00AC3C95" w:rsidRPr="00AC3C95" w:rsidRDefault="00AC3C95">
            <w:pPr>
              <w:jc w:val="right"/>
              <w:rPr>
                <w:sz w:val="16"/>
                <w:szCs w:val="16"/>
              </w:rPr>
            </w:pPr>
            <w:r w:rsidRPr="00AC3C95">
              <w:rPr>
                <w:sz w:val="16"/>
                <w:szCs w:val="16"/>
              </w:rPr>
              <w:t> </w:t>
            </w:r>
          </w:p>
        </w:tc>
      </w:tr>
      <w:tr w:rsidR="00AC3C95" w:rsidRPr="00AC3C95" w14:paraId="743EF46E" w14:textId="77777777" w:rsidTr="001329AB">
        <w:trPr>
          <w:trHeight w:val="126"/>
        </w:trPr>
        <w:tc>
          <w:tcPr>
            <w:tcW w:w="237" w:type="pct"/>
            <w:shd w:val="clear" w:color="auto" w:fill="auto"/>
            <w:noWrap/>
            <w:vAlign w:val="center"/>
            <w:hideMark/>
          </w:tcPr>
          <w:p w14:paraId="4FE90EB7" w14:textId="77777777" w:rsidR="00AC3C95" w:rsidRPr="00AC3C95" w:rsidRDefault="00AC3C95">
            <w:pPr>
              <w:jc w:val="both"/>
              <w:rPr>
                <w:sz w:val="16"/>
                <w:szCs w:val="16"/>
              </w:rPr>
            </w:pPr>
            <w:r w:rsidRPr="00AC3C95">
              <w:rPr>
                <w:sz w:val="16"/>
                <w:szCs w:val="16"/>
              </w:rPr>
              <w:t> </w:t>
            </w:r>
          </w:p>
        </w:tc>
        <w:tc>
          <w:tcPr>
            <w:tcW w:w="3273" w:type="pct"/>
            <w:shd w:val="clear" w:color="auto" w:fill="auto"/>
            <w:noWrap/>
            <w:vAlign w:val="center"/>
            <w:hideMark/>
          </w:tcPr>
          <w:p w14:paraId="3AE65594" w14:textId="77777777" w:rsidR="00AC3C95" w:rsidRPr="00AC3C95" w:rsidRDefault="00AC3C95">
            <w:pPr>
              <w:ind w:firstLineChars="200" w:firstLine="320"/>
              <w:rPr>
                <w:sz w:val="16"/>
                <w:szCs w:val="16"/>
              </w:rPr>
            </w:pPr>
            <w:r w:rsidRPr="00AC3C95">
              <w:rPr>
                <w:sz w:val="16"/>
                <w:szCs w:val="16"/>
              </w:rPr>
              <w:t xml:space="preserve">От тях за: * </w:t>
            </w:r>
          </w:p>
        </w:tc>
        <w:tc>
          <w:tcPr>
            <w:tcW w:w="485" w:type="pct"/>
            <w:shd w:val="clear" w:color="auto" w:fill="auto"/>
            <w:noWrap/>
            <w:vAlign w:val="center"/>
            <w:hideMark/>
          </w:tcPr>
          <w:p w14:paraId="316DD31A" w14:textId="77777777" w:rsidR="00AC3C95" w:rsidRPr="00AC3C95" w:rsidRDefault="00AC3C95">
            <w:pPr>
              <w:jc w:val="right"/>
              <w:rPr>
                <w:sz w:val="16"/>
                <w:szCs w:val="16"/>
              </w:rPr>
            </w:pPr>
            <w:r w:rsidRPr="00AC3C95">
              <w:rPr>
                <w:sz w:val="16"/>
                <w:szCs w:val="16"/>
              </w:rPr>
              <w:t> </w:t>
            </w:r>
          </w:p>
        </w:tc>
        <w:tc>
          <w:tcPr>
            <w:tcW w:w="485" w:type="pct"/>
            <w:shd w:val="clear" w:color="auto" w:fill="auto"/>
            <w:noWrap/>
            <w:vAlign w:val="center"/>
            <w:hideMark/>
          </w:tcPr>
          <w:p w14:paraId="5D485918" w14:textId="77777777" w:rsidR="00AC3C95" w:rsidRPr="00AC3C95" w:rsidRDefault="00AC3C95">
            <w:pPr>
              <w:jc w:val="right"/>
              <w:rPr>
                <w:sz w:val="16"/>
                <w:szCs w:val="16"/>
              </w:rPr>
            </w:pPr>
            <w:r w:rsidRPr="00AC3C95">
              <w:rPr>
                <w:sz w:val="16"/>
                <w:szCs w:val="16"/>
              </w:rPr>
              <w:t> </w:t>
            </w:r>
          </w:p>
        </w:tc>
        <w:tc>
          <w:tcPr>
            <w:tcW w:w="520" w:type="pct"/>
            <w:shd w:val="clear" w:color="auto" w:fill="auto"/>
            <w:noWrap/>
            <w:vAlign w:val="center"/>
            <w:hideMark/>
          </w:tcPr>
          <w:p w14:paraId="3B8EE6F4" w14:textId="77777777" w:rsidR="00AC3C95" w:rsidRPr="00AC3C95" w:rsidRDefault="00AC3C95">
            <w:pPr>
              <w:jc w:val="right"/>
              <w:rPr>
                <w:sz w:val="16"/>
                <w:szCs w:val="16"/>
              </w:rPr>
            </w:pPr>
            <w:r w:rsidRPr="00AC3C95">
              <w:rPr>
                <w:sz w:val="16"/>
                <w:szCs w:val="16"/>
              </w:rPr>
              <w:t> </w:t>
            </w:r>
          </w:p>
        </w:tc>
      </w:tr>
      <w:tr w:rsidR="00AC3C95" w:rsidRPr="00AC3C95" w14:paraId="5563B3EA" w14:textId="77777777" w:rsidTr="00AC3C95">
        <w:trPr>
          <w:trHeight w:val="330"/>
        </w:trPr>
        <w:tc>
          <w:tcPr>
            <w:tcW w:w="237" w:type="pct"/>
            <w:shd w:val="clear" w:color="auto" w:fill="auto"/>
            <w:noWrap/>
            <w:vAlign w:val="center"/>
            <w:hideMark/>
          </w:tcPr>
          <w:p w14:paraId="2E341F57" w14:textId="77777777" w:rsidR="00AC3C95" w:rsidRPr="00AC3C95" w:rsidRDefault="00AC3C95">
            <w:pPr>
              <w:jc w:val="both"/>
              <w:rPr>
                <w:sz w:val="16"/>
                <w:szCs w:val="16"/>
              </w:rPr>
            </w:pPr>
            <w:r w:rsidRPr="00AC3C95">
              <w:rPr>
                <w:sz w:val="16"/>
                <w:szCs w:val="16"/>
              </w:rPr>
              <w:t> 2.1</w:t>
            </w:r>
          </w:p>
        </w:tc>
        <w:tc>
          <w:tcPr>
            <w:tcW w:w="3273" w:type="pct"/>
            <w:shd w:val="clear" w:color="auto" w:fill="auto"/>
            <w:vAlign w:val="center"/>
            <w:hideMark/>
          </w:tcPr>
          <w:p w14:paraId="20A31E5B" w14:textId="77777777" w:rsidR="00AC3C95" w:rsidRPr="00AC3C95" w:rsidRDefault="00AC3C95" w:rsidP="001329AB">
            <w:pPr>
              <w:ind w:left="288"/>
              <w:rPr>
                <w:sz w:val="16"/>
                <w:szCs w:val="16"/>
              </w:rPr>
            </w:pPr>
            <w:r w:rsidRPr="00AC3C95">
              <w:rPr>
                <w:sz w:val="16"/>
                <w:szCs w:val="16"/>
              </w:rPr>
              <w:t>Други програми и проекти финансирани от фондове и институции на Европейския съюз (ДЕС)</w:t>
            </w:r>
          </w:p>
        </w:tc>
        <w:tc>
          <w:tcPr>
            <w:tcW w:w="485" w:type="pct"/>
            <w:shd w:val="clear" w:color="auto" w:fill="auto"/>
            <w:noWrap/>
            <w:vAlign w:val="center"/>
            <w:hideMark/>
          </w:tcPr>
          <w:p w14:paraId="2CD0430E" w14:textId="77777777" w:rsidR="00AC3C95" w:rsidRPr="00AC3C95" w:rsidRDefault="00AC3C95">
            <w:pPr>
              <w:jc w:val="right"/>
              <w:rPr>
                <w:sz w:val="16"/>
                <w:szCs w:val="16"/>
              </w:rPr>
            </w:pPr>
            <w:r w:rsidRPr="00AC3C95">
              <w:rPr>
                <w:sz w:val="16"/>
                <w:szCs w:val="16"/>
              </w:rPr>
              <w:t> </w:t>
            </w:r>
          </w:p>
        </w:tc>
        <w:tc>
          <w:tcPr>
            <w:tcW w:w="485" w:type="pct"/>
            <w:shd w:val="clear" w:color="auto" w:fill="auto"/>
            <w:noWrap/>
            <w:vAlign w:val="center"/>
            <w:hideMark/>
          </w:tcPr>
          <w:p w14:paraId="4CA93A31" w14:textId="77777777" w:rsidR="00AC3C95" w:rsidRPr="00AC3C95" w:rsidRDefault="00AC3C95">
            <w:pPr>
              <w:jc w:val="right"/>
              <w:rPr>
                <w:sz w:val="16"/>
                <w:szCs w:val="16"/>
              </w:rPr>
            </w:pPr>
            <w:r w:rsidRPr="00AC3C95">
              <w:rPr>
                <w:sz w:val="16"/>
                <w:szCs w:val="16"/>
              </w:rPr>
              <w:t> </w:t>
            </w:r>
          </w:p>
        </w:tc>
        <w:tc>
          <w:tcPr>
            <w:tcW w:w="520" w:type="pct"/>
            <w:shd w:val="clear" w:color="auto" w:fill="auto"/>
            <w:noWrap/>
            <w:vAlign w:val="center"/>
            <w:hideMark/>
          </w:tcPr>
          <w:p w14:paraId="132A35EE" w14:textId="77777777" w:rsidR="00AC3C95" w:rsidRPr="00AC3C95" w:rsidRDefault="00AC3C95">
            <w:pPr>
              <w:jc w:val="right"/>
              <w:rPr>
                <w:sz w:val="16"/>
                <w:szCs w:val="16"/>
              </w:rPr>
            </w:pPr>
            <w:r w:rsidRPr="00AC3C95">
              <w:rPr>
                <w:sz w:val="16"/>
                <w:szCs w:val="16"/>
              </w:rPr>
              <w:t>3 118 360</w:t>
            </w:r>
          </w:p>
        </w:tc>
      </w:tr>
      <w:tr w:rsidR="00AC3C95" w:rsidRPr="00AC3C95" w14:paraId="685F0922" w14:textId="77777777" w:rsidTr="006029F7">
        <w:trPr>
          <w:trHeight w:val="120"/>
        </w:trPr>
        <w:tc>
          <w:tcPr>
            <w:tcW w:w="237" w:type="pct"/>
            <w:shd w:val="clear" w:color="auto" w:fill="auto"/>
            <w:noWrap/>
            <w:vAlign w:val="center"/>
            <w:hideMark/>
          </w:tcPr>
          <w:p w14:paraId="6CFA0AA5" w14:textId="77777777" w:rsidR="00AC3C95" w:rsidRPr="00AC3C95" w:rsidRDefault="00AC3C95">
            <w:pPr>
              <w:jc w:val="both"/>
              <w:rPr>
                <w:sz w:val="16"/>
                <w:szCs w:val="16"/>
              </w:rPr>
            </w:pPr>
            <w:r w:rsidRPr="00AC3C95">
              <w:rPr>
                <w:sz w:val="16"/>
                <w:szCs w:val="16"/>
              </w:rPr>
              <w:t> </w:t>
            </w:r>
          </w:p>
        </w:tc>
        <w:tc>
          <w:tcPr>
            <w:tcW w:w="3273" w:type="pct"/>
            <w:shd w:val="clear" w:color="auto" w:fill="auto"/>
            <w:noWrap/>
            <w:vAlign w:val="center"/>
            <w:hideMark/>
          </w:tcPr>
          <w:p w14:paraId="4F7758B2" w14:textId="77777777" w:rsidR="00AC3C95" w:rsidRPr="00AC3C95" w:rsidRDefault="00AC3C95">
            <w:pPr>
              <w:ind w:firstLineChars="500" w:firstLine="800"/>
              <w:rPr>
                <w:sz w:val="16"/>
                <w:szCs w:val="16"/>
              </w:rPr>
            </w:pPr>
            <w:r w:rsidRPr="00AC3C95">
              <w:rPr>
                <w:sz w:val="16"/>
                <w:szCs w:val="16"/>
              </w:rPr>
              <w:t> </w:t>
            </w:r>
          </w:p>
        </w:tc>
        <w:tc>
          <w:tcPr>
            <w:tcW w:w="485" w:type="pct"/>
            <w:shd w:val="clear" w:color="auto" w:fill="auto"/>
            <w:noWrap/>
            <w:vAlign w:val="center"/>
            <w:hideMark/>
          </w:tcPr>
          <w:p w14:paraId="30928F23" w14:textId="77777777" w:rsidR="00AC3C95" w:rsidRPr="00AC3C95" w:rsidRDefault="00AC3C95">
            <w:pPr>
              <w:jc w:val="right"/>
              <w:rPr>
                <w:sz w:val="16"/>
                <w:szCs w:val="16"/>
              </w:rPr>
            </w:pPr>
            <w:r w:rsidRPr="00AC3C95">
              <w:rPr>
                <w:sz w:val="16"/>
                <w:szCs w:val="16"/>
              </w:rPr>
              <w:t> </w:t>
            </w:r>
          </w:p>
        </w:tc>
        <w:tc>
          <w:tcPr>
            <w:tcW w:w="485" w:type="pct"/>
            <w:shd w:val="clear" w:color="auto" w:fill="auto"/>
            <w:noWrap/>
            <w:vAlign w:val="center"/>
            <w:hideMark/>
          </w:tcPr>
          <w:p w14:paraId="018A0FD4" w14:textId="77777777" w:rsidR="00AC3C95" w:rsidRPr="00AC3C95" w:rsidRDefault="00AC3C95">
            <w:pPr>
              <w:jc w:val="right"/>
              <w:rPr>
                <w:sz w:val="16"/>
                <w:szCs w:val="16"/>
              </w:rPr>
            </w:pPr>
            <w:r w:rsidRPr="00AC3C95">
              <w:rPr>
                <w:sz w:val="16"/>
                <w:szCs w:val="16"/>
              </w:rPr>
              <w:t> </w:t>
            </w:r>
          </w:p>
        </w:tc>
        <w:tc>
          <w:tcPr>
            <w:tcW w:w="520" w:type="pct"/>
            <w:shd w:val="clear" w:color="auto" w:fill="auto"/>
            <w:noWrap/>
            <w:vAlign w:val="center"/>
            <w:hideMark/>
          </w:tcPr>
          <w:p w14:paraId="288DF0E3" w14:textId="77777777" w:rsidR="00AC3C95" w:rsidRPr="00AC3C95" w:rsidRDefault="00AC3C95">
            <w:pPr>
              <w:jc w:val="right"/>
              <w:rPr>
                <w:sz w:val="16"/>
                <w:szCs w:val="16"/>
              </w:rPr>
            </w:pPr>
            <w:r w:rsidRPr="00AC3C95">
              <w:rPr>
                <w:sz w:val="16"/>
                <w:szCs w:val="16"/>
              </w:rPr>
              <w:t> </w:t>
            </w:r>
          </w:p>
        </w:tc>
      </w:tr>
      <w:tr w:rsidR="00AC3C95" w:rsidRPr="00AC3C95" w14:paraId="5D90F711" w14:textId="77777777" w:rsidTr="006029F7">
        <w:trPr>
          <w:trHeight w:val="208"/>
        </w:trPr>
        <w:tc>
          <w:tcPr>
            <w:tcW w:w="237" w:type="pct"/>
            <w:shd w:val="clear" w:color="auto" w:fill="auto"/>
            <w:noWrap/>
            <w:vAlign w:val="center"/>
            <w:hideMark/>
          </w:tcPr>
          <w:p w14:paraId="20EE4C6F" w14:textId="77777777" w:rsidR="00AC3C95" w:rsidRPr="00AC3C95" w:rsidRDefault="00AC3C95">
            <w:pPr>
              <w:jc w:val="both"/>
              <w:rPr>
                <w:sz w:val="16"/>
                <w:szCs w:val="16"/>
              </w:rPr>
            </w:pPr>
            <w:r w:rsidRPr="00AC3C95">
              <w:rPr>
                <w:sz w:val="16"/>
                <w:szCs w:val="16"/>
              </w:rPr>
              <w:t> </w:t>
            </w:r>
          </w:p>
        </w:tc>
        <w:tc>
          <w:tcPr>
            <w:tcW w:w="3273" w:type="pct"/>
            <w:shd w:val="clear" w:color="auto" w:fill="auto"/>
            <w:noWrap/>
            <w:vAlign w:val="center"/>
            <w:hideMark/>
          </w:tcPr>
          <w:p w14:paraId="70F70FD8" w14:textId="77777777" w:rsidR="00AC3C95" w:rsidRPr="00AC3C95" w:rsidRDefault="00AC3C95">
            <w:pPr>
              <w:rPr>
                <w:i/>
                <w:iCs/>
                <w:sz w:val="16"/>
                <w:szCs w:val="16"/>
              </w:rPr>
            </w:pPr>
            <w:r w:rsidRPr="00AC3C95">
              <w:rPr>
                <w:i/>
                <w:iCs/>
                <w:sz w:val="16"/>
                <w:szCs w:val="16"/>
              </w:rPr>
              <w:t xml:space="preserve">Администрирани разходни показатели </w:t>
            </w:r>
            <w:r w:rsidRPr="00AC3C95">
              <w:rPr>
                <w:sz w:val="16"/>
                <w:szCs w:val="16"/>
              </w:rPr>
              <w:t>**</w:t>
            </w:r>
          </w:p>
        </w:tc>
        <w:tc>
          <w:tcPr>
            <w:tcW w:w="485" w:type="pct"/>
            <w:shd w:val="clear" w:color="auto" w:fill="auto"/>
            <w:noWrap/>
            <w:vAlign w:val="center"/>
            <w:hideMark/>
          </w:tcPr>
          <w:p w14:paraId="5127C349" w14:textId="77777777" w:rsidR="00AC3C95" w:rsidRPr="00AC3C95" w:rsidRDefault="00AC3C95">
            <w:pPr>
              <w:jc w:val="right"/>
              <w:rPr>
                <w:sz w:val="16"/>
                <w:szCs w:val="16"/>
              </w:rPr>
            </w:pPr>
            <w:r w:rsidRPr="00AC3C95">
              <w:rPr>
                <w:sz w:val="16"/>
                <w:szCs w:val="16"/>
              </w:rPr>
              <w:t> </w:t>
            </w:r>
          </w:p>
        </w:tc>
        <w:tc>
          <w:tcPr>
            <w:tcW w:w="485" w:type="pct"/>
            <w:shd w:val="clear" w:color="auto" w:fill="auto"/>
            <w:noWrap/>
            <w:vAlign w:val="center"/>
            <w:hideMark/>
          </w:tcPr>
          <w:p w14:paraId="7D7B9E0F" w14:textId="77777777" w:rsidR="00AC3C95" w:rsidRPr="00AC3C95" w:rsidRDefault="00AC3C95">
            <w:pPr>
              <w:jc w:val="right"/>
              <w:rPr>
                <w:sz w:val="16"/>
                <w:szCs w:val="16"/>
              </w:rPr>
            </w:pPr>
            <w:r w:rsidRPr="00AC3C95">
              <w:rPr>
                <w:sz w:val="16"/>
                <w:szCs w:val="16"/>
              </w:rPr>
              <w:t> </w:t>
            </w:r>
          </w:p>
        </w:tc>
        <w:tc>
          <w:tcPr>
            <w:tcW w:w="520" w:type="pct"/>
            <w:shd w:val="clear" w:color="000000" w:fill="FFFFFF"/>
            <w:noWrap/>
            <w:vAlign w:val="center"/>
            <w:hideMark/>
          </w:tcPr>
          <w:p w14:paraId="0A6B9DCA" w14:textId="77777777" w:rsidR="00AC3C95" w:rsidRPr="00AC3C95" w:rsidRDefault="00AC3C95">
            <w:pPr>
              <w:jc w:val="right"/>
              <w:rPr>
                <w:sz w:val="16"/>
                <w:szCs w:val="16"/>
              </w:rPr>
            </w:pPr>
            <w:r w:rsidRPr="00AC3C95">
              <w:rPr>
                <w:sz w:val="16"/>
                <w:szCs w:val="16"/>
              </w:rPr>
              <w:t> </w:t>
            </w:r>
          </w:p>
        </w:tc>
      </w:tr>
      <w:tr w:rsidR="00AC3C95" w:rsidRPr="00AC3C95" w14:paraId="2F9158C9" w14:textId="77777777" w:rsidTr="00F82209">
        <w:trPr>
          <w:trHeight w:val="125"/>
        </w:trPr>
        <w:tc>
          <w:tcPr>
            <w:tcW w:w="237" w:type="pct"/>
            <w:shd w:val="clear" w:color="000000" w:fill="E6E6E6"/>
            <w:noWrap/>
            <w:vAlign w:val="center"/>
            <w:hideMark/>
          </w:tcPr>
          <w:p w14:paraId="1D633938" w14:textId="77777777" w:rsidR="00AC3C95" w:rsidRPr="00AC3C95" w:rsidRDefault="00AC3C95">
            <w:pPr>
              <w:jc w:val="both"/>
              <w:rPr>
                <w:b/>
                <w:bCs/>
                <w:sz w:val="16"/>
                <w:szCs w:val="16"/>
              </w:rPr>
            </w:pPr>
            <w:r w:rsidRPr="00AC3C95">
              <w:rPr>
                <w:b/>
                <w:bCs/>
                <w:sz w:val="16"/>
                <w:szCs w:val="16"/>
              </w:rPr>
              <w:t>ІІ.</w:t>
            </w:r>
          </w:p>
        </w:tc>
        <w:tc>
          <w:tcPr>
            <w:tcW w:w="3273" w:type="pct"/>
            <w:shd w:val="clear" w:color="000000" w:fill="E6E6E6"/>
            <w:noWrap/>
            <w:vAlign w:val="center"/>
            <w:hideMark/>
          </w:tcPr>
          <w:p w14:paraId="0296DE5B" w14:textId="77777777" w:rsidR="00AC3C95" w:rsidRPr="00AC3C95" w:rsidRDefault="00AC3C95">
            <w:pPr>
              <w:rPr>
                <w:b/>
                <w:bCs/>
                <w:sz w:val="16"/>
                <w:szCs w:val="16"/>
              </w:rPr>
            </w:pPr>
            <w:r w:rsidRPr="00AC3C95">
              <w:rPr>
                <w:b/>
                <w:bCs/>
                <w:sz w:val="16"/>
                <w:szCs w:val="16"/>
              </w:rPr>
              <w:t xml:space="preserve">Администрирани разходни параграфи по бюджета </w:t>
            </w:r>
          </w:p>
        </w:tc>
        <w:tc>
          <w:tcPr>
            <w:tcW w:w="485" w:type="pct"/>
            <w:shd w:val="clear" w:color="000000" w:fill="E6E6E6"/>
            <w:noWrap/>
            <w:vAlign w:val="center"/>
            <w:hideMark/>
          </w:tcPr>
          <w:p w14:paraId="70DD07B2" w14:textId="77777777" w:rsidR="00AC3C95" w:rsidRPr="00AC3C95" w:rsidRDefault="00AC3C95">
            <w:pPr>
              <w:jc w:val="right"/>
              <w:rPr>
                <w:b/>
                <w:bCs/>
                <w:sz w:val="16"/>
                <w:szCs w:val="16"/>
              </w:rPr>
            </w:pPr>
            <w:r w:rsidRPr="00AC3C95">
              <w:rPr>
                <w:b/>
                <w:bCs/>
                <w:sz w:val="16"/>
                <w:szCs w:val="16"/>
              </w:rPr>
              <w:t>400 000</w:t>
            </w:r>
          </w:p>
        </w:tc>
        <w:tc>
          <w:tcPr>
            <w:tcW w:w="485" w:type="pct"/>
            <w:shd w:val="clear" w:color="000000" w:fill="E6E6E6"/>
            <w:noWrap/>
            <w:vAlign w:val="center"/>
            <w:hideMark/>
          </w:tcPr>
          <w:p w14:paraId="6A7D322C" w14:textId="77777777" w:rsidR="00AC3C95" w:rsidRPr="00AC3C95" w:rsidRDefault="00AC3C95">
            <w:pPr>
              <w:jc w:val="right"/>
              <w:rPr>
                <w:b/>
                <w:bCs/>
                <w:sz w:val="16"/>
                <w:szCs w:val="16"/>
              </w:rPr>
            </w:pPr>
            <w:r w:rsidRPr="00AC3C95">
              <w:rPr>
                <w:b/>
                <w:bCs/>
                <w:sz w:val="16"/>
                <w:szCs w:val="16"/>
              </w:rPr>
              <w:t>400 000</w:t>
            </w:r>
          </w:p>
        </w:tc>
        <w:tc>
          <w:tcPr>
            <w:tcW w:w="520" w:type="pct"/>
            <w:shd w:val="clear" w:color="000000" w:fill="E6E6E6"/>
            <w:noWrap/>
            <w:vAlign w:val="center"/>
            <w:hideMark/>
          </w:tcPr>
          <w:p w14:paraId="5FFAB227" w14:textId="77777777" w:rsidR="00AC3C95" w:rsidRPr="00AC3C95" w:rsidRDefault="00AC3C95">
            <w:pPr>
              <w:jc w:val="right"/>
              <w:rPr>
                <w:b/>
                <w:bCs/>
                <w:sz w:val="16"/>
                <w:szCs w:val="16"/>
              </w:rPr>
            </w:pPr>
            <w:r w:rsidRPr="00AC3C95">
              <w:rPr>
                <w:b/>
                <w:bCs/>
                <w:sz w:val="16"/>
                <w:szCs w:val="16"/>
              </w:rPr>
              <w:t>0</w:t>
            </w:r>
          </w:p>
        </w:tc>
      </w:tr>
      <w:tr w:rsidR="00AC3C95" w:rsidRPr="00AC3C95" w14:paraId="2AECFE35" w14:textId="77777777" w:rsidTr="006029F7">
        <w:trPr>
          <w:trHeight w:val="130"/>
        </w:trPr>
        <w:tc>
          <w:tcPr>
            <w:tcW w:w="237" w:type="pct"/>
            <w:shd w:val="clear" w:color="auto" w:fill="auto"/>
            <w:noWrap/>
            <w:vAlign w:val="center"/>
            <w:hideMark/>
          </w:tcPr>
          <w:p w14:paraId="7607EFF5" w14:textId="77777777" w:rsidR="00AC3C95" w:rsidRPr="00AC3C95" w:rsidRDefault="00AC3C95">
            <w:pPr>
              <w:jc w:val="both"/>
              <w:rPr>
                <w:sz w:val="16"/>
                <w:szCs w:val="16"/>
              </w:rPr>
            </w:pPr>
            <w:r w:rsidRPr="00AC3C95">
              <w:rPr>
                <w:sz w:val="16"/>
                <w:szCs w:val="16"/>
              </w:rPr>
              <w:t>1</w:t>
            </w:r>
          </w:p>
        </w:tc>
        <w:tc>
          <w:tcPr>
            <w:tcW w:w="3273" w:type="pct"/>
            <w:shd w:val="clear" w:color="auto" w:fill="auto"/>
            <w:vAlign w:val="center"/>
            <w:hideMark/>
          </w:tcPr>
          <w:p w14:paraId="298D7B26" w14:textId="77777777" w:rsidR="00AC3C95" w:rsidRPr="00AC3C95" w:rsidRDefault="00AC3C95">
            <w:pPr>
              <w:jc w:val="both"/>
              <w:rPr>
                <w:sz w:val="16"/>
                <w:szCs w:val="16"/>
              </w:rPr>
            </w:pPr>
            <w:r w:rsidRPr="00AC3C95">
              <w:rPr>
                <w:sz w:val="16"/>
                <w:szCs w:val="16"/>
              </w:rPr>
              <w:t>Дневни разходи на граждани на трети страни в процедура по международна закрила</w:t>
            </w:r>
          </w:p>
        </w:tc>
        <w:tc>
          <w:tcPr>
            <w:tcW w:w="485" w:type="pct"/>
            <w:shd w:val="clear" w:color="auto" w:fill="auto"/>
            <w:noWrap/>
            <w:vAlign w:val="center"/>
            <w:hideMark/>
          </w:tcPr>
          <w:p w14:paraId="33BA1F12" w14:textId="77777777" w:rsidR="00AC3C95" w:rsidRPr="00AC3C95" w:rsidRDefault="00AC3C95">
            <w:pPr>
              <w:jc w:val="right"/>
              <w:rPr>
                <w:sz w:val="16"/>
                <w:szCs w:val="16"/>
              </w:rPr>
            </w:pPr>
            <w:r w:rsidRPr="00AC3C95">
              <w:rPr>
                <w:sz w:val="16"/>
                <w:szCs w:val="16"/>
              </w:rPr>
              <w:t>400 000</w:t>
            </w:r>
          </w:p>
        </w:tc>
        <w:tc>
          <w:tcPr>
            <w:tcW w:w="485" w:type="pct"/>
            <w:shd w:val="clear" w:color="auto" w:fill="auto"/>
            <w:noWrap/>
            <w:vAlign w:val="center"/>
            <w:hideMark/>
          </w:tcPr>
          <w:p w14:paraId="0646CD36" w14:textId="77777777" w:rsidR="00AC3C95" w:rsidRPr="00AC3C95" w:rsidRDefault="00AC3C95">
            <w:pPr>
              <w:jc w:val="right"/>
              <w:rPr>
                <w:sz w:val="16"/>
                <w:szCs w:val="16"/>
              </w:rPr>
            </w:pPr>
            <w:r w:rsidRPr="00AC3C95">
              <w:rPr>
                <w:sz w:val="16"/>
                <w:szCs w:val="16"/>
              </w:rPr>
              <w:t>400 000</w:t>
            </w:r>
          </w:p>
        </w:tc>
        <w:tc>
          <w:tcPr>
            <w:tcW w:w="520" w:type="pct"/>
            <w:shd w:val="clear" w:color="auto" w:fill="auto"/>
            <w:noWrap/>
            <w:vAlign w:val="center"/>
            <w:hideMark/>
          </w:tcPr>
          <w:p w14:paraId="653B31A9" w14:textId="77777777" w:rsidR="00AC3C95" w:rsidRPr="00AC3C95" w:rsidRDefault="00AC3C95">
            <w:pPr>
              <w:jc w:val="right"/>
              <w:rPr>
                <w:sz w:val="16"/>
                <w:szCs w:val="16"/>
              </w:rPr>
            </w:pPr>
            <w:r w:rsidRPr="00AC3C95">
              <w:rPr>
                <w:sz w:val="16"/>
                <w:szCs w:val="16"/>
              </w:rPr>
              <w:t> </w:t>
            </w:r>
          </w:p>
        </w:tc>
      </w:tr>
      <w:tr w:rsidR="00AC3C95" w:rsidRPr="00AC3C95" w14:paraId="34C0004B" w14:textId="77777777" w:rsidTr="006029F7">
        <w:trPr>
          <w:trHeight w:val="90"/>
        </w:trPr>
        <w:tc>
          <w:tcPr>
            <w:tcW w:w="237" w:type="pct"/>
            <w:shd w:val="clear" w:color="auto" w:fill="auto"/>
            <w:noWrap/>
            <w:vAlign w:val="center"/>
            <w:hideMark/>
          </w:tcPr>
          <w:p w14:paraId="60E0FA9D" w14:textId="77777777" w:rsidR="00AC3C95" w:rsidRPr="00AC3C95" w:rsidRDefault="00AC3C95">
            <w:pPr>
              <w:jc w:val="both"/>
              <w:rPr>
                <w:sz w:val="16"/>
                <w:szCs w:val="16"/>
              </w:rPr>
            </w:pPr>
            <w:r w:rsidRPr="00AC3C95">
              <w:rPr>
                <w:sz w:val="16"/>
                <w:szCs w:val="16"/>
              </w:rPr>
              <w:t> </w:t>
            </w:r>
          </w:p>
        </w:tc>
        <w:tc>
          <w:tcPr>
            <w:tcW w:w="3273" w:type="pct"/>
            <w:shd w:val="clear" w:color="auto" w:fill="auto"/>
            <w:noWrap/>
            <w:vAlign w:val="center"/>
            <w:hideMark/>
          </w:tcPr>
          <w:p w14:paraId="31FB3E31" w14:textId="77777777" w:rsidR="00AC3C95" w:rsidRPr="00AC3C95" w:rsidRDefault="00AC3C95">
            <w:pPr>
              <w:ind w:firstLineChars="200" w:firstLine="320"/>
              <w:rPr>
                <w:sz w:val="16"/>
                <w:szCs w:val="16"/>
              </w:rPr>
            </w:pPr>
            <w:r w:rsidRPr="00AC3C95">
              <w:rPr>
                <w:sz w:val="16"/>
                <w:szCs w:val="16"/>
              </w:rPr>
              <w:t> </w:t>
            </w:r>
          </w:p>
        </w:tc>
        <w:tc>
          <w:tcPr>
            <w:tcW w:w="485" w:type="pct"/>
            <w:shd w:val="clear" w:color="auto" w:fill="auto"/>
            <w:noWrap/>
            <w:vAlign w:val="center"/>
            <w:hideMark/>
          </w:tcPr>
          <w:p w14:paraId="0E8D9986" w14:textId="77777777" w:rsidR="00AC3C95" w:rsidRPr="00AC3C95" w:rsidRDefault="00AC3C95">
            <w:pPr>
              <w:jc w:val="right"/>
              <w:rPr>
                <w:sz w:val="16"/>
                <w:szCs w:val="16"/>
              </w:rPr>
            </w:pPr>
            <w:r w:rsidRPr="00AC3C95">
              <w:rPr>
                <w:sz w:val="16"/>
                <w:szCs w:val="16"/>
              </w:rPr>
              <w:t> </w:t>
            </w:r>
          </w:p>
        </w:tc>
        <w:tc>
          <w:tcPr>
            <w:tcW w:w="485" w:type="pct"/>
            <w:shd w:val="clear" w:color="auto" w:fill="auto"/>
            <w:noWrap/>
            <w:vAlign w:val="center"/>
            <w:hideMark/>
          </w:tcPr>
          <w:p w14:paraId="6947543D" w14:textId="77777777" w:rsidR="00AC3C95" w:rsidRPr="00AC3C95" w:rsidRDefault="00AC3C95">
            <w:pPr>
              <w:jc w:val="right"/>
              <w:rPr>
                <w:sz w:val="16"/>
                <w:szCs w:val="16"/>
              </w:rPr>
            </w:pPr>
            <w:r w:rsidRPr="00AC3C95">
              <w:rPr>
                <w:sz w:val="16"/>
                <w:szCs w:val="16"/>
              </w:rPr>
              <w:t> </w:t>
            </w:r>
          </w:p>
        </w:tc>
        <w:tc>
          <w:tcPr>
            <w:tcW w:w="520" w:type="pct"/>
            <w:shd w:val="clear" w:color="auto" w:fill="auto"/>
            <w:noWrap/>
            <w:vAlign w:val="center"/>
            <w:hideMark/>
          </w:tcPr>
          <w:p w14:paraId="70778897" w14:textId="77777777" w:rsidR="00AC3C95" w:rsidRPr="00AC3C95" w:rsidRDefault="00AC3C95">
            <w:pPr>
              <w:jc w:val="right"/>
              <w:rPr>
                <w:sz w:val="16"/>
                <w:szCs w:val="16"/>
              </w:rPr>
            </w:pPr>
            <w:r w:rsidRPr="00AC3C95">
              <w:rPr>
                <w:sz w:val="16"/>
                <w:szCs w:val="16"/>
              </w:rPr>
              <w:t> </w:t>
            </w:r>
          </w:p>
        </w:tc>
      </w:tr>
      <w:tr w:rsidR="00AC3C95" w:rsidRPr="00AC3C95" w14:paraId="530BCE73" w14:textId="77777777" w:rsidTr="006029F7">
        <w:trPr>
          <w:trHeight w:val="177"/>
        </w:trPr>
        <w:tc>
          <w:tcPr>
            <w:tcW w:w="237" w:type="pct"/>
            <w:shd w:val="clear" w:color="000000" w:fill="E6E6E6"/>
            <w:noWrap/>
            <w:vAlign w:val="center"/>
            <w:hideMark/>
          </w:tcPr>
          <w:p w14:paraId="44D80567" w14:textId="77777777" w:rsidR="00AC3C95" w:rsidRPr="00AC3C95" w:rsidRDefault="00AC3C95">
            <w:pPr>
              <w:jc w:val="both"/>
              <w:rPr>
                <w:b/>
                <w:bCs/>
                <w:sz w:val="16"/>
                <w:szCs w:val="16"/>
              </w:rPr>
            </w:pPr>
            <w:r w:rsidRPr="00AC3C95">
              <w:rPr>
                <w:b/>
                <w:bCs/>
                <w:sz w:val="16"/>
                <w:szCs w:val="16"/>
              </w:rPr>
              <w:t>ІІІ.</w:t>
            </w:r>
          </w:p>
        </w:tc>
        <w:tc>
          <w:tcPr>
            <w:tcW w:w="3273" w:type="pct"/>
            <w:shd w:val="clear" w:color="000000" w:fill="E6E6E6"/>
            <w:noWrap/>
            <w:vAlign w:val="center"/>
            <w:hideMark/>
          </w:tcPr>
          <w:p w14:paraId="2E541730" w14:textId="77777777" w:rsidR="00AC3C95" w:rsidRPr="00AC3C95" w:rsidRDefault="00AC3C95">
            <w:pPr>
              <w:rPr>
                <w:b/>
                <w:bCs/>
                <w:sz w:val="16"/>
                <w:szCs w:val="16"/>
              </w:rPr>
            </w:pPr>
            <w:r w:rsidRPr="00AC3C95">
              <w:rPr>
                <w:b/>
                <w:bCs/>
                <w:sz w:val="16"/>
                <w:szCs w:val="16"/>
              </w:rPr>
              <w:t>Администрирани разходни параграфи по други бюджети и сметки за средства от ЕС</w:t>
            </w:r>
          </w:p>
        </w:tc>
        <w:tc>
          <w:tcPr>
            <w:tcW w:w="485" w:type="pct"/>
            <w:shd w:val="clear" w:color="000000" w:fill="E6E6E6"/>
            <w:noWrap/>
            <w:vAlign w:val="center"/>
            <w:hideMark/>
          </w:tcPr>
          <w:p w14:paraId="6B0A4CF3" w14:textId="77777777" w:rsidR="00AC3C95" w:rsidRPr="00AC3C95" w:rsidRDefault="00AC3C95">
            <w:pPr>
              <w:jc w:val="right"/>
              <w:rPr>
                <w:b/>
                <w:bCs/>
                <w:sz w:val="16"/>
                <w:szCs w:val="16"/>
              </w:rPr>
            </w:pPr>
            <w:r w:rsidRPr="00AC3C95">
              <w:rPr>
                <w:b/>
                <w:bCs/>
                <w:sz w:val="16"/>
                <w:szCs w:val="16"/>
              </w:rPr>
              <w:t>0</w:t>
            </w:r>
          </w:p>
        </w:tc>
        <w:tc>
          <w:tcPr>
            <w:tcW w:w="485" w:type="pct"/>
            <w:shd w:val="clear" w:color="000000" w:fill="E6E6E6"/>
            <w:noWrap/>
            <w:vAlign w:val="center"/>
            <w:hideMark/>
          </w:tcPr>
          <w:p w14:paraId="0536EF2E" w14:textId="77777777" w:rsidR="00AC3C95" w:rsidRPr="00AC3C95" w:rsidRDefault="00AC3C95">
            <w:pPr>
              <w:jc w:val="right"/>
              <w:rPr>
                <w:b/>
                <w:bCs/>
                <w:sz w:val="16"/>
                <w:szCs w:val="16"/>
              </w:rPr>
            </w:pPr>
            <w:r w:rsidRPr="00AC3C95">
              <w:rPr>
                <w:b/>
                <w:bCs/>
                <w:sz w:val="16"/>
                <w:szCs w:val="16"/>
              </w:rPr>
              <w:t>0</w:t>
            </w:r>
          </w:p>
        </w:tc>
        <w:tc>
          <w:tcPr>
            <w:tcW w:w="520" w:type="pct"/>
            <w:shd w:val="clear" w:color="000000" w:fill="E6E6E6"/>
            <w:noWrap/>
            <w:vAlign w:val="center"/>
            <w:hideMark/>
          </w:tcPr>
          <w:p w14:paraId="27827694" w14:textId="77777777" w:rsidR="00AC3C95" w:rsidRPr="00AC3C95" w:rsidRDefault="00AC3C95">
            <w:pPr>
              <w:jc w:val="right"/>
              <w:rPr>
                <w:b/>
                <w:bCs/>
                <w:sz w:val="16"/>
                <w:szCs w:val="16"/>
              </w:rPr>
            </w:pPr>
            <w:r w:rsidRPr="00AC3C95">
              <w:rPr>
                <w:b/>
                <w:bCs/>
                <w:sz w:val="16"/>
                <w:szCs w:val="16"/>
              </w:rPr>
              <w:t>0</w:t>
            </w:r>
          </w:p>
        </w:tc>
      </w:tr>
      <w:tr w:rsidR="00AC3C95" w:rsidRPr="00AC3C95" w14:paraId="300574A8" w14:textId="77777777" w:rsidTr="006029F7">
        <w:trPr>
          <w:trHeight w:val="124"/>
        </w:trPr>
        <w:tc>
          <w:tcPr>
            <w:tcW w:w="237" w:type="pct"/>
            <w:shd w:val="clear" w:color="auto" w:fill="auto"/>
            <w:noWrap/>
            <w:vAlign w:val="center"/>
            <w:hideMark/>
          </w:tcPr>
          <w:p w14:paraId="06FC04F2" w14:textId="77777777" w:rsidR="00AC3C95" w:rsidRPr="00AC3C95" w:rsidRDefault="00AC3C95">
            <w:pPr>
              <w:jc w:val="both"/>
              <w:rPr>
                <w:sz w:val="16"/>
                <w:szCs w:val="16"/>
              </w:rPr>
            </w:pPr>
            <w:r w:rsidRPr="00AC3C95">
              <w:rPr>
                <w:sz w:val="16"/>
                <w:szCs w:val="16"/>
              </w:rPr>
              <w:t> </w:t>
            </w:r>
          </w:p>
        </w:tc>
        <w:tc>
          <w:tcPr>
            <w:tcW w:w="3273" w:type="pct"/>
            <w:shd w:val="clear" w:color="auto" w:fill="auto"/>
            <w:noWrap/>
            <w:vAlign w:val="center"/>
            <w:hideMark/>
          </w:tcPr>
          <w:p w14:paraId="0D56725D" w14:textId="77777777" w:rsidR="00AC3C95" w:rsidRPr="00AC3C95" w:rsidRDefault="00AC3C95">
            <w:pPr>
              <w:ind w:firstLineChars="200" w:firstLine="320"/>
              <w:rPr>
                <w:sz w:val="16"/>
                <w:szCs w:val="16"/>
              </w:rPr>
            </w:pPr>
            <w:r w:rsidRPr="00AC3C95">
              <w:rPr>
                <w:sz w:val="16"/>
                <w:szCs w:val="16"/>
              </w:rPr>
              <w:t> </w:t>
            </w:r>
          </w:p>
        </w:tc>
        <w:tc>
          <w:tcPr>
            <w:tcW w:w="485" w:type="pct"/>
            <w:shd w:val="clear" w:color="auto" w:fill="auto"/>
            <w:noWrap/>
            <w:vAlign w:val="center"/>
            <w:hideMark/>
          </w:tcPr>
          <w:p w14:paraId="486E00F9" w14:textId="77777777" w:rsidR="00AC3C95" w:rsidRPr="00AC3C95" w:rsidRDefault="00AC3C95">
            <w:pPr>
              <w:jc w:val="right"/>
              <w:rPr>
                <w:sz w:val="16"/>
                <w:szCs w:val="16"/>
              </w:rPr>
            </w:pPr>
            <w:r w:rsidRPr="00AC3C95">
              <w:rPr>
                <w:sz w:val="16"/>
                <w:szCs w:val="16"/>
              </w:rPr>
              <w:t> </w:t>
            </w:r>
          </w:p>
        </w:tc>
        <w:tc>
          <w:tcPr>
            <w:tcW w:w="485" w:type="pct"/>
            <w:shd w:val="clear" w:color="auto" w:fill="auto"/>
            <w:noWrap/>
            <w:vAlign w:val="center"/>
            <w:hideMark/>
          </w:tcPr>
          <w:p w14:paraId="3F282A39" w14:textId="77777777" w:rsidR="00AC3C95" w:rsidRPr="00AC3C95" w:rsidRDefault="00AC3C95">
            <w:pPr>
              <w:jc w:val="right"/>
              <w:rPr>
                <w:sz w:val="16"/>
                <w:szCs w:val="16"/>
              </w:rPr>
            </w:pPr>
            <w:r w:rsidRPr="00AC3C95">
              <w:rPr>
                <w:sz w:val="16"/>
                <w:szCs w:val="16"/>
              </w:rPr>
              <w:t> </w:t>
            </w:r>
          </w:p>
        </w:tc>
        <w:tc>
          <w:tcPr>
            <w:tcW w:w="520" w:type="pct"/>
            <w:shd w:val="clear" w:color="auto" w:fill="auto"/>
            <w:noWrap/>
            <w:vAlign w:val="center"/>
            <w:hideMark/>
          </w:tcPr>
          <w:p w14:paraId="02E8976A" w14:textId="77777777" w:rsidR="00AC3C95" w:rsidRPr="00AC3C95" w:rsidRDefault="00AC3C95">
            <w:pPr>
              <w:jc w:val="right"/>
              <w:rPr>
                <w:sz w:val="16"/>
                <w:szCs w:val="16"/>
              </w:rPr>
            </w:pPr>
            <w:r w:rsidRPr="00AC3C95">
              <w:rPr>
                <w:sz w:val="16"/>
                <w:szCs w:val="16"/>
              </w:rPr>
              <w:t> </w:t>
            </w:r>
          </w:p>
        </w:tc>
      </w:tr>
      <w:tr w:rsidR="00AC3C95" w:rsidRPr="00AC3C95" w14:paraId="4CEEDEB4" w14:textId="77777777" w:rsidTr="006029F7">
        <w:trPr>
          <w:trHeight w:val="70"/>
        </w:trPr>
        <w:tc>
          <w:tcPr>
            <w:tcW w:w="237" w:type="pct"/>
            <w:shd w:val="clear" w:color="000000" w:fill="E6E6E6"/>
            <w:noWrap/>
            <w:vAlign w:val="center"/>
            <w:hideMark/>
          </w:tcPr>
          <w:p w14:paraId="5C591EE2" w14:textId="77777777" w:rsidR="00AC3C95" w:rsidRPr="00AC3C95" w:rsidRDefault="00AC3C95">
            <w:pPr>
              <w:jc w:val="both"/>
              <w:rPr>
                <w:b/>
                <w:bCs/>
                <w:sz w:val="16"/>
                <w:szCs w:val="16"/>
              </w:rPr>
            </w:pPr>
            <w:r w:rsidRPr="00AC3C95">
              <w:rPr>
                <w:b/>
                <w:bCs/>
                <w:sz w:val="16"/>
                <w:szCs w:val="16"/>
              </w:rPr>
              <w:t> </w:t>
            </w:r>
          </w:p>
        </w:tc>
        <w:tc>
          <w:tcPr>
            <w:tcW w:w="3273" w:type="pct"/>
            <w:shd w:val="clear" w:color="000000" w:fill="E6E6E6"/>
            <w:noWrap/>
            <w:vAlign w:val="center"/>
            <w:hideMark/>
          </w:tcPr>
          <w:p w14:paraId="6202AA60" w14:textId="77777777" w:rsidR="00AC3C95" w:rsidRPr="00AC3C95" w:rsidRDefault="00AC3C95">
            <w:pPr>
              <w:rPr>
                <w:b/>
                <w:bCs/>
                <w:sz w:val="16"/>
                <w:szCs w:val="16"/>
              </w:rPr>
            </w:pPr>
            <w:r w:rsidRPr="00AC3C95">
              <w:rPr>
                <w:b/>
                <w:bCs/>
                <w:sz w:val="16"/>
                <w:szCs w:val="16"/>
              </w:rPr>
              <w:t>Общо администрирани разходи (ІІ.+ІІІ.):</w:t>
            </w:r>
          </w:p>
        </w:tc>
        <w:tc>
          <w:tcPr>
            <w:tcW w:w="485" w:type="pct"/>
            <w:shd w:val="clear" w:color="000000" w:fill="E6E6E6"/>
            <w:noWrap/>
            <w:vAlign w:val="center"/>
            <w:hideMark/>
          </w:tcPr>
          <w:p w14:paraId="1B4F22C2" w14:textId="77777777" w:rsidR="00AC3C95" w:rsidRPr="00AC3C95" w:rsidRDefault="00AC3C95">
            <w:pPr>
              <w:jc w:val="right"/>
              <w:rPr>
                <w:b/>
                <w:bCs/>
                <w:sz w:val="16"/>
                <w:szCs w:val="16"/>
              </w:rPr>
            </w:pPr>
            <w:r w:rsidRPr="00AC3C95">
              <w:rPr>
                <w:b/>
                <w:bCs/>
                <w:sz w:val="16"/>
                <w:szCs w:val="16"/>
              </w:rPr>
              <w:t>400 000</w:t>
            </w:r>
          </w:p>
        </w:tc>
        <w:tc>
          <w:tcPr>
            <w:tcW w:w="485" w:type="pct"/>
            <w:shd w:val="clear" w:color="000000" w:fill="E6E6E6"/>
            <w:noWrap/>
            <w:vAlign w:val="center"/>
            <w:hideMark/>
          </w:tcPr>
          <w:p w14:paraId="45F525F2" w14:textId="77777777" w:rsidR="00AC3C95" w:rsidRPr="00AC3C95" w:rsidRDefault="00AC3C95">
            <w:pPr>
              <w:jc w:val="right"/>
              <w:rPr>
                <w:b/>
                <w:bCs/>
                <w:sz w:val="16"/>
                <w:szCs w:val="16"/>
              </w:rPr>
            </w:pPr>
            <w:r w:rsidRPr="00AC3C95">
              <w:rPr>
                <w:b/>
                <w:bCs/>
                <w:sz w:val="16"/>
                <w:szCs w:val="16"/>
              </w:rPr>
              <w:t>400 000</w:t>
            </w:r>
          </w:p>
        </w:tc>
        <w:tc>
          <w:tcPr>
            <w:tcW w:w="520" w:type="pct"/>
            <w:shd w:val="clear" w:color="000000" w:fill="E6E6E6"/>
            <w:noWrap/>
            <w:vAlign w:val="center"/>
            <w:hideMark/>
          </w:tcPr>
          <w:p w14:paraId="68BD9AF7" w14:textId="77777777" w:rsidR="00AC3C95" w:rsidRPr="00AC3C95" w:rsidRDefault="00AC3C95">
            <w:pPr>
              <w:jc w:val="right"/>
              <w:rPr>
                <w:b/>
                <w:bCs/>
                <w:sz w:val="16"/>
                <w:szCs w:val="16"/>
              </w:rPr>
            </w:pPr>
            <w:r w:rsidRPr="00AC3C95">
              <w:rPr>
                <w:b/>
                <w:bCs/>
                <w:sz w:val="16"/>
                <w:szCs w:val="16"/>
              </w:rPr>
              <w:t>0</w:t>
            </w:r>
          </w:p>
        </w:tc>
      </w:tr>
      <w:tr w:rsidR="00AC3C95" w:rsidRPr="00AC3C95" w14:paraId="43768923" w14:textId="77777777" w:rsidTr="006029F7">
        <w:trPr>
          <w:trHeight w:val="157"/>
        </w:trPr>
        <w:tc>
          <w:tcPr>
            <w:tcW w:w="237" w:type="pct"/>
            <w:shd w:val="clear" w:color="auto" w:fill="auto"/>
            <w:noWrap/>
            <w:vAlign w:val="center"/>
            <w:hideMark/>
          </w:tcPr>
          <w:p w14:paraId="02E28B97" w14:textId="77777777" w:rsidR="00AC3C95" w:rsidRPr="00AC3C95" w:rsidRDefault="00AC3C95">
            <w:pPr>
              <w:jc w:val="both"/>
              <w:rPr>
                <w:sz w:val="16"/>
                <w:szCs w:val="16"/>
              </w:rPr>
            </w:pPr>
            <w:r w:rsidRPr="00AC3C95">
              <w:rPr>
                <w:sz w:val="16"/>
                <w:szCs w:val="16"/>
              </w:rPr>
              <w:t> </w:t>
            </w:r>
          </w:p>
        </w:tc>
        <w:tc>
          <w:tcPr>
            <w:tcW w:w="3273" w:type="pct"/>
            <w:shd w:val="clear" w:color="auto" w:fill="auto"/>
            <w:noWrap/>
            <w:vAlign w:val="center"/>
            <w:hideMark/>
          </w:tcPr>
          <w:p w14:paraId="4811DE6C" w14:textId="77777777" w:rsidR="00AC3C95" w:rsidRPr="00AC3C95" w:rsidRDefault="00AC3C95">
            <w:pPr>
              <w:rPr>
                <w:sz w:val="16"/>
                <w:szCs w:val="16"/>
              </w:rPr>
            </w:pPr>
            <w:r w:rsidRPr="00AC3C95">
              <w:rPr>
                <w:sz w:val="16"/>
                <w:szCs w:val="16"/>
              </w:rPr>
              <w:t> </w:t>
            </w:r>
          </w:p>
        </w:tc>
        <w:tc>
          <w:tcPr>
            <w:tcW w:w="485" w:type="pct"/>
            <w:shd w:val="clear" w:color="auto" w:fill="auto"/>
            <w:noWrap/>
            <w:vAlign w:val="center"/>
            <w:hideMark/>
          </w:tcPr>
          <w:p w14:paraId="708EA269" w14:textId="77777777" w:rsidR="00AC3C95" w:rsidRPr="00AC3C95" w:rsidRDefault="00AC3C95">
            <w:pPr>
              <w:jc w:val="right"/>
              <w:rPr>
                <w:sz w:val="16"/>
                <w:szCs w:val="16"/>
              </w:rPr>
            </w:pPr>
            <w:r w:rsidRPr="00AC3C95">
              <w:rPr>
                <w:sz w:val="16"/>
                <w:szCs w:val="16"/>
              </w:rPr>
              <w:t> </w:t>
            </w:r>
          </w:p>
        </w:tc>
        <w:tc>
          <w:tcPr>
            <w:tcW w:w="485" w:type="pct"/>
            <w:shd w:val="clear" w:color="auto" w:fill="auto"/>
            <w:noWrap/>
            <w:vAlign w:val="center"/>
            <w:hideMark/>
          </w:tcPr>
          <w:p w14:paraId="2AF98A6F" w14:textId="77777777" w:rsidR="00AC3C95" w:rsidRPr="00AC3C95" w:rsidRDefault="00AC3C95">
            <w:pPr>
              <w:jc w:val="right"/>
              <w:rPr>
                <w:sz w:val="16"/>
                <w:szCs w:val="16"/>
              </w:rPr>
            </w:pPr>
            <w:r w:rsidRPr="00AC3C95">
              <w:rPr>
                <w:sz w:val="16"/>
                <w:szCs w:val="16"/>
              </w:rPr>
              <w:t> </w:t>
            </w:r>
          </w:p>
        </w:tc>
        <w:tc>
          <w:tcPr>
            <w:tcW w:w="520" w:type="pct"/>
            <w:shd w:val="clear" w:color="auto" w:fill="auto"/>
            <w:noWrap/>
            <w:vAlign w:val="center"/>
            <w:hideMark/>
          </w:tcPr>
          <w:p w14:paraId="42409A91" w14:textId="77777777" w:rsidR="00AC3C95" w:rsidRPr="00AC3C95" w:rsidRDefault="00AC3C95">
            <w:pPr>
              <w:jc w:val="right"/>
              <w:rPr>
                <w:sz w:val="16"/>
                <w:szCs w:val="16"/>
              </w:rPr>
            </w:pPr>
            <w:r w:rsidRPr="00AC3C95">
              <w:rPr>
                <w:sz w:val="16"/>
                <w:szCs w:val="16"/>
              </w:rPr>
              <w:t> </w:t>
            </w:r>
          </w:p>
        </w:tc>
      </w:tr>
      <w:tr w:rsidR="00AC3C95" w:rsidRPr="00AC3C95" w14:paraId="761BB08A" w14:textId="77777777" w:rsidTr="006029F7">
        <w:trPr>
          <w:trHeight w:val="60"/>
        </w:trPr>
        <w:tc>
          <w:tcPr>
            <w:tcW w:w="237" w:type="pct"/>
            <w:shd w:val="clear" w:color="000000" w:fill="E6E6E6"/>
            <w:noWrap/>
            <w:vAlign w:val="center"/>
            <w:hideMark/>
          </w:tcPr>
          <w:p w14:paraId="3577E319" w14:textId="77777777" w:rsidR="00AC3C95" w:rsidRPr="00AC3C95" w:rsidRDefault="00AC3C95">
            <w:pPr>
              <w:jc w:val="both"/>
              <w:rPr>
                <w:b/>
                <w:bCs/>
                <w:sz w:val="16"/>
                <w:szCs w:val="16"/>
              </w:rPr>
            </w:pPr>
            <w:r w:rsidRPr="00AC3C95">
              <w:rPr>
                <w:b/>
                <w:bCs/>
                <w:sz w:val="16"/>
                <w:szCs w:val="16"/>
              </w:rPr>
              <w:t> </w:t>
            </w:r>
          </w:p>
        </w:tc>
        <w:tc>
          <w:tcPr>
            <w:tcW w:w="3273" w:type="pct"/>
            <w:shd w:val="clear" w:color="000000" w:fill="E6E6E6"/>
            <w:noWrap/>
            <w:vAlign w:val="center"/>
            <w:hideMark/>
          </w:tcPr>
          <w:p w14:paraId="535018B0" w14:textId="77777777" w:rsidR="00AC3C95" w:rsidRPr="00AC3C95" w:rsidRDefault="00AC3C95">
            <w:pPr>
              <w:rPr>
                <w:b/>
                <w:bCs/>
                <w:sz w:val="16"/>
                <w:szCs w:val="16"/>
              </w:rPr>
            </w:pPr>
            <w:r w:rsidRPr="00AC3C95">
              <w:rPr>
                <w:b/>
                <w:bCs/>
                <w:sz w:val="16"/>
                <w:szCs w:val="16"/>
              </w:rPr>
              <w:t>Общо разходи по бюджета (І.1+ІІ.):</w:t>
            </w:r>
          </w:p>
        </w:tc>
        <w:tc>
          <w:tcPr>
            <w:tcW w:w="485" w:type="pct"/>
            <w:shd w:val="clear" w:color="000000" w:fill="E6E6E6"/>
            <w:noWrap/>
            <w:vAlign w:val="center"/>
            <w:hideMark/>
          </w:tcPr>
          <w:p w14:paraId="42CFF346" w14:textId="77777777" w:rsidR="00AC3C95" w:rsidRPr="00AC3C95" w:rsidRDefault="00AC3C95">
            <w:pPr>
              <w:jc w:val="right"/>
              <w:rPr>
                <w:b/>
                <w:bCs/>
                <w:sz w:val="16"/>
                <w:szCs w:val="16"/>
              </w:rPr>
            </w:pPr>
            <w:r w:rsidRPr="00AC3C95">
              <w:rPr>
                <w:b/>
                <w:bCs/>
                <w:sz w:val="16"/>
                <w:szCs w:val="16"/>
              </w:rPr>
              <w:t>16 403 900</w:t>
            </w:r>
          </w:p>
        </w:tc>
        <w:tc>
          <w:tcPr>
            <w:tcW w:w="485" w:type="pct"/>
            <w:shd w:val="clear" w:color="000000" w:fill="E6E6E6"/>
            <w:noWrap/>
            <w:vAlign w:val="center"/>
            <w:hideMark/>
          </w:tcPr>
          <w:p w14:paraId="3EB4AE61" w14:textId="77777777" w:rsidR="00AC3C95" w:rsidRPr="00AC3C95" w:rsidRDefault="00AC3C95">
            <w:pPr>
              <w:jc w:val="right"/>
              <w:rPr>
                <w:b/>
                <w:bCs/>
                <w:sz w:val="16"/>
                <w:szCs w:val="16"/>
              </w:rPr>
            </w:pPr>
            <w:r w:rsidRPr="00AC3C95">
              <w:rPr>
                <w:b/>
                <w:bCs/>
                <w:sz w:val="16"/>
                <w:szCs w:val="16"/>
              </w:rPr>
              <w:t>16 418 052</w:t>
            </w:r>
          </w:p>
        </w:tc>
        <w:tc>
          <w:tcPr>
            <w:tcW w:w="520" w:type="pct"/>
            <w:shd w:val="clear" w:color="000000" w:fill="E6E6E6"/>
            <w:noWrap/>
            <w:vAlign w:val="center"/>
            <w:hideMark/>
          </w:tcPr>
          <w:p w14:paraId="349292EF" w14:textId="77777777" w:rsidR="00AC3C95" w:rsidRPr="00AC3C95" w:rsidRDefault="00AC3C95">
            <w:pPr>
              <w:jc w:val="right"/>
              <w:rPr>
                <w:b/>
                <w:bCs/>
                <w:sz w:val="16"/>
                <w:szCs w:val="16"/>
              </w:rPr>
            </w:pPr>
            <w:r w:rsidRPr="00AC3C95">
              <w:rPr>
                <w:b/>
                <w:bCs/>
                <w:sz w:val="16"/>
                <w:szCs w:val="16"/>
              </w:rPr>
              <w:t>5 419 499</w:t>
            </w:r>
          </w:p>
        </w:tc>
      </w:tr>
      <w:tr w:rsidR="00AC3C95" w:rsidRPr="00AC3C95" w14:paraId="7D5F0F5F" w14:textId="77777777" w:rsidTr="006029F7">
        <w:trPr>
          <w:trHeight w:val="206"/>
        </w:trPr>
        <w:tc>
          <w:tcPr>
            <w:tcW w:w="237" w:type="pct"/>
            <w:shd w:val="clear" w:color="auto" w:fill="auto"/>
            <w:noWrap/>
            <w:vAlign w:val="center"/>
            <w:hideMark/>
          </w:tcPr>
          <w:p w14:paraId="1F50968B" w14:textId="77777777" w:rsidR="00AC3C95" w:rsidRPr="00AC3C95" w:rsidRDefault="00AC3C95">
            <w:pPr>
              <w:jc w:val="both"/>
              <w:rPr>
                <w:sz w:val="16"/>
                <w:szCs w:val="16"/>
              </w:rPr>
            </w:pPr>
            <w:r w:rsidRPr="00AC3C95">
              <w:rPr>
                <w:sz w:val="16"/>
                <w:szCs w:val="16"/>
              </w:rPr>
              <w:t> </w:t>
            </w:r>
          </w:p>
        </w:tc>
        <w:tc>
          <w:tcPr>
            <w:tcW w:w="3273" w:type="pct"/>
            <w:shd w:val="clear" w:color="auto" w:fill="auto"/>
            <w:noWrap/>
            <w:vAlign w:val="center"/>
            <w:hideMark/>
          </w:tcPr>
          <w:p w14:paraId="71AC2870" w14:textId="77777777" w:rsidR="00AC3C95" w:rsidRPr="00AC3C95" w:rsidRDefault="00AC3C95">
            <w:pPr>
              <w:rPr>
                <w:sz w:val="16"/>
                <w:szCs w:val="16"/>
              </w:rPr>
            </w:pPr>
            <w:r w:rsidRPr="00AC3C95">
              <w:rPr>
                <w:sz w:val="16"/>
                <w:szCs w:val="16"/>
              </w:rPr>
              <w:t> </w:t>
            </w:r>
          </w:p>
        </w:tc>
        <w:tc>
          <w:tcPr>
            <w:tcW w:w="485" w:type="pct"/>
            <w:shd w:val="clear" w:color="auto" w:fill="auto"/>
            <w:noWrap/>
            <w:vAlign w:val="center"/>
            <w:hideMark/>
          </w:tcPr>
          <w:p w14:paraId="749837A3" w14:textId="77777777" w:rsidR="00AC3C95" w:rsidRPr="00AC3C95" w:rsidRDefault="00AC3C95">
            <w:pPr>
              <w:jc w:val="right"/>
              <w:rPr>
                <w:sz w:val="16"/>
                <w:szCs w:val="16"/>
              </w:rPr>
            </w:pPr>
            <w:r w:rsidRPr="00AC3C95">
              <w:rPr>
                <w:sz w:val="16"/>
                <w:szCs w:val="16"/>
              </w:rPr>
              <w:t> </w:t>
            </w:r>
          </w:p>
        </w:tc>
        <w:tc>
          <w:tcPr>
            <w:tcW w:w="485" w:type="pct"/>
            <w:shd w:val="clear" w:color="auto" w:fill="auto"/>
            <w:noWrap/>
            <w:vAlign w:val="center"/>
            <w:hideMark/>
          </w:tcPr>
          <w:p w14:paraId="0E9B583C" w14:textId="77777777" w:rsidR="00AC3C95" w:rsidRPr="00AC3C95" w:rsidRDefault="00AC3C95">
            <w:pPr>
              <w:jc w:val="right"/>
              <w:rPr>
                <w:sz w:val="16"/>
                <w:szCs w:val="16"/>
              </w:rPr>
            </w:pPr>
            <w:r w:rsidRPr="00AC3C95">
              <w:rPr>
                <w:sz w:val="16"/>
                <w:szCs w:val="16"/>
              </w:rPr>
              <w:t> </w:t>
            </w:r>
          </w:p>
        </w:tc>
        <w:tc>
          <w:tcPr>
            <w:tcW w:w="520" w:type="pct"/>
            <w:shd w:val="clear" w:color="auto" w:fill="auto"/>
            <w:noWrap/>
            <w:vAlign w:val="center"/>
            <w:hideMark/>
          </w:tcPr>
          <w:p w14:paraId="7894BE8D" w14:textId="77777777" w:rsidR="00AC3C95" w:rsidRPr="00AC3C95" w:rsidRDefault="00AC3C95">
            <w:pPr>
              <w:jc w:val="right"/>
              <w:rPr>
                <w:sz w:val="16"/>
                <w:szCs w:val="16"/>
              </w:rPr>
            </w:pPr>
            <w:r w:rsidRPr="00AC3C95">
              <w:rPr>
                <w:sz w:val="16"/>
                <w:szCs w:val="16"/>
              </w:rPr>
              <w:t> </w:t>
            </w:r>
          </w:p>
        </w:tc>
      </w:tr>
      <w:tr w:rsidR="00AC3C95" w:rsidRPr="00AC3C95" w14:paraId="5432BD5C" w14:textId="77777777" w:rsidTr="006029F7">
        <w:trPr>
          <w:trHeight w:val="124"/>
        </w:trPr>
        <w:tc>
          <w:tcPr>
            <w:tcW w:w="237" w:type="pct"/>
            <w:shd w:val="clear" w:color="000000" w:fill="E6E6E6"/>
            <w:noWrap/>
            <w:vAlign w:val="center"/>
            <w:hideMark/>
          </w:tcPr>
          <w:p w14:paraId="42DD9BEF" w14:textId="77777777" w:rsidR="00AC3C95" w:rsidRPr="00AC3C95" w:rsidRDefault="00AC3C95">
            <w:pPr>
              <w:jc w:val="both"/>
              <w:rPr>
                <w:b/>
                <w:bCs/>
                <w:sz w:val="16"/>
                <w:szCs w:val="16"/>
              </w:rPr>
            </w:pPr>
            <w:r w:rsidRPr="00AC3C95">
              <w:rPr>
                <w:b/>
                <w:bCs/>
                <w:sz w:val="16"/>
                <w:szCs w:val="16"/>
              </w:rPr>
              <w:t> </w:t>
            </w:r>
          </w:p>
        </w:tc>
        <w:tc>
          <w:tcPr>
            <w:tcW w:w="3273" w:type="pct"/>
            <w:shd w:val="clear" w:color="000000" w:fill="E6E6E6"/>
            <w:noWrap/>
            <w:vAlign w:val="center"/>
            <w:hideMark/>
          </w:tcPr>
          <w:p w14:paraId="4AB3F35E" w14:textId="77777777" w:rsidR="00AC3C95" w:rsidRPr="00AC3C95" w:rsidRDefault="00AC3C95">
            <w:pPr>
              <w:rPr>
                <w:b/>
                <w:bCs/>
                <w:sz w:val="16"/>
                <w:szCs w:val="16"/>
              </w:rPr>
            </w:pPr>
            <w:r w:rsidRPr="00AC3C95">
              <w:rPr>
                <w:b/>
                <w:bCs/>
                <w:sz w:val="16"/>
                <w:szCs w:val="16"/>
              </w:rPr>
              <w:t>Общо разходи (І.+ІІ.+ІІІ.):</w:t>
            </w:r>
          </w:p>
        </w:tc>
        <w:tc>
          <w:tcPr>
            <w:tcW w:w="485" w:type="pct"/>
            <w:shd w:val="clear" w:color="000000" w:fill="E6E6E6"/>
            <w:noWrap/>
            <w:vAlign w:val="center"/>
            <w:hideMark/>
          </w:tcPr>
          <w:p w14:paraId="748C4B4A" w14:textId="77777777" w:rsidR="00AC3C95" w:rsidRPr="00AC3C95" w:rsidRDefault="00AC3C95">
            <w:pPr>
              <w:jc w:val="right"/>
              <w:rPr>
                <w:b/>
                <w:bCs/>
                <w:sz w:val="16"/>
                <w:szCs w:val="16"/>
              </w:rPr>
            </w:pPr>
            <w:r w:rsidRPr="00AC3C95">
              <w:rPr>
                <w:b/>
                <w:bCs/>
                <w:sz w:val="16"/>
                <w:szCs w:val="16"/>
              </w:rPr>
              <w:t>16 403 900</w:t>
            </w:r>
          </w:p>
        </w:tc>
        <w:tc>
          <w:tcPr>
            <w:tcW w:w="485" w:type="pct"/>
            <w:shd w:val="clear" w:color="000000" w:fill="E6E6E6"/>
            <w:noWrap/>
            <w:vAlign w:val="center"/>
            <w:hideMark/>
          </w:tcPr>
          <w:p w14:paraId="45315689" w14:textId="77777777" w:rsidR="00AC3C95" w:rsidRPr="00AC3C95" w:rsidRDefault="00AC3C95">
            <w:pPr>
              <w:jc w:val="right"/>
              <w:rPr>
                <w:b/>
                <w:bCs/>
                <w:sz w:val="16"/>
                <w:szCs w:val="16"/>
              </w:rPr>
            </w:pPr>
            <w:r w:rsidRPr="00AC3C95">
              <w:rPr>
                <w:b/>
                <w:bCs/>
                <w:sz w:val="16"/>
                <w:szCs w:val="16"/>
              </w:rPr>
              <w:t>16 418 052</w:t>
            </w:r>
          </w:p>
        </w:tc>
        <w:tc>
          <w:tcPr>
            <w:tcW w:w="520" w:type="pct"/>
            <w:shd w:val="clear" w:color="000000" w:fill="E6E6E6"/>
            <w:noWrap/>
            <w:vAlign w:val="center"/>
            <w:hideMark/>
          </w:tcPr>
          <w:p w14:paraId="10D19AF7" w14:textId="77777777" w:rsidR="00AC3C95" w:rsidRPr="00AC3C95" w:rsidRDefault="00AC3C95">
            <w:pPr>
              <w:jc w:val="right"/>
              <w:rPr>
                <w:b/>
                <w:bCs/>
                <w:sz w:val="16"/>
                <w:szCs w:val="16"/>
              </w:rPr>
            </w:pPr>
            <w:r w:rsidRPr="00AC3C95">
              <w:rPr>
                <w:b/>
                <w:bCs/>
                <w:sz w:val="16"/>
                <w:szCs w:val="16"/>
              </w:rPr>
              <w:t>8 537 859</w:t>
            </w:r>
          </w:p>
        </w:tc>
      </w:tr>
      <w:tr w:rsidR="00AC3C95" w:rsidRPr="00AC3C95" w14:paraId="09A87041" w14:textId="77777777" w:rsidTr="00F82209">
        <w:trPr>
          <w:trHeight w:val="212"/>
        </w:trPr>
        <w:tc>
          <w:tcPr>
            <w:tcW w:w="237" w:type="pct"/>
            <w:shd w:val="clear" w:color="auto" w:fill="auto"/>
            <w:noWrap/>
            <w:vAlign w:val="center"/>
            <w:hideMark/>
          </w:tcPr>
          <w:p w14:paraId="39976523" w14:textId="77777777" w:rsidR="00AC3C95" w:rsidRPr="00AC3C95" w:rsidRDefault="00AC3C95">
            <w:pPr>
              <w:jc w:val="both"/>
              <w:rPr>
                <w:sz w:val="16"/>
                <w:szCs w:val="16"/>
              </w:rPr>
            </w:pPr>
            <w:r w:rsidRPr="00AC3C95">
              <w:rPr>
                <w:sz w:val="16"/>
                <w:szCs w:val="16"/>
              </w:rPr>
              <w:t> </w:t>
            </w:r>
          </w:p>
        </w:tc>
        <w:tc>
          <w:tcPr>
            <w:tcW w:w="3273" w:type="pct"/>
            <w:shd w:val="clear" w:color="auto" w:fill="auto"/>
            <w:noWrap/>
            <w:vAlign w:val="center"/>
            <w:hideMark/>
          </w:tcPr>
          <w:p w14:paraId="000FCD14" w14:textId="77777777" w:rsidR="00AC3C95" w:rsidRPr="00AC3C95" w:rsidRDefault="00AC3C95">
            <w:pPr>
              <w:rPr>
                <w:sz w:val="16"/>
                <w:szCs w:val="16"/>
              </w:rPr>
            </w:pPr>
            <w:r w:rsidRPr="00AC3C95">
              <w:rPr>
                <w:sz w:val="16"/>
                <w:szCs w:val="16"/>
              </w:rPr>
              <w:t>Численост на щатния персонал</w:t>
            </w:r>
          </w:p>
        </w:tc>
        <w:tc>
          <w:tcPr>
            <w:tcW w:w="485" w:type="pct"/>
            <w:shd w:val="clear" w:color="auto" w:fill="auto"/>
            <w:noWrap/>
            <w:vAlign w:val="center"/>
            <w:hideMark/>
          </w:tcPr>
          <w:p w14:paraId="793B382D" w14:textId="77777777" w:rsidR="00AC3C95" w:rsidRPr="00AC3C95" w:rsidRDefault="00AC3C95">
            <w:pPr>
              <w:jc w:val="right"/>
              <w:rPr>
                <w:sz w:val="16"/>
                <w:szCs w:val="16"/>
              </w:rPr>
            </w:pPr>
            <w:r w:rsidRPr="00AC3C95">
              <w:rPr>
                <w:sz w:val="16"/>
                <w:szCs w:val="16"/>
              </w:rPr>
              <w:t>395</w:t>
            </w:r>
          </w:p>
        </w:tc>
        <w:tc>
          <w:tcPr>
            <w:tcW w:w="485" w:type="pct"/>
            <w:shd w:val="clear" w:color="auto" w:fill="auto"/>
            <w:noWrap/>
            <w:vAlign w:val="center"/>
            <w:hideMark/>
          </w:tcPr>
          <w:p w14:paraId="6FE7143A" w14:textId="77777777" w:rsidR="00AC3C95" w:rsidRPr="00AC3C95" w:rsidRDefault="00AC3C95">
            <w:pPr>
              <w:jc w:val="right"/>
              <w:rPr>
                <w:sz w:val="16"/>
                <w:szCs w:val="16"/>
              </w:rPr>
            </w:pPr>
            <w:r w:rsidRPr="00AC3C95">
              <w:rPr>
                <w:sz w:val="16"/>
                <w:szCs w:val="16"/>
              </w:rPr>
              <w:t>395</w:t>
            </w:r>
          </w:p>
        </w:tc>
        <w:tc>
          <w:tcPr>
            <w:tcW w:w="520" w:type="pct"/>
            <w:shd w:val="clear" w:color="auto" w:fill="auto"/>
            <w:noWrap/>
            <w:vAlign w:val="center"/>
            <w:hideMark/>
          </w:tcPr>
          <w:p w14:paraId="0EFFE2B2" w14:textId="77777777" w:rsidR="00AC3C95" w:rsidRPr="00AC3C95" w:rsidRDefault="00AC3C95">
            <w:pPr>
              <w:jc w:val="right"/>
              <w:rPr>
                <w:sz w:val="16"/>
                <w:szCs w:val="16"/>
              </w:rPr>
            </w:pPr>
            <w:r w:rsidRPr="00AC3C95">
              <w:rPr>
                <w:sz w:val="16"/>
                <w:szCs w:val="16"/>
              </w:rPr>
              <w:t>257</w:t>
            </w:r>
          </w:p>
        </w:tc>
      </w:tr>
    </w:tbl>
    <w:p w14:paraId="1960C63E" w14:textId="77777777" w:rsidR="009B6501" w:rsidRPr="009F01B0" w:rsidRDefault="009B6501" w:rsidP="00CA7DA3">
      <w:pPr>
        <w:pStyle w:val="BodyText2"/>
        <w:shd w:val="clear" w:color="auto" w:fill="FFFFFF" w:themeFill="background1"/>
        <w:spacing w:before="120" w:after="0" w:line="240" w:lineRule="auto"/>
        <w:ind w:firstLine="425"/>
        <w:rPr>
          <w:b/>
          <w:bCs/>
          <w:iCs/>
          <w:color w:val="215E99" w:themeColor="text2" w:themeTint="BF"/>
          <w:sz w:val="22"/>
          <w:szCs w:val="22"/>
          <w:lang w:eastAsia="en-US"/>
        </w:rPr>
      </w:pPr>
      <w:r w:rsidRPr="009F01B0">
        <w:rPr>
          <w:b/>
          <w:bCs/>
          <w:iCs/>
          <w:color w:val="215E99" w:themeColor="text2" w:themeTint="BF"/>
          <w:sz w:val="22"/>
          <w:szCs w:val="22"/>
          <w:lang w:eastAsia="en-US"/>
        </w:rPr>
        <w:t>Организационна структура, участваща в програмата:</w:t>
      </w:r>
    </w:p>
    <w:p w14:paraId="30A1E8DA" w14:textId="77777777" w:rsidR="009B6501" w:rsidRDefault="009B6501" w:rsidP="00CA7DA3">
      <w:pPr>
        <w:shd w:val="clear" w:color="auto" w:fill="FFFFFF" w:themeFill="background1"/>
        <w:ind w:firstLine="426"/>
        <w:jc w:val="both"/>
        <w:rPr>
          <w:rFonts w:eastAsia="Calibri"/>
          <w:sz w:val="22"/>
          <w:szCs w:val="22"/>
          <w:lang w:eastAsia="en-US"/>
        </w:rPr>
      </w:pPr>
      <w:r w:rsidRPr="00FB2CC6">
        <w:rPr>
          <w:rFonts w:eastAsia="Calibri"/>
          <w:sz w:val="22"/>
          <w:szCs w:val="22"/>
          <w:lang w:eastAsia="en-US"/>
        </w:rPr>
        <w:t>Държавна агенция за бежанците при Министерския съвет.</w:t>
      </w:r>
    </w:p>
    <w:p w14:paraId="0CA57978" w14:textId="77777777" w:rsidR="009B6501" w:rsidRPr="009F01B0" w:rsidRDefault="009B6501" w:rsidP="00CA7DA3">
      <w:pPr>
        <w:pStyle w:val="BodyText2"/>
        <w:shd w:val="clear" w:color="auto" w:fill="FFFFFF" w:themeFill="background1"/>
        <w:spacing w:before="120" w:after="0" w:line="240" w:lineRule="auto"/>
        <w:ind w:firstLine="426"/>
        <w:rPr>
          <w:b/>
          <w:bCs/>
          <w:iCs/>
          <w:color w:val="215E99" w:themeColor="text2" w:themeTint="BF"/>
          <w:sz w:val="22"/>
          <w:szCs w:val="22"/>
          <w:lang w:eastAsia="en-US"/>
        </w:rPr>
      </w:pPr>
      <w:r w:rsidRPr="009F01B0">
        <w:rPr>
          <w:b/>
          <w:bCs/>
          <w:iCs/>
          <w:color w:val="215E99" w:themeColor="text2" w:themeTint="BF"/>
          <w:sz w:val="22"/>
          <w:szCs w:val="22"/>
          <w:lang w:eastAsia="en-US"/>
        </w:rPr>
        <w:t>Отговорност за изпълнението на програмата:</w:t>
      </w:r>
    </w:p>
    <w:p w14:paraId="4331AF16" w14:textId="6E845279" w:rsidR="004D1412" w:rsidRPr="009F01B0" w:rsidRDefault="004D1412" w:rsidP="00CA7DA3">
      <w:pPr>
        <w:shd w:val="clear" w:color="auto" w:fill="FFFFFF" w:themeFill="background1"/>
        <w:ind w:firstLine="426"/>
        <w:jc w:val="both"/>
        <w:rPr>
          <w:rFonts w:eastAsia="Calibri"/>
          <w:sz w:val="22"/>
          <w:szCs w:val="22"/>
          <w:lang w:eastAsia="en-US"/>
        </w:rPr>
      </w:pPr>
      <w:r w:rsidRPr="009F01B0">
        <w:rPr>
          <w:rFonts w:eastAsia="Calibri"/>
          <w:sz w:val="22"/>
          <w:szCs w:val="22"/>
          <w:lang w:eastAsia="en-US"/>
        </w:rPr>
        <w:t>Председателят и членовете на програмния съвет на бюджетна програма 0300.</w:t>
      </w:r>
      <w:r w:rsidR="00CB4E5A" w:rsidRPr="009F01B0">
        <w:rPr>
          <w:rFonts w:eastAsia="Calibri"/>
          <w:sz w:val="22"/>
          <w:szCs w:val="22"/>
          <w:lang w:eastAsia="en-US"/>
        </w:rPr>
        <w:t>0</w:t>
      </w:r>
      <w:r w:rsidR="00E861B6" w:rsidRPr="009F01B0">
        <w:rPr>
          <w:rFonts w:eastAsia="Calibri"/>
          <w:sz w:val="22"/>
          <w:szCs w:val="22"/>
          <w:lang w:eastAsia="en-US"/>
        </w:rPr>
        <w:t>7</w:t>
      </w:r>
      <w:r w:rsidRPr="009F01B0">
        <w:rPr>
          <w:rFonts w:eastAsia="Calibri"/>
          <w:sz w:val="22"/>
          <w:szCs w:val="22"/>
          <w:lang w:eastAsia="en-US"/>
        </w:rPr>
        <w:t>.02 „Убежище и бежанци“.</w:t>
      </w:r>
    </w:p>
    <w:sectPr w:rsidR="004D1412" w:rsidRPr="009F01B0" w:rsidSect="00511675">
      <w:pgSz w:w="11906" w:h="16838"/>
      <w:pgMar w:top="1134"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C07A" w14:textId="77777777" w:rsidR="000C2855" w:rsidRDefault="000C2855">
      <w:r>
        <w:separator/>
      </w:r>
    </w:p>
  </w:endnote>
  <w:endnote w:type="continuationSeparator" w:id="0">
    <w:p w14:paraId="698EEA3A" w14:textId="77777777" w:rsidR="000C2855" w:rsidRDefault="000C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TimokU">
    <w:altName w:val="Courier New"/>
    <w:charset w:val="00"/>
    <w:family w:val="auto"/>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2FFB" w14:textId="77777777" w:rsidR="005A4ECE" w:rsidRDefault="005A4ECE" w:rsidP="008451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56A0BA" w14:textId="77777777" w:rsidR="005A4ECE" w:rsidRDefault="005A4ECE" w:rsidP="00367C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6E33" w14:textId="77777777" w:rsidR="005A4ECE" w:rsidRPr="00522968" w:rsidRDefault="005A4ECE" w:rsidP="00522968">
    <w:pPr>
      <w:pStyle w:val="Header"/>
      <w:jc w:val="center"/>
      <w:rPr>
        <w:i/>
        <w:iCs/>
        <w:color w:val="002060"/>
        <w:sz w:val="20"/>
        <w:szCs w:val="20"/>
      </w:rPr>
    </w:pPr>
  </w:p>
  <w:p w14:paraId="70845EEF" w14:textId="77777777" w:rsidR="005A4ECE" w:rsidRPr="00522968" w:rsidRDefault="005A4ECE" w:rsidP="00522968">
    <w:pPr>
      <w:pStyle w:val="Header"/>
      <w:jc w:val="center"/>
      <w:rPr>
        <w:color w:val="002060"/>
        <w:sz w:val="20"/>
        <w:szCs w:val="20"/>
        <w:u w:val="single"/>
      </w:rPr>
    </w:pPr>
    <w:r w:rsidRPr="00522968">
      <w:rPr>
        <w:color w:val="002060"/>
        <w:sz w:val="20"/>
        <w:szCs w:val="20"/>
        <w:u w:val="single"/>
      </w:rPr>
      <w:t>МИНИСТЕРСКИ СЪВЕТ</w:t>
    </w:r>
  </w:p>
  <w:p w14:paraId="213AF0CF" w14:textId="7BC0DD9A" w:rsidR="005A4ECE" w:rsidRPr="00522968" w:rsidRDefault="005A4ECE" w:rsidP="00522968">
    <w:pPr>
      <w:pStyle w:val="Header"/>
      <w:jc w:val="center"/>
      <w:rPr>
        <w:i/>
        <w:iCs/>
        <w:color w:val="002060"/>
        <w:sz w:val="20"/>
        <w:szCs w:val="20"/>
      </w:rPr>
    </w:pPr>
    <w:r w:rsidRPr="00522968">
      <w:rPr>
        <w:i/>
        <w:iCs/>
        <w:color w:val="002060"/>
        <w:sz w:val="20"/>
        <w:szCs w:val="20"/>
      </w:rPr>
      <w:t>Подробен отчет за изпълнението на програмния бюджет към полугодието на 2025 г.</w:t>
    </w:r>
  </w:p>
  <w:p w14:paraId="6D3503F2" w14:textId="77777777" w:rsidR="005A4ECE" w:rsidRPr="00522968" w:rsidRDefault="005A4ECE" w:rsidP="00522968">
    <w:pPr>
      <w:pStyle w:val="Header"/>
      <w:jc w:val="center"/>
      <w:rPr>
        <w:i/>
        <w:iCs/>
        <w:color w:val="002060"/>
        <w:sz w:val="20"/>
        <w:szCs w:val="20"/>
      </w:rPr>
    </w:pPr>
  </w:p>
  <w:p w14:paraId="25E55772" w14:textId="474E0BF4" w:rsidR="005A4ECE" w:rsidRPr="00522968" w:rsidRDefault="005A4ECE" w:rsidP="00522968">
    <w:pPr>
      <w:pStyle w:val="Header"/>
      <w:jc w:val="center"/>
      <w:rPr>
        <w:i/>
        <w:iCs/>
        <w:color w:val="002060"/>
        <w:sz w:val="20"/>
        <w:szCs w:val="20"/>
      </w:rPr>
    </w:pPr>
    <w:r w:rsidRPr="00522968">
      <w:rPr>
        <w:i/>
        <w:iCs/>
        <w:color w:val="002060"/>
        <w:sz w:val="20"/>
        <w:szCs w:val="20"/>
      </w:rPr>
      <w:t xml:space="preserve">стр. </w:t>
    </w:r>
    <w:r w:rsidRPr="00522968">
      <w:rPr>
        <w:b/>
        <w:bCs/>
        <w:i/>
        <w:iCs/>
        <w:color w:val="002060"/>
        <w:sz w:val="20"/>
        <w:szCs w:val="20"/>
      </w:rPr>
      <w:fldChar w:fldCharType="begin"/>
    </w:r>
    <w:r w:rsidRPr="00522968">
      <w:rPr>
        <w:b/>
        <w:bCs/>
        <w:i/>
        <w:iCs/>
        <w:color w:val="002060"/>
        <w:sz w:val="20"/>
        <w:szCs w:val="20"/>
      </w:rPr>
      <w:instrText xml:space="preserve"> PAGE </w:instrText>
    </w:r>
    <w:r w:rsidRPr="00522968">
      <w:rPr>
        <w:b/>
        <w:bCs/>
        <w:i/>
        <w:iCs/>
        <w:color w:val="002060"/>
        <w:sz w:val="20"/>
        <w:szCs w:val="20"/>
      </w:rPr>
      <w:fldChar w:fldCharType="separate"/>
    </w:r>
    <w:r w:rsidR="00924EB6">
      <w:rPr>
        <w:b/>
        <w:bCs/>
        <w:i/>
        <w:iCs/>
        <w:noProof/>
        <w:color w:val="002060"/>
        <w:sz w:val="20"/>
        <w:szCs w:val="20"/>
      </w:rPr>
      <w:t>2</w:t>
    </w:r>
    <w:r w:rsidRPr="00522968">
      <w:rPr>
        <w:b/>
        <w:bCs/>
        <w:i/>
        <w:iCs/>
        <w:color w:val="002060"/>
        <w:sz w:val="20"/>
        <w:szCs w:val="20"/>
      </w:rPr>
      <w:fldChar w:fldCharType="end"/>
    </w:r>
    <w:r w:rsidRPr="00522968">
      <w:rPr>
        <w:i/>
        <w:iCs/>
        <w:color w:val="002060"/>
        <w:sz w:val="20"/>
        <w:szCs w:val="20"/>
      </w:rPr>
      <w:t xml:space="preserve"> от </w:t>
    </w:r>
    <w:r w:rsidRPr="00522968">
      <w:rPr>
        <w:i/>
        <w:iCs/>
        <w:color w:val="002060"/>
        <w:sz w:val="20"/>
        <w:szCs w:val="20"/>
      </w:rPr>
      <w:fldChar w:fldCharType="begin"/>
    </w:r>
    <w:r w:rsidRPr="00522968">
      <w:rPr>
        <w:i/>
        <w:iCs/>
        <w:color w:val="002060"/>
        <w:sz w:val="20"/>
        <w:szCs w:val="20"/>
      </w:rPr>
      <w:instrText xml:space="preserve"> NUMPAGES  </w:instrText>
    </w:r>
    <w:r w:rsidRPr="00522968">
      <w:rPr>
        <w:i/>
        <w:iCs/>
        <w:color w:val="002060"/>
        <w:sz w:val="20"/>
        <w:szCs w:val="20"/>
      </w:rPr>
      <w:fldChar w:fldCharType="separate"/>
    </w:r>
    <w:r w:rsidR="00924EB6">
      <w:rPr>
        <w:i/>
        <w:iCs/>
        <w:noProof/>
        <w:color w:val="002060"/>
        <w:sz w:val="20"/>
        <w:szCs w:val="20"/>
      </w:rPr>
      <w:t>190</w:t>
    </w:r>
    <w:r w:rsidRPr="00522968">
      <w:rPr>
        <w:i/>
        <w:iCs/>
        <w:color w:val="002060"/>
        <w:sz w:val="20"/>
        <w:szCs w:val="20"/>
      </w:rPr>
      <w:fldChar w:fldCharType="end"/>
    </w:r>
  </w:p>
  <w:p w14:paraId="6A58860E" w14:textId="77777777" w:rsidR="005A4ECE" w:rsidRPr="00522968" w:rsidRDefault="005A4ECE" w:rsidP="00367CB6">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2151" w14:textId="77777777" w:rsidR="000C2855" w:rsidRDefault="000C2855">
      <w:r>
        <w:separator/>
      </w:r>
    </w:p>
  </w:footnote>
  <w:footnote w:type="continuationSeparator" w:id="0">
    <w:p w14:paraId="6CF22512" w14:textId="77777777" w:rsidR="000C2855" w:rsidRDefault="000C2855">
      <w:r>
        <w:continuationSeparator/>
      </w:r>
    </w:p>
  </w:footnote>
  <w:footnote w:id="1">
    <w:p w14:paraId="3AA24B84" w14:textId="1B451916" w:rsidR="005A4ECE" w:rsidRPr="00E01327" w:rsidRDefault="005A4ECE" w:rsidP="003F121E">
      <w:pPr>
        <w:pStyle w:val="FootnoteText"/>
        <w:tabs>
          <w:tab w:val="left" w:pos="142"/>
        </w:tabs>
        <w:spacing w:after="120"/>
        <w:jc w:val="both"/>
        <w:rPr>
          <w:sz w:val="16"/>
          <w:szCs w:val="16"/>
        </w:rPr>
      </w:pPr>
      <w:r w:rsidRPr="00E01327">
        <w:rPr>
          <w:rStyle w:val="FootnoteReference"/>
          <w:sz w:val="16"/>
          <w:szCs w:val="16"/>
        </w:rPr>
        <w:footnoteRef/>
      </w:r>
      <w:r w:rsidRPr="00E01327">
        <w:rPr>
          <w:sz w:val="16"/>
          <w:szCs w:val="16"/>
        </w:rPr>
        <w:t xml:space="preserve"> </w:t>
      </w:r>
      <w:r w:rsidRPr="00E01327">
        <w:rPr>
          <w:sz w:val="16"/>
          <w:szCs w:val="16"/>
        </w:rPr>
        <w:tab/>
        <w:t>Европейски социален фонд през програмен период 2014-2020 г.</w:t>
      </w:r>
    </w:p>
  </w:footnote>
  <w:footnote w:id="2">
    <w:p w14:paraId="3C53461F" w14:textId="60FF8523" w:rsidR="005A4ECE" w:rsidRDefault="005A4ECE">
      <w:pPr>
        <w:pStyle w:val="FootnoteText"/>
      </w:pPr>
      <w:r w:rsidRPr="00C77507">
        <w:rPr>
          <w:rStyle w:val="FootnoteReference"/>
          <w:sz w:val="16"/>
          <w:szCs w:val="16"/>
        </w:rPr>
        <w:footnoteRef/>
      </w:r>
      <w:r>
        <w:t xml:space="preserve"> </w:t>
      </w:r>
      <w:r w:rsidRPr="00B57E66">
        <w:rPr>
          <w:sz w:val="16"/>
          <w:szCs w:val="16"/>
        </w:rPr>
        <w:t>Европейски фонд за регионално развитие през програмен период 2021-2027</w:t>
      </w:r>
      <w:r>
        <w:rPr>
          <w:sz w:val="16"/>
          <w:szCs w:val="16"/>
        </w:rPr>
        <w:t xml:space="preserve"> </w:t>
      </w:r>
      <w:r w:rsidRPr="00B57E66">
        <w:rPr>
          <w:sz w:val="16"/>
          <w:szCs w:val="16"/>
        </w:rPr>
        <w:t>г.</w:t>
      </w:r>
    </w:p>
  </w:footnote>
  <w:footnote w:id="3">
    <w:p w14:paraId="1B90D44A" w14:textId="77777777" w:rsidR="005A4ECE" w:rsidRPr="00F122D2" w:rsidRDefault="005A4ECE" w:rsidP="00DB77DA">
      <w:pPr>
        <w:pStyle w:val="FootnoteText"/>
        <w:tabs>
          <w:tab w:val="left" w:pos="142"/>
        </w:tabs>
        <w:spacing w:after="60"/>
        <w:jc w:val="both"/>
        <w:rPr>
          <w:color w:val="215E99" w:themeColor="text2" w:themeTint="BF"/>
          <w:sz w:val="16"/>
          <w:szCs w:val="16"/>
        </w:rPr>
      </w:pPr>
      <w:r w:rsidRPr="00F122D2">
        <w:rPr>
          <w:rStyle w:val="FootnoteReference"/>
          <w:color w:val="215E99" w:themeColor="text2" w:themeTint="BF"/>
          <w:sz w:val="16"/>
          <w:szCs w:val="16"/>
        </w:rPr>
        <w:footnoteRef/>
      </w:r>
      <w:r>
        <w:t xml:space="preserve"> </w:t>
      </w:r>
      <w:r w:rsidRPr="00F122D2">
        <w:rPr>
          <w:color w:val="215E99" w:themeColor="text2" w:themeTint="BF"/>
        </w:rPr>
        <w:tab/>
      </w:r>
      <w:hyperlink r:id="rId1" w:history="1">
        <w:r w:rsidRPr="00F122D2">
          <w:rPr>
            <w:rStyle w:val="Hyperlink"/>
            <w:color w:val="215E99" w:themeColor="text2" w:themeTint="BF"/>
            <w:sz w:val="16"/>
            <w:szCs w:val="16"/>
            <w:u w:val="none"/>
          </w:rPr>
          <w:t>BG16RFTA001-1.008 „Активни и компетентни организации на гражданското общество за повишаване на добавената стойност на политиката на сближаване в България“</w:t>
        </w:r>
      </w:hyperlink>
      <w:r w:rsidRPr="00F122D2">
        <w:rPr>
          <w:rStyle w:val="Hyperlink"/>
          <w:color w:val="215E99" w:themeColor="text2" w:themeTint="BF"/>
          <w:sz w:val="16"/>
          <w:szCs w:val="16"/>
          <w:u w:val="none"/>
          <w:lang w:val="en-US"/>
        </w:rPr>
        <w:t>)</w:t>
      </w:r>
    </w:p>
  </w:footnote>
  <w:footnote w:id="4">
    <w:p w14:paraId="1E2CE3B7" w14:textId="50E9E813" w:rsidR="005A4ECE" w:rsidRPr="005359D6" w:rsidRDefault="005A4ECE" w:rsidP="00DB77DA">
      <w:pPr>
        <w:pStyle w:val="ListParagraph"/>
        <w:spacing w:after="120"/>
        <w:ind w:left="0"/>
        <w:jc w:val="both"/>
        <w:rPr>
          <w:sz w:val="16"/>
          <w:szCs w:val="16"/>
        </w:rPr>
      </w:pPr>
      <w:r w:rsidRPr="006C0D83">
        <w:rPr>
          <w:rStyle w:val="FootnoteReference"/>
          <w:sz w:val="16"/>
          <w:szCs w:val="16"/>
        </w:rPr>
        <w:footnoteRef/>
      </w:r>
      <w:r w:rsidRPr="006C0D83">
        <w:rPr>
          <w:sz w:val="16"/>
          <w:szCs w:val="16"/>
        </w:rPr>
        <w:t xml:space="preserve"> </w:t>
      </w:r>
      <w:hyperlink r:id="rId2" w:history="1">
        <w:r w:rsidRPr="005359D6">
          <w:rPr>
            <w:rStyle w:val="Hyperlink"/>
            <w:color w:val="215E99" w:themeColor="text2" w:themeTint="BF"/>
            <w:sz w:val="16"/>
            <w:szCs w:val="16"/>
            <w:u w:val="none"/>
          </w:rPr>
          <w:t>BG16RFTA001-1.001-0001</w:t>
        </w:r>
      </w:hyperlink>
      <w:r w:rsidRPr="005359D6">
        <w:rPr>
          <w:color w:val="215E99" w:themeColor="text2" w:themeTint="BF"/>
          <w:sz w:val="16"/>
          <w:szCs w:val="16"/>
        </w:rPr>
        <w:t xml:space="preserve">, </w:t>
      </w:r>
      <w:hyperlink r:id="rId3" w:history="1">
        <w:r w:rsidRPr="005359D6">
          <w:rPr>
            <w:rStyle w:val="Hyperlink"/>
            <w:color w:val="215E99" w:themeColor="text2" w:themeTint="BF"/>
            <w:sz w:val="16"/>
            <w:szCs w:val="16"/>
            <w:u w:val="none"/>
          </w:rPr>
          <w:t>BG16RFTA001-1.002-0001</w:t>
        </w:r>
      </w:hyperlink>
      <w:r w:rsidRPr="005359D6">
        <w:rPr>
          <w:rStyle w:val="Hyperlink"/>
          <w:color w:val="215E99" w:themeColor="text2" w:themeTint="BF"/>
          <w:sz w:val="16"/>
          <w:szCs w:val="16"/>
          <w:u w:val="none"/>
        </w:rPr>
        <w:t xml:space="preserve">, </w:t>
      </w:r>
      <w:hyperlink r:id="rId4" w:history="1">
        <w:r w:rsidRPr="005359D6">
          <w:rPr>
            <w:rStyle w:val="Hyperlink"/>
            <w:color w:val="215E99" w:themeColor="text2" w:themeTint="BF"/>
            <w:sz w:val="16"/>
            <w:szCs w:val="16"/>
            <w:u w:val="none"/>
          </w:rPr>
          <w:t>BG16RFTA001-1.003-0001</w:t>
        </w:r>
      </w:hyperlink>
      <w:r w:rsidRPr="005359D6">
        <w:rPr>
          <w:rStyle w:val="Hyperlink"/>
          <w:color w:val="215E99" w:themeColor="text2" w:themeTint="BF"/>
          <w:sz w:val="16"/>
          <w:szCs w:val="16"/>
          <w:u w:val="none"/>
        </w:rPr>
        <w:t xml:space="preserve">, </w:t>
      </w:r>
      <w:hyperlink r:id="rId5" w:history="1">
        <w:r w:rsidRPr="005359D6">
          <w:rPr>
            <w:rStyle w:val="Hyperlink"/>
            <w:color w:val="215E99" w:themeColor="text2" w:themeTint="BF"/>
            <w:sz w:val="16"/>
            <w:szCs w:val="16"/>
            <w:u w:val="none"/>
          </w:rPr>
          <w:t>BG16RFTA001-1.003-0002</w:t>
        </w:r>
      </w:hyperlink>
      <w:r w:rsidRPr="005359D6">
        <w:rPr>
          <w:rStyle w:val="Hyperlink"/>
          <w:color w:val="215E99" w:themeColor="text2" w:themeTint="BF"/>
          <w:sz w:val="16"/>
          <w:szCs w:val="16"/>
          <w:u w:val="none"/>
        </w:rPr>
        <w:t xml:space="preserve">, </w:t>
      </w:r>
      <w:hyperlink r:id="rId6" w:history="1">
        <w:r w:rsidRPr="005359D6">
          <w:rPr>
            <w:rStyle w:val="Hyperlink"/>
            <w:color w:val="215E99" w:themeColor="text2" w:themeTint="BF"/>
            <w:sz w:val="16"/>
            <w:szCs w:val="16"/>
            <w:u w:val="none"/>
          </w:rPr>
          <w:t>BG16RFTA001-1.004-0001</w:t>
        </w:r>
      </w:hyperlink>
      <w:r w:rsidRPr="005359D6">
        <w:rPr>
          <w:rStyle w:val="Hyperlink"/>
          <w:sz w:val="16"/>
          <w:szCs w:val="16"/>
          <w:u w:val="none"/>
        </w:rPr>
        <w:t xml:space="preserve">, </w:t>
      </w:r>
      <w:hyperlink r:id="rId7" w:history="1">
        <w:r w:rsidRPr="005359D6">
          <w:rPr>
            <w:sz w:val="16"/>
            <w:szCs w:val="16"/>
            <w:lang w:eastAsia="en-US"/>
          </w:rPr>
          <w:t>BG16RFTA001-1.005-0001</w:t>
        </w:r>
      </w:hyperlink>
      <w:r w:rsidRPr="005359D6">
        <w:rPr>
          <w:sz w:val="16"/>
          <w:szCs w:val="16"/>
          <w:lang w:eastAsia="en-US"/>
        </w:rPr>
        <w:t xml:space="preserve">, </w:t>
      </w:r>
      <w:hyperlink r:id="rId8" w:history="1">
        <w:r w:rsidRPr="005359D6">
          <w:rPr>
            <w:sz w:val="16"/>
            <w:szCs w:val="16"/>
            <w:lang w:eastAsia="en-US"/>
          </w:rPr>
          <w:t>BG16RFTA001-1.005-0002</w:t>
        </w:r>
      </w:hyperlink>
      <w:r w:rsidRPr="005359D6">
        <w:rPr>
          <w:sz w:val="16"/>
          <w:szCs w:val="16"/>
          <w:lang w:eastAsia="en-US"/>
        </w:rPr>
        <w:t xml:space="preserve"> и </w:t>
      </w:r>
      <w:hyperlink r:id="rId9" w:history="1">
        <w:r w:rsidRPr="005359D6">
          <w:rPr>
            <w:rStyle w:val="Hyperlink"/>
            <w:color w:val="215E99" w:themeColor="text2" w:themeTint="BF"/>
            <w:sz w:val="16"/>
            <w:szCs w:val="16"/>
            <w:u w:val="none"/>
            <w:lang w:eastAsia="en-US"/>
          </w:rPr>
          <w:t>BG16RFTA001-1.005-0003</w:t>
        </w:r>
      </w:hyperlink>
      <w:r w:rsidRPr="005359D6">
        <w:rPr>
          <w:color w:val="215E99" w:themeColor="text2" w:themeTint="BF"/>
          <w:sz w:val="16"/>
          <w:szCs w:val="16"/>
          <w:lang w:eastAsia="en-US"/>
        </w:rPr>
        <w:t xml:space="preserve"> </w:t>
      </w:r>
      <w:r w:rsidRPr="005359D6">
        <w:rPr>
          <w:rStyle w:val="Hyperlink"/>
          <w:color w:val="215E99" w:themeColor="text2" w:themeTint="BF"/>
          <w:sz w:val="16"/>
          <w:szCs w:val="16"/>
          <w:u w:val="none"/>
        </w:rPr>
        <w:t xml:space="preserve">със срок на изпълнение до 31.12.2029 г., както и </w:t>
      </w:r>
      <w:hyperlink r:id="rId10" w:history="1">
        <w:r w:rsidRPr="005359D6">
          <w:rPr>
            <w:rStyle w:val="Hyperlink"/>
            <w:color w:val="215E99" w:themeColor="text2" w:themeTint="BF"/>
            <w:sz w:val="16"/>
            <w:szCs w:val="16"/>
            <w:u w:val="none"/>
          </w:rPr>
          <w:t>BG16RFTA001-1.007-0001</w:t>
        </w:r>
      </w:hyperlink>
      <w:r w:rsidRPr="005359D6">
        <w:rPr>
          <w:rStyle w:val="Hyperlink"/>
          <w:color w:val="215E99" w:themeColor="text2" w:themeTint="BF"/>
          <w:sz w:val="16"/>
          <w:szCs w:val="16"/>
          <w:u w:val="none"/>
        </w:rPr>
        <w:t xml:space="preserve">, </w:t>
      </w:r>
      <w:hyperlink r:id="rId11" w:history="1">
        <w:r w:rsidRPr="005359D6">
          <w:rPr>
            <w:sz w:val="16"/>
            <w:szCs w:val="16"/>
            <w:lang w:eastAsia="en-US"/>
          </w:rPr>
          <w:t>BG16RFTA001-1.009-0001</w:t>
        </w:r>
      </w:hyperlink>
      <w:r w:rsidRPr="005359D6">
        <w:rPr>
          <w:sz w:val="16"/>
          <w:szCs w:val="16"/>
          <w:lang w:eastAsia="en-US"/>
        </w:rPr>
        <w:t xml:space="preserve"> и </w:t>
      </w:r>
      <w:hyperlink r:id="rId12" w:history="1">
        <w:r w:rsidRPr="005359D6">
          <w:rPr>
            <w:sz w:val="16"/>
            <w:szCs w:val="16"/>
            <w:lang w:eastAsia="en-US"/>
          </w:rPr>
          <w:t>BG16RFTA001-1.009-0002</w:t>
        </w:r>
      </w:hyperlink>
      <w:r w:rsidRPr="005359D6">
        <w:rPr>
          <w:sz w:val="16"/>
          <w:szCs w:val="16"/>
          <w:lang w:eastAsia="en-US"/>
        </w:rPr>
        <w:t xml:space="preserve"> със срок на изпълнение до 2027</w:t>
      </w:r>
      <w:r>
        <w:rPr>
          <w:sz w:val="16"/>
          <w:szCs w:val="16"/>
          <w:lang w:val="bg-BG" w:eastAsia="en-US"/>
        </w:rPr>
        <w:t xml:space="preserve"> </w:t>
      </w:r>
      <w:r w:rsidRPr="005359D6">
        <w:rPr>
          <w:sz w:val="16"/>
          <w:szCs w:val="16"/>
          <w:lang w:eastAsia="en-US"/>
        </w:rPr>
        <w:t xml:space="preserve">г. </w:t>
      </w:r>
    </w:p>
  </w:footnote>
  <w:footnote w:id="5">
    <w:p w14:paraId="3B28AC3D" w14:textId="77777777" w:rsidR="005A4ECE" w:rsidRPr="006C0D83" w:rsidRDefault="005A4ECE" w:rsidP="004A0AC0">
      <w:pPr>
        <w:pStyle w:val="ListParagraph"/>
        <w:spacing w:before="200" w:after="120"/>
        <w:ind w:left="0"/>
        <w:jc w:val="both"/>
        <w:rPr>
          <w:sz w:val="16"/>
          <w:szCs w:val="16"/>
        </w:rPr>
      </w:pPr>
      <w:r w:rsidRPr="006C0D83">
        <w:rPr>
          <w:rStyle w:val="FootnoteReference"/>
          <w:sz w:val="16"/>
          <w:szCs w:val="16"/>
        </w:rPr>
        <w:footnoteRef/>
      </w:r>
      <w:r w:rsidRPr="006C0D83">
        <w:rPr>
          <w:sz w:val="16"/>
          <w:szCs w:val="16"/>
        </w:rPr>
        <w:t xml:space="preserve"> </w:t>
      </w:r>
      <w:r>
        <w:rPr>
          <w:sz w:val="16"/>
          <w:szCs w:val="16"/>
        </w:rPr>
        <w:t>ЦКЗ</w:t>
      </w:r>
      <w:r w:rsidRPr="006C0D83">
        <w:rPr>
          <w:sz w:val="16"/>
          <w:szCs w:val="16"/>
        </w:rPr>
        <w:t>, Изпълнителна агенция „Одит на средствата от Европейския съюз“, Министерство на финансите, дирекция „Национален фонд“, Агенцията по обществени поръчки и др.</w:t>
      </w:r>
    </w:p>
  </w:footnote>
  <w:footnote w:id="6">
    <w:p w14:paraId="226461F3" w14:textId="2BD87122" w:rsidR="005A4ECE" w:rsidRPr="004515F9" w:rsidRDefault="005A4ECE" w:rsidP="004A0AC0">
      <w:pPr>
        <w:pStyle w:val="FootnoteText"/>
        <w:spacing w:after="60"/>
        <w:jc w:val="both"/>
        <w:rPr>
          <w:i/>
          <w:iCs/>
          <w:sz w:val="16"/>
          <w:szCs w:val="16"/>
        </w:rPr>
      </w:pPr>
      <w:r w:rsidRPr="004515F9">
        <w:rPr>
          <w:rStyle w:val="FootnoteReference"/>
          <w:sz w:val="16"/>
          <w:szCs w:val="16"/>
        </w:rPr>
        <w:footnoteRef/>
      </w:r>
      <w:r w:rsidRPr="004515F9">
        <w:rPr>
          <w:sz w:val="16"/>
          <w:szCs w:val="16"/>
        </w:rPr>
        <w:t xml:space="preserve"> </w:t>
      </w:r>
      <w:r w:rsidRPr="004515F9">
        <w:rPr>
          <w:bCs/>
          <w:sz w:val="16"/>
          <w:szCs w:val="16"/>
        </w:rPr>
        <w:t>Член</w:t>
      </w:r>
      <w:r w:rsidRPr="004515F9">
        <w:rPr>
          <w:sz w:val="16"/>
          <w:szCs w:val="16"/>
        </w:rPr>
        <w:t xml:space="preserve"> 105 от Регламент (ЕС) 2021/1060</w:t>
      </w:r>
      <w:r>
        <w:rPr>
          <w:sz w:val="16"/>
          <w:szCs w:val="16"/>
        </w:rPr>
        <w:t>:</w:t>
      </w:r>
      <w:r w:rsidRPr="004515F9">
        <w:rPr>
          <w:sz w:val="16"/>
          <w:szCs w:val="16"/>
        </w:rPr>
        <w:t xml:space="preserve"> </w:t>
      </w:r>
      <w:r w:rsidRPr="004515F9">
        <w:rPr>
          <w:i/>
          <w:iCs/>
          <w:sz w:val="16"/>
          <w:szCs w:val="16"/>
        </w:rPr>
        <w:t>„1. Комисията отменя бюджетните задължения за всяка сума по дадена програма, която не е била използвана за предварително финансиране в съответствие с член 90 или за която не е било подадено заявление за плащане в съответствие с членове 91 и 92 до 31 декември на третата календарна година след годината на бюджетните задължения за периода 2021—2026 г.“</w:t>
      </w:r>
    </w:p>
  </w:footnote>
  <w:footnote w:id="7">
    <w:p w14:paraId="2C70FFA0" w14:textId="77777777" w:rsidR="005A4ECE" w:rsidRPr="004515F9" w:rsidRDefault="005A4ECE" w:rsidP="004A0AC0">
      <w:pPr>
        <w:pStyle w:val="FootnoteText"/>
        <w:jc w:val="both"/>
        <w:rPr>
          <w:sz w:val="16"/>
          <w:szCs w:val="16"/>
        </w:rPr>
      </w:pPr>
      <w:r w:rsidRPr="004515F9">
        <w:rPr>
          <w:rStyle w:val="FootnoteReference"/>
          <w:sz w:val="16"/>
          <w:szCs w:val="16"/>
        </w:rPr>
        <w:footnoteRef/>
      </w:r>
      <w:r w:rsidRPr="004515F9">
        <w:rPr>
          <w:sz w:val="16"/>
          <w:szCs w:val="16"/>
        </w:rPr>
        <w:t xml:space="preserve"> Заседанието на КН на СП е планирано за м. септември 2025 г.</w:t>
      </w:r>
    </w:p>
  </w:footnote>
  <w:footnote w:id="8">
    <w:p w14:paraId="060B723F" w14:textId="77777777" w:rsidR="005A4ECE" w:rsidRPr="004515F9" w:rsidRDefault="005A4ECE" w:rsidP="00584558">
      <w:pPr>
        <w:pStyle w:val="FootnoteText"/>
        <w:jc w:val="both"/>
        <w:rPr>
          <w:sz w:val="16"/>
          <w:szCs w:val="16"/>
        </w:rPr>
      </w:pPr>
      <w:r w:rsidRPr="004515F9">
        <w:rPr>
          <w:rStyle w:val="FootnoteReference"/>
          <w:sz w:val="16"/>
          <w:szCs w:val="16"/>
        </w:rPr>
        <w:footnoteRef/>
      </w:r>
      <w:r w:rsidRPr="004515F9">
        <w:rPr>
          <w:sz w:val="16"/>
          <w:szCs w:val="16"/>
        </w:rPr>
        <w:t xml:space="preserve"> Броят е индикативен и зависи от измененията в приложимата нормативна база на ниво ЕС както и от нуждите на системата.</w:t>
      </w:r>
    </w:p>
  </w:footnote>
  <w:footnote w:id="9">
    <w:p w14:paraId="002A9B8E" w14:textId="49055B40" w:rsidR="005A4ECE" w:rsidRPr="004515F9" w:rsidRDefault="005A4ECE" w:rsidP="00584558">
      <w:pPr>
        <w:pStyle w:val="FootnoteText"/>
        <w:jc w:val="both"/>
        <w:rPr>
          <w:sz w:val="16"/>
          <w:szCs w:val="16"/>
        </w:rPr>
      </w:pPr>
      <w:r w:rsidRPr="004515F9">
        <w:rPr>
          <w:rStyle w:val="FootnoteReference"/>
          <w:sz w:val="16"/>
          <w:szCs w:val="16"/>
        </w:rPr>
        <w:footnoteRef/>
      </w:r>
      <w:r w:rsidRPr="004515F9">
        <w:rPr>
          <w:sz w:val="16"/>
          <w:szCs w:val="16"/>
        </w:rPr>
        <w:t xml:space="preserve"> Броят зависи от идентифицираната необходимост от извършване на промени в норм</w:t>
      </w:r>
      <w:r>
        <w:rPr>
          <w:sz w:val="16"/>
          <w:szCs w:val="16"/>
        </w:rPr>
        <w:t>а</w:t>
      </w:r>
      <w:r w:rsidRPr="004515F9">
        <w:rPr>
          <w:sz w:val="16"/>
          <w:szCs w:val="16"/>
        </w:rPr>
        <w:t>тивната уредба. През отчетния период не са изготвени проекти на нормативни актове. Планирано е изготвянето на такива през второто полугодие на 2025 г.</w:t>
      </w:r>
    </w:p>
  </w:footnote>
  <w:footnote w:id="10">
    <w:p w14:paraId="7D9E40B1" w14:textId="77777777" w:rsidR="005A4ECE" w:rsidRPr="004515F9" w:rsidRDefault="005A4ECE" w:rsidP="00584558">
      <w:pPr>
        <w:pStyle w:val="FootnoteText"/>
        <w:jc w:val="both"/>
        <w:rPr>
          <w:sz w:val="16"/>
          <w:szCs w:val="16"/>
        </w:rPr>
      </w:pPr>
      <w:r w:rsidRPr="004515F9">
        <w:rPr>
          <w:rStyle w:val="FootnoteReference"/>
          <w:sz w:val="16"/>
          <w:szCs w:val="16"/>
        </w:rPr>
        <w:footnoteRef/>
      </w:r>
      <w:r w:rsidRPr="004515F9">
        <w:rPr>
          <w:sz w:val="16"/>
          <w:szCs w:val="16"/>
        </w:rPr>
        <w:t xml:space="preserve"> Осъществен текущ мониторинг по 6 неизпълнени етапи и цели от второто искане за плащане и 36 от трето искане за плащане по НПВУ</w:t>
      </w:r>
    </w:p>
  </w:footnote>
  <w:footnote w:id="11">
    <w:p w14:paraId="3B24C9A7" w14:textId="0B9EC58E" w:rsidR="005A4ECE" w:rsidRDefault="005A4ECE" w:rsidP="00DC0272">
      <w:pPr>
        <w:pStyle w:val="FootnoteText"/>
        <w:jc w:val="both"/>
      </w:pPr>
      <w:r w:rsidRPr="00F854B4">
        <w:rPr>
          <w:rStyle w:val="FootnoteReference"/>
          <w:sz w:val="16"/>
          <w:szCs w:val="16"/>
        </w:rPr>
        <w:footnoteRef/>
      </w:r>
      <w:r w:rsidRPr="00F854B4">
        <w:rPr>
          <w:sz w:val="16"/>
          <w:szCs w:val="16"/>
        </w:rPr>
        <w:t xml:space="preserve"> </w:t>
      </w:r>
      <w:r w:rsidRPr="00D83F30">
        <w:rPr>
          <w:sz w:val="16"/>
          <w:szCs w:val="16"/>
        </w:rPr>
        <w:t>Срокът за изпращане на Финалния стратегически доклад за изпълнението на ФМ на ЕИП и НФМ 2014 – 2021</w:t>
      </w:r>
      <w:r>
        <w:rPr>
          <w:sz w:val="16"/>
          <w:szCs w:val="16"/>
        </w:rPr>
        <w:t xml:space="preserve"> е 31.08.2025 г.</w:t>
      </w:r>
    </w:p>
  </w:footnote>
  <w:footnote w:id="12">
    <w:p w14:paraId="0D58DD91" w14:textId="5FEA8474" w:rsidR="005A4ECE" w:rsidRPr="004515F9" w:rsidRDefault="005A4ECE" w:rsidP="00DC0272">
      <w:pPr>
        <w:pStyle w:val="FootnoteText"/>
        <w:jc w:val="both"/>
        <w:rPr>
          <w:sz w:val="16"/>
          <w:szCs w:val="16"/>
        </w:rPr>
      </w:pPr>
      <w:r w:rsidRPr="00F854B4">
        <w:rPr>
          <w:rStyle w:val="FootnoteReference"/>
          <w:sz w:val="16"/>
          <w:szCs w:val="16"/>
        </w:rPr>
        <w:footnoteRef/>
      </w:r>
      <w:r>
        <w:t xml:space="preserve"> </w:t>
      </w:r>
      <w:r w:rsidRPr="008E3B86">
        <w:rPr>
          <w:sz w:val="16"/>
          <w:szCs w:val="16"/>
        </w:rPr>
        <w:t xml:space="preserve">Подписани споразумения за мерки за подкрепа по ШБПС: Интегриране на </w:t>
      </w:r>
      <w:r w:rsidRPr="008E3B86">
        <w:rPr>
          <w:sz w:val="16"/>
          <w:szCs w:val="16"/>
        </w:rPr>
        <w:t>дуалното професионално образование и обучение (ДПОО) в България (ДОМИНО 2) на 23.04.2025 г., Осигуряване на подкрепа за управлението на миграцията и насърчаване на мерките за интеграция на 25.06.2025 г., Подобрено качество на въздуха чрез модернизирана и призната национална система за измерване на качеството на въздуха и научни партньорства (</w:t>
      </w:r>
      <w:r w:rsidRPr="00C77507">
        <w:rPr>
          <w:sz w:val="16"/>
          <w:szCs w:val="16"/>
          <w:lang w:val="en-US"/>
        </w:rPr>
        <w:t>ModAIRn)</w:t>
      </w:r>
      <w:r w:rsidRPr="008E3B86">
        <w:rPr>
          <w:sz w:val="16"/>
          <w:szCs w:val="16"/>
        </w:rPr>
        <w:t xml:space="preserve"> на 25.06.2025 г., Профилактика и укрепване на здравето на 23.04.2025 г., Здраве и образование за всички (ЗОВ II) на 11.02.2025 г.</w:t>
      </w:r>
    </w:p>
  </w:footnote>
  <w:footnote w:id="13">
    <w:p w14:paraId="466B5D37" w14:textId="29CA554C" w:rsidR="005A4ECE" w:rsidRPr="00E37136" w:rsidRDefault="005A4ECE" w:rsidP="00DC0272">
      <w:pPr>
        <w:pStyle w:val="FootnoteText"/>
        <w:jc w:val="both"/>
        <w:rPr>
          <w:sz w:val="16"/>
          <w:szCs w:val="16"/>
        </w:rPr>
      </w:pPr>
      <w:r w:rsidRPr="00F854B4">
        <w:rPr>
          <w:rStyle w:val="FootnoteReference"/>
          <w:sz w:val="16"/>
          <w:szCs w:val="16"/>
        </w:rPr>
        <w:footnoteRef/>
      </w:r>
      <w:r>
        <w:t xml:space="preserve"> </w:t>
      </w:r>
      <w:r>
        <w:rPr>
          <w:sz w:val="16"/>
          <w:szCs w:val="16"/>
        </w:rPr>
        <w:t>Изпълнението е свързано с развитие и поддръжка на информационната система, което попада в обхвата на чл. 7с от ЗЕУ (дейности, свързани със системна интеграция). В тази връзка са предприети подготвителни действия – идентифицирани са нуждите, дефиниран е обхватът и се изпълняват дейности за стартиране на процедура по възлагане на обществена поръчка, в съответствие с приложимите нормативни изисквания. Планирани са дейности, свързани с надграждането на системата, като процесът по тяхното реализиране е в ход.</w:t>
      </w:r>
    </w:p>
  </w:footnote>
  <w:footnote w:id="14">
    <w:p w14:paraId="0EE7E18A" w14:textId="74743962" w:rsidR="005A4ECE" w:rsidRPr="004515F9" w:rsidRDefault="005A4ECE" w:rsidP="00097729">
      <w:pPr>
        <w:pStyle w:val="FootnoteText"/>
        <w:tabs>
          <w:tab w:val="left" w:pos="0"/>
        </w:tabs>
        <w:jc w:val="both"/>
        <w:rPr>
          <w:bCs/>
          <w:sz w:val="16"/>
          <w:szCs w:val="16"/>
        </w:rPr>
      </w:pPr>
      <w:r w:rsidRPr="00E65981">
        <w:rPr>
          <w:rStyle w:val="FootnoteReference"/>
          <w:sz w:val="16"/>
          <w:szCs w:val="16"/>
        </w:rPr>
        <w:footnoteRef/>
      </w:r>
      <w:r w:rsidRPr="00E65981">
        <w:rPr>
          <w:sz w:val="16"/>
          <w:szCs w:val="16"/>
        </w:rPr>
        <w:t xml:space="preserve"> </w:t>
      </w:r>
      <w:r w:rsidRPr="004515F9">
        <w:rPr>
          <w:sz w:val="16"/>
          <w:szCs w:val="16"/>
        </w:rPr>
        <w:t xml:space="preserve">В периода януари-юни 2025 г. разработената от ЦКЗ техническа спецификация за уебсайта се преглежда от „Информационно обслужване“ АД. Дадено е и начало на предварителна </w:t>
      </w:r>
      <w:r w:rsidRPr="004515F9">
        <w:rPr>
          <w:sz w:val="16"/>
          <w:szCs w:val="16"/>
        </w:rPr>
        <w:t>съгласувателна процедура с МЕУ. Изготвен е и тристранен проектодоговор с предмет на дейност „Изпълнение на услуги по системна интеграция, попадащи в обхвата на чл. 7с от ЗЕУ, с наименование „Разработване, внедряване и поддръжка на уебсайт на Швейцарско-българската програма за сътрудничество“ във връзка с дейност „Възлагане на обществена поръчка и сключване на договор за изработка на уеб-сайт по ШБПС, вкл. подготовка на техническа спецификация, разработване и хостинг на уеб-сайта“</w:t>
      </w:r>
    </w:p>
  </w:footnote>
  <w:footnote w:id="15">
    <w:p w14:paraId="70C411A5" w14:textId="77777777" w:rsidR="005A4ECE" w:rsidRPr="004515F9" w:rsidRDefault="005A4ECE" w:rsidP="00097729">
      <w:pPr>
        <w:pStyle w:val="FootnoteText"/>
        <w:tabs>
          <w:tab w:val="left" w:pos="0"/>
          <w:tab w:val="left" w:pos="284"/>
          <w:tab w:val="left" w:pos="426"/>
        </w:tabs>
        <w:jc w:val="both"/>
        <w:rPr>
          <w:sz w:val="16"/>
          <w:szCs w:val="16"/>
        </w:rPr>
      </w:pPr>
      <w:r w:rsidRPr="004515F9">
        <w:rPr>
          <w:rStyle w:val="FootnoteReference"/>
          <w:sz w:val="16"/>
          <w:szCs w:val="16"/>
        </w:rPr>
        <w:footnoteRef/>
      </w:r>
      <w:r w:rsidRPr="004515F9">
        <w:rPr>
          <w:sz w:val="16"/>
          <w:szCs w:val="16"/>
        </w:rPr>
        <w:t xml:space="preserve"> </w:t>
      </w:r>
      <w:r w:rsidRPr="00E65981">
        <w:rPr>
          <w:sz w:val="16"/>
          <w:szCs w:val="16"/>
        </w:rPr>
        <w:t>Органите</w:t>
      </w:r>
      <w:r w:rsidRPr="004515F9">
        <w:rPr>
          <w:bCs/>
          <w:sz w:val="16"/>
          <w:szCs w:val="16"/>
        </w:rPr>
        <w:t>/структурите, отговорни за координацията и контрола на системата за управление на средствата от Европейските фондове при споделено управление и структурите, отговорни за изпълнението на хоризонталните отключващи условия и мрежата от Областни информационни центрове в Република България;</w:t>
      </w:r>
    </w:p>
  </w:footnote>
  <w:footnote w:id="16">
    <w:p w14:paraId="12F57389" w14:textId="77777777" w:rsidR="005A4ECE" w:rsidRPr="00026CA3" w:rsidRDefault="005A4ECE" w:rsidP="00443F31">
      <w:pPr>
        <w:pStyle w:val="FootnoteText"/>
        <w:jc w:val="both"/>
        <w:rPr>
          <w:sz w:val="16"/>
          <w:szCs w:val="16"/>
        </w:rPr>
      </w:pPr>
      <w:r w:rsidRPr="00EB5BA5">
        <w:rPr>
          <w:rStyle w:val="FootnoteReference"/>
        </w:rPr>
        <w:footnoteRef/>
      </w:r>
      <w:r w:rsidRPr="00EB5BA5">
        <w:t xml:space="preserve"> </w:t>
      </w:r>
      <w:r w:rsidRPr="00026CA3">
        <w:rPr>
          <w:sz w:val="16"/>
          <w:szCs w:val="16"/>
        </w:rPr>
        <w:t>Метаданни към</w:t>
      </w:r>
      <w:r w:rsidRPr="00026CA3">
        <w:rPr>
          <w:sz w:val="16"/>
          <w:szCs w:val="16"/>
          <w:lang w:val="ru-RU"/>
        </w:rPr>
        <w:t xml:space="preserve"> </w:t>
      </w:r>
      <w:r w:rsidRPr="00026CA3">
        <w:rPr>
          <w:sz w:val="16"/>
          <w:szCs w:val="16"/>
        </w:rPr>
        <w:t xml:space="preserve">дигитални </w:t>
      </w:r>
      <w:r w:rsidRPr="00026CA3">
        <w:rPr>
          <w:sz w:val="16"/>
          <w:szCs w:val="16"/>
        </w:rPr>
        <w:t>мастер обекти</w:t>
      </w:r>
      <w:r w:rsidRPr="00026CA3">
        <w:rPr>
          <w:sz w:val="16"/>
          <w:szCs w:val="16"/>
          <w:lang w:val="ru-RU"/>
        </w:rPr>
        <w:t xml:space="preserve"> – </w:t>
      </w:r>
      <w:r w:rsidRPr="00026CA3">
        <w:rPr>
          <w:sz w:val="16"/>
          <w:szCs w:val="16"/>
        </w:rPr>
        <w:t xml:space="preserve">архивни описания на ниво „архивен документ”. </w:t>
      </w:r>
    </w:p>
  </w:footnote>
  <w:footnote w:id="17">
    <w:p w14:paraId="6D5E02B1" w14:textId="77777777" w:rsidR="005A4ECE" w:rsidRPr="00026CA3" w:rsidRDefault="005A4ECE" w:rsidP="00443F31">
      <w:pPr>
        <w:pStyle w:val="FootnoteText"/>
        <w:rPr>
          <w:sz w:val="16"/>
          <w:szCs w:val="16"/>
        </w:rPr>
      </w:pPr>
      <w:r w:rsidRPr="00026CA3">
        <w:rPr>
          <w:rStyle w:val="FootnoteReference"/>
          <w:sz w:val="16"/>
          <w:szCs w:val="16"/>
        </w:rPr>
        <w:footnoteRef/>
      </w:r>
      <w:r w:rsidRPr="00026CA3">
        <w:rPr>
          <w:sz w:val="16"/>
          <w:szCs w:val="16"/>
        </w:rPr>
        <w:t xml:space="preserve"> Актуализации на данни.</w:t>
      </w:r>
    </w:p>
  </w:footnote>
  <w:footnote w:id="18">
    <w:p w14:paraId="4A9A3BC8" w14:textId="77777777" w:rsidR="005A4ECE" w:rsidRPr="00026CA3" w:rsidRDefault="005A4ECE" w:rsidP="00443F31">
      <w:pPr>
        <w:pStyle w:val="FootnoteText"/>
        <w:jc w:val="both"/>
        <w:rPr>
          <w:sz w:val="16"/>
          <w:szCs w:val="16"/>
          <w:lang w:val="ru-RU"/>
        </w:rPr>
      </w:pPr>
      <w:r w:rsidRPr="00026CA3">
        <w:rPr>
          <w:rStyle w:val="FootnoteReference"/>
          <w:sz w:val="16"/>
          <w:szCs w:val="16"/>
        </w:rPr>
        <w:footnoteRef/>
      </w:r>
      <w:r w:rsidRPr="00026CA3">
        <w:rPr>
          <w:sz w:val="16"/>
          <w:szCs w:val="16"/>
        </w:rPr>
        <w:t xml:space="preserve"> От тях: 37093 показвания на дигитални обекти от Дигиталния архив на ДАА в ИСДА, 355 показвания на цифрови копия на аудио-визуални архивни документи в СЕА, 293 посещения в Регистъра на НАФ и 88 963 </w:t>
      </w:r>
      <w:r w:rsidRPr="00026CA3">
        <w:rPr>
          <w:sz w:val="16"/>
          <w:szCs w:val="16"/>
          <w:lang w:val="ru-RU"/>
        </w:rPr>
        <w:t>посещения/</w:t>
      </w:r>
      <w:r w:rsidRPr="00026CA3">
        <w:rPr>
          <w:sz w:val="16"/>
          <w:szCs w:val="16"/>
          <w:lang w:val="ru-RU"/>
        </w:rPr>
        <w:t>показвания в сайтовете</w:t>
      </w:r>
      <w:r w:rsidRPr="00026CA3">
        <w:rPr>
          <w:sz w:val="16"/>
          <w:szCs w:val="16"/>
        </w:rPr>
        <w:t>.</w:t>
      </w:r>
    </w:p>
  </w:footnote>
  <w:footnote w:id="19">
    <w:p w14:paraId="19F44EAF" w14:textId="77777777" w:rsidR="005A4ECE" w:rsidRPr="00026CA3" w:rsidRDefault="005A4ECE" w:rsidP="00443F31">
      <w:pPr>
        <w:pStyle w:val="FootnoteText"/>
        <w:jc w:val="both"/>
        <w:rPr>
          <w:sz w:val="16"/>
          <w:szCs w:val="16"/>
        </w:rPr>
      </w:pPr>
      <w:r w:rsidRPr="00026CA3">
        <w:rPr>
          <w:rStyle w:val="FootnoteReference"/>
          <w:sz w:val="16"/>
          <w:szCs w:val="16"/>
        </w:rPr>
        <w:footnoteRef/>
      </w:r>
      <w:r w:rsidRPr="00026CA3">
        <w:rPr>
          <w:sz w:val="16"/>
          <w:szCs w:val="16"/>
        </w:rPr>
        <w:t xml:space="preserve"> Посочена е само реставрацията на документи от І-ва, ІІ-</w:t>
      </w:r>
      <w:r w:rsidRPr="00026CA3">
        <w:rPr>
          <w:sz w:val="16"/>
          <w:szCs w:val="16"/>
        </w:rPr>
        <w:t>ра и ІІІ-та степен на увреденост, извършена в реставрационни лаборатории, без т.н. „малка реставрация”, неизискваща специализирани реставрационни дейности, която изкривява отчетните данни.</w:t>
      </w:r>
    </w:p>
  </w:footnote>
  <w:footnote w:id="20">
    <w:p w14:paraId="4C7B600C" w14:textId="77777777" w:rsidR="005A4ECE" w:rsidRPr="00026CA3" w:rsidRDefault="005A4ECE" w:rsidP="00443F31">
      <w:pPr>
        <w:pStyle w:val="FootnoteText"/>
        <w:jc w:val="both"/>
        <w:rPr>
          <w:sz w:val="16"/>
          <w:szCs w:val="16"/>
        </w:rPr>
      </w:pPr>
      <w:r w:rsidRPr="00026CA3">
        <w:rPr>
          <w:rStyle w:val="FootnoteReference"/>
          <w:sz w:val="16"/>
          <w:szCs w:val="16"/>
        </w:rPr>
        <w:footnoteRef/>
      </w:r>
      <w:r w:rsidRPr="00026CA3">
        <w:rPr>
          <w:sz w:val="16"/>
          <w:szCs w:val="16"/>
        </w:rPr>
        <w:t xml:space="preserve"> Целевата стойност на индикатора е синхронизирана със Стратегията на ДАА за периода 01.07.2021-31.12.2026 г.</w:t>
      </w:r>
    </w:p>
  </w:footnote>
  <w:footnote w:id="21">
    <w:p w14:paraId="34208959" w14:textId="77777777" w:rsidR="005A4ECE" w:rsidRPr="00026CA3" w:rsidRDefault="005A4ECE" w:rsidP="00443F31">
      <w:pPr>
        <w:pStyle w:val="Footer"/>
        <w:jc w:val="both"/>
        <w:rPr>
          <w:sz w:val="16"/>
          <w:szCs w:val="16"/>
        </w:rPr>
      </w:pPr>
      <w:r w:rsidRPr="00026CA3">
        <w:rPr>
          <w:rStyle w:val="FootnoteReference"/>
          <w:sz w:val="16"/>
          <w:szCs w:val="16"/>
        </w:rPr>
        <w:footnoteRef/>
      </w:r>
      <w:r w:rsidRPr="00026CA3">
        <w:rPr>
          <w:sz w:val="16"/>
          <w:szCs w:val="16"/>
        </w:rPr>
        <w:t xml:space="preserve"> В отчетния показател не са включени потребители на сайтовете на ДАА, поради използване на нов инструмент за статистическа и аналитична информация за потребителите и посещенията (</w:t>
      </w:r>
      <w:r w:rsidRPr="00026CA3">
        <w:rPr>
          <w:sz w:val="16"/>
          <w:szCs w:val="16"/>
          <w:lang w:val="en-US"/>
        </w:rPr>
        <w:t>Matomo</w:t>
      </w:r>
      <w:r w:rsidRPr="00026CA3">
        <w:rPr>
          <w:sz w:val="16"/>
          <w:szCs w:val="16"/>
        </w:rPr>
        <w:t xml:space="preserve">) в изпълнение на писмо на Министерство на електронното управление № МЕУ-4201/14.03.2023 г. за прекратяване на употребата на </w:t>
      </w:r>
      <w:r w:rsidRPr="00026CA3">
        <w:rPr>
          <w:sz w:val="16"/>
          <w:szCs w:val="16"/>
          <w:lang w:val="en-US"/>
        </w:rPr>
        <w:t>Google</w:t>
      </w:r>
      <w:r w:rsidRPr="00026CA3">
        <w:rPr>
          <w:sz w:val="16"/>
          <w:szCs w:val="16"/>
        </w:rPr>
        <w:t xml:space="preserve"> </w:t>
      </w:r>
      <w:r w:rsidRPr="00026CA3">
        <w:rPr>
          <w:sz w:val="16"/>
          <w:szCs w:val="16"/>
          <w:lang w:val="en-US"/>
        </w:rPr>
        <w:t>Analytics</w:t>
      </w:r>
      <w:r w:rsidRPr="00026CA3">
        <w:rPr>
          <w:sz w:val="16"/>
          <w:szCs w:val="16"/>
        </w:rPr>
        <w:t xml:space="preserve"> в сайтовете на държавна администрация. Новият инструмент предоставя информация само за посещенията.</w:t>
      </w:r>
    </w:p>
  </w:footnote>
  <w:footnote w:id="22">
    <w:p w14:paraId="4B5EE9E2" w14:textId="089F035A" w:rsidR="005A4ECE" w:rsidRPr="00844837" w:rsidRDefault="005A4ECE">
      <w:pPr>
        <w:pStyle w:val="FootnoteText"/>
        <w:rPr>
          <w:sz w:val="16"/>
          <w:szCs w:val="16"/>
          <w:lang w:val="en-US"/>
        </w:rPr>
      </w:pPr>
      <w:r w:rsidRPr="00844837">
        <w:rPr>
          <w:rStyle w:val="FootnoteReference"/>
          <w:sz w:val="16"/>
          <w:szCs w:val="16"/>
        </w:rPr>
        <w:footnoteRef/>
      </w:r>
      <w:r w:rsidRPr="00844837">
        <w:rPr>
          <w:sz w:val="16"/>
          <w:szCs w:val="16"/>
        </w:rPr>
        <w:t xml:space="preserve"> Издадени са Заповеди № Р-95, Р-99 и Р-98 на министър-председателя от 30.04.2025 г.</w:t>
      </w:r>
    </w:p>
  </w:footnote>
  <w:footnote w:id="23">
    <w:p w14:paraId="358EC2D6" w14:textId="77777777" w:rsidR="005A4ECE" w:rsidRPr="007E32D4" w:rsidRDefault="005A4ECE" w:rsidP="00E874F0">
      <w:pPr>
        <w:pStyle w:val="FootnoteText"/>
        <w:jc w:val="both"/>
        <w:rPr>
          <w:sz w:val="16"/>
          <w:szCs w:val="16"/>
        </w:rPr>
      </w:pPr>
      <w:r w:rsidRPr="000476DF">
        <w:rPr>
          <w:rStyle w:val="FootnoteReference"/>
          <w:sz w:val="18"/>
          <w:szCs w:val="18"/>
        </w:rPr>
        <w:footnoteRef/>
      </w:r>
      <w:r>
        <w:t xml:space="preserve"> </w:t>
      </w:r>
      <w:r w:rsidRPr="007E32D4">
        <w:rPr>
          <w:sz w:val="16"/>
          <w:szCs w:val="16"/>
        </w:rPr>
        <w:t xml:space="preserve">Уебсайта на Федералното министерство на цифровите технологии и транспорта: </w:t>
      </w:r>
      <w:hyperlink r:id="rId13" w:history="1">
        <w:r w:rsidRPr="007E32D4">
          <w:rPr>
            <w:sz w:val="16"/>
            <w:szCs w:val="16"/>
          </w:rPr>
          <w:t>https://bmdv.bund.de/EN/Home/home.html</w:t>
        </w:r>
      </w:hyperlink>
      <w:r w:rsidRPr="007E32D4">
        <w:rPr>
          <w:sz w:val="16"/>
          <w:szCs w:val="16"/>
          <w:lang w:val="en-US"/>
        </w:rPr>
        <w:t xml:space="preserve">; </w:t>
      </w:r>
      <w:r w:rsidRPr="007E32D4">
        <w:rPr>
          <w:sz w:val="16"/>
          <w:szCs w:val="16"/>
        </w:rPr>
        <w:t xml:space="preserve">уебсайта на </w:t>
      </w:r>
      <w:r w:rsidRPr="007E32D4">
        <w:rPr>
          <w:rFonts w:eastAsia="Calibri"/>
          <w:sz w:val="16"/>
          <w:szCs w:val="16"/>
          <w:lang w:val="de-DE"/>
        </w:rPr>
        <w:t>Federal</w:t>
      </w:r>
      <w:r w:rsidRPr="007E32D4">
        <w:rPr>
          <w:rFonts w:eastAsia="Calibri"/>
          <w:sz w:val="16"/>
          <w:szCs w:val="16"/>
          <w:lang w:val="bg"/>
        </w:rPr>
        <w:t xml:space="preserve"> </w:t>
      </w:r>
      <w:r w:rsidRPr="007E32D4">
        <w:rPr>
          <w:rFonts w:eastAsia="Calibri"/>
          <w:sz w:val="16"/>
          <w:szCs w:val="16"/>
          <w:lang w:val="de-DE"/>
        </w:rPr>
        <w:t>Autobahn</w:t>
      </w:r>
      <w:r w:rsidRPr="007E32D4">
        <w:rPr>
          <w:rFonts w:eastAsia="Calibri"/>
          <w:sz w:val="16"/>
          <w:szCs w:val="16"/>
          <w:lang w:val="bg"/>
        </w:rPr>
        <w:t xml:space="preserve"> </w:t>
      </w:r>
      <w:r w:rsidRPr="007E32D4">
        <w:rPr>
          <w:rFonts w:eastAsia="Calibri"/>
          <w:sz w:val="16"/>
          <w:szCs w:val="16"/>
          <w:lang w:val="de-DE"/>
        </w:rPr>
        <w:t>GmbH</w:t>
      </w:r>
      <w:r w:rsidRPr="008C2884">
        <w:rPr>
          <w:rFonts w:eastAsia="Calibri"/>
          <w:color w:val="215E99" w:themeColor="text2" w:themeTint="BF"/>
          <w:sz w:val="16"/>
          <w:szCs w:val="16"/>
        </w:rPr>
        <w:t>:</w:t>
      </w:r>
      <w:r w:rsidRPr="008C2884">
        <w:rPr>
          <w:color w:val="215E99" w:themeColor="text2" w:themeTint="BF"/>
          <w:sz w:val="16"/>
          <w:szCs w:val="16"/>
        </w:rPr>
        <w:t xml:space="preserve"> </w:t>
      </w:r>
      <w:hyperlink r:id="rId14" w:history="1">
        <w:r w:rsidRPr="008C2884">
          <w:rPr>
            <w:rStyle w:val="Hyperlink"/>
            <w:color w:val="215E99" w:themeColor="text2" w:themeTint="BF"/>
            <w:sz w:val="16"/>
            <w:szCs w:val="16"/>
            <w:u w:val="none"/>
            <w:lang w:val="de-DE"/>
          </w:rPr>
          <w:t>https</w:t>
        </w:r>
        <w:r w:rsidRPr="008C2884">
          <w:rPr>
            <w:rStyle w:val="Hyperlink"/>
            <w:color w:val="215E99" w:themeColor="text2" w:themeTint="BF"/>
            <w:sz w:val="16"/>
            <w:szCs w:val="16"/>
            <w:u w:val="none"/>
          </w:rPr>
          <w:t>://</w:t>
        </w:r>
        <w:r w:rsidRPr="008C2884">
          <w:rPr>
            <w:rStyle w:val="Hyperlink"/>
            <w:color w:val="215E99" w:themeColor="text2" w:themeTint="BF"/>
            <w:sz w:val="16"/>
            <w:szCs w:val="16"/>
            <w:u w:val="none"/>
            <w:lang w:val="de-DE"/>
          </w:rPr>
          <w:t>www</w:t>
        </w:r>
        <w:r w:rsidRPr="008C2884">
          <w:rPr>
            <w:rStyle w:val="Hyperlink"/>
            <w:color w:val="215E99" w:themeColor="text2" w:themeTint="BF"/>
            <w:sz w:val="16"/>
            <w:szCs w:val="16"/>
            <w:u w:val="none"/>
          </w:rPr>
          <w:t>.</w:t>
        </w:r>
        <w:r w:rsidRPr="008C2884">
          <w:rPr>
            <w:rStyle w:val="Hyperlink"/>
            <w:color w:val="215E99" w:themeColor="text2" w:themeTint="BF"/>
            <w:sz w:val="16"/>
            <w:szCs w:val="16"/>
            <w:u w:val="none"/>
            <w:lang w:val="de-DE"/>
          </w:rPr>
          <w:t>autobahn</w:t>
        </w:r>
        <w:r w:rsidRPr="008C2884">
          <w:rPr>
            <w:rStyle w:val="Hyperlink"/>
            <w:color w:val="215E99" w:themeColor="text2" w:themeTint="BF"/>
            <w:sz w:val="16"/>
            <w:szCs w:val="16"/>
            <w:u w:val="none"/>
          </w:rPr>
          <w:t>.</w:t>
        </w:r>
        <w:r w:rsidRPr="008C2884">
          <w:rPr>
            <w:rStyle w:val="Hyperlink"/>
            <w:color w:val="215E99" w:themeColor="text2" w:themeTint="BF"/>
            <w:sz w:val="16"/>
            <w:szCs w:val="16"/>
            <w:u w:val="none"/>
            <w:lang w:val="de-DE"/>
          </w:rPr>
          <w:t>de</w:t>
        </w:r>
        <w:r w:rsidRPr="008C2884">
          <w:rPr>
            <w:rStyle w:val="Hyperlink"/>
            <w:color w:val="215E99" w:themeColor="text2" w:themeTint="BF"/>
            <w:sz w:val="16"/>
            <w:szCs w:val="16"/>
            <w:u w:val="none"/>
          </w:rPr>
          <w:t>/</w:t>
        </w:r>
      </w:hyperlink>
      <w:r w:rsidRPr="008C2884">
        <w:rPr>
          <w:color w:val="215E99" w:themeColor="text2" w:themeTint="BF"/>
          <w:sz w:val="16"/>
          <w:szCs w:val="16"/>
          <w:lang w:val="en-US"/>
        </w:rPr>
        <w:t xml:space="preserve">; </w:t>
      </w:r>
      <w:r w:rsidRPr="007E32D4">
        <w:rPr>
          <w:sz w:val="16"/>
          <w:szCs w:val="16"/>
        </w:rPr>
        <w:t xml:space="preserve">доклад на научните служби на германския Бундестаг „Публично-частни партньорства в областта на транспортната инфраструктура“, 2024 г., наличен на следния адрес: </w:t>
      </w:r>
    </w:p>
    <w:p w14:paraId="40D56ECC" w14:textId="77777777" w:rsidR="005A4ECE" w:rsidRPr="007E32D4" w:rsidRDefault="00000000" w:rsidP="00E874F0">
      <w:pPr>
        <w:pStyle w:val="FootnoteText"/>
        <w:jc w:val="both"/>
        <w:rPr>
          <w:sz w:val="16"/>
          <w:szCs w:val="16"/>
        </w:rPr>
      </w:pPr>
      <w:hyperlink r:id="rId15" w:history="1">
        <w:r w:rsidR="005A4ECE" w:rsidRPr="007E32D4">
          <w:rPr>
            <w:sz w:val="16"/>
            <w:szCs w:val="16"/>
          </w:rPr>
          <w:t>https://www.bundestag.de/resource/blob/1022222/aedce3f486bb93c511519e0ff37110be/WD-7-046-24-pdf.pdf</w:t>
        </w:r>
      </w:hyperlink>
      <w:r w:rsidR="005A4ECE" w:rsidRPr="007E32D4">
        <w:rPr>
          <w:sz w:val="16"/>
          <w:szCs w:val="16"/>
        </w:rPr>
        <w:t>.</w:t>
      </w:r>
    </w:p>
    <w:p w14:paraId="2483363F" w14:textId="1024B2AB" w:rsidR="005A4ECE" w:rsidRPr="00E874F0" w:rsidRDefault="005A4ECE" w:rsidP="00E874F0">
      <w:pPr>
        <w:pStyle w:val="FootnoteText"/>
        <w:jc w:val="both"/>
        <w:rPr>
          <w:sz w:val="18"/>
          <w:szCs w:val="18"/>
        </w:rPr>
      </w:pPr>
    </w:p>
  </w:footnote>
  <w:footnote w:id="24">
    <w:p w14:paraId="418E1CCE" w14:textId="77777777" w:rsidR="005A4ECE" w:rsidRPr="004515F9" w:rsidRDefault="005A4ECE" w:rsidP="008B6859">
      <w:pPr>
        <w:pStyle w:val="FootnoteText"/>
        <w:rPr>
          <w:sz w:val="16"/>
          <w:szCs w:val="16"/>
        </w:rPr>
      </w:pPr>
      <w:r w:rsidRPr="004515F9">
        <w:rPr>
          <w:rStyle w:val="FootnoteReference"/>
          <w:sz w:val="16"/>
          <w:szCs w:val="16"/>
        </w:rPr>
        <w:footnoteRef/>
      </w:r>
      <w:r w:rsidRPr="004515F9">
        <w:rPr>
          <w:sz w:val="16"/>
          <w:szCs w:val="16"/>
        </w:rPr>
        <w:t xml:space="preserve"> Броят е индикативен и зависи от нуждите на системата за управление и контрол</w:t>
      </w:r>
    </w:p>
  </w:footnote>
  <w:footnote w:id="25">
    <w:p w14:paraId="03F3E235" w14:textId="1D5DFBFB" w:rsidR="005A4ECE" w:rsidRPr="004515F9" w:rsidRDefault="005A4ECE" w:rsidP="008B6859">
      <w:pPr>
        <w:pStyle w:val="FootnoteText"/>
        <w:rPr>
          <w:sz w:val="16"/>
          <w:szCs w:val="16"/>
        </w:rPr>
      </w:pPr>
      <w:r w:rsidRPr="004515F9">
        <w:rPr>
          <w:rStyle w:val="FootnoteReference"/>
          <w:sz w:val="16"/>
          <w:szCs w:val="16"/>
        </w:rPr>
        <w:footnoteRef/>
      </w:r>
      <w:r w:rsidRPr="004515F9">
        <w:rPr>
          <w:sz w:val="16"/>
          <w:szCs w:val="16"/>
        </w:rPr>
        <w:t xml:space="preserve"> Методически указания за провеждане на междинния преглед на програмите, съфинансирани от ЕФСУ</w:t>
      </w:r>
    </w:p>
  </w:footnote>
  <w:footnote w:id="26">
    <w:p w14:paraId="3E39B6CA" w14:textId="69183C64" w:rsidR="005A4ECE" w:rsidRPr="004515F9" w:rsidRDefault="005A4ECE" w:rsidP="008B6859">
      <w:pPr>
        <w:pStyle w:val="FootnoteText"/>
        <w:jc w:val="both"/>
        <w:rPr>
          <w:sz w:val="16"/>
          <w:szCs w:val="16"/>
        </w:rPr>
      </w:pPr>
      <w:r w:rsidRPr="004515F9">
        <w:rPr>
          <w:rStyle w:val="FootnoteReference"/>
          <w:sz w:val="16"/>
          <w:szCs w:val="16"/>
        </w:rPr>
        <w:footnoteRef/>
      </w:r>
      <w:r w:rsidRPr="004515F9">
        <w:rPr>
          <w:sz w:val="16"/>
          <w:szCs w:val="16"/>
        </w:rPr>
        <w:t xml:space="preserve"> Броят на проведените заседания се определя според идентифицираните нужди и текущите теми. През отчетният пери</w:t>
      </w:r>
      <w:r>
        <w:rPr>
          <w:sz w:val="16"/>
          <w:szCs w:val="16"/>
        </w:rPr>
        <w:t>о</w:t>
      </w:r>
      <w:r w:rsidRPr="004515F9">
        <w:rPr>
          <w:sz w:val="16"/>
          <w:szCs w:val="16"/>
        </w:rPr>
        <w:t xml:space="preserve">д не са провеждани заседания, но със съдействието на </w:t>
      </w:r>
      <w:r w:rsidRPr="004515F9">
        <w:rPr>
          <w:sz w:val="16"/>
          <w:szCs w:val="16"/>
        </w:rPr>
        <w:t>Хелпдеска за оценка към ЕК е координирано и проведено онлайн обучение за членове на работната група.</w:t>
      </w:r>
    </w:p>
  </w:footnote>
  <w:footnote w:id="27">
    <w:p w14:paraId="47262B50" w14:textId="77777777" w:rsidR="005A4ECE" w:rsidRPr="004515F9" w:rsidRDefault="005A4ECE" w:rsidP="008B6859">
      <w:pPr>
        <w:pStyle w:val="FootnoteText"/>
        <w:rPr>
          <w:sz w:val="16"/>
          <w:szCs w:val="16"/>
        </w:rPr>
      </w:pPr>
      <w:r w:rsidRPr="004515F9">
        <w:rPr>
          <w:rStyle w:val="FootnoteReference"/>
          <w:sz w:val="16"/>
          <w:szCs w:val="16"/>
        </w:rPr>
        <w:footnoteRef/>
      </w:r>
      <w:r w:rsidRPr="004515F9">
        <w:rPr>
          <w:sz w:val="16"/>
          <w:szCs w:val="16"/>
        </w:rPr>
        <w:t xml:space="preserve"> Целевите стойности на показателя са прогнозирани при допускане за провеждане на срещите на ниво фонд.</w:t>
      </w:r>
    </w:p>
  </w:footnote>
  <w:footnote w:id="28">
    <w:p w14:paraId="1E58844A" w14:textId="77777777" w:rsidR="005A4ECE" w:rsidRPr="004515F9" w:rsidRDefault="005A4ECE" w:rsidP="008B6859">
      <w:pPr>
        <w:pStyle w:val="FootnoteText"/>
        <w:rPr>
          <w:sz w:val="16"/>
          <w:szCs w:val="16"/>
        </w:rPr>
      </w:pPr>
      <w:r w:rsidRPr="004515F9">
        <w:rPr>
          <w:rStyle w:val="FootnoteReference"/>
          <w:sz w:val="16"/>
          <w:szCs w:val="16"/>
        </w:rPr>
        <w:footnoteRef/>
      </w:r>
      <w:r w:rsidRPr="004515F9">
        <w:rPr>
          <w:sz w:val="16"/>
          <w:szCs w:val="16"/>
        </w:rPr>
        <w:t xml:space="preserve"> Годишна среща на 15.01.2025 г. по СПРЗСР/ПРСР.</w:t>
      </w:r>
    </w:p>
  </w:footnote>
  <w:footnote w:id="29">
    <w:p w14:paraId="44D7D7C2" w14:textId="12CB82A8" w:rsidR="005A4ECE" w:rsidRPr="004515F9" w:rsidRDefault="005A4ECE" w:rsidP="008B6859">
      <w:pPr>
        <w:pStyle w:val="FootnoteText"/>
        <w:rPr>
          <w:sz w:val="16"/>
          <w:szCs w:val="16"/>
        </w:rPr>
      </w:pPr>
      <w:r w:rsidRPr="004515F9">
        <w:rPr>
          <w:rStyle w:val="FootnoteReference"/>
          <w:sz w:val="16"/>
          <w:szCs w:val="16"/>
        </w:rPr>
        <w:footnoteRef/>
      </w:r>
      <w:r w:rsidRPr="004515F9">
        <w:rPr>
          <w:sz w:val="16"/>
          <w:szCs w:val="16"/>
        </w:rPr>
        <w:t xml:space="preserve"> Проведени заседания (присъствени и онлайн) на КН: ПРР – 1, ПОС – 2, ПТС – 2, ПРЧР – 2, ПО – 1, ПТП </w:t>
      </w:r>
      <w:r>
        <w:rPr>
          <w:sz w:val="16"/>
          <w:szCs w:val="16"/>
        </w:rPr>
        <w:t xml:space="preserve">– </w:t>
      </w:r>
      <w:r w:rsidRPr="004515F9">
        <w:rPr>
          <w:sz w:val="16"/>
          <w:szCs w:val="16"/>
        </w:rPr>
        <w:t>1, ПКИП – 1, ПНИИДИТ – 1, ПМДРА/ПМДР – 1, СПРЗСР/ПРСР – 1, програма за ТГС с Румъния – 1, програма за ТГС с Турция – 1, програма за ТГС със Северна Македония – 1, програма за ТГС със Сърбия – 1, ФУМИ – 1, ФВС – 1, ИУГВП – 1.</w:t>
      </w:r>
    </w:p>
  </w:footnote>
  <w:footnote w:id="30">
    <w:p w14:paraId="277D1541" w14:textId="77777777" w:rsidR="005A4ECE" w:rsidRPr="004515F9" w:rsidRDefault="005A4ECE" w:rsidP="008B6859">
      <w:pPr>
        <w:pStyle w:val="FootnoteText"/>
        <w:rPr>
          <w:sz w:val="16"/>
          <w:szCs w:val="16"/>
        </w:rPr>
      </w:pPr>
      <w:r w:rsidRPr="004515F9">
        <w:rPr>
          <w:rStyle w:val="FootnoteReference"/>
          <w:sz w:val="16"/>
          <w:szCs w:val="16"/>
        </w:rPr>
        <w:footnoteRef/>
      </w:r>
      <w:r w:rsidRPr="004515F9">
        <w:rPr>
          <w:sz w:val="16"/>
          <w:szCs w:val="16"/>
        </w:rPr>
        <w:t xml:space="preserve"> Проведена Годишна среща за изпълнението на ШБПС на 03.06.2025 г.</w:t>
      </w:r>
    </w:p>
  </w:footnote>
  <w:footnote w:id="31">
    <w:p w14:paraId="04A5280C" w14:textId="411E9112" w:rsidR="005A4ECE" w:rsidRPr="004515F9" w:rsidRDefault="005A4ECE" w:rsidP="008B6859">
      <w:pPr>
        <w:pStyle w:val="FootnoteText"/>
        <w:rPr>
          <w:sz w:val="16"/>
          <w:szCs w:val="16"/>
        </w:rPr>
      </w:pPr>
      <w:r w:rsidRPr="004515F9">
        <w:rPr>
          <w:rStyle w:val="FootnoteReference"/>
          <w:sz w:val="16"/>
          <w:szCs w:val="16"/>
        </w:rPr>
        <w:footnoteRef/>
      </w:r>
      <w:r w:rsidRPr="004515F9">
        <w:rPr>
          <w:sz w:val="16"/>
          <w:szCs w:val="16"/>
        </w:rPr>
        <w:t xml:space="preserve"> Срокът за изпращане на Финалния стратегически доклад е 31</w:t>
      </w:r>
      <w:r>
        <w:rPr>
          <w:sz w:val="16"/>
          <w:szCs w:val="16"/>
        </w:rPr>
        <w:t>.08.</w:t>
      </w:r>
      <w:r w:rsidRPr="004515F9">
        <w:rPr>
          <w:sz w:val="16"/>
          <w:szCs w:val="16"/>
        </w:rPr>
        <w:t>2025 г.</w:t>
      </w:r>
    </w:p>
  </w:footnote>
  <w:footnote w:id="32">
    <w:p w14:paraId="4EFE0822" w14:textId="396987D4" w:rsidR="005A4ECE" w:rsidRPr="004515F9" w:rsidRDefault="005A4ECE" w:rsidP="008B6859">
      <w:pPr>
        <w:pStyle w:val="FootnoteText"/>
        <w:jc w:val="both"/>
        <w:rPr>
          <w:sz w:val="16"/>
          <w:szCs w:val="16"/>
        </w:rPr>
      </w:pPr>
      <w:r w:rsidRPr="004515F9">
        <w:rPr>
          <w:rStyle w:val="FootnoteReference"/>
          <w:sz w:val="16"/>
          <w:szCs w:val="16"/>
        </w:rPr>
        <w:footnoteRef/>
      </w:r>
      <w:r w:rsidRPr="004515F9">
        <w:rPr>
          <w:sz w:val="16"/>
          <w:szCs w:val="16"/>
        </w:rPr>
        <w:t xml:space="preserve"> Изпълнението е свързано с развитие и поддръжка на информационната система, което попада в обхвата на чл. 7с от ЗЕУ (дейности, свързани със системна интеграция). В тази връзка са предприети подготвителни действия </w:t>
      </w:r>
      <w:r>
        <w:rPr>
          <w:sz w:val="16"/>
          <w:szCs w:val="16"/>
        </w:rPr>
        <w:t>–</w:t>
      </w:r>
      <w:r w:rsidRPr="004515F9">
        <w:rPr>
          <w:sz w:val="16"/>
          <w:szCs w:val="16"/>
        </w:rPr>
        <w:t xml:space="preserve"> идентифицирани са нуждите, дефиниран е обхватът и се изпълняват дейности за стартиране на процедура по възлагане на обществена поръчка, в съответствие с приложимите нормативни изисквания. Планирани са дейности, свързани с надграждането на системата, като процесът по тяхното реализиране е в ход.</w:t>
      </w:r>
    </w:p>
  </w:footnote>
  <w:footnote w:id="33">
    <w:p w14:paraId="028AEDE7" w14:textId="56D3EAF9" w:rsidR="005A4ECE" w:rsidRPr="004515F9" w:rsidRDefault="005A4ECE" w:rsidP="003B14AB">
      <w:pPr>
        <w:pStyle w:val="FootnoteText"/>
        <w:tabs>
          <w:tab w:val="left" w:pos="284"/>
        </w:tabs>
        <w:ind w:left="284" w:hanging="284"/>
        <w:jc w:val="both"/>
        <w:rPr>
          <w:sz w:val="16"/>
          <w:szCs w:val="16"/>
        </w:rPr>
      </w:pPr>
      <w:r w:rsidRPr="004515F9">
        <w:rPr>
          <w:rStyle w:val="FootnoteReference"/>
          <w:sz w:val="16"/>
          <w:szCs w:val="16"/>
        </w:rPr>
        <w:footnoteRef/>
      </w:r>
      <w:r>
        <w:rPr>
          <w:sz w:val="16"/>
          <w:szCs w:val="16"/>
        </w:rPr>
        <w:t xml:space="preserve"> </w:t>
      </w:r>
      <w:r w:rsidRPr="004515F9">
        <w:rPr>
          <w:sz w:val="16"/>
          <w:szCs w:val="16"/>
        </w:rPr>
        <w:t>Заседания на Комитета за наблюдение на ПТП</w:t>
      </w:r>
    </w:p>
  </w:footnote>
  <w:footnote w:id="34">
    <w:p w14:paraId="26D55976" w14:textId="77777777" w:rsidR="005A4ECE" w:rsidRPr="004515F9" w:rsidRDefault="005A4ECE" w:rsidP="003B14AB">
      <w:pPr>
        <w:pStyle w:val="FootnoteText"/>
        <w:ind w:left="284" w:hanging="284"/>
        <w:jc w:val="both"/>
        <w:rPr>
          <w:sz w:val="16"/>
          <w:szCs w:val="16"/>
          <w:lang w:val="en-US"/>
        </w:rPr>
      </w:pPr>
      <w:r w:rsidRPr="004515F9">
        <w:rPr>
          <w:rStyle w:val="FootnoteReference"/>
          <w:sz w:val="16"/>
          <w:szCs w:val="16"/>
        </w:rPr>
        <w:footnoteRef/>
      </w:r>
      <w:r w:rsidRPr="004515F9">
        <w:rPr>
          <w:sz w:val="16"/>
          <w:szCs w:val="16"/>
        </w:rPr>
        <w:t xml:space="preserve"> Стойността на показателя се очаква да бъде постигната към 31.12.2025 г.</w:t>
      </w:r>
    </w:p>
  </w:footnote>
  <w:footnote w:id="35">
    <w:p w14:paraId="61D5D397" w14:textId="16E8DBBC" w:rsidR="005A4ECE" w:rsidRPr="00B2702C" w:rsidRDefault="005A4ECE" w:rsidP="003B14AB">
      <w:pPr>
        <w:pStyle w:val="FootnoteText"/>
        <w:jc w:val="both"/>
        <w:rPr>
          <w:color w:val="000000"/>
          <w:sz w:val="16"/>
          <w:szCs w:val="16"/>
          <w:lang w:eastAsia="en-US"/>
        </w:rPr>
      </w:pPr>
      <w:r w:rsidRPr="004515F9">
        <w:rPr>
          <w:rStyle w:val="FootnoteReference"/>
          <w:sz w:val="16"/>
          <w:szCs w:val="16"/>
        </w:rPr>
        <w:footnoteRef/>
      </w:r>
      <w:r w:rsidRPr="004515F9">
        <w:rPr>
          <w:sz w:val="16"/>
          <w:szCs w:val="16"/>
        </w:rPr>
        <w:t xml:space="preserve"> Целевата стойност е планирана въз основа на прогнозата за договаряне на</w:t>
      </w:r>
      <w:r>
        <w:rPr>
          <w:sz w:val="16"/>
          <w:szCs w:val="16"/>
        </w:rPr>
        <w:t xml:space="preserve"> </w:t>
      </w:r>
      <w:r w:rsidRPr="004515F9">
        <w:rPr>
          <w:sz w:val="16"/>
          <w:szCs w:val="16"/>
        </w:rPr>
        <w:t>Процедура за предоставяне на БФП чрез подбор на проектни предложения BG16RFTA001-1.008 „Активни и компетентни организации на гражданското общество за повишаване на добавената стойност на политиката на сближаване в България“.</w:t>
      </w:r>
      <w:r>
        <w:rPr>
          <w:sz w:val="16"/>
          <w:szCs w:val="16"/>
        </w:rPr>
        <w:t xml:space="preserve"> </w:t>
      </w:r>
      <w:r w:rsidRPr="004515F9">
        <w:rPr>
          <w:sz w:val="16"/>
          <w:szCs w:val="16"/>
        </w:rPr>
        <w:t>Процедурата е</w:t>
      </w:r>
      <w:r>
        <w:rPr>
          <w:sz w:val="16"/>
          <w:szCs w:val="16"/>
        </w:rPr>
        <w:t xml:space="preserve"> </w:t>
      </w:r>
      <w:r w:rsidRPr="004515F9">
        <w:rPr>
          <w:sz w:val="16"/>
          <w:szCs w:val="16"/>
        </w:rPr>
        <w:t>прекратена. Съответно не са</w:t>
      </w:r>
      <w:r>
        <w:rPr>
          <w:sz w:val="16"/>
          <w:szCs w:val="16"/>
        </w:rPr>
        <w:t xml:space="preserve"> </w:t>
      </w:r>
      <w:r w:rsidRPr="004515F9">
        <w:rPr>
          <w:sz w:val="16"/>
          <w:szCs w:val="16"/>
        </w:rPr>
        <w:t>сключени</w:t>
      </w:r>
      <w:r>
        <w:rPr>
          <w:sz w:val="16"/>
          <w:szCs w:val="16"/>
        </w:rPr>
        <w:t xml:space="preserve"> </w:t>
      </w:r>
      <w:r w:rsidRPr="004515F9">
        <w:rPr>
          <w:sz w:val="16"/>
          <w:szCs w:val="16"/>
        </w:rPr>
        <w:t>договори по нея.</w:t>
      </w:r>
    </w:p>
  </w:footnote>
  <w:footnote w:id="36">
    <w:p w14:paraId="632342E3" w14:textId="77777777" w:rsidR="005A4ECE" w:rsidRPr="004515F9" w:rsidRDefault="005A4ECE" w:rsidP="003B14AB">
      <w:pPr>
        <w:pStyle w:val="FootnoteText"/>
        <w:ind w:left="284" w:hanging="284"/>
        <w:jc w:val="both"/>
        <w:rPr>
          <w:sz w:val="16"/>
          <w:szCs w:val="16"/>
        </w:rPr>
      </w:pPr>
      <w:r w:rsidRPr="004515F9">
        <w:rPr>
          <w:rStyle w:val="FootnoteReference"/>
          <w:sz w:val="16"/>
          <w:szCs w:val="16"/>
        </w:rPr>
        <w:footnoteRef/>
      </w:r>
      <w:r w:rsidRPr="004515F9">
        <w:rPr>
          <w:sz w:val="16"/>
          <w:szCs w:val="16"/>
        </w:rPr>
        <w:t xml:space="preserve"> </w:t>
      </w:r>
      <w:bookmarkStart w:id="50" w:name="_Hlk204698814"/>
      <w:r w:rsidRPr="004515F9">
        <w:rPr>
          <w:sz w:val="16"/>
          <w:szCs w:val="16"/>
        </w:rPr>
        <w:t>Стойността на показателя се очаква да бъде постигната към 31.12.2025 г.</w:t>
      </w:r>
      <w:bookmarkEnd w:id="50"/>
    </w:p>
  </w:footnote>
  <w:footnote w:id="37">
    <w:p w14:paraId="661DA3DF" w14:textId="77777777" w:rsidR="005A4ECE" w:rsidRPr="00376F32" w:rsidRDefault="005A4ECE" w:rsidP="003B14AB">
      <w:pPr>
        <w:pStyle w:val="FootnoteText"/>
        <w:tabs>
          <w:tab w:val="left" w:pos="142"/>
        </w:tabs>
        <w:jc w:val="both"/>
        <w:rPr>
          <w:sz w:val="16"/>
          <w:szCs w:val="16"/>
        </w:rPr>
      </w:pPr>
      <w:r w:rsidRPr="00376F32">
        <w:rPr>
          <w:rStyle w:val="FootnoteReference"/>
          <w:sz w:val="16"/>
          <w:szCs w:val="16"/>
        </w:rPr>
        <w:footnoteRef/>
      </w:r>
      <w:r w:rsidRPr="00376F32">
        <w:rPr>
          <w:sz w:val="16"/>
          <w:szCs w:val="16"/>
        </w:rPr>
        <w:t xml:space="preserve"> </w:t>
      </w:r>
      <w:r w:rsidRPr="00376F32">
        <w:rPr>
          <w:sz w:val="16"/>
          <w:szCs w:val="16"/>
        </w:rPr>
        <w:tab/>
        <w:t>(7) Дирекция „Добро управление“ при възлагане с акт на Министерския съвет извършва:</w:t>
      </w:r>
    </w:p>
    <w:p w14:paraId="1A249507" w14:textId="3B6DCF9A" w:rsidR="005A4ECE" w:rsidRPr="00376F32" w:rsidRDefault="005A4ECE" w:rsidP="003B14AB">
      <w:pPr>
        <w:pStyle w:val="FootnoteText"/>
        <w:tabs>
          <w:tab w:val="left" w:pos="142"/>
        </w:tabs>
        <w:ind w:firstLine="142"/>
        <w:jc w:val="both"/>
        <w:rPr>
          <w:sz w:val="16"/>
          <w:szCs w:val="16"/>
        </w:rPr>
      </w:pPr>
      <w:r w:rsidRPr="00376F32">
        <w:rPr>
          <w:sz w:val="16"/>
          <w:szCs w:val="16"/>
        </w:rPr>
        <w:t>1. проверки по смисъла на чл. 125, параграф 4, алинея първа, буква "а" от Регламент (ЕС) № 1303/2013 на Европейския парламент и на Съвета от 17</w:t>
      </w:r>
      <w:r>
        <w:rPr>
          <w:sz w:val="16"/>
          <w:szCs w:val="16"/>
        </w:rPr>
        <w:t>.12.</w:t>
      </w:r>
      <w:r w:rsidRPr="00376F32">
        <w:rPr>
          <w:sz w:val="16"/>
          <w:szCs w:val="16"/>
        </w:rPr>
        <w:t xml:space="preserve">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347/320 от </w:t>
      </w:r>
      <w:r>
        <w:rPr>
          <w:sz w:val="16"/>
          <w:szCs w:val="16"/>
        </w:rPr>
        <w:br/>
      </w:r>
      <w:r w:rsidRPr="00376F32">
        <w:rPr>
          <w:sz w:val="16"/>
          <w:szCs w:val="16"/>
        </w:rPr>
        <w:t>20</w:t>
      </w:r>
      <w:r>
        <w:rPr>
          <w:sz w:val="16"/>
          <w:szCs w:val="16"/>
        </w:rPr>
        <w:t>.12.</w:t>
      </w:r>
      <w:r w:rsidRPr="00376F32">
        <w:rPr>
          <w:sz w:val="16"/>
          <w:szCs w:val="16"/>
        </w:rPr>
        <w:t>2013 г.) за верифициране на разходи на управляващи органи на оперативни програми от програмен период 2014 – 2020 г. по приоритетни оси "Техническа помощ" на програмите;</w:t>
      </w:r>
    </w:p>
    <w:p w14:paraId="0876006B" w14:textId="2BB59CE7" w:rsidR="005A4ECE" w:rsidRPr="00DD46B9" w:rsidRDefault="005A4ECE" w:rsidP="00590EE6">
      <w:pPr>
        <w:pStyle w:val="FootnoteText"/>
        <w:tabs>
          <w:tab w:val="left" w:pos="142"/>
        </w:tabs>
        <w:ind w:firstLine="142"/>
        <w:jc w:val="both"/>
        <w:rPr>
          <w:sz w:val="16"/>
          <w:szCs w:val="16"/>
        </w:rPr>
      </w:pPr>
      <w:r w:rsidRPr="00C837E5">
        <w:rPr>
          <w:sz w:val="16"/>
          <w:szCs w:val="16"/>
        </w:rPr>
        <w:t>2. проверки по смисъла на член 74, параграф 1, алинея първа, буква "а" от Регламент (ЕС) 2021/1060 на Европейския парламент и на Съвета от 24</w:t>
      </w:r>
      <w:r>
        <w:rPr>
          <w:sz w:val="16"/>
          <w:szCs w:val="16"/>
        </w:rPr>
        <w:t>.06.</w:t>
      </w:r>
      <w:r w:rsidRPr="00C837E5">
        <w:rPr>
          <w:sz w:val="16"/>
          <w:szCs w:val="16"/>
        </w:rPr>
        <w:t>2021 г.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 (ОВ, L 231/159 от 30</w:t>
      </w:r>
      <w:r>
        <w:rPr>
          <w:sz w:val="16"/>
          <w:szCs w:val="16"/>
        </w:rPr>
        <w:t>.06.</w:t>
      </w:r>
      <w:r w:rsidRPr="00C837E5">
        <w:rPr>
          <w:sz w:val="16"/>
          <w:szCs w:val="16"/>
        </w:rPr>
        <w:t>2021 г.) за верифициране на разходи на управляващи органи на програми от програмен период 2021 – 2027 г. по приоритетите за техническа помощ на програмите.</w:t>
      </w:r>
    </w:p>
  </w:footnote>
  <w:footnote w:id="38">
    <w:p w14:paraId="7C7CAD47" w14:textId="77777777" w:rsidR="005A4ECE" w:rsidRPr="004E46A2" w:rsidRDefault="005A4ECE" w:rsidP="004E46A2">
      <w:pPr>
        <w:pStyle w:val="FootnoteText"/>
        <w:rPr>
          <w:sz w:val="16"/>
          <w:szCs w:val="16"/>
        </w:rPr>
      </w:pPr>
      <w:r w:rsidRPr="004E46A2">
        <w:rPr>
          <w:rStyle w:val="FootnoteReference"/>
          <w:sz w:val="16"/>
          <w:szCs w:val="16"/>
        </w:rPr>
        <w:footnoteRef/>
      </w:r>
      <w:r w:rsidRPr="003F0263">
        <w:t xml:space="preserve"> </w:t>
      </w:r>
      <w:r w:rsidRPr="004E46A2">
        <w:rPr>
          <w:sz w:val="16"/>
          <w:szCs w:val="16"/>
        </w:rPr>
        <w:t>Към 31.12.2024 г.</w:t>
      </w:r>
    </w:p>
  </w:footnote>
  <w:footnote w:id="39">
    <w:p w14:paraId="563D205A" w14:textId="666C4E23" w:rsidR="005A4ECE" w:rsidRPr="00EB5BA5" w:rsidRDefault="005A4ECE" w:rsidP="001A4402">
      <w:pPr>
        <w:pStyle w:val="FootnoteText"/>
      </w:pPr>
      <w:r w:rsidRPr="001A4402">
        <w:rPr>
          <w:rStyle w:val="FootnoteReference"/>
          <w:sz w:val="16"/>
          <w:szCs w:val="16"/>
        </w:rPr>
        <w:footnoteRef/>
      </w:r>
      <w:r>
        <w:t xml:space="preserve"> </w:t>
      </w:r>
      <w:r w:rsidRPr="00026CA3">
        <w:rPr>
          <w:sz w:val="16"/>
          <w:szCs w:val="16"/>
        </w:rPr>
        <w:t>В отчетния показател не са включени потребители на сайтовете на ДАА, поради използване на нов инструмент за статистическа и аналитична информация за потребителите и посещенията (</w:t>
      </w:r>
      <w:r w:rsidRPr="00026CA3">
        <w:rPr>
          <w:sz w:val="16"/>
          <w:szCs w:val="16"/>
          <w:lang w:val="en-US"/>
        </w:rPr>
        <w:t>Matomo</w:t>
      </w:r>
      <w:r w:rsidRPr="00026CA3">
        <w:rPr>
          <w:sz w:val="16"/>
          <w:szCs w:val="16"/>
        </w:rPr>
        <w:t xml:space="preserve">) в изпълнение на писмо на Министерство на електронното управление № МЕУ-4201/14.03.2023 г. за прекратяване на употребата на </w:t>
      </w:r>
      <w:r w:rsidRPr="00026CA3">
        <w:rPr>
          <w:sz w:val="16"/>
          <w:szCs w:val="16"/>
          <w:lang w:val="en-US"/>
        </w:rPr>
        <w:t>Google</w:t>
      </w:r>
      <w:r w:rsidRPr="00026CA3">
        <w:rPr>
          <w:sz w:val="16"/>
          <w:szCs w:val="16"/>
        </w:rPr>
        <w:t xml:space="preserve"> </w:t>
      </w:r>
      <w:r w:rsidRPr="00026CA3">
        <w:rPr>
          <w:sz w:val="16"/>
          <w:szCs w:val="16"/>
          <w:lang w:val="en-US"/>
        </w:rPr>
        <w:t>Analytics</w:t>
      </w:r>
      <w:r w:rsidRPr="00026CA3">
        <w:rPr>
          <w:sz w:val="16"/>
          <w:szCs w:val="16"/>
        </w:rPr>
        <w:t xml:space="preserve"> в сайтовете на държавна администрация. Новият инструмент предоставя информация само за посещенията.</w:t>
      </w:r>
    </w:p>
  </w:footnote>
  <w:footnote w:id="40">
    <w:p w14:paraId="357A4838" w14:textId="3E18BA4D" w:rsidR="005A4ECE" w:rsidRDefault="005A4ECE" w:rsidP="004E3B64">
      <w:pPr>
        <w:pStyle w:val="FootnoteText"/>
      </w:pPr>
      <w:r w:rsidRPr="00370A19">
        <w:rPr>
          <w:rStyle w:val="FootnoteReference"/>
          <w:sz w:val="16"/>
          <w:szCs w:val="16"/>
        </w:rPr>
        <w:footnoteRef/>
      </w:r>
      <w:r w:rsidRPr="00EB5BA5">
        <w:t xml:space="preserve"> </w:t>
      </w:r>
      <w:r w:rsidRPr="00891D14">
        <w:rPr>
          <w:sz w:val="16"/>
          <w:szCs w:val="16"/>
        </w:rPr>
        <w:t>Виж бележка 39.</w:t>
      </w:r>
    </w:p>
  </w:footnote>
  <w:footnote w:id="41">
    <w:p w14:paraId="5A719080" w14:textId="77777777" w:rsidR="005A4ECE" w:rsidRPr="003920EE" w:rsidRDefault="005A4ECE" w:rsidP="0075635C">
      <w:pPr>
        <w:pStyle w:val="FootnoteText"/>
        <w:jc w:val="both"/>
        <w:rPr>
          <w:strike/>
          <w:sz w:val="16"/>
          <w:szCs w:val="16"/>
        </w:rPr>
      </w:pPr>
      <w:r w:rsidRPr="003920EE">
        <w:rPr>
          <w:rStyle w:val="FootnoteReference"/>
          <w:sz w:val="16"/>
          <w:szCs w:val="16"/>
        </w:rPr>
        <w:footnoteRef/>
      </w:r>
      <w:r w:rsidRPr="003920EE">
        <w:rPr>
          <w:sz w:val="16"/>
          <w:szCs w:val="16"/>
        </w:rPr>
        <w:t xml:space="preserve">Показателите в таблицата, за които в „мерни единици” не може да се прогнозира коректна целева стойност, са </w:t>
      </w:r>
      <w:r w:rsidRPr="003920EE">
        <w:rPr>
          <w:sz w:val="16"/>
          <w:szCs w:val="16"/>
        </w:rPr>
        <w:t>остойностени с минимална стойност „1”.</w:t>
      </w:r>
    </w:p>
  </w:footnote>
  <w:footnote w:id="42">
    <w:p w14:paraId="51C15F3B" w14:textId="77777777" w:rsidR="005A4ECE" w:rsidRPr="003920EE" w:rsidRDefault="005A4ECE" w:rsidP="0075635C">
      <w:pPr>
        <w:pStyle w:val="FootnoteText"/>
        <w:jc w:val="both"/>
        <w:rPr>
          <w:sz w:val="16"/>
          <w:szCs w:val="16"/>
        </w:rPr>
      </w:pPr>
      <w:r w:rsidRPr="003920EE">
        <w:rPr>
          <w:rStyle w:val="FootnoteReference"/>
          <w:sz w:val="16"/>
          <w:szCs w:val="16"/>
        </w:rPr>
        <w:footnoteRef/>
      </w:r>
      <w:r w:rsidRPr="00E6534A">
        <w:rPr>
          <w:sz w:val="16"/>
          <w:szCs w:val="16"/>
        </w:rPr>
        <w:t>999 п</w:t>
      </w:r>
      <w:r w:rsidRPr="003920EE">
        <w:rPr>
          <w:sz w:val="16"/>
          <w:szCs w:val="16"/>
        </w:rPr>
        <w:t>редписания не могат да бъдат отчетени, тъй като срокът за тяхното изпълнение не е изтекъл. Те могат да бъдат уточнени едва след извършване на контролни проверки в съответните институции.</w:t>
      </w:r>
    </w:p>
  </w:footnote>
  <w:footnote w:id="43">
    <w:p w14:paraId="026F4762" w14:textId="77777777" w:rsidR="005A4ECE" w:rsidRPr="003920EE" w:rsidRDefault="005A4ECE" w:rsidP="0075635C">
      <w:pPr>
        <w:pStyle w:val="FootnoteText"/>
        <w:jc w:val="both"/>
        <w:rPr>
          <w:sz w:val="16"/>
          <w:szCs w:val="16"/>
        </w:rPr>
      </w:pPr>
      <w:r w:rsidRPr="003920EE">
        <w:rPr>
          <w:rStyle w:val="FootnoteReference"/>
          <w:sz w:val="16"/>
          <w:szCs w:val="16"/>
        </w:rPr>
        <w:footnoteRef/>
      </w:r>
      <w:r w:rsidRPr="003920EE">
        <w:rPr>
          <w:sz w:val="16"/>
          <w:szCs w:val="16"/>
        </w:rPr>
        <w:t>На част от предписанията срокът за тяхното изпълнение не е изтекъл, а на друга част, експертите на държавните архиви, са удължили срокът за тяхната реализация.</w:t>
      </w:r>
    </w:p>
  </w:footnote>
  <w:footnote w:id="44">
    <w:p w14:paraId="02123221" w14:textId="77777777" w:rsidR="005A4ECE" w:rsidRPr="003920EE" w:rsidRDefault="005A4ECE" w:rsidP="0075635C">
      <w:pPr>
        <w:pStyle w:val="FootnoteText"/>
        <w:jc w:val="both"/>
        <w:rPr>
          <w:sz w:val="16"/>
          <w:szCs w:val="16"/>
        </w:rPr>
      </w:pPr>
      <w:r w:rsidRPr="003920EE">
        <w:rPr>
          <w:rStyle w:val="FootnoteReference"/>
          <w:sz w:val="16"/>
          <w:szCs w:val="16"/>
        </w:rPr>
        <w:footnoteRef/>
      </w:r>
      <w:r w:rsidRPr="003920EE">
        <w:rPr>
          <w:sz w:val="16"/>
          <w:szCs w:val="16"/>
        </w:rPr>
        <w:t>На част от предписанията срокът за тяхното изпълнение не е изтекъл.</w:t>
      </w:r>
    </w:p>
  </w:footnote>
  <w:footnote w:id="45">
    <w:p w14:paraId="0F19BFF6" w14:textId="77777777" w:rsidR="005A4ECE" w:rsidRPr="003920EE" w:rsidRDefault="005A4ECE" w:rsidP="0075635C">
      <w:pPr>
        <w:pStyle w:val="FootnoteText"/>
        <w:jc w:val="both"/>
        <w:rPr>
          <w:sz w:val="16"/>
          <w:szCs w:val="16"/>
        </w:rPr>
      </w:pPr>
      <w:r w:rsidRPr="003920EE">
        <w:rPr>
          <w:rStyle w:val="FootnoteReference"/>
          <w:sz w:val="16"/>
          <w:szCs w:val="16"/>
        </w:rPr>
        <w:footnoteRef/>
      </w:r>
      <w:r w:rsidRPr="003920EE">
        <w:rPr>
          <w:sz w:val="16"/>
          <w:szCs w:val="16"/>
        </w:rPr>
        <w:t>От общия брой номенклатури на делата (338) – 75 са нови, 86 – актуализирани, 177 – внедрени.</w:t>
      </w:r>
    </w:p>
  </w:footnote>
  <w:footnote w:id="46">
    <w:p w14:paraId="69E5EBAB" w14:textId="77777777" w:rsidR="005A4ECE" w:rsidRPr="009847F3" w:rsidRDefault="005A4ECE" w:rsidP="0075635C">
      <w:pPr>
        <w:jc w:val="both"/>
        <w:rPr>
          <w:strike/>
          <w:sz w:val="16"/>
          <w:szCs w:val="16"/>
          <w:lang w:val="ru-RU"/>
        </w:rPr>
      </w:pPr>
      <w:r w:rsidRPr="000F175F">
        <w:rPr>
          <w:rStyle w:val="FootnoteReference"/>
          <w:sz w:val="16"/>
          <w:szCs w:val="16"/>
        </w:rPr>
        <w:footnoteRef/>
      </w:r>
      <w:r w:rsidRPr="000F175F">
        <w:rPr>
          <w:noProof/>
          <w:sz w:val="16"/>
          <w:szCs w:val="16"/>
        </w:rPr>
        <w:t xml:space="preserve"> </w:t>
      </w:r>
      <w:r w:rsidRPr="000F175F">
        <w:rPr>
          <w:sz w:val="16"/>
          <w:szCs w:val="16"/>
        </w:rPr>
        <w:t>Броят потребители на архивна информация в читалните на държавните архиви е 2795</w:t>
      </w:r>
      <w:r w:rsidRPr="000F175F">
        <w:rPr>
          <w:noProof/>
          <w:sz w:val="16"/>
          <w:szCs w:val="16"/>
          <w:lang w:val="ru-RU"/>
        </w:rPr>
        <w:t xml:space="preserve">. </w:t>
      </w:r>
      <w:r w:rsidRPr="000F175F">
        <w:rPr>
          <w:noProof/>
          <w:sz w:val="16"/>
          <w:szCs w:val="16"/>
        </w:rPr>
        <w:t>Посещенията на потребителите на архивна информация са</w:t>
      </w:r>
      <w:r w:rsidRPr="000F175F">
        <w:rPr>
          <w:noProof/>
          <w:sz w:val="16"/>
          <w:szCs w:val="16"/>
          <w:lang w:val="ru-RU"/>
        </w:rPr>
        <w:t xml:space="preserve"> 132 943, от които</w:t>
      </w:r>
      <w:r w:rsidRPr="000F175F">
        <w:rPr>
          <w:noProof/>
          <w:sz w:val="16"/>
          <w:szCs w:val="16"/>
        </w:rPr>
        <w:t xml:space="preserve"> 6239 посещения в читалните на държавните архиви и 126 </w:t>
      </w:r>
      <w:r w:rsidRPr="000F175F">
        <w:rPr>
          <w:noProof/>
          <w:sz w:val="16"/>
          <w:szCs w:val="16"/>
          <w:lang w:val="ru-RU"/>
        </w:rPr>
        <w:t>704</w:t>
      </w:r>
      <w:r w:rsidRPr="000F175F">
        <w:rPr>
          <w:noProof/>
          <w:sz w:val="16"/>
          <w:szCs w:val="16"/>
        </w:rPr>
        <w:t xml:space="preserve"> посещения в сайтовете и електронните бази на ДАА</w:t>
      </w:r>
      <w:r w:rsidRPr="000F175F">
        <w:rPr>
          <w:noProof/>
          <w:sz w:val="16"/>
          <w:szCs w:val="16"/>
          <w:lang w:val="ru-RU"/>
        </w:rPr>
        <w:t xml:space="preserve"> </w:t>
      </w:r>
      <w:r w:rsidRPr="000F175F">
        <w:rPr>
          <w:bCs/>
          <w:noProof/>
          <w:sz w:val="16"/>
          <w:szCs w:val="16"/>
        </w:rPr>
        <w:t>(административен и тематични сайтове от платформата „Архивите говорят“, база с дигитални обекти от Дигиталния архив в ИСДА, база с цифрови копия на аудиовизуални документи в Системата за е-архивиране и посещения в Регистъра на НАФ).</w:t>
      </w:r>
      <w:r w:rsidRPr="000F175F">
        <w:rPr>
          <w:sz w:val="16"/>
          <w:szCs w:val="16"/>
        </w:rPr>
        <w:t xml:space="preserve"> </w:t>
      </w:r>
    </w:p>
  </w:footnote>
  <w:footnote w:id="47">
    <w:p w14:paraId="348EF740" w14:textId="77777777" w:rsidR="005A4ECE" w:rsidRPr="000F175F" w:rsidRDefault="005A4ECE" w:rsidP="0075635C">
      <w:pPr>
        <w:pStyle w:val="FootnoteText"/>
        <w:jc w:val="both"/>
        <w:rPr>
          <w:sz w:val="16"/>
          <w:szCs w:val="16"/>
        </w:rPr>
      </w:pPr>
      <w:r w:rsidRPr="000F175F">
        <w:rPr>
          <w:rStyle w:val="FootnoteReference"/>
          <w:sz w:val="16"/>
          <w:szCs w:val="16"/>
        </w:rPr>
        <w:footnoteRef/>
      </w:r>
      <w:r w:rsidRPr="000F175F">
        <w:rPr>
          <w:sz w:val="16"/>
          <w:szCs w:val="16"/>
        </w:rPr>
        <w:t xml:space="preserve"> По изследователски теми, имуществени въпроси и други теми, като </w:t>
      </w:r>
      <w:r w:rsidRPr="000F175F">
        <w:rPr>
          <w:bCs/>
          <w:iCs/>
          <w:noProof/>
          <w:sz w:val="16"/>
          <w:szCs w:val="16"/>
          <w:lang w:val="ru-RU"/>
        </w:rPr>
        <w:t>в това число са включени и извършените справки по архивни документи за изготвяне на удостоверения</w:t>
      </w:r>
      <w:r w:rsidRPr="000F175F">
        <w:rPr>
          <w:bCs/>
          <w:iCs/>
          <w:noProof/>
          <w:sz w:val="16"/>
          <w:szCs w:val="16"/>
        </w:rPr>
        <w:t xml:space="preserve"> по подадени заявления</w:t>
      </w:r>
      <w:r w:rsidRPr="000F175F">
        <w:rPr>
          <w:bCs/>
          <w:iCs/>
          <w:noProof/>
          <w:sz w:val="16"/>
          <w:szCs w:val="16"/>
          <w:lang w:val="ru-RU"/>
        </w:rPr>
        <w:t xml:space="preserve"> от ДВИА.</w:t>
      </w:r>
    </w:p>
  </w:footnote>
  <w:footnote w:id="48">
    <w:p w14:paraId="6BB02ABD" w14:textId="5FFB328D" w:rsidR="005A4ECE" w:rsidRPr="000F175F" w:rsidRDefault="005A4ECE" w:rsidP="0075635C">
      <w:pPr>
        <w:pStyle w:val="FootnoteText"/>
        <w:jc w:val="both"/>
        <w:rPr>
          <w:sz w:val="16"/>
          <w:szCs w:val="16"/>
        </w:rPr>
      </w:pPr>
      <w:r w:rsidRPr="000F175F">
        <w:rPr>
          <w:rStyle w:val="FootnoteReference"/>
          <w:sz w:val="16"/>
          <w:szCs w:val="16"/>
        </w:rPr>
        <w:footnoteRef/>
      </w:r>
      <w:r w:rsidRPr="000F175F">
        <w:rPr>
          <w:sz w:val="16"/>
          <w:szCs w:val="16"/>
        </w:rPr>
        <w:t xml:space="preserve"> </w:t>
      </w:r>
      <w:r w:rsidRPr="00026CA3">
        <w:rPr>
          <w:sz w:val="16"/>
          <w:szCs w:val="16"/>
        </w:rPr>
        <w:t>В отчетния показател не са включени потребители на сайтовете на ДАА, поради използване на нов инструмент за статистическа и аналитична информация за потребителите и посещенията (</w:t>
      </w:r>
      <w:r w:rsidRPr="00026CA3">
        <w:rPr>
          <w:sz w:val="16"/>
          <w:szCs w:val="16"/>
          <w:lang w:val="en-US"/>
        </w:rPr>
        <w:t>Matomo</w:t>
      </w:r>
      <w:r w:rsidRPr="00026CA3">
        <w:rPr>
          <w:sz w:val="16"/>
          <w:szCs w:val="16"/>
        </w:rPr>
        <w:t xml:space="preserve">) в изпълнение на писмо на Министерство на електронното управление № МЕУ-4201/14.03.2023 г. за прекратяване на употребата на </w:t>
      </w:r>
      <w:r w:rsidRPr="00026CA3">
        <w:rPr>
          <w:sz w:val="16"/>
          <w:szCs w:val="16"/>
          <w:lang w:val="en-US"/>
        </w:rPr>
        <w:t>Google</w:t>
      </w:r>
      <w:r w:rsidRPr="00026CA3">
        <w:rPr>
          <w:sz w:val="16"/>
          <w:szCs w:val="16"/>
        </w:rPr>
        <w:t xml:space="preserve"> </w:t>
      </w:r>
      <w:r w:rsidRPr="00026CA3">
        <w:rPr>
          <w:sz w:val="16"/>
          <w:szCs w:val="16"/>
          <w:lang w:val="en-US"/>
        </w:rPr>
        <w:t>Analytics</w:t>
      </w:r>
      <w:r w:rsidRPr="00026CA3">
        <w:rPr>
          <w:sz w:val="16"/>
          <w:szCs w:val="16"/>
        </w:rPr>
        <w:t xml:space="preserve"> в сайтовете на държавна администрация. Новият инструмент предоставя информация само за посещенията</w:t>
      </w:r>
      <w:r w:rsidRPr="000F175F">
        <w:rPr>
          <w:sz w:val="16"/>
          <w:szCs w:val="16"/>
        </w:rPr>
        <w:t>.</w:t>
      </w:r>
    </w:p>
  </w:footnote>
  <w:footnote w:id="49">
    <w:p w14:paraId="6064825B" w14:textId="7F2114D6" w:rsidR="005A4ECE" w:rsidRPr="000C5BA7" w:rsidRDefault="005A4ECE" w:rsidP="0075635C">
      <w:pPr>
        <w:pStyle w:val="FootnoteText"/>
        <w:jc w:val="both"/>
        <w:rPr>
          <w:sz w:val="16"/>
          <w:szCs w:val="16"/>
        </w:rPr>
      </w:pPr>
      <w:r w:rsidRPr="000F175F">
        <w:rPr>
          <w:rStyle w:val="FootnoteReference"/>
          <w:sz w:val="16"/>
          <w:szCs w:val="16"/>
        </w:rPr>
        <w:footnoteRef/>
      </w:r>
      <w:r>
        <w:rPr>
          <w:sz w:val="16"/>
          <w:szCs w:val="16"/>
        </w:rPr>
        <w:t xml:space="preserve"> </w:t>
      </w:r>
      <w:r w:rsidRPr="000C5BA7">
        <w:rPr>
          <w:sz w:val="16"/>
          <w:szCs w:val="16"/>
        </w:rPr>
        <w:t>Виж бележка 48.</w:t>
      </w:r>
    </w:p>
  </w:footnote>
  <w:footnote w:id="50">
    <w:p w14:paraId="0AE9B3E7" w14:textId="58EE0773" w:rsidR="005A4ECE" w:rsidRPr="000C5BA7" w:rsidRDefault="005A4ECE" w:rsidP="0075635C">
      <w:pPr>
        <w:pStyle w:val="FootnoteText"/>
        <w:rPr>
          <w:sz w:val="16"/>
          <w:szCs w:val="16"/>
        </w:rPr>
      </w:pPr>
      <w:r w:rsidRPr="000C5BA7">
        <w:rPr>
          <w:rStyle w:val="FootnoteReference"/>
          <w:sz w:val="16"/>
          <w:szCs w:val="16"/>
        </w:rPr>
        <w:footnoteRef/>
      </w:r>
      <w:r w:rsidRPr="000C5BA7">
        <w:rPr>
          <w:sz w:val="16"/>
          <w:szCs w:val="16"/>
        </w:rPr>
        <w:t xml:space="preserve"> Виж бележка 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A7C"/>
    <w:multiLevelType w:val="hybridMultilevel"/>
    <w:tmpl w:val="D8D86F7C"/>
    <w:lvl w:ilvl="0" w:tplc="6BF2B220">
      <w:start w:val="1"/>
      <w:numFmt w:val="decimal"/>
      <w:suff w:val="space"/>
      <w:lvlText w:val="%1."/>
      <w:lvlJc w:val="left"/>
      <w:pPr>
        <w:ind w:left="1429" w:hanging="360"/>
      </w:pPr>
      <w:rPr>
        <w:rFonts w:hint="default"/>
        <w:b w:val="0"/>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072D6C"/>
    <w:multiLevelType w:val="hybridMultilevel"/>
    <w:tmpl w:val="26224D32"/>
    <w:lvl w:ilvl="0" w:tplc="1000000B">
      <w:start w:val="1"/>
      <w:numFmt w:val="bullet"/>
      <w:lvlText w:val=""/>
      <w:lvlJc w:val="left"/>
      <w:pPr>
        <w:ind w:left="1146" w:hanging="360"/>
      </w:pPr>
      <w:rPr>
        <w:rFonts w:ascii="Wingdings" w:hAnsi="Wingdings" w:hint="default"/>
      </w:rPr>
    </w:lvl>
    <w:lvl w:ilvl="1" w:tplc="10000003" w:tentative="1">
      <w:start w:val="1"/>
      <w:numFmt w:val="bullet"/>
      <w:lvlText w:val="o"/>
      <w:lvlJc w:val="left"/>
      <w:pPr>
        <w:ind w:left="1866" w:hanging="360"/>
      </w:pPr>
      <w:rPr>
        <w:rFonts w:ascii="Courier New" w:hAnsi="Courier New" w:cs="Courier New" w:hint="default"/>
      </w:rPr>
    </w:lvl>
    <w:lvl w:ilvl="2" w:tplc="10000005" w:tentative="1">
      <w:start w:val="1"/>
      <w:numFmt w:val="bullet"/>
      <w:lvlText w:val=""/>
      <w:lvlJc w:val="left"/>
      <w:pPr>
        <w:ind w:left="2586" w:hanging="360"/>
      </w:pPr>
      <w:rPr>
        <w:rFonts w:ascii="Wingdings" w:hAnsi="Wingdings" w:hint="default"/>
      </w:rPr>
    </w:lvl>
    <w:lvl w:ilvl="3" w:tplc="10000001" w:tentative="1">
      <w:start w:val="1"/>
      <w:numFmt w:val="bullet"/>
      <w:lvlText w:val=""/>
      <w:lvlJc w:val="left"/>
      <w:pPr>
        <w:ind w:left="3306" w:hanging="360"/>
      </w:pPr>
      <w:rPr>
        <w:rFonts w:ascii="Symbol" w:hAnsi="Symbol" w:hint="default"/>
      </w:rPr>
    </w:lvl>
    <w:lvl w:ilvl="4" w:tplc="10000003" w:tentative="1">
      <w:start w:val="1"/>
      <w:numFmt w:val="bullet"/>
      <w:lvlText w:val="o"/>
      <w:lvlJc w:val="left"/>
      <w:pPr>
        <w:ind w:left="4026" w:hanging="360"/>
      </w:pPr>
      <w:rPr>
        <w:rFonts w:ascii="Courier New" w:hAnsi="Courier New" w:cs="Courier New" w:hint="default"/>
      </w:rPr>
    </w:lvl>
    <w:lvl w:ilvl="5" w:tplc="10000005" w:tentative="1">
      <w:start w:val="1"/>
      <w:numFmt w:val="bullet"/>
      <w:lvlText w:val=""/>
      <w:lvlJc w:val="left"/>
      <w:pPr>
        <w:ind w:left="4746" w:hanging="360"/>
      </w:pPr>
      <w:rPr>
        <w:rFonts w:ascii="Wingdings" w:hAnsi="Wingdings" w:hint="default"/>
      </w:rPr>
    </w:lvl>
    <w:lvl w:ilvl="6" w:tplc="10000001" w:tentative="1">
      <w:start w:val="1"/>
      <w:numFmt w:val="bullet"/>
      <w:lvlText w:val=""/>
      <w:lvlJc w:val="left"/>
      <w:pPr>
        <w:ind w:left="5466" w:hanging="360"/>
      </w:pPr>
      <w:rPr>
        <w:rFonts w:ascii="Symbol" w:hAnsi="Symbol" w:hint="default"/>
      </w:rPr>
    </w:lvl>
    <w:lvl w:ilvl="7" w:tplc="10000003" w:tentative="1">
      <w:start w:val="1"/>
      <w:numFmt w:val="bullet"/>
      <w:lvlText w:val="o"/>
      <w:lvlJc w:val="left"/>
      <w:pPr>
        <w:ind w:left="6186" w:hanging="360"/>
      </w:pPr>
      <w:rPr>
        <w:rFonts w:ascii="Courier New" w:hAnsi="Courier New" w:cs="Courier New" w:hint="default"/>
      </w:rPr>
    </w:lvl>
    <w:lvl w:ilvl="8" w:tplc="10000005" w:tentative="1">
      <w:start w:val="1"/>
      <w:numFmt w:val="bullet"/>
      <w:lvlText w:val=""/>
      <w:lvlJc w:val="left"/>
      <w:pPr>
        <w:ind w:left="6906" w:hanging="360"/>
      </w:pPr>
      <w:rPr>
        <w:rFonts w:ascii="Wingdings" w:hAnsi="Wingdings" w:hint="default"/>
      </w:rPr>
    </w:lvl>
  </w:abstractNum>
  <w:abstractNum w:abstractNumId="2" w15:restartNumberingAfterBreak="0">
    <w:nsid w:val="043E6DFB"/>
    <w:multiLevelType w:val="hybridMultilevel"/>
    <w:tmpl w:val="742E902C"/>
    <w:lvl w:ilvl="0" w:tplc="8C38DF8C">
      <w:start w:val="1"/>
      <w:numFmt w:val="decimal"/>
      <w:lvlText w:val="%1."/>
      <w:lvlJc w:val="left"/>
      <w:pPr>
        <w:ind w:left="928" w:hanging="360"/>
      </w:pPr>
      <w:rPr>
        <w:rFonts w:ascii="Times New Roman" w:eastAsia="Arial Unicode MS" w:hAnsi="Times New Roman" w:cs="Times New Roman" w:hint="default"/>
        <w:b w:val="0"/>
        <w:color w:val="000000"/>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5815464"/>
    <w:multiLevelType w:val="hybridMultilevel"/>
    <w:tmpl w:val="AC746CA8"/>
    <w:lvl w:ilvl="0" w:tplc="C13A4980">
      <w:start w:val="1"/>
      <w:numFmt w:val="bullet"/>
      <w:lvlText w:val=""/>
      <w:lvlJc w:val="left"/>
      <w:pPr>
        <w:tabs>
          <w:tab w:val="num" w:pos="720"/>
        </w:tabs>
        <w:ind w:left="720" w:hanging="360"/>
      </w:pPr>
      <w:rPr>
        <w:rFonts w:ascii="Wingdings" w:hAnsi="Wingdings" w:hint="default"/>
        <w:color w:val="4F81BD"/>
      </w:rPr>
    </w:lvl>
    <w:lvl w:ilvl="1" w:tplc="974007F0">
      <w:start w:val="1"/>
      <w:numFmt w:val="bullet"/>
      <w:lvlText w:val=""/>
      <w:lvlJc w:val="left"/>
      <w:pPr>
        <w:tabs>
          <w:tab w:val="num" w:pos="0"/>
        </w:tabs>
        <w:ind w:left="0" w:hanging="360"/>
      </w:pPr>
      <w:rPr>
        <w:rFonts w:ascii="Symbol" w:hAnsi="Symbol" w:hint="default"/>
        <w:color w:val="auto"/>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5A3469"/>
    <w:multiLevelType w:val="hybridMultilevel"/>
    <w:tmpl w:val="BAEA1B4E"/>
    <w:lvl w:ilvl="0" w:tplc="C2FE14FE">
      <w:start w:val="14"/>
      <w:numFmt w:val="bullet"/>
      <w:lvlText w:val="-"/>
      <w:lvlJc w:val="left"/>
      <w:pPr>
        <w:ind w:left="1146" w:hanging="360"/>
      </w:pPr>
      <w:rPr>
        <w:rFonts w:ascii="Times New Roman" w:eastAsia="Calibri" w:hAnsi="Times New Roman" w:cs="Times New Roman" w:hint="default"/>
      </w:rPr>
    </w:lvl>
    <w:lvl w:ilvl="1" w:tplc="10000003" w:tentative="1">
      <w:start w:val="1"/>
      <w:numFmt w:val="bullet"/>
      <w:lvlText w:val="o"/>
      <w:lvlJc w:val="left"/>
      <w:pPr>
        <w:ind w:left="1866" w:hanging="360"/>
      </w:pPr>
      <w:rPr>
        <w:rFonts w:ascii="Courier New" w:hAnsi="Courier New" w:cs="Courier New" w:hint="default"/>
      </w:rPr>
    </w:lvl>
    <w:lvl w:ilvl="2" w:tplc="10000005" w:tentative="1">
      <w:start w:val="1"/>
      <w:numFmt w:val="bullet"/>
      <w:lvlText w:val=""/>
      <w:lvlJc w:val="left"/>
      <w:pPr>
        <w:ind w:left="2586" w:hanging="360"/>
      </w:pPr>
      <w:rPr>
        <w:rFonts w:ascii="Wingdings" w:hAnsi="Wingdings" w:hint="default"/>
      </w:rPr>
    </w:lvl>
    <w:lvl w:ilvl="3" w:tplc="10000001" w:tentative="1">
      <w:start w:val="1"/>
      <w:numFmt w:val="bullet"/>
      <w:lvlText w:val=""/>
      <w:lvlJc w:val="left"/>
      <w:pPr>
        <w:ind w:left="3306" w:hanging="360"/>
      </w:pPr>
      <w:rPr>
        <w:rFonts w:ascii="Symbol" w:hAnsi="Symbol" w:hint="default"/>
      </w:rPr>
    </w:lvl>
    <w:lvl w:ilvl="4" w:tplc="10000003" w:tentative="1">
      <w:start w:val="1"/>
      <w:numFmt w:val="bullet"/>
      <w:lvlText w:val="o"/>
      <w:lvlJc w:val="left"/>
      <w:pPr>
        <w:ind w:left="4026" w:hanging="360"/>
      </w:pPr>
      <w:rPr>
        <w:rFonts w:ascii="Courier New" w:hAnsi="Courier New" w:cs="Courier New" w:hint="default"/>
      </w:rPr>
    </w:lvl>
    <w:lvl w:ilvl="5" w:tplc="10000005" w:tentative="1">
      <w:start w:val="1"/>
      <w:numFmt w:val="bullet"/>
      <w:lvlText w:val=""/>
      <w:lvlJc w:val="left"/>
      <w:pPr>
        <w:ind w:left="4746" w:hanging="360"/>
      </w:pPr>
      <w:rPr>
        <w:rFonts w:ascii="Wingdings" w:hAnsi="Wingdings" w:hint="default"/>
      </w:rPr>
    </w:lvl>
    <w:lvl w:ilvl="6" w:tplc="10000001" w:tentative="1">
      <w:start w:val="1"/>
      <w:numFmt w:val="bullet"/>
      <w:lvlText w:val=""/>
      <w:lvlJc w:val="left"/>
      <w:pPr>
        <w:ind w:left="5466" w:hanging="360"/>
      </w:pPr>
      <w:rPr>
        <w:rFonts w:ascii="Symbol" w:hAnsi="Symbol" w:hint="default"/>
      </w:rPr>
    </w:lvl>
    <w:lvl w:ilvl="7" w:tplc="10000003" w:tentative="1">
      <w:start w:val="1"/>
      <w:numFmt w:val="bullet"/>
      <w:lvlText w:val="o"/>
      <w:lvlJc w:val="left"/>
      <w:pPr>
        <w:ind w:left="6186" w:hanging="360"/>
      </w:pPr>
      <w:rPr>
        <w:rFonts w:ascii="Courier New" w:hAnsi="Courier New" w:cs="Courier New" w:hint="default"/>
      </w:rPr>
    </w:lvl>
    <w:lvl w:ilvl="8" w:tplc="10000005" w:tentative="1">
      <w:start w:val="1"/>
      <w:numFmt w:val="bullet"/>
      <w:lvlText w:val=""/>
      <w:lvlJc w:val="left"/>
      <w:pPr>
        <w:ind w:left="6906" w:hanging="360"/>
      </w:pPr>
      <w:rPr>
        <w:rFonts w:ascii="Wingdings" w:hAnsi="Wingdings" w:hint="default"/>
      </w:rPr>
    </w:lvl>
  </w:abstractNum>
  <w:abstractNum w:abstractNumId="5" w15:restartNumberingAfterBreak="0">
    <w:nsid w:val="0CF12B59"/>
    <w:multiLevelType w:val="hybridMultilevel"/>
    <w:tmpl w:val="9CF4CAC2"/>
    <w:lvl w:ilvl="0" w:tplc="F19A466C">
      <w:start w:val="1"/>
      <w:numFmt w:val="decimal"/>
      <w:lvlText w:val="%1."/>
      <w:lvlJc w:val="left"/>
      <w:pPr>
        <w:ind w:left="720" w:hanging="360"/>
      </w:pPr>
      <w:rPr>
        <w:rFonts w:ascii="Times New Roman" w:eastAsia="Arial Unicode MS" w:hAnsi="Times New Roman" w:cs="Times New Roman" w:hint="default"/>
        <w:color w:val="000000"/>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CFB2CD0"/>
    <w:multiLevelType w:val="hybridMultilevel"/>
    <w:tmpl w:val="F358343C"/>
    <w:lvl w:ilvl="0" w:tplc="B4BC0972">
      <w:start w:val="1"/>
      <w:numFmt w:val="decimal"/>
      <w:lvlText w:val="%1."/>
      <w:lvlJc w:val="left"/>
      <w:pPr>
        <w:ind w:left="720" w:hanging="360"/>
      </w:pPr>
      <w:rPr>
        <w:rFonts w:ascii="Times New Roman" w:eastAsia="Arial Unicode MS" w:hAnsi="Times New Roman" w:cs="Times New Roman" w:hint="default"/>
        <w:color w:val="00000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334A24B0">
      <w:start w:val="1"/>
      <w:numFmt w:val="decimal"/>
      <w:lvlText w:val="%7."/>
      <w:lvlJc w:val="left"/>
      <w:pPr>
        <w:ind w:left="5040" w:hanging="360"/>
      </w:pPr>
      <w:rPr>
        <w:sz w:val="22"/>
        <w:szCs w:val="22"/>
      </w:r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DA63F25"/>
    <w:multiLevelType w:val="hybridMultilevel"/>
    <w:tmpl w:val="E3222990"/>
    <w:lvl w:ilvl="0" w:tplc="D66A29A4">
      <w:start w:val="1"/>
      <w:numFmt w:val="decimal"/>
      <w:lvlText w:val="%1."/>
      <w:lvlJc w:val="left"/>
      <w:pPr>
        <w:ind w:left="786" w:hanging="360"/>
      </w:pPr>
      <w:rPr>
        <w:rFonts w:hint="default"/>
      </w:rPr>
    </w:lvl>
    <w:lvl w:ilvl="1" w:tplc="10000019" w:tentative="1">
      <w:start w:val="1"/>
      <w:numFmt w:val="lowerLetter"/>
      <w:lvlText w:val="%2."/>
      <w:lvlJc w:val="left"/>
      <w:pPr>
        <w:ind w:left="1506" w:hanging="360"/>
      </w:pPr>
    </w:lvl>
    <w:lvl w:ilvl="2" w:tplc="1000001B" w:tentative="1">
      <w:start w:val="1"/>
      <w:numFmt w:val="lowerRoman"/>
      <w:lvlText w:val="%3."/>
      <w:lvlJc w:val="right"/>
      <w:pPr>
        <w:ind w:left="2226" w:hanging="180"/>
      </w:pPr>
    </w:lvl>
    <w:lvl w:ilvl="3" w:tplc="1000000F" w:tentative="1">
      <w:start w:val="1"/>
      <w:numFmt w:val="decimal"/>
      <w:lvlText w:val="%4."/>
      <w:lvlJc w:val="left"/>
      <w:pPr>
        <w:ind w:left="2946" w:hanging="360"/>
      </w:pPr>
    </w:lvl>
    <w:lvl w:ilvl="4" w:tplc="10000019" w:tentative="1">
      <w:start w:val="1"/>
      <w:numFmt w:val="lowerLetter"/>
      <w:lvlText w:val="%5."/>
      <w:lvlJc w:val="left"/>
      <w:pPr>
        <w:ind w:left="3666" w:hanging="360"/>
      </w:pPr>
    </w:lvl>
    <w:lvl w:ilvl="5" w:tplc="1000001B" w:tentative="1">
      <w:start w:val="1"/>
      <w:numFmt w:val="lowerRoman"/>
      <w:lvlText w:val="%6."/>
      <w:lvlJc w:val="right"/>
      <w:pPr>
        <w:ind w:left="4386" w:hanging="180"/>
      </w:pPr>
    </w:lvl>
    <w:lvl w:ilvl="6" w:tplc="1000000F" w:tentative="1">
      <w:start w:val="1"/>
      <w:numFmt w:val="decimal"/>
      <w:lvlText w:val="%7."/>
      <w:lvlJc w:val="left"/>
      <w:pPr>
        <w:ind w:left="5106" w:hanging="360"/>
      </w:pPr>
    </w:lvl>
    <w:lvl w:ilvl="7" w:tplc="10000019" w:tentative="1">
      <w:start w:val="1"/>
      <w:numFmt w:val="lowerLetter"/>
      <w:lvlText w:val="%8."/>
      <w:lvlJc w:val="left"/>
      <w:pPr>
        <w:ind w:left="5826" w:hanging="360"/>
      </w:pPr>
    </w:lvl>
    <w:lvl w:ilvl="8" w:tplc="1000001B" w:tentative="1">
      <w:start w:val="1"/>
      <w:numFmt w:val="lowerRoman"/>
      <w:lvlText w:val="%9."/>
      <w:lvlJc w:val="right"/>
      <w:pPr>
        <w:ind w:left="6546" w:hanging="180"/>
      </w:pPr>
    </w:lvl>
  </w:abstractNum>
  <w:abstractNum w:abstractNumId="8" w15:restartNumberingAfterBreak="0">
    <w:nsid w:val="13AF6129"/>
    <w:multiLevelType w:val="hybridMultilevel"/>
    <w:tmpl w:val="71C87198"/>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9" w15:restartNumberingAfterBreak="0">
    <w:nsid w:val="14E66B09"/>
    <w:multiLevelType w:val="hybridMultilevel"/>
    <w:tmpl w:val="EBA6E090"/>
    <w:lvl w:ilvl="0" w:tplc="05AA87BE">
      <w:start w:val="1"/>
      <w:numFmt w:val="decimal"/>
      <w:lvlText w:val="%1)"/>
      <w:lvlJc w:val="left"/>
      <w:pPr>
        <w:ind w:left="786" w:hanging="360"/>
      </w:pPr>
      <w:rPr>
        <w:rFonts w:hint="default"/>
      </w:rPr>
    </w:lvl>
    <w:lvl w:ilvl="1" w:tplc="10000019" w:tentative="1">
      <w:start w:val="1"/>
      <w:numFmt w:val="lowerLetter"/>
      <w:lvlText w:val="%2."/>
      <w:lvlJc w:val="left"/>
      <w:pPr>
        <w:ind w:left="1506" w:hanging="360"/>
      </w:pPr>
    </w:lvl>
    <w:lvl w:ilvl="2" w:tplc="1000001B" w:tentative="1">
      <w:start w:val="1"/>
      <w:numFmt w:val="lowerRoman"/>
      <w:lvlText w:val="%3."/>
      <w:lvlJc w:val="right"/>
      <w:pPr>
        <w:ind w:left="2226" w:hanging="180"/>
      </w:pPr>
    </w:lvl>
    <w:lvl w:ilvl="3" w:tplc="1000000F" w:tentative="1">
      <w:start w:val="1"/>
      <w:numFmt w:val="decimal"/>
      <w:lvlText w:val="%4."/>
      <w:lvlJc w:val="left"/>
      <w:pPr>
        <w:ind w:left="2946" w:hanging="360"/>
      </w:pPr>
    </w:lvl>
    <w:lvl w:ilvl="4" w:tplc="10000019" w:tentative="1">
      <w:start w:val="1"/>
      <w:numFmt w:val="lowerLetter"/>
      <w:lvlText w:val="%5."/>
      <w:lvlJc w:val="left"/>
      <w:pPr>
        <w:ind w:left="3666" w:hanging="360"/>
      </w:pPr>
    </w:lvl>
    <w:lvl w:ilvl="5" w:tplc="1000001B" w:tentative="1">
      <w:start w:val="1"/>
      <w:numFmt w:val="lowerRoman"/>
      <w:lvlText w:val="%6."/>
      <w:lvlJc w:val="right"/>
      <w:pPr>
        <w:ind w:left="4386" w:hanging="180"/>
      </w:pPr>
    </w:lvl>
    <w:lvl w:ilvl="6" w:tplc="1000000F" w:tentative="1">
      <w:start w:val="1"/>
      <w:numFmt w:val="decimal"/>
      <w:lvlText w:val="%7."/>
      <w:lvlJc w:val="left"/>
      <w:pPr>
        <w:ind w:left="5106" w:hanging="360"/>
      </w:pPr>
    </w:lvl>
    <w:lvl w:ilvl="7" w:tplc="10000019" w:tentative="1">
      <w:start w:val="1"/>
      <w:numFmt w:val="lowerLetter"/>
      <w:lvlText w:val="%8."/>
      <w:lvlJc w:val="left"/>
      <w:pPr>
        <w:ind w:left="5826" w:hanging="360"/>
      </w:pPr>
    </w:lvl>
    <w:lvl w:ilvl="8" w:tplc="1000001B" w:tentative="1">
      <w:start w:val="1"/>
      <w:numFmt w:val="lowerRoman"/>
      <w:lvlText w:val="%9."/>
      <w:lvlJc w:val="right"/>
      <w:pPr>
        <w:ind w:left="6546" w:hanging="180"/>
      </w:pPr>
    </w:lvl>
  </w:abstractNum>
  <w:abstractNum w:abstractNumId="10" w15:restartNumberingAfterBreak="0">
    <w:nsid w:val="15FF07A2"/>
    <w:multiLevelType w:val="hybridMultilevel"/>
    <w:tmpl w:val="40FC95CC"/>
    <w:lvl w:ilvl="0" w:tplc="C6BCD426">
      <w:start w:val="1"/>
      <w:numFmt w:val="decimal"/>
      <w:suff w:val="space"/>
      <w:lvlText w:val="%1."/>
      <w:lvlJc w:val="left"/>
      <w:pPr>
        <w:ind w:left="1429"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76655CF"/>
    <w:multiLevelType w:val="hybridMultilevel"/>
    <w:tmpl w:val="AE92A876"/>
    <w:lvl w:ilvl="0" w:tplc="60668420">
      <w:start w:val="1"/>
      <w:numFmt w:val="bullet"/>
      <w:lvlText w:val=""/>
      <w:lvlJc w:val="left"/>
      <w:pPr>
        <w:ind w:left="720" w:hanging="360"/>
      </w:pPr>
      <w:rPr>
        <w:rFonts w:ascii="Wingdings" w:hAnsi="Wingdings"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7D62AC3"/>
    <w:multiLevelType w:val="hybridMultilevel"/>
    <w:tmpl w:val="7F185B94"/>
    <w:lvl w:ilvl="0" w:tplc="10000001">
      <w:start w:val="1"/>
      <w:numFmt w:val="bullet"/>
      <w:lvlText w:val=""/>
      <w:lvlJc w:val="left"/>
      <w:pPr>
        <w:ind w:left="1146" w:hanging="360"/>
      </w:pPr>
      <w:rPr>
        <w:rFonts w:ascii="Symbol" w:hAnsi="Symbol" w:hint="default"/>
      </w:rPr>
    </w:lvl>
    <w:lvl w:ilvl="1" w:tplc="10000003" w:tentative="1">
      <w:start w:val="1"/>
      <w:numFmt w:val="bullet"/>
      <w:lvlText w:val="o"/>
      <w:lvlJc w:val="left"/>
      <w:pPr>
        <w:ind w:left="1866" w:hanging="360"/>
      </w:pPr>
      <w:rPr>
        <w:rFonts w:ascii="Courier New" w:hAnsi="Courier New" w:cs="Courier New" w:hint="default"/>
      </w:rPr>
    </w:lvl>
    <w:lvl w:ilvl="2" w:tplc="10000005" w:tentative="1">
      <w:start w:val="1"/>
      <w:numFmt w:val="bullet"/>
      <w:lvlText w:val=""/>
      <w:lvlJc w:val="left"/>
      <w:pPr>
        <w:ind w:left="2586" w:hanging="360"/>
      </w:pPr>
      <w:rPr>
        <w:rFonts w:ascii="Wingdings" w:hAnsi="Wingdings" w:hint="default"/>
      </w:rPr>
    </w:lvl>
    <w:lvl w:ilvl="3" w:tplc="10000001" w:tentative="1">
      <w:start w:val="1"/>
      <w:numFmt w:val="bullet"/>
      <w:lvlText w:val=""/>
      <w:lvlJc w:val="left"/>
      <w:pPr>
        <w:ind w:left="3306" w:hanging="360"/>
      </w:pPr>
      <w:rPr>
        <w:rFonts w:ascii="Symbol" w:hAnsi="Symbol" w:hint="default"/>
      </w:rPr>
    </w:lvl>
    <w:lvl w:ilvl="4" w:tplc="10000003" w:tentative="1">
      <w:start w:val="1"/>
      <w:numFmt w:val="bullet"/>
      <w:lvlText w:val="o"/>
      <w:lvlJc w:val="left"/>
      <w:pPr>
        <w:ind w:left="4026" w:hanging="360"/>
      </w:pPr>
      <w:rPr>
        <w:rFonts w:ascii="Courier New" w:hAnsi="Courier New" w:cs="Courier New" w:hint="default"/>
      </w:rPr>
    </w:lvl>
    <w:lvl w:ilvl="5" w:tplc="10000005" w:tentative="1">
      <w:start w:val="1"/>
      <w:numFmt w:val="bullet"/>
      <w:lvlText w:val=""/>
      <w:lvlJc w:val="left"/>
      <w:pPr>
        <w:ind w:left="4746" w:hanging="360"/>
      </w:pPr>
      <w:rPr>
        <w:rFonts w:ascii="Wingdings" w:hAnsi="Wingdings" w:hint="default"/>
      </w:rPr>
    </w:lvl>
    <w:lvl w:ilvl="6" w:tplc="10000001" w:tentative="1">
      <w:start w:val="1"/>
      <w:numFmt w:val="bullet"/>
      <w:lvlText w:val=""/>
      <w:lvlJc w:val="left"/>
      <w:pPr>
        <w:ind w:left="5466" w:hanging="360"/>
      </w:pPr>
      <w:rPr>
        <w:rFonts w:ascii="Symbol" w:hAnsi="Symbol" w:hint="default"/>
      </w:rPr>
    </w:lvl>
    <w:lvl w:ilvl="7" w:tplc="10000003" w:tentative="1">
      <w:start w:val="1"/>
      <w:numFmt w:val="bullet"/>
      <w:lvlText w:val="o"/>
      <w:lvlJc w:val="left"/>
      <w:pPr>
        <w:ind w:left="6186" w:hanging="360"/>
      </w:pPr>
      <w:rPr>
        <w:rFonts w:ascii="Courier New" w:hAnsi="Courier New" w:cs="Courier New" w:hint="default"/>
      </w:rPr>
    </w:lvl>
    <w:lvl w:ilvl="8" w:tplc="10000005" w:tentative="1">
      <w:start w:val="1"/>
      <w:numFmt w:val="bullet"/>
      <w:lvlText w:val=""/>
      <w:lvlJc w:val="left"/>
      <w:pPr>
        <w:ind w:left="6906" w:hanging="360"/>
      </w:pPr>
      <w:rPr>
        <w:rFonts w:ascii="Wingdings" w:hAnsi="Wingdings" w:hint="default"/>
      </w:rPr>
    </w:lvl>
  </w:abstractNum>
  <w:abstractNum w:abstractNumId="13" w15:restartNumberingAfterBreak="0">
    <w:nsid w:val="1B7B6B15"/>
    <w:multiLevelType w:val="hybridMultilevel"/>
    <w:tmpl w:val="61CC2A56"/>
    <w:lvl w:ilvl="0" w:tplc="7736BB92">
      <w:start w:val="1"/>
      <w:numFmt w:val="bullet"/>
      <w:lvlText w:val=""/>
      <w:lvlJc w:val="left"/>
      <w:pPr>
        <w:tabs>
          <w:tab w:val="num" w:pos="360"/>
        </w:tabs>
        <w:ind w:left="360" w:hanging="360"/>
      </w:pPr>
      <w:rPr>
        <w:rFonts w:ascii="Wingdings" w:hAnsi="Wingdings" w:hint="default"/>
        <w:color w:val="auto"/>
      </w:rPr>
    </w:lvl>
    <w:lvl w:ilvl="1" w:tplc="7736BB92">
      <w:start w:val="1"/>
      <w:numFmt w:val="bullet"/>
      <w:lvlText w:val=""/>
      <w:lvlJc w:val="left"/>
      <w:pPr>
        <w:tabs>
          <w:tab w:val="num" w:pos="1080"/>
        </w:tabs>
        <w:ind w:left="1080" w:hanging="360"/>
      </w:pPr>
      <w:rPr>
        <w:rFonts w:ascii="Wingdings" w:hAnsi="Wingdings" w:hint="default"/>
        <w:color w:val="auto"/>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4" w15:restartNumberingAfterBreak="0">
    <w:nsid w:val="20CF5406"/>
    <w:multiLevelType w:val="hybridMultilevel"/>
    <w:tmpl w:val="67FA8300"/>
    <w:lvl w:ilvl="0" w:tplc="1000000B">
      <w:start w:val="1"/>
      <w:numFmt w:val="bullet"/>
      <w:lvlText w:val=""/>
      <w:lvlJc w:val="left"/>
      <w:pPr>
        <w:ind w:left="1428" w:hanging="360"/>
      </w:pPr>
      <w:rPr>
        <w:rFonts w:ascii="Wingdings" w:hAnsi="Wingdings"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5" w15:restartNumberingAfterBreak="0">
    <w:nsid w:val="21167A23"/>
    <w:multiLevelType w:val="hybridMultilevel"/>
    <w:tmpl w:val="C34A604A"/>
    <w:lvl w:ilvl="0" w:tplc="69C2BD30">
      <w:start w:val="1"/>
      <w:numFmt w:val="bullet"/>
      <w:lvlText w:val=""/>
      <w:lvlJc w:val="left"/>
      <w:pPr>
        <w:tabs>
          <w:tab w:val="num" w:pos="0"/>
        </w:tabs>
        <w:ind w:left="0" w:firstLine="0"/>
      </w:pPr>
      <w:rPr>
        <w:rFonts w:ascii="Wingdings" w:hAnsi="Wingdings" w:hint="default"/>
        <w:color w:val="215E99" w:themeColor="text2" w:themeTint="BF"/>
      </w:rPr>
    </w:lvl>
    <w:lvl w:ilvl="1" w:tplc="0402000B">
      <w:start w:val="1"/>
      <w:numFmt w:val="bullet"/>
      <w:lvlText w:val=""/>
      <w:lvlJc w:val="left"/>
      <w:pPr>
        <w:tabs>
          <w:tab w:val="num" w:pos="1440"/>
        </w:tabs>
        <w:ind w:left="1440" w:hanging="360"/>
      </w:pPr>
      <w:rPr>
        <w:rFonts w:ascii="Wingdings" w:hAnsi="Wingdings" w:hint="default"/>
        <w:color w:val="3366FF"/>
      </w:rPr>
    </w:lvl>
    <w:lvl w:ilvl="2" w:tplc="EDCC605C">
      <w:numFmt w:val="bullet"/>
      <w:lvlText w:val="-"/>
      <w:lvlJc w:val="left"/>
      <w:pPr>
        <w:tabs>
          <w:tab w:val="num" w:pos="2160"/>
        </w:tabs>
        <w:ind w:left="2160" w:hanging="360"/>
      </w:pPr>
      <w:rPr>
        <w:rFonts w:ascii="Times New Roman" w:eastAsia="Times New Roman" w:hAnsi="Times New Roman" w:cs="Times New Roman"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6F55C1"/>
    <w:multiLevelType w:val="hybridMultilevel"/>
    <w:tmpl w:val="1FC06AF6"/>
    <w:lvl w:ilvl="0" w:tplc="439E8752">
      <w:numFmt w:val="bullet"/>
      <w:lvlText w:val="-"/>
      <w:lvlJc w:val="left"/>
      <w:pPr>
        <w:ind w:left="142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15:restartNumberingAfterBreak="0">
    <w:nsid w:val="21D51C36"/>
    <w:multiLevelType w:val="hybridMultilevel"/>
    <w:tmpl w:val="EFD08260"/>
    <w:lvl w:ilvl="0" w:tplc="04020005">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8" w15:restartNumberingAfterBreak="0">
    <w:nsid w:val="273719A8"/>
    <w:multiLevelType w:val="hybridMultilevel"/>
    <w:tmpl w:val="D5C20D3A"/>
    <w:lvl w:ilvl="0" w:tplc="8A80DC80">
      <w:start w:val="1"/>
      <w:numFmt w:val="decimal"/>
      <w:lvlText w:val="%1."/>
      <w:lvlJc w:val="left"/>
      <w:pPr>
        <w:ind w:left="786" w:hanging="360"/>
      </w:pPr>
      <w:rPr>
        <w:rFonts w:hint="default"/>
      </w:rPr>
    </w:lvl>
    <w:lvl w:ilvl="1" w:tplc="10000019" w:tentative="1">
      <w:start w:val="1"/>
      <w:numFmt w:val="lowerLetter"/>
      <w:lvlText w:val="%2."/>
      <w:lvlJc w:val="left"/>
      <w:pPr>
        <w:ind w:left="1506" w:hanging="360"/>
      </w:pPr>
    </w:lvl>
    <w:lvl w:ilvl="2" w:tplc="1000001B" w:tentative="1">
      <w:start w:val="1"/>
      <w:numFmt w:val="lowerRoman"/>
      <w:lvlText w:val="%3."/>
      <w:lvlJc w:val="right"/>
      <w:pPr>
        <w:ind w:left="2226" w:hanging="180"/>
      </w:pPr>
    </w:lvl>
    <w:lvl w:ilvl="3" w:tplc="1000000F" w:tentative="1">
      <w:start w:val="1"/>
      <w:numFmt w:val="decimal"/>
      <w:lvlText w:val="%4."/>
      <w:lvlJc w:val="left"/>
      <w:pPr>
        <w:ind w:left="2946" w:hanging="360"/>
      </w:pPr>
    </w:lvl>
    <w:lvl w:ilvl="4" w:tplc="10000019" w:tentative="1">
      <w:start w:val="1"/>
      <w:numFmt w:val="lowerLetter"/>
      <w:lvlText w:val="%5."/>
      <w:lvlJc w:val="left"/>
      <w:pPr>
        <w:ind w:left="3666" w:hanging="360"/>
      </w:pPr>
    </w:lvl>
    <w:lvl w:ilvl="5" w:tplc="1000001B" w:tentative="1">
      <w:start w:val="1"/>
      <w:numFmt w:val="lowerRoman"/>
      <w:lvlText w:val="%6."/>
      <w:lvlJc w:val="right"/>
      <w:pPr>
        <w:ind w:left="4386" w:hanging="180"/>
      </w:pPr>
    </w:lvl>
    <w:lvl w:ilvl="6" w:tplc="1000000F" w:tentative="1">
      <w:start w:val="1"/>
      <w:numFmt w:val="decimal"/>
      <w:lvlText w:val="%7."/>
      <w:lvlJc w:val="left"/>
      <w:pPr>
        <w:ind w:left="5106" w:hanging="360"/>
      </w:pPr>
    </w:lvl>
    <w:lvl w:ilvl="7" w:tplc="10000019" w:tentative="1">
      <w:start w:val="1"/>
      <w:numFmt w:val="lowerLetter"/>
      <w:lvlText w:val="%8."/>
      <w:lvlJc w:val="left"/>
      <w:pPr>
        <w:ind w:left="5826" w:hanging="360"/>
      </w:pPr>
    </w:lvl>
    <w:lvl w:ilvl="8" w:tplc="1000001B" w:tentative="1">
      <w:start w:val="1"/>
      <w:numFmt w:val="lowerRoman"/>
      <w:lvlText w:val="%9."/>
      <w:lvlJc w:val="right"/>
      <w:pPr>
        <w:ind w:left="6546" w:hanging="180"/>
      </w:pPr>
    </w:lvl>
  </w:abstractNum>
  <w:abstractNum w:abstractNumId="19" w15:restartNumberingAfterBreak="0">
    <w:nsid w:val="275A58DB"/>
    <w:multiLevelType w:val="hybridMultilevel"/>
    <w:tmpl w:val="23DE5384"/>
    <w:lvl w:ilvl="0" w:tplc="0402000B">
      <w:start w:val="1"/>
      <w:numFmt w:val="bullet"/>
      <w:lvlText w:val=""/>
      <w:lvlJc w:val="left"/>
      <w:pPr>
        <w:tabs>
          <w:tab w:val="num" w:pos="360"/>
        </w:tabs>
        <w:ind w:left="360" w:hanging="360"/>
      </w:pPr>
      <w:rPr>
        <w:rFonts w:ascii="Wingdings" w:hAnsi="Wingdings" w:hint="default"/>
        <w:b w:val="0"/>
      </w:rPr>
    </w:lvl>
    <w:lvl w:ilvl="1" w:tplc="04020001">
      <w:start w:val="1"/>
      <w:numFmt w:val="bullet"/>
      <w:lvlText w:val=""/>
      <w:lvlJc w:val="left"/>
      <w:pPr>
        <w:tabs>
          <w:tab w:val="num" w:pos="1620"/>
        </w:tabs>
        <w:ind w:left="1620" w:hanging="360"/>
      </w:pPr>
      <w:rPr>
        <w:rFonts w:ascii="Symbol" w:hAnsi="Symbol" w:hint="default"/>
        <w:b w:val="0"/>
      </w:rPr>
    </w:lvl>
    <w:lvl w:ilvl="2" w:tplc="0402000D">
      <w:start w:val="1"/>
      <w:numFmt w:val="bullet"/>
      <w:lvlText w:val=""/>
      <w:lvlJc w:val="left"/>
      <w:pPr>
        <w:tabs>
          <w:tab w:val="num" w:pos="2520"/>
        </w:tabs>
        <w:ind w:left="2520" w:hanging="360"/>
      </w:pPr>
      <w:rPr>
        <w:rFonts w:ascii="Wingdings" w:hAnsi="Wingdings" w:hint="default"/>
        <w:b w:val="0"/>
      </w:r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20" w15:restartNumberingAfterBreak="0">
    <w:nsid w:val="2825539A"/>
    <w:multiLevelType w:val="hybridMultilevel"/>
    <w:tmpl w:val="EE605EAE"/>
    <w:lvl w:ilvl="0" w:tplc="0402000B">
      <w:start w:val="1"/>
      <w:numFmt w:val="bullet"/>
      <w:lvlText w:val=""/>
      <w:lvlJc w:val="left"/>
      <w:pPr>
        <w:ind w:left="1145" w:hanging="360"/>
      </w:pPr>
      <w:rPr>
        <w:rFonts w:ascii="Wingdings" w:hAnsi="Wingdings" w:hint="default"/>
      </w:rPr>
    </w:lvl>
    <w:lvl w:ilvl="1" w:tplc="04020003" w:tentative="1">
      <w:start w:val="1"/>
      <w:numFmt w:val="bullet"/>
      <w:lvlText w:val="o"/>
      <w:lvlJc w:val="left"/>
      <w:pPr>
        <w:ind w:left="1865" w:hanging="360"/>
      </w:pPr>
      <w:rPr>
        <w:rFonts w:ascii="Courier New" w:hAnsi="Courier New" w:cs="Courier New" w:hint="default"/>
      </w:rPr>
    </w:lvl>
    <w:lvl w:ilvl="2" w:tplc="04020005" w:tentative="1">
      <w:start w:val="1"/>
      <w:numFmt w:val="bullet"/>
      <w:lvlText w:val=""/>
      <w:lvlJc w:val="left"/>
      <w:pPr>
        <w:ind w:left="2585" w:hanging="360"/>
      </w:pPr>
      <w:rPr>
        <w:rFonts w:ascii="Wingdings" w:hAnsi="Wingdings"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21" w15:restartNumberingAfterBreak="0">
    <w:nsid w:val="2A276748"/>
    <w:multiLevelType w:val="hybridMultilevel"/>
    <w:tmpl w:val="28304034"/>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692AA0"/>
    <w:multiLevelType w:val="multilevel"/>
    <w:tmpl w:val="2D1AA236"/>
    <w:styleLink w:val="StyleStyleOutlinenumberedWebdingssymbolLeft19cmHangin14"/>
    <w:lvl w:ilvl="0">
      <w:start w:val="1"/>
      <w:numFmt w:val="bullet"/>
      <w:lvlText w:val=""/>
      <w:lvlJc w:val="left"/>
      <w:pPr>
        <w:ind w:left="720" w:hanging="360"/>
      </w:pPr>
      <w:rPr>
        <w:rFonts w:ascii="Wingdings" w:hAnsi="Wingdings"/>
        <w:b/>
        <w:bCs/>
        <w:caps/>
        <w:color w:val="005FA9"/>
        <w:spacing w:val="15"/>
      </w:rPr>
    </w:lvl>
    <w:lvl w:ilvl="1">
      <w:start w:val="1"/>
      <w:numFmt w:val="bullet"/>
      <w:lvlText w:val=""/>
      <w:lvlJc w:val="left"/>
      <w:pPr>
        <w:ind w:left="1440" w:hanging="360"/>
      </w:pPr>
      <w:rPr>
        <w:rFonts w:ascii="Webdings" w:hAnsi="Webdings"/>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C33E7A"/>
    <w:multiLevelType w:val="hybridMultilevel"/>
    <w:tmpl w:val="07F0F790"/>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24" w15:restartNumberingAfterBreak="0">
    <w:nsid w:val="2B0F1F6B"/>
    <w:multiLevelType w:val="hybridMultilevel"/>
    <w:tmpl w:val="64741DDE"/>
    <w:lvl w:ilvl="0" w:tplc="207A2D54">
      <w:start w:val="1"/>
      <w:numFmt w:val="bullet"/>
      <w:lvlText w:val=""/>
      <w:lvlJc w:val="left"/>
      <w:pPr>
        <w:ind w:left="1440" w:hanging="360"/>
      </w:pPr>
      <w:rPr>
        <w:rFonts w:ascii="Wingdings" w:hAnsi="Wingdings" w:hint="default"/>
        <w:sz w:val="24"/>
        <w:szCs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15:restartNumberingAfterBreak="0">
    <w:nsid w:val="2C7D672E"/>
    <w:multiLevelType w:val="hybridMultilevel"/>
    <w:tmpl w:val="42FC17CE"/>
    <w:lvl w:ilvl="0" w:tplc="0402000B">
      <w:start w:val="1"/>
      <w:numFmt w:val="bullet"/>
      <w:lvlText w:val=""/>
      <w:lvlJc w:val="left"/>
      <w:pPr>
        <w:tabs>
          <w:tab w:val="num" w:pos="360"/>
        </w:tabs>
        <w:ind w:left="360" w:hanging="360"/>
      </w:pPr>
      <w:rPr>
        <w:rFonts w:ascii="Wingdings" w:hAnsi="Wingdings" w:hint="default"/>
        <w:color w:val="auto"/>
      </w:rPr>
    </w:lvl>
    <w:lvl w:ilvl="1" w:tplc="04020003">
      <w:start w:val="1"/>
      <w:numFmt w:val="bullet"/>
      <w:lvlText w:val="o"/>
      <w:lvlJc w:val="left"/>
      <w:pPr>
        <w:tabs>
          <w:tab w:val="num" w:pos="903"/>
        </w:tabs>
        <w:ind w:left="903" w:hanging="360"/>
      </w:pPr>
      <w:rPr>
        <w:rFonts w:ascii="Courier New" w:hAnsi="Courier New" w:cs="Courier New" w:hint="default"/>
      </w:rPr>
    </w:lvl>
    <w:lvl w:ilvl="2" w:tplc="04020005">
      <w:start w:val="1"/>
      <w:numFmt w:val="bullet"/>
      <w:lvlText w:val=""/>
      <w:lvlJc w:val="left"/>
      <w:pPr>
        <w:tabs>
          <w:tab w:val="num" w:pos="1623"/>
        </w:tabs>
        <w:ind w:left="1623" w:hanging="360"/>
      </w:pPr>
      <w:rPr>
        <w:rFonts w:ascii="Wingdings" w:hAnsi="Wingdings" w:hint="default"/>
      </w:rPr>
    </w:lvl>
    <w:lvl w:ilvl="3" w:tplc="04020001">
      <w:start w:val="1"/>
      <w:numFmt w:val="bullet"/>
      <w:lvlText w:val=""/>
      <w:lvlJc w:val="left"/>
      <w:pPr>
        <w:tabs>
          <w:tab w:val="num" w:pos="2343"/>
        </w:tabs>
        <w:ind w:left="2343" w:hanging="360"/>
      </w:pPr>
      <w:rPr>
        <w:rFonts w:ascii="Symbol" w:hAnsi="Symbol" w:hint="default"/>
      </w:rPr>
    </w:lvl>
    <w:lvl w:ilvl="4" w:tplc="04020003">
      <w:start w:val="1"/>
      <w:numFmt w:val="bullet"/>
      <w:lvlText w:val="o"/>
      <w:lvlJc w:val="left"/>
      <w:pPr>
        <w:tabs>
          <w:tab w:val="num" w:pos="3063"/>
        </w:tabs>
        <w:ind w:left="3063" w:hanging="360"/>
      </w:pPr>
      <w:rPr>
        <w:rFonts w:ascii="Courier New" w:hAnsi="Courier New" w:cs="Courier New" w:hint="default"/>
      </w:rPr>
    </w:lvl>
    <w:lvl w:ilvl="5" w:tplc="04020005">
      <w:start w:val="1"/>
      <w:numFmt w:val="bullet"/>
      <w:lvlText w:val=""/>
      <w:lvlJc w:val="left"/>
      <w:pPr>
        <w:tabs>
          <w:tab w:val="num" w:pos="3783"/>
        </w:tabs>
        <w:ind w:left="3783" w:hanging="360"/>
      </w:pPr>
      <w:rPr>
        <w:rFonts w:ascii="Wingdings" w:hAnsi="Wingdings" w:hint="default"/>
      </w:rPr>
    </w:lvl>
    <w:lvl w:ilvl="6" w:tplc="04020001">
      <w:start w:val="1"/>
      <w:numFmt w:val="bullet"/>
      <w:lvlText w:val=""/>
      <w:lvlJc w:val="left"/>
      <w:pPr>
        <w:tabs>
          <w:tab w:val="num" w:pos="4503"/>
        </w:tabs>
        <w:ind w:left="4503" w:hanging="360"/>
      </w:pPr>
      <w:rPr>
        <w:rFonts w:ascii="Symbol" w:hAnsi="Symbol" w:hint="default"/>
      </w:rPr>
    </w:lvl>
    <w:lvl w:ilvl="7" w:tplc="04020003">
      <w:start w:val="1"/>
      <w:numFmt w:val="bullet"/>
      <w:lvlText w:val="o"/>
      <w:lvlJc w:val="left"/>
      <w:pPr>
        <w:tabs>
          <w:tab w:val="num" w:pos="5223"/>
        </w:tabs>
        <w:ind w:left="5223" w:hanging="360"/>
      </w:pPr>
      <w:rPr>
        <w:rFonts w:ascii="Courier New" w:hAnsi="Courier New" w:cs="Courier New" w:hint="default"/>
      </w:rPr>
    </w:lvl>
    <w:lvl w:ilvl="8" w:tplc="04020005">
      <w:start w:val="1"/>
      <w:numFmt w:val="bullet"/>
      <w:lvlText w:val=""/>
      <w:lvlJc w:val="left"/>
      <w:pPr>
        <w:tabs>
          <w:tab w:val="num" w:pos="5943"/>
        </w:tabs>
        <w:ind w:left="5943" w:hanging="360"/>
      </w:pPr>
      <w:rPr>
        <w:rFonts w:ascii="Wingdings" w:hAnsi="Wingdings" w:hint="default"/>
      </w:rPr>
    </w:lvl>
  </w:abstractNum>
  <w:abstractNum w:abstractNumId="26" w15:restartNumberingAfterBreak="0">
    <w:nsid w:val="2D0C6B19"/>
    <w:multiLevelType w:val="hybridMultilevel"/>
    <w:tmpl w:val="EDFA4296"/>
    <w:lvl w:ilvl="0" w:tplc="C9E4A560">
      <w:start w:val="1"/>
      <w:numFmt w:val="decimal"/>
      <w:lvlText w:val="%1."/>
      <w:lvlJc w:val="left"/>
      <w:pPr>
        <w:ind w:left="720" w:hanging="360"/>
      </w:pPr>
      <w:rPr>
        <w:rFonts w:ascii="Times New Roman" w:eastAsia="Arial Unicode MS" w:hAnsi="Times New Roman" w:cs="Times New Roman" w:hint="default"/>
        <w:color w:val="000000"/>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2DEF69A8"/>
    <w:multiLevelType w:val="hybridMultilevel"/>
    <w:tmpl w:val="243C624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0EE46FD"/>
    <w:multiLevelType w:val="hybridMultilevel"/>
    <w:tmpl w:val="888272DE"/>
    <w:lvl w:ilvl="0" w:tplc="1000000D">
      <w:start w:val="1"/>
      <w:numFmt w:val="bullet"/>
      <w:lvlText w:val=""/>
      <w:lvlJc w:val="left"/>
      <w:pPr>
        <w:ind w:left="1146" w:hanging="360"/>
      </w:pPr>
      <w:rPr>
        <w:rFonts w:ascii="Wingdings" w:hAnsi="Wingdings" w:hint="default"/>
      </w:rPr>
    </w:lvl>
    <w:lvl w:ilvl="1" w:tplc="10000003" w:tentative="1">
      <w:start w:val="1"/>
      <w:numFmt w:val="bullet"/>
      <w:lvlText w:val="o"/>
      <w:lvlJc w:val="left"/>
      <w:pPr>
        <w:ind w:left="1866" w:hanging="360"/>
      </w:pPr>
      <w:rPr>
        <w:rFonts w:ascii="Courier New" w:hAnsi="Courier New" w:cs="Courier New" w:hint="default"/>
      </w:rPr>
    </w:lvl>
    <w:lvl w:ilvl="2" w:tplc="10000005" w:tentative="1">
      <w:start w:val="1"/>
      <w:numFmt w:val="bullet"/>
      <w:lvlText w:val=""/>
      <w:lvlJc w:val="left"/>
      <w:pPr>
        <w:ind w:left="2586" w:hanging="360"/>
      </w:pPr>
      <w:rPr>
        <w:rFonts w:ascii="Wingdings" w:hAnsi="Wingdings" w:hint="default"/>
      </w:rPr>
    </w:lvl>
    <w:lvl w:ilvl="3" w:tplc="10000001" w:tentative="1">
      <w:start w:val="1"/>
      <w:numFmt w:val="bullet"/>
      <w:lvlText w:val=""/>
      <w:lvlJc w:val="left"/>
      <w:pPr>
        <w:ind w:left="3306" w:hanging="360"/>
      </w:pPr>
      <w:rPr>
        <w:rFonts w:ascii="Symbol" w:hAnsi="Symbol" w:hint="default"/>
      </w:rPr>
    </w:lvl>
    <w:lvl w:ilvl="4" w:tplc="10000003" w:tentative="1">
      <w:start w:val="1"/>
      <w:numFmt w:val="bullet"/>
      <w:lvlText w:val="o"/>
      <w:lvlJc w:val="left"/>
      <w:pPr>
        <w:ind w:left="4026" w:hanging="360"/>
      </w:pPr>
      <w:rPr>
        <w:rFonts w:ascii="Courier New" w:hAnsi="Courier New" w:cs="Courier New" w:hint="default"/>
      </w:rPr>
    </w:lvl>
    <w:lvl w:ilvl="5" w:tplc="10000005" w:tentative="1">
      <w:start w:val="1"/>
      <w:numFmt w:val="bullet"/>
      <w:lvlText w:val=""/>
      <w:lvlJc w:val="left"/>
      <w:pPr>
        <w:ind w:left="4746" w:hanging="360"/>
      </w:pPr>
      <w:rPr>
        <w:rFonts w:ascii="Wingdings" w:hAnsi="Wingdings" w:hint="default"/>
      </w:rPr>
    </w:lvl>
    <w:lvl w:ilvl="6" w:tplc="10000001" w:tentative="1">
      <w:start w:val="1"/>
      <w:numFmt w:val="bullet"/>
      <w:lvlText w:val=""/>
      <w:lvlJc w:val="left"/>
      <w:pPr>
        <w:ind w:left="5466" w:hanging="360"/>
      </w:pPr>
      <w:rPr>
        <w:rFonts w:ascii="Symbol" w:hAnsi="Symbol" w:hint="default"/>
      </w:rPr>
    </w:lvl>
    <w:lvl w:ilvl="7" w:tplc="10000003" w:tentative="1">
      <w:start w:val="1"/>
      <w:numFmt w:val="bullet"/>
      <w:lvlText w:val="o"/>
      <w:lvlJc w:val="left"/>
      <w:pPr>
        <w:ind w:left="6186" w:hanging="360"/>
      </w:pPr>
      <w:rPr>
        <w:rFonts w:ascii="Courier New" w:hAnsi="Courier New" w:cs="Courier New" w:hint="default"/>
      </w:rPr>
    </w:lvl>
    <w:lvl w:ilvl="8" w:tplc="10000005" w:tentative="1">
      <w:start w:val="1"/>
      <w:numFmt w:val="bullet"/>
      <w:lvlText w:val=""/>
      <w:lvlJc w:val="left"/>
      <w:pPr>
        <w:ind w:left="6906" w:hanging="360"/>
      </w:pPr>
      <w:rPr>
        <w:rFonts w:ascii="Wingdings" w:hAnsi="Wingdings" w:hint="default"/>
      </w:rPr>
    </w:lvl>
  </w:abstractNum>
  <w:abstractNum w:abstractNumId="29" w15:restartNumberingAfterBreak="0">
    <w:nsid w:val="318B6BAC"/>
    <w:multiLevelType w:val="hybridMultilevel"/>
    <w:tmpl w:val="77D20E4E"/>
    <w:lvl w:ilvl="0" w:tplc="31888D88">
      <w:numFmt w:val="bullet"/>
      <w:lvlText w:val="-"/>
      <w:lvlJc w:val="left"/>
      <w:pPr>
        <w:ind w:left="644" w:hanging="360"/>
      </w:pPr>
      <w:rPr>
        <w:rFonts w:ascii="Times New Roman" w:eastAsia="Times New Roman" w:hAnsi="Times New Roman" w:cs="Times New Roman" w:hint="default"/>
      </w:rPr>
    </w:lvl>
    <w:lvl w:ilvl="1" w:tplc="04020003">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0" w15:restartNumberingAfterBreak="0">
    <w:nsid w:val="342959B5"/>
    <w:multiLevelType w:val="hybridMultilevel"/>
    <w:tmpl w:val="49E8B8DE"/>
    <w:lvl w:ilvl="0" w:tplc="0402000B">
      <w:start w:val="1"/>
      <w:numFmt w:val="bullet"/>
      <w:lvlText w:val=""/>
      <w:lvlJc w:val="left"/>
      <w:pPr>
        <w:tabs>
          <w:tab w:val="num" w:pos="1068"/>
        </w:tabs>
        <w:ind w:left="1068" w:hanging="360"/>
      </w:pPr>
      <w:rPr>
        <w:rFonts w:ascii="Wingdings" w:hAnsi="Wingdings" w:hint="default"/>
        <w:color w:val="auto"/>
      </w:rPr>
    </w:lvl>
    <w:lvl w:ilvl="1" w:tplc="439E8752">
      <w:numFmt w:val="bullet"/>
      <w:lvlText w:val="-"/>
      <w:lvlJc w:val="left"/>
      <w:pPr>
        <w:tabs>
          <w:tab w:val="num" w:pos="2853"/>
        </w:tabs>
        <w:ind w:left="2853" w:hanging="1425"/>
      </w:pPr>
      <w:rPr>
        <w:rFonts w:ascii="Times New Roman" w:eastAsia="Times New Roman" w:hAnsi="Times New Roman" w:cs="Times New Roman"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346C4427"/>
    <w:multiLevelType w:val="hybridMultilevel"/>
    <w:tmpl w:val="18E8E5F0"/>
    <w:lvl w:ilvl="0" w:tplc="C9CE64D2">
      <w:start w:val="1"/>
      <w:numFmt w:val="decimal"/>
      <w:suff w:val="space"/>
      <w:lvlText w:val="%1."/>
      <w:lvlJc w:val="left"/>
      <w:pPr>
        <w:ind w:left="1069"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37557122"/>
    <w:multiLevelType w:val="hybridMultilevel"/>
    <w:tmpl w:val="EFC02C8A"/>
    <w:lvl w:ilvl="0" w:tplc="1000000D">
      <w:start w:val="1"/>
      <w:numFmt w:val="bullet"/>
      <w:lvlText w:val=""/>
      <w:lvlJc w:val="left"/>
      <w:pPr>
        <w:ind w:left="1146" w:hanging="360"/>
      </w:pPr>
      <w:rPr>
        <w:rFonts w:ascii="Wingdings" w:hAnsi="Wingdings" w:hint="default"/>
      </w:rPr>
    </w:lvl>
    <w:lvl w:ilvl="1" w:tplc="10000003" w:tentative="1">
      <w:start w:val="1"/>
      <w:numFmt w:val="bullet"/>
      <w:lvlText w:val="o"/>
      <w:lvlJc w:val="left"/>
      <w:pPr>
        <w:ind w:left="1866" w:hanging="360"/>
      </w:pPr>
      <w:rPr>
        <w:rFonts w:ascii="Courier New" w:hAnsi="Courier New" w:cs="Courier New" w:hint="default"/>
      </w:rPr>
    </w:lvl>
    <w:lvl w:ilvl="2" w:tplc="10000005" w:tentative="1">
      <w:start w:val="1"/>
      <w:numFmt w:val="bullet"/>
      <w:lvlText w:val=""/>
      <w:lvlJc w:val="left"/>
      <w:pPr>
        <w:ind w:left="2586" w:hanging="360"/>
      </w:pPr>
      <w:rPr>
        <w:rFonts w:ascii="Wingdings" w:hAnsi="Wingdings" w:hint="default"/>
      </w:rPr>
    </w:lvl>
    <w:lvl w:ilvl="3" w:tplc="10000001" w:tentative="1">
      <w:start w:val="1"/>
      <w:numFmt w:val="bullet"/>
      <w:lvlText w:val=""/>
      <w:lvlJc w:val="left"/>
      <w:pPr>
        <w:ind w:left="3306" w:hanging="360"/>
      </w:pPr>
      <w:rPr>
        <w:rFonts w:ascii="Symbol" w:hAnsi="Symbol" w:hint="default"/>
      </w:rPr>
    </w:lvl>
    <w:lvl w:ilvl="4" w:tplc="10000003" w:tentative="1">
      <w:start w:val="1"/>
      <w:numFmt w:val="bullet"/>
      <w:lvlText w:val="o"/>
      <w:lvlJc w:val="left"/>
      <w:pPr>
        <w:ind w:left="4026" w:hanging="360"/>
      </w:pPr>
      <w:rPr>
        <w:rFonts w:ascii="Courier New" w:hAnsi="Courier New" w:cs="Courier New" w:hint="default"/>
      </w:rPr>
    </w:lvl>
    <w:lvl w:ilvl="5" w:tplc="10000005" w:tentative="1">
      <w:start w:val="1"/>
      <w:numFmt w:val="bullet"/>
      <w:lvlText w:val=""/>
      <w:lvlJc w:val="left"/>
      <w:pPr>
        <w:ind w:left="4746" w:hanging="360"/>
      </w:pPr>
      <w:rPr>
        <w:rFonts w:ascii="Wingdings" w:hAnsi="Wingdings" w:hint="default"/>
      </w:rPr>
    </w:lvl>
    <w:lvl w:ilvl="6" w:tplc="10000001" w:tentative="1">
      <w:start w:val="1"/>
      <w:numFmt w:val="bullet"/>
      <w:lvlText w:val=""/>
      <w:lvlJc w:val="left"/>
      <w:pPr>
        <w:ind w:left="5466" w:hanging="360"/>
      </w:pPr>
      <w:rPr>
        <w:rFonts w:ascii="Symbol" w:hAnsi="Symbol" w:hint="default"/>
      </w:rPr>
    </w:lvl>
    <w:lvl w:ilvl="7" w:tplc="10000003" w:tentative="1">
      <w:start w:val="1"/>
      <w:numFmt w:val="bullet"/>
      <w:lvlText w:val="o"/>
      <w:lvlJc w:val="left"/>
      <w:pPr>
        <w:ind w:left="6186" w:hanging="360"/>
      </w:pPr>
      <w:rPr>
        <w:rFonts w:ascii="Courier New" w:hAnsi="Courier New" w:cs="Courier New" w:hint="default"/>
      </w:rPr>
    </w:lvl>
    <w:lvl w:ilvl="8" w:tplc="10000005" w:tentative="1">
      <w:start w:val="1"/>
      <w:numFmt w:val="bullet"/>
      <w:lvlText w:val=""/>
      <w:lvlJc w:val="left"/>
      <w:pPr>
        <w:ind w:left="6906" w:hanging="360"/>
      </w:pPr>
      <w:rPr>
        <w:rFonts w:ascii="Wingdings" w:hAnsi="Wingdings" w:hint="default"/>
      </w:rPr>
    </w:lvl>
  </w:abstractNum>
  <w:abstractNum w:abstractNumId="33" w15:restartNumberingAfterBreak="0">
    <w:nsid w:val="3A1F7537"/>
    <w:multiLevelType w:val="hybridMultilevel"/>
    <w:tmpl w:val="24042C88"/>
    <w:lvl w:ilvl="0" w:tplc="C13A4980">
      <w:start w:val="1"/>
      <w:numFmt w:val="bullet"/>
      <w:lvlText w:val=""/>
      <w:lvlJc w:val="left"/>
      <w:pPr>
        <w:ind w:left="1146" w:hanging="360"/>
      </w:pPr>
      <w:rPr>
        <w:rFonts w:ascii="Wingdings" w:hAnsi="Wingdings" w:hint="default"/>
        <w:color w:val="4F81BD"/>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4" w15:restartNumberingAfterBreak="0">
    <w:nsid w:val="3A5513C0"/>
    <w:multiLevelType w:val="hybridMultilevel"/>
    <w:tmpl w:val="F7F04036"/>
    <w:lvl w:ilvl="0" w:tplc="968617B6">
      <w:start w:val="1"/>
      <w:numFmt w:val="bullet"/>
      <w:suff w:val="space"/>
      <w:lvlText w:val="-"/>
      <w:lvlJc w:val="left"/>
      <w:pPr>
        <w:ind w:left="897" w:hanging="360"/>
      </w:pPr>
      <w:rPr>
        <w:rFonts w:ascii="Calibri" w:hAnsi="Calibri" w:hint="default"/>
        <w:color w:val="5B718F"/>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3B6D10F9"/>
    <w:multiLevelType w:val="hybridMultilevel"/>
    <w:tmpl w:val="2A44B676"/>
    <w:lvl w:ilvl="0" w:tplc="0402000D">
      <w:start w:val="1"/>
      <w:numFmt w:val="bullet"/>
      <w:lvlText w:val=""/>
      <w:lvlJc w:val="left"/>
      <w:pPr>
        <w:tabs>
          <w:tab w:val="num" w:pos="360"/>
        </w:tabs>
        <w:ind w:left="360" w:hanging="360"/>
      </w:pPr>
      <w:rPr>
        <w:rFonts w:ascii="Wingdings" w:hAnsi="Wingdings" w:hint="default"/>
      </w:rPr>
    </w:lvl>
    <w:lvl w:ilvl="1" w:tplc="7736BB92">
      <w:start w:val="1"/>
      <w:numFmt w:val="bullet"/>
      <w:lvlText w:val=""/>
      <w:lvlJc w:val="left"/>
      <w:pPr>
        <w:tabs>
          <w:tab w:val="num" w:pos="1080"/>
        </w:tabs>
        <w:ind w:left="1080" w:hanging="360"/>
      </w:pPr>
      <w:rPr>
        <w:rFonts w:ascii="Wingdings" w:hAnsi="Wingdings" w:hint="default"/>
        <w:color w:val="auto"/>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B9F049B"/>
    <w:multiLevelType w:val="hybridMultilevel"/>
    <w:tmpl w:val="E33038D6"/>
    <w:lvl w:ilvl="0" w:tplc="F86032DA">
      <w:start w:val="1"/>
      <w:numFmt w:val="decimal"/>
      <w:lvlText w:val="%1."/>
      <w:lvlJc w:val="left"/>
      <w:pPr>
        <w:ind w:left="1080" w:hanging="360"/>
      </w:pPr>
      <w:rPr>
        <w:rFonts w:ascii="Times New Roman" w:eastAsia="Arial Unicode MS" w:hAnsi="Times New Roman" w:cs="Times New Roman" w:hint="default"/>
        <w:color w:val="000000"/>
        <w:sz w:val="22"/>
        <w:szCs w:val="22"/>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7" w15:restartNumberingAfterBreak="0">
    <w:nsid w:val="41801910"/>
    <w:multiLevelType w:val="hybridMultilevel"/>
    <w:tmpl w:val="C1D6B8B6"/>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B">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4DAF7422"/>
    <w:multiLevelType w:val="hybridMultilevel"/>
    <w:tmpl w:val="23283902"/>
    <w:lvl w:ilvl="0" w:tplc="C13A4980">
      <w:start w:val="1"/>
      <w:numFmt w:val="bullet"/>
      <w:lvlText w:val=""/>
      <w:lvlJc w:val="left"/>
      <w:pPr>
        <w:ind w:left="360" w:hanging="360"/>
      </w:pPr>
      <w:rPr>
        <w:rFonts w:ascii="Wingdings" w:hAnsi="Wingdings" w:hint="default"/>
        <w:color w:val="4F81BD"/>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9" w15:restartNumberingAfterBreak="0">
    <w:nsid w:val="4F75139B"/>
    <w:multiLevelType w:val="hybridMultilevel"/>
    <w:tmpl w:val="307AFEEE"/>
    <w:lvl w:ilvl="0" w:tplc="75687F82">
      <w:numFmt w:val="bullet"/>
      <w:lvlText w:val="-"/>
      <w:lvlJc w:val="left"/>
      <w:pPr>
        <w:ind w:left="1211" w:hanging="360"/>
      </w:pPr>
      <w:rPr>
        <w:rFonts w:ascii="Times New Roman" w:eastAsia="Times New Roman" w:hAnsi="Times New Roman" w:cs="Times New Roman" w:hint="default"/>
        <w:b/>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40" w15:restartNumberingAfterBreak="0">
    <w:nsid w:val="50563852"/>
    <w:multiLevelType w:val="hybridMultilevel"/>
    <w:tmpl w:val="C22E1B92"/>
    <w:lvl w:ilvl="0" w:tplc="19089CAC">
      <w:start w:val="1"/>
      <w:numFmt w:val="bullet"/>
      <w:lvlText w:val=""/>
      <w:lvlJc w:val="left"/>
      <w:pPr>
        <w:ind w:left="1145" w:hanging="360"/>
      </w:pPr>
      <w:rPr>
        <w:rFonts w:ascii="Wingdings" w:hAnsi="Wingdings" w:hint="default"/>
        <w:color w:val="215E99" w:themeColor="text2" w:themeTint="BF"/>
      </w:rPr>
    </w:lvl>
    <w:lvl w:ilvl="1" w:tplc="04020003" w:tentative="1">
      <w:start w:val="1"/>
      <w:numFmt w:val="bullet"/>
      <w:lvlText w:val="o"/>
      <w:lvlJc w:val="left"/>
      <w:pPr>
        <w:ind w:left="1865" w:hanging="360"/>
      </w:pPr>
      <w:rPr>
        <w:rFonts w:ascii="Courier New" w:hAnsi="Courier New" w:cs="Courier New" w:hint="default"/>
      </w:rPr>
    </w:lvl>
    <w:lvl w:ilvl="2" w:tplc="04020005" w:tentative="1">
      <w:start w:val="1"/>
      <w:numFmt w:val="bullet"/>
      <w:lvlText w:val=""/>
      <w:lvlJc w:val="left"/>
      <w:pPr>
        <w:ind w:left="2585" w:hanging="360"/>
      </w:pPr>
      <w:rPr>
        <w:rFonts w:ascii="Wingdings" w:hAnsi="Wingdings"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41" w15:restartNumberingAfterBreak="0">
    <w:nsid w:val="54C54111"/>
    <w:multiLevelType w:val="hybridMultilevel"/>
    <w:tmpl w:val="E2EACF6C"/>
    <w:lvl w:ilvl="0" w:tplc="0402000B">
      <w:start w:val="1"/>
      <w:numFmt w:val="bullet"/>
      <w:lvlText w:val=""/>
      <w:lvlJc w:val="left"/>
      <w:pPr>
        <w:tabs>
          <w:tab w:val="num" w:pos="360"/>
        </w:tabs>
        <w:ind w:left="360" w:hanging="360"/>
      </w:pPr>
      <w:rPr>
        <w:rFonts w:ascii="Wingdings" w:hAnsi="Wingdings" w:hint="default"/>
      </w:rPr>
    </w:lvl>
    <w:lvl w:ilvl="1" w:tplc="04020003">
      <w:start w:val="1"/>
      <w:numFmt w:val="decimal"/>
      <w:lvlText w:val="%2."/>
      <w:lvlJc w:val="left"/>
      <w:pPr>
        <w:tabs>
          <w:tab w:val="num" w:pos="1080"/>
        </w:tabs>
        <w:ind w:left="1080" w:hanging="360"/>
      </w:pPr>
    </w:lvl>
    <w:lvl w:ilvl="2" w:tplc="04020005">
      <w:start w:val="1"/>
      <w:numFmt w:val="decimal"/>
      <w:lvlText w:val="%3."/>
      <w:lvlJc w:val="left"/>
      <w:pPr>
        <w:tabs>
          <w:tab w:val="num" w:pos="1800"/>
        </w:tabs>
        <w:ind w:left="1800" w:hanging="360"/>
      </w:p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decimal"/>
      <w:lvlText w:val="%5."/>
      <w:lvlJc w:val="left"/>
      <w:pPr>
        <w:tabs>
          <w:tab w:val="num" w:pos="3240"/>
        </w:tabs>
        <w:ind w:left="3240" w:hanging="360"/>
      </w:pPr>
    </w:lvl>
    <w:lvl w:ilvl="5" w:tplc="04020005">
      <w:start w:val="1"/>
      <w:numFmt w:val="decimal"/>
      <w:lvlText w:val="%6."/>
      <w:lvlJc w:val="left"/>
      <w:pPr>
        <w:tabs>
          <w:tab w:val="num" w:pos="3960"/>
        </w:tabs>
        <w:ind w:left="3960" w:hanging="360"/>
      </w:pPr>
    </w:lvl>
    <w:lvl w:ilvl="6" w:tplc="04020001">
      <w:start w:val="1"/>
      <w:numFmt w:val="decimal"/>
      <w:lvlText w:val="%7."/>
      <w:lvlJc w:val="left"/>
      <w:pPr>
        <w:tabs>
          <w:tab w:val="num" w:pos="4680"/>
        </w:tabs>
        <w:ind w:left="4680" w:hanging="360"/>
      </w:pPr>
    </w:lvl>
    <w:lvl w:ilvl="7" w:tplc="04020003">
      <w:start w:val="1"/>
      <w:numFmt w:val="decimal"/>
      <w:lvlText w:val="%8."/>
      <w:lvlJc w:val="left"/>
      <w:pPr>
        <w:tabs>
          <w:tab w:val="num" w:pos="5400"/>
        </w:tabs>
        <w:ind w:left="5400" w:hanging="360"/>
      </w:pPr>
    </w:lvl>
    <w:lvl w:ilvl="8" w:tplc="04020005">
      <w:start w:val="1"/>
      <w:numFmt w:val="decimal"/>
      <w:lvlText w:val="%9."/>
      <w:lvlJc w:val="left"/>
      <w:pPr>
        <w:tabs>
          <w:tab w:val="num" w:pos="6120"/>
        </w:tabs>
        <w:ind w:left="6120" w:hanging="360"/>
      </w:pPr>
    </w:lvl>
  </w:abstractNum>
  <w:abstractNum w:abstractNumId="42" w15:restartNumberingAfterBreak="0">
    <w:nsid w:val="56BB198B"/>
    <w:multiLevelType w:val="hybridMultilevel"/>
    <w:tmpl w:val="5170C8F6"/>
    <w:lvl w:ilvl="0" w:tplc="B4BC0972">
      <w:start w:val="1"/>
      <w:numFmt w:val="decimal"/>
      <w:lvlText w:val="%1."/>
      <w:lvlJc w:val="left"/>
      <w:pPr>
        <w:ind w:left="720" w:hanging="360"/>
      </w:pPr>
      <w:rPr>
        <w:rFonts w:ascii="Times New Roman" w:eastAsia="Arial Unicode MS" w:hAnsi="Times New Roman" w:cs="Times New Roman" w:hint="default"/>
        <w:color w:val="00000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36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571B7C46"/>
    <w:multiLevelType w:val="hybridMultilevel"/>
    <w:tmpl w:val="CD0265E0"/>
    <w:lvl w:ilvl="0" w:tplc="C9E29590">
      <w:start w:val="1"/>
      <w:numFmt w:val="decimal"/>
      <w:lvlText w:val="%1."/>
      <w:lvlJc w:val="left"/>
      <w:pPr>
        <w:ind w:left="720" w:hanging="360"/>
      </w:pPr>
      <w:rPr>
        <w:rFonts w:ascii="Times New Roman" w:eastAsia="Arial Unicode MS" w:hAnsi="Times New Roman" w:cs="Times New Roman" w:hint="default"/>
        <w:color w:val="000000"/>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58AF67FA"/>
    <w:multiLevelType w:val="hybridMultilevel"/>
    <w:tmpl w:val="5FE67F3E"/>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8CF4F91"/>
    <w:multiLevelType w:val="hybridMultilevel"/>
    <w:tmpl w:val="F68A9144"/>
    <w:lvl w:ilvl="0" w:tplc="0402000B">
      <w:start w:val="1"/>
      <w:numFmt w:val="bullet"/>
      <w:lvlText w:val=""/>
      <w:lvlJc w:val="left"/>
      <w:pPr>
        <w:tabs>
          <w:tab w:val="num" w:pos="360"/>
        </w:tabs>
        <w:ind w:left="360" w:hanging="360"/>
      </w:pPr>
      <w:rPr>
        <w:rFonts w:ascii="Wingdings" w:hAnsi="Wingdings" w:hint="default"/>
      </w:rPr>
    </w:lvl>
    <w:lvl w:ilvl="1" w:tplc="7736BB92">
      <w:start w:val="1"/>
      <w:numFmt w:val="bullet"/>
      <w:lvlText w:val=""/>
      <w:lvlJc w:val="left"/>
      <w:pPr>
        <w:tabs>
          <w:tab w:val="num" w:pos="1080"/>
        </w:tabs>
        <w:ind w:left="1080" w:hanging="360"/>
      </w:pPr>
      <w:rPr>
        <w:rFonts w:ascii="Wingdings" w:hAnsi="Wingdings" w:hint="default"/>
        <w:color w:val="auto"/>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9A12FA0"/>
    <w:multiLevelType w:val="hybridMultilevel"/>
    <w:tmpl w:val="85EE88BE"/>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47" w15:restartNumberingAfterBreak="0">
    <w:nsid w:val="5C8B08A5"/>
    <w:multiLevelType w:val="hybridMultilevel"/>
    <w:tmpl w:val="C97040E8"/>
    <w:lvl w:ilvl="0" w:tplc="0402000D">
      <w:start w:val="1"/>
      <w:numFmt w:val="bullet"/>
      <w:lvlText w:val=""/>
      <w:lvlJc w:val="left"/>
      <w:pPr>
        <w:tabs>
          <w:tab w:val="num" w:pos="360"/>
        </w:tabs>
        <w:ind w:left="360" w:hanging="360"/>
      </w:pPr>
      <w:rPr>
        <w:rFonts w:ascii="Wingdings" w:hAnsi="Wingdings" w:hint="default"/>
      </w:rPr>
    </w:lvl>
    <w:lvl w:ilvl="1" w:tplc="0402000D">
      <w:start w:val="1"/>
      <w:numFmt w:val="bullet"/>
      <w:lvlText w:val=""/>
      <w:lvlJc w:val="left"/>
      <w:pPr>
        <w:tabs>
          <w:tab w:val="num" w:pos="1080"/>
        </w:tabs>
        <w:ind w:left="1080" w:hanging="360"/>
      </w:pPr>
      <w:rPr>
        <w:rFonts w:ascii="Wingdings" w:hAnsi="Wingdings"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0DD5953"/>
    <w:multiLevelType w:val="hybridMultilevel"/>
    <w:tmpl w:val="378664C4"/>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9" w15:restartNumberingAfterBreak="0">
    <w:nsid w:val="62466963"/>
    <w:multiLevelType w:val="hybridMultilevel"/>
    <w:tmpl w:val="BA38A9EA"/>
    <w:lvl w:ilvl="0" w:tplc="709A4DB0">
      <w:start w:val="1"/>
      <w:numFmt w:val="decimal"/>
      <w:lvlText w:val="%1."/>
      <w:lvlJc w:val="left"/>
      <w:pPr>
        <w:ind w:left="786" w:hanging="360"/>
      </w:pPr>
      <w:rPr>
        <w:rFonts w:hint="default"/>
      </w:rPr>
    </w:lvl>
    <w:lvl w:ilvl="1" w:tplc="10000019" w:tentative="1">
      <w:start w:val="1"/>
      <w:numFmt w:val="lowerLetter"/>
      <w:lvlText w:val="%2."/>
      <w:lvlJc w:val="left"/>
      <w:pPr>
        <w:ind w:left="1506" w:hanging="360"/>
      </w:pPr>
    </w:lvl>
    <w:lvl w:ilvl="2" w:tplc="1000001B" w:tentative="1">
      <w:start w:val="1"/>
      <w:numFmt w:val="lowerRoman"/>
      <w:lvlText w:val="%3."/>
      <w:lvlJc w:val="right"/>
      <w:pPr>
        <w:ind w:left="2226" w:hanging="180"/>
      </w:pPr>
    </w:lvl>
    <w:lvl w:ilvl="3" w:tplc="1000000F" w:tentative="1">
      <w:start w:val="1"/>
      <w:numFmt w:val="decimal"/>
      <w:lvlText w:val="%4."/>
      <w:lvlJc w:val="left"/>
      <w:pPr>
        <w:ind w:left="2946" w:hanging="360"/>
      </w:pPr>
    </w:lvl>
    <w:lvl w:ilvl="4" w:tplc="10000019" w:tentative="1">
      <w:start w:val="1"/>
      <w:numFmt w:val="lowerLetter"/>
      <w:lvlText w:val="%5."/>
      <w:lvlJc w:val="left"/>
      <w:pPr>
        <w:ind w:left="3666" w:hanging="360"/>
      </w:pPr>
    </w:lvl>
    <w:lvl w:ilvl="5" w:tplc="1000001B" w:tentative="1">
      <w:start w:val="1"/>
      <w:numFmt w:val="lowerRoman"/>
      <w:lvlText w:val="%6."/>
      <w:lvlJc w:val="right"/>
      <w:pPr>
        <w:ind w:left="4386" w:hanging="180"/>
      </w:pPr>
    </w:lvl>
    <w:lvl w:ilvl="6" w:tplc="1000000F" w:tentative="1">
      <w:start w:val="1"/>
      <w:numFmt w:val="decimal"/>
      <w:lvlText w:val="%7."/>
      <w:lvlJc w:val="left"/>
      <w:pPr>
        <w:ind w:left="5106" w:hanging="360"/>
      </w:pPr>
    </w:lvl>
    <w:lvl w:ilvl="7" w:tplc="10000019" w:tentative="1">
      <w:start w:val="1"/>
      <w:numFmt w:val="lowerLetter"/>
      <w:lvlText w:val="%8."/>
      <w:lvlJc w:val="left"/>
      <w:pPr>
        <w:ind w:left="5826" w:hanging="360"/>
      </w:pPr>
    </w:lvl>
    <w:lvl w:ilvl="8" w:tplc="1000001B" w:tentative="1">
      <w:start w:val="1"/>
      <w:numFmt w:val="lowerRoman"/>
      <w:lvlText w:val="%9."/>
      <w:lvlJc w:val="right"/>
      <w:pPr>
        <w:ind w:left="6546" w:hanging="180"/>
      </w:pPr>
    </w:lvl>
  </w:abstractNum>
  <w:abstractNum w:abstractNumId="50" w15:restartNumberingAfterBreak="0">
    <w:nsid w:val="638F20AA"/>
    <w:multiLevelType w:val="hybridMultilevel"/>
    <w:tmpl w:val="53181642"/>
    <w:lvl w:ilvl="0" w:tplc="23B434A4">
      <w:start w:val="1"/>
      <w:numFmt w:val="decimal"/>
      <w:lvlText w:val="%1."/>
      <w:lvlJc w:val="left"/>
      <w:pPr>
        <w:ind w:left="1103" w:hanging="360"/>
      </w:pPr>
      <w:rPr>
        <w:rFonts w:ascii="Times New Roman" w:eastAsia="Arial Unicode MS" w:hAnsi="Times New Roman" w:cs="Times New Roman" w:hint="default"/>
        <w:color w:val="000000"/>
        <w:sz w:val="22"/>
        <w:szCs w:val="22"/>
      </w:rPr>
    </w:lvl>
    <w:lvl w:ilvl="1" w:tplc="04020019" w:tentative="1">
      <w:start w:val="1"/>
      <w:numFmt w:val="lowerLetter"/>
      <w:lvlText w:val="%2."/>
      <w:lvlJc w:val="left"/>
      <w:pPr>
        <w:ind w:left="1823" w:hanging="360"/>
      </w:pPr>
    </w:lvl>
    <w:lvl w:ilvl="2" w:tplc="0402001B" w:tentative="1">
      <w:start w:val="1"/>
      <w:numFmt w:val="lowerRoman"/>
      <w:lvlText w:val="%3."/>
      <w:lvlJc w:val="right"/>
      <w:pPr>
        <w:ind w:left="2543" w:hanging="180"/>
      </w:pPr>
    </w:lvl>
    <w:lvl w:ilvl="3" w:tplc="0402000F" w:tentative="1">
      <w:start w:val="1"/>
      <w:numFmt w:val="decimal"/>
      <w:lvlText w:val="%4."/>
      <w:lvlJc w:val="left"/>
      <w:pPr>
        <w:ind w:left="3263" w:hanging="360"/>
      </w:pPr>
    </w:lvl>
    <w:lvl w:ilvl="4" w:tplc="04020019" w:tentative="1">
      <w:start w:val="1"/>
      <w:numFmt w:val="lowerLetter"/>
      <w:lvlText w:val="%5."/>
      <w:lvlJc w:val="left"/>
      <w:pPr>
        <w:ind w:left="3983" w:hanging="360"/>
      </w:pPr>
    </w:lvl>
    <w:lvl w:ilvl="5" w:tplc="0402001B" w:tentative="1">
      <w:start w:val="1"/>
      <w:numFmt w:val="lowerRoman"/>
      <w:lvlText w:val="%6."/>
      <w:lvlJc w:val="right"/>
      <w:pPr>
        <w:ind w:left="4703" w:hanging="180"/>
      </w:pPr>
    </w:lvl>
    <w:lvl w:ilvl="6" w:tplc="0402000F" w:tentative="1">
      <w:start w:val="1"/>
      <w:numFmt w:val="decimal"/>
      <w:lvlText w:val="%7."/>
      <w:lvlJc w:val="left"/>
      <w:pPr>
        <w:ind w:left="5423" w:hanging="360"/>
      </w:pPr>
    </w:lvl>
    <w:lvl w:ilvl="7" w:tplc="04020019" w:tentative="1">
      <w:start w:val="1"/>
      <w:numFmt w:val="lowerLetter"/>
      <w:lvlText w:val="%8."/>
      <w:lvlJc w:val="left"/>
      <w:pPr>
        <w:ind w:left="6143" w:hanging="360"/>
      </w:pPr>
    </w:lvl>
    <w:lvl w:ilvl="8" w:tplc="0402001B" w:tentative="1">
      <w:start w:val="1"/>
      <w:numFmt w:val="lowerRoman"/>
      <w:lvlText w:val="%9."/>
      <w:lvlJc w:val="right"/>
      <w:pPr>
        <w:ind w:left="6863" w:hanging="180"/>
      </w:pPr>
    </w:lvl>
  </w:abstractNum>
  <w:abstractNum w:abstractNumId="51" w15:restartNumberingAfterBreak="0">
    <w:nsid w:val="654B4C08"/>
    <w:multiLevelType w:val="hybridMultilevel"/>
    <w:tmpl w:val="2F5AF21C"/>
    <w:lvl w:ilvl="0" w:tplc="D7B61514">
      <w:start w:val="1"/>
      <w:numFmt w:val="bullet"/>
      <w:lvlText w:val=""/>
      <w:lvlJc w:val="left"/>
      <w:pPr>
        <w:tabs>
          <w:tab w:val="num" w:pos="360"/>
        </w:tabs>
        <w:ind w:left="360" w:hanging="360"/>
      </w:pPr>
      <w:rPr>
        <w:rFonts w:ascii="Wingdings" w:hAnsi="Wingdings" w:hint="default"/>
        <w:color w:val="auto"/>
      </w:rPr>
    </w:lvl>
    <w:lvl w:ilvl="1" w:tplc="04020009">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6407FF9"/>
    <w:multiLevelType w:val="hybridMultilevel"/>
    <w:tmpl w:val="F90E2096"/>
    <w:lvl w:ilvl="0" w:tplc="A3F4554C">
      <w:start w:val="1"/>
      <w:numFmt w:val="bullet"/>
      <w:lvlText w:val=""/>
      <w:lvlJc w:val="left"/>
      <w:pPr>
        <w:tabs>
          <w:tab w:val="num" w:pos="360"/>
        </w:tabs>
        <w:ind w:left="360" w:hanging="360"/>
      </w:pPr>
      <w:rPr>
        <w:rFonts w:ascii="Wingdings" w:hAnsi="Wingdings" w:hint="default"/>
        <w:b w:val="0"/>
        <w:color w:val="auto"/>
      </w:rPr>
    </w:lvl>
    <w:lvl w:ilvl="1" w:tplc="FA367F00">
      <w:start w:val="1"/>
      <w:numFmt w:val="bullet"/>
      <w:lvlText w:val="–"/>
      <w:lvlJc w:val="left"/>
      <w:pPr>
        <w:tabs>
          <w:tab w:val="num" w:pos="1076"/>
        </w:tabs>
        <w:ind w:left="1076" w:hanging="360"/>
      </w:pPr>
      <w:rPr>
        <w:rFonts w:ascii="Times New Roman" w:eastAsia="Batang" w:hAnsi="Times New Roman" w:hint="default"/>
      </w:rPr>
    </w:lvl>
    <w:lvl w:ilvl="2" w:tplc="04020005" w:tentative="1">
      <w:start w:val="1"/>
      <w:numFmt w:val="bullet"/>
      <w:lvlText w:val=""/>
      <w:lvlJc w:val="left"/>
      <w:pPr>
        <w:tabs>
          <w:tab w:val="num" w:pos="1796"/>
        </w:tabs>
        <w:ind w:left="1796" w:hanging="360"/>
      </w:pPr>
      <w:rPr>
        <w:rFonts w:ascii="Wingdings" w:hAnsi="Wingdings" w:hint="default"/>
      </w:rPr>
    </w:lvl>
    <w:lvl w:ilvl="3" w:tplc="04020001" w:tentative="1">
      <w:start w:val="1"/>
      <w:numFmt w:val="bullet"/>
      <w:lvlText w:val=""/>
      <w:lvlJc w:val="left"/>
      <w:pPr>
        <w:tabs>
          <w:tab w:val="num" w:pos="2516"/>
        </w:tabs>
        <w:ind w:left="2516" w:hanging="360"/>
      </w:pPr>
      <w:rPr>
        <w:rFonts w:ascii="Symbol" w:hAnsi="Symbol" w:hint="default"/>
      </w:rPr>
    </w:lvl>
    <w:lvl w:ilvl="4" w:tplc="04020003" w:tentative="1">
      <w:start w:val="1"/>
      <w:numFmt w:val="bullet"/>
      <w:lvlText w:val="o"/>
      <w:lvlJc w:val="left"/>
      <w:pPr>
        <w:tabs>
          <w:tab w:val="num" w:pos="3236"/>
        </w:tabs>
        <w:ind w:left="3236" w:hanging="360"/>
      </w:pPr>
      <w:rPr>
        <w:rFonts w:ascii="Courier New" w:hAnsi="Courier New" w:hint="default"/>
      </w:rPr>
    </w:lvl>
    <w:lvl w:ilvl="5" w:tplc="04020005" w:tentative="1">
      <w:start w:val="1"/>
      <w:numFmt w:val="bullet"/>
      <w:lvlText w:val=""/>
      <w:lvlJc w:val="left"/>
      <w:pPr>
        <w:tabs>
          <w:tab w:val="num" w:pos="3956"/>
        </w:tabs>
        <w:ind w:left="3956" w:hanging="360"/>
      </w:pPr>
      <w:rPr>
        <w:rFonts w:ascii="Wingdings" w:hAnsi="Wingdings" w:hint="default"/>
      </w:rPr>
    </w:lvl>
    <w:lvl w:ilvl="6" w:tplc="04020001" w:tentative="1">
      <w:start w:val="1"/>
      <w:numFmt w:val="bullet"/>
      <w:lvlText w:val=""/>
      <w:lvlJc w:val="left"/>
      <w:pPr>
        <w:tabs>
          <w:tab w:val="num" w:pos="4676"/>
        </w:tabs>
        <w:ind w:left="4676" w:hanging="360"/>
      </w:pPr>
      <w:rPr>
        <w:rFonts w:ascii="Symbol" w:hAnsi="Symbol" w:hint="default"/>
      </w:rPr>
    </w:lvl>
    <w:lvl w:ilvl="7" w:tplc="04020003" w:tentative="1">
      <w:start w:val="1"/>
      <w:numFmt w:val="bullet"/>
      <w:lvlText w:val="o"/>
      <w:lvlJc w:val="left"/>
      <w:pPr>
        <w:tabs>
          <w:tab w:val="num" w:pos="5396"/>
        </w:tabs>
        <w:ind w:left="5396" w:hanging="360"/>
      </w:pPr>
      <w:rPr>
        <w:rFonts w:ascii="Courier New" w:hAnsi="Courier New" w:hint="default"/>
      </w:rPr>
    </w:lvl>
    <w:lvl w:ilvl="8" w:tplc="04020005" w:tentative="1">
      <w:start w:val="1"/>
      <w:numFmt w:val="bullet"/>
      <w:lvlText w:val=""/>
      <w:lvlJc w:val="left"/>
      <w:pPr>
        <w:tabs>
          <w:tab w:val="num" w:pos="6116"/>
        </w:tabs>
        <w:ind w:left="6116" w:hanging="360"/>
      </w:pPr>
      <w:rPr>
        <w:rFonts w:ascii="Wingdings" w:hAnsi="Wingdings" w:hint="default"/>
      </w:rPr>
    </w:lvl>
  </w:abstractNum>
  <w:abstractNum w:abstractNumId="53" w15:restartNumberingAfterBreak="0">
    <w:nsid w:val="6D662D0E"/>
    <w:multiLevelType w:val="hybridMultilevel"/>
    <w:tmpl w:val="35E62A06"/>
    <w:lvl w:ilvl="0" w:tplc="10000005">
      <w:start w:val="1"/>
      <w:numFmt w:val="bullet"/>
      <w:lvlText w:val=""/>
      <w:lvlJc w:val="left"/>
      <w:pPr>
        <w:ind w:left="1146" w:hanging="360"/>
      </w:pPr>
      <w:rPr>
        <w:rFonts w:ascii="Wingdings" w:hAnsi="Wingdings" w:hint="default"/>
      </w:rPr>
    </w:lvl>
    <w:lvl w:ilvl="1" w:tplc="10000003" w:tentative="1">
      <w:start w:val="1"/>
      <w:numFmt w:val="bullet"/>
      <w:lvlText w:val="o"/>
      <w:lvlJc w:val="left"/>
      <w:pPr>
        <w:ind w:left="1866" w:hanging="360"/>
      </w:pPr>
      <w:rPr>
        <w:rFonts w:ascii="Courier New" w:hAnsi="Courier New" w:cs="Courier New" w:hint="default"/>
      </w:rPr>
    </w:lvl>
    <w:lvl w:ilvl="2" w:tplc="10000005" w:tentative="1">
      <w:start w:val="1"/>
      <w:numFmt w:val="bullet"/>
      <w:lvlText w:val=""/>
      <w:lvlJc w:val="left"/>
      <w:pPr>
        <w:ind w:left="2586" w:hanging="360"/>
      </w:pPr>
      <w:rPr>
        <w:rFonts w:ascii="Wingdings" w:hAnsi="Wingdings" w:hint="default"/>
      </w:rPr>
    </w:lvl>
    <w:lvl w:ilvl="3" w:tplc="10000001" w:tentative="1">
      <w:start w:val="1"/>
      <w:numFmt w:val="bullet"/>
      <w:lvlText w:val=""/>
      <w:lvlJc w:val="left"/>
      <w:pPr>
        <w:ind w:left="3306" w:hanging="360"/>
      </w:pPr>
      <w:rPr>
        <w:rFonts w:ascii="Symbol" w:hAnsi="Symbol" w:hint="default"/>
      </w:rPr>
    </w:lvl>
    <w:lvl w:ilvl="4" w:tplc="10000003" w:tentative="1">
      <w:start w:val="1"/>
      <w:numFmt w:val="bullet"/>
      <w:lvlText w:val="o"/>
      <w:lvlJc w:val="left"/>
      <w:pPr>
        <w:ind w:left="4026" w:hanging="360"/>
      </w:pPr>
      <w:rPr>
        <w:rFonts w:ascii="Courier New" w:hAnsi="Courier New" w:cs="Courier New" w:hint="default"/>
      </w:rPr>
    </w:lvl>
    <w:lvl w:ilvl="5" w:tplc="10000005" w:tentative="1">
      <w:start w:val="1"/>
      <w:numFmt w:val="bullet"/>
      <w:lvlText w:val=""/>
      <w:lvlJc w:val="left"/>
      <w:pPr>
        <w:ind w:left="4746" w:hanging="360"/>
      </w:pPr>
      <w:rPr>
        <w:rFonts w:ascii="Wingdings" w:hAnsi="Wingdings" w:hint="default"/>
      </w:rPr>
    </w:lvl>
    <w:lvl w:ilvl="6" w:tplc="10000001" w:tentative="1">
      <w:start w:val="1"/>
      <w:numFmt w:val="bullet"/>
      <w:lvlText w:val=""/>
      <w:lvlJc w:val="left"/>
      <w:pPr>
        <w:ind w:left="5466" w:hanging="360"/>
      </w:pPr>
      <w:rPr>
        <w:rFonts w:ascii="Symbol" w:hAnsi="Symbol" w:hint="default"/>
      </w:rPr>
    </w:lvl>
    <w:lvl w:ilvl="7" w:tplc="10000003" w:tentative="1">
      <w:start w:val="1"/>
      <w:numFmt w:val="bullet"/>
      <w:lvlText w:val="o"/>
      <w:lvlJc w:val="left"/>
      <w:pPr>
        <w:ind w:left="6186" w:hanging="360"/>
      </w:pPr>
      <w:rPr>
        <w:rFonts w:ascii="Courier New" w:hAnsi="Courier New" w:cs="Courier New" w:hint="default"/>
      </w:rPr>
    </w:lvl>
    <w:lvl w:ilvl="8" w:tplc="10000005" w:tentative="1">
      <w:start w:val="1"/>
      <w:numFmt w:val="bullet"/>
      <w:lvlText w:val=""/>
      <w:lvlJc w:val="left"/>
      <w:pPr>
        <w:ind w:left="6906" w:hanging="360"/>
      </w:pPr>
      <w:rPr>
        <w:rFonts w:ascii="Wingdings" w:hAnsi="Wingdings" w:hint="default"/>
      </w:rPr>
    </w:lvl>
  </w:abstractNum>
  <w:abstractNum w:abstractNumId="54" w15:restartNumberingAfterBreak="0">
    <w:nsid w:val="6F2D554B"/>
    <w:multiLevelType w:val="hybridMultilevel"/>
    <w:tmpl w:val="0C1A7C5C"/>
    <w:lvl w:ilvl="0" w:tplc="656E9A4E">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55" w15:restartNumberingAfterBreak="0">
    <w:nsid w:val="72BB4337"/>
    <w:multiLevelType w:val="hybridMultilevel"/>
    <w:tmpl w:val="97BEC636"/>
    <w:lvl w:ilvl="0" w:tplc="10000005">
      <w:start w:val="1"/>
      <w:numFmt w:val="bullet"/>
      <w:lvlText w:val=""/>
      <w:lvlJc w:val="left"/>
      <w:pPr>
        <w:ind w:left="1146" w:hanging="360"/>
      </w:pPr>
      <w:rPr>
        <w:rFonts w:ascii="Wingdings" w:hAnsi="Wingdings" w:hint="default"/>
      </w:rPr>
    </w:lvl>
    <w:lvl w:ilvl="1" w:tplc="10000003" w:tentative="1">
      <w:start w:val="1"/>
      <w:numFmt w:val="bullet"/>
      <w:lvlText w:val="o"/>
      <w:lvlJc w:val="left"/>
      <w:pPr>
        <w:ind w:left="1866" w:hanging="360"/>
      </w:pPr>
      <w:rPr>
        <w:rFonts w:ascii="Courier New" w:hAnsi="Courier New" w:cs="Courier New" w:hint="default"/>
      </w:rPr>
    </w:lvl>
    <w:lvl w:ilvl="2" w:tplc="10000005" w:tentative="1">
      <w:start w:val="1"/>
      <w:numFmt w:val="bullet"/>
      <w:lvlText w:val=""/>
      <w:lvlJc w:val="left"/>
      <w:pPr>
        <w:ind w:left="2586" w:hanging="360"/>
      </w:pPr>
      <w:rPr>
        <w:rFonts w:ascii="Wingdings" w:hAnsi="Wingdings" w:hint="default"/>
      </w:rPr>
    </w:lvl>
    <w:lvl w:ilvl="3" w:tplc="10000001" w:tentative="1">
      <w:start w:val="1"/>
      <w:numFmt w:val="bullet"/>
      <w:lvlText w:val=""/>
      <w:lvlJc w:val="left"/>
      <w:pPr>
        <w:ind w:left="3306" w:hanging="360"/>
      </w:pPr>
      <w:rPr>
        <w:rFonts w:ascii="Symbol" w:hAnsi="Symbol" w:hint="default"/>
      </w:rPr>
    </w:lvl>
    <w:lvl w:ilvl="4" w:tplc="10000003" w:tentative="1">
      <w:start w:val="1"/>
      <w:numFmt w:val="bullet"/>
      <w:lvlText w:val="o"/>
      <w:lvlJc w:val="left"/>
      <w:pPr>
        <w:ind w:left="4026" w:hanging="360"/>
      </w:pPr>
      <w:rPr>
        <w:rFonts w:ascii="Courier New" w:hAnsi="Courier New" w:cs="Courier New" w:hint="default"/>
      </w:rPr>
    </w:lvl>
    <w:lvl w:ilvl="5" w:tplc="10000005" w:tentative="1">
      <w:start w:val="1"/>
      <w:numFmt w:val="bullet"/>
      <w:lvlText w:val=""/>
      <w:lvlJc w:val="left"/>
      <w:pPr>
        <w:ind w:left="4746" w:hanging="360"/>
      </w:pPr>
      <w:rPr>
        <w:rFonts w:ascii="Wingdings" w:hAnsi="Wingdings" w:hint="default"/>
      </w:rPr>
    </w:lvl>
    <w:lvl w:ilvl="6" w:tplc="10000001" w:tentative="1">
      <w:start w:val="1"/>
      <w:numFmt w:val="bullet"/>
      <w:lvlText w:val=""/>
      <w:lvlJc w:val="left"/>
      <w:pPr>
        <w:ind w:left="5466" w:hanging="360"/>
      </w:pPr>
      <w:rPr>
        <w:rFonts w:ascii="Symbol" w:hAnsi="Symbol" w:hint="default"/>
      </w:rPr>
    </w:lvl>
    <w:lvl w:ilvl="7" w:tplc="10000003" w:tentative="1">
      <w:start w:val="1"/>
      <w:numFmt w:val="bullet"/>
      <w:lvlText w:val="o"/>
      <w:lvlJc w:val="left"/>
      <w:pPr>
        <w:ind w:left="6186" w:hanging="360"/>
      </w:pPr>
      <w:rPr>
        <w:rFonts w:ascii="Courier New" w:hAnsi="Courier New" w:cs="Courier New" w:hint="default"/>
      </w:rPr>
    </w:lvl>
    <w:lvl w:ilvl="8" w:tplc="10000005" w:tentative="1">
      <w:start w:val="1"/>
      <w:numFmt w:val="bullet"/>
      <w:lvlText w:val=""/>
      <w:lvlJc w:val="left"/>
      <w:pPr>
        <w:ind w:left="6906" w:hanging="360"/>
      </w:pPr>
      <w:rPr>
        <w:rFonts w:ascii="Wingdings" w:hAnsi="Wingdings" w:hint="default"/>
      </w:rPr>
    </w:lvl>
  </w:abstractNum>
  <w:abstractNum w:abstractNumId="56" w15:restartNumberingAfterBreak="0">
    <w:nsid w:val="730E3942"/>
    <w:multiLevelType w:val="hybridMultilevel"/>
    <w:tmpl w:val="CCBA98D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736D64AD"/>
    <w:multiLevelType w:val="hybridMultilevel"/>
    <w:tmpl w:val="3C6ED106"/>
    <w:lvl w:ilvl="0" w:tplc="6262DE5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15:restartNumberingAfterBreak="0">
    <w:nsid w:val="750E753D"/>
    <w:multiLevelType w:val="hybridMultilevel"/>
    <w:tmpl w:val="C8B8F95C"/>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9" w15:restartNumberingAfterBreak="0">
    <w:nsid w:val="75674801"/>
    <w:multiLevelType w:val="hybridMultilevel"/>
    <w:tmpl w:val="D64CD020"/>
    <w:lvl w:ilvl="0" w:tplc="F792365A">
      <w:start w:val="1"/>
      <w:numFmt w:val="decimal"/>
      <w:lvlText w:val="%1."/>
      <w:lvlJc w:val="left"/>
      <w:pPr>
        <w:ind w:left="720" w:hanging="360"/>
      </w:pPr>
      <w:rPr>
        <w:rFonts w:ascii="Times New Roman" w:eastAsia="Arial Unicode MS" w:hAnsi="Times New Roman" w:cs="Times New Roman" w:hint="default"/>
        <w:color w:val="000000"/>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15:restartNumberingAfterBreak="0">
    <w:nsid w:val="783E2E59"/>
    <w:multiLevelType w:val="hybridMultilevel"/>
    <w:tmpl w:val="37C26E8C"/>
    <w:lvl w:ilvl="0" w:tplc="4E6E56BE">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61" w15:restartNumberingAfterBreak="0">
    <w:nsid w:val="788C67FC"/>
    <w:multiLevelType w:val="hybridMultilevel"/>
    <w:tmpl w:val="145ED9E8"/>
    <w:lvl w:ilvl="0" w:tplc="1000000B">
      <w:start w:val="1"/>
      <w:numFmt w:val="bullet"/>
      <w:lvlText w:val=""/>
      <w:lvlJc w:val="left"/>
      <w:pPr>
        <w:ind w:left="1146" w:hanging="360"/>
      </w:pPr>
      <w:rPr>
        <w:rFonts w:ascii="Wingdings" w:hAnsi="Wingdings" w:hint="default"/>
      </w:rPr>
    </w:lvl>
    <w:lvl w:ilvl="1" w:tplc="10000003" w:tentative="1">
      <w:start w:val="1"/>
      <w:numFmt w:val="bullet"/>
      <w:lvlText w:val="o"/>
      <w:lvlJc w:val="left"/>
      <w:pPr>
        <w:ind w:left="1866" w:hanging="360"/>
      </w:pPr>
      <w:rPr>
        <w:rFonts w:ascii="Courier New" w:hAnsi="Courier New" w:cs="Courier New" w:hint="default"/>
      </w:rPr>
    </w:lvl>
    <w:lvl w:ilvl="2" w:tplc="10000005" w:tentative="1">
      <w:start w:val="1"/>
      <w:numFmt w:val="bullet"/>
      <w:lvlText w:val=""/>
      <w:lvlJc w:val="left"/>
      <w:pPr>
        <w:ind w:left="2586" w:hanging="360"/>
      </w:pPr>
      <w:rPr>
        <w:rFonts w:ascii="Wingdings" w:hAnsi="Wingdings" w:hint="default"/>
      </w:rPr>
    </w:lvl>
    <w:lvl w:ilvl="3" w:tplc="10000001" w:tentative="1">
      <w:start w:val="1"/>
      <w:numFmt w:val="bullet"/>
      <w:lvlText w:val=""/>
      <w:lvlJc w:val="left"/>
      <w:pPr>
        <w:ind w:left="3306" w:hanging="360"/>
      </w:pPr>
      <w:rPr>
        <w:rFonts w:ascii="Symbol" w:hAnsi="Symbol" w:hint="default"/>
      </w:rPr>
    </w:lvl>
    <w:lvl w:ilvl="4" w:tplc="10000003" w:tentative="1">
      <w:start w:val="1"/>
      <w:numFmt w:val="bullet"/>
      <w:lvlText w:val="o"/>
      <w:lvlJc w:val="left"/>
      <w:pPr>
        <w:ind w:left="4026" w:hanging="360"/>
      </w:pPr>
      <w:rPr>
        <w:rFonts w:ascii="Courier New" w:hAnsi="Courier New" w:cs="Courier New" w:hint="default"/>
      </w:rPr>
    </w:lvl>
    <w:lvl w:ilvl="5" w:tplc="10000005" w:tentative="1">
      <w:start w:val="1"/>
      <w:numFmt w:val="bullet"/>
      <w:lvlText w:val=""/>
      <w:lvlJc w:val="left"/>
      <w:pPr>
        <w:ind w:left="4746" w:hanging="360"/>
      </w:pPr>
      <w:rPr>
        <w:rFonts w:ascii="Wingdings" w:hAnsi="Wingdings" w:hint="default"/>
      </w:rPr>
    </w:lvl>
    <w:lvl w:ilvl="6" w:tplc="10000001" w:tentative="1">
      <w:start w:val="1"/>
      <w:numFmt w:val="bullet"/>
      <w:lvlText w:val=""/>
      <w:lvlJc w:val="left"/>
      <w:pPr>
        <w:ind w:left="5466" w:hanging="360"/>
      </w:pPr>
      <w:rPr>
        <w:rFonts w:ascii="Symbol" w:hAnsi="Symbol" w:hint="default"/>
      </w:rPr>
    </w:lvl>
    <w:lvl w:ilvl="7" w:tplc="10000003" w:tentative="1">
      <w:start w:val="1"/>
      <w:numFmt w:val="bullet"/>
      <w:lvlText w:val="o"/>
      <w:lvlJc w:val="left"/>
      <w:pPr>
        <w:ind w:left="6186" w:hanging="360"/>
      </w:pPr>
      <w:rPr>
        <w:rFonts w:ascii="Courier New" w:hAnsi="Courier New" w:cs="Courier New" w:hint="default"/>
      </w:rPr>
    </w:lvl>
    <w:lvl w:ilvl="8" w:tplc="10000005" w:tentative="1">
      <w:start w:val="1"/>
      <w:numFmt w:val="bullet"/>
      <w:lvlText w:val=""/>
      <w:lvlJc w:val="left"/>
      <w:pPr>
        <w:ind w:left="6906" w:hanging="360"/>
      </w:pPr>
      <w:rPr>
        <w:rFonts w:ascii="Wingdings" w:hAnsi="Wingdings" w:hint="default"/>
      </w:rPr>
    </w:lvl>
  </w:abstractNum>
  <w:abstractNum w:abstractNumId="62" w15:restartNumberingAfterBreak="0">
    <w:nsid w:val="7A335B2F"/>
    <w:multiLevelType w:val="hybridMultilevel"/>
    <w:tmpl w:val="E4A8C18E"/>
    <w:lvl w:ilvl="0" w:tplc="10000005">
      <w:start w:val="1"/>
      <w:numFmt w:val="bullet"/>
      <w:lvlText w:val=""/>
      <w:lvlJc w:val="left"/>
      <w:pPr>
        <w:ind w:left="1146" w:hanging="360"/>
      </w:pPr>
      <w:rPr>
        <w:rFonts w:ascii="Wingdings" w:hAnsi="Wingdings" w:hint="default"/>
      </w:rPr>
    </w:lvl>
    <w:lvl w:ilvl="1" w:tplc="10000003" w:tentative="1">
      <w:start w:val="1"/>
      <w:numFmt w:val="bullet"/>
      <w:lvlText w:val="o"/>
      <w:lvlJc w:val="left"/>
      <w:pPr>
        <w:ind w:left="1866" w:hanging="360"/>
      </w:pPr>
      <w:rPr>
        <w:rFonts w:ascii="Courier New" w:hAnsi="Courier New" w:cs="Courier New" w:hint="default"/>
      </w:rPr>
    </w:lvl>
    <w:lvl w:ilvl="2" w:tplc="10000005" w:tentative="1">
      <w:start w:val="1"/>
      <w:numFmt w:val="bullet"/>
      <w:lvlText w:val=""/>
      <w:lvlJc w:val="left"/>
      <w:pPr>
        <w:ind w:left="2586" w:hanging="360"/>
      </w:pPr>
      <w:rPr>
        <w:rFonts w:ascii="Wingdings" w:hAnsi="Wingdings" w:hint="default"/>
      </w:rPr>
    </w:lvl>
    <w:lvl w:ilvl="3" w:tplc="10000001" w:tentative="1">
      <w:start w:val="1"/>
      <w:numFmt w:val="bullet"/>
      <w:lvlText w:val=""/>
      <w:lvlJc w:val="left"/>
      <w:pPr>
        <w:ind w:left="3306" w:hanging="360"/>
      </w:pPr>
      <w:rPr>
        <w:rFonts w:ascii="Symbol" w:hAnsi="Symbol" w:hint="default"/>
      </w:rPr>
    </w:lvl>
    <w:lvl w:ilvl="4" w:tplc="10000003" w:tentative="1">
      <w:start w:val="1"/>
      <w:numFmt w:val="bullet"/>
      <w:lvlText w:val="o"/>
      <w:lvlJc w:val="left"/>
      <w:pPr>
        <w:ind w:left="4026" w:hanging="360"/>
      </w:pPr>
      <w:rPr>
        <w:rFonts w:ascii="Courier New" w:hAnsi="Courier New" w:cs="Courier New" w:hint="default"/>
      </w:rPr>
    </w:lvl>
    <w:lvl w:ilvl="5" w:tplc="10000005" w:tentative="1">
      <w:start w:val="1"/>
      <w:numFmt w:val="bullet"/>
      <w:lvlText w:val=""/>
      <w:lvlJc w:val="left"/>
      <w:pPr>
        <w:ind w:left="4746" w:hanging="360"/>
      </w:pPr>
      <w:rPr>
        <w:rFonts w:ascii="Wingdings" w:hAnsi="Wingdings" w:hint="default"/>
      </w:rPr>
    </w:lvl>
    <w:lvl w:ilvl="6" w:tplc="10000001" w:tentative="1">
      <w:start w:val="1"/>
      <w:numFmt w:val="bullet"/>
      <w:lvlText w:val=""/>
      <w:lvlJc w:val="left"/>
      <w:pPr>
        <w:ind w:left="5466" w:hanging="360"/>
      </w:pPr>
      <w:rPr>
        <w:rFonts w:ascii="Symbol" w:hAnsi="Symbol" w:hint="default"/>
      </w:rPr>
    </w:lvl>
    <w:lvl w:ilvl="7" w:tplc="10000003" w:tentative="1">
      <w:start w:val="1"/>
      <w:numFmt w:val="bullet"/>
      <w:lvlText w:val="o"/>
      <w:lvlJc w:val="left"/>
      <w:pPr>
        <w:ind w:left="6186" w:hanging="360"/>
      </w:pPr>
      <w:rPr>
        <w:rFonts w:ascii="Courier New" w:hAnsi="Courier New" w:cs="Courier New" w:hint="default"/>
      </w:rPr>
    </w:lvl>
    <w:lvl w:ilvl="8" w:tplc="10000005" w:tentative="1">
      <w:start w:val="1"/>
      <w:numFmt w:val="bullet"/>
      <w:lvlText w:val=""/>
      <w:lvlJc w:val="left"/>
      <w:pPr>
        <w:ind w:left="6906" w:hanging="360"/>
      </w:pPr>
      <w:rPr>
        <w:rFonts w:ascii="Wingdings" w:hAnsi="Wingdings" w:hint="default"/>
      </w:rPr>
    </w:lvl>
  </w:abstractNum>
  <w:abstractNum w:abstractNumId="63" w15:restartNumberingAfterBreak="0">
    <w:nsid w:val="7A3C1EC2"/>
    <w:multiLevelType w:val="hybridMultilevel"/>
    <w:tmpl w:val="DBDAE2D4"/>
    <w:lvl w:ilvl="0" w:tplc="6DA0184C">
      <w:start w:val="1"/>
      <w:numFmt w:val="decimal"/>
      <w:lvlText w:val="%1."/>
      <w:lvlJc w:val="left"/>
      <w:pPr>
        <w:ind w:left="1080" w:hanging="360"/>
      </w:pPr>
      <w:rPr>
        <w:rFonts w:ascii="Times New Roman" w:eastAsia="Arial Unicode MS" w:hAnsi="Times New Roman" w:cs="Times New Roman" w:hint="default"/>
        <w:b w:val="0"/>
        <w:color w:val="000000"/>
        <w:sz w:val="22"/>
        <w:szCs w:val="22"/>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4" w15:restartNumberingAfterBreak="0">
    <w:nsid w:val="7A5A10ED"/>
    <w:multiLevelType w:val="hybridMultilevel"/>
    <w:tmpl w:val="F132CD9E"/>
    <w:lvl w:ilvl="0" w:tplc="BACA4714">
      <w:start w:val="1"/>
      <w:numFmt w:val="bullet"/>
      <w:lvlText w:val="-"/>
      <w:lvlJc w:val="left"/>
      <w:pPr>
        <w:ind w:left="360" w:hanging="360"/>
      </w:pPr>
      <w:rPr>
        <w:rFonts w:ascii="Bodoni MT Black" w:hAnsi="Bodoni MT Black"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5" w15:restartNumberingAfterBreak="0">
    <w:nsid w:val="7AB25839"/>
    <w:multiLevelType w:val="hybridMultilevel"/>
    <w:tmpl w:val="9E00FD9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7F721B1E"/>
    <w:multiLevelType w:val="hybridMultilevel"/>
    <w:tmpl w:val="F120111A"/>
    <w:lvl w:ilvl="0" w:tplc="D2DCE03A">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67" w15:restartNumberingAfterBreak="0">
    <w:nsid w:val="7FCF7727"/>
    <w:multiLevelType w:val="hybridMultilevel"/>
    <w:tmpl w:val="BFA847BC"/>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8" w15:restartNumberingAfterBreak="0">
    <w:nsid w:val="7FD97802"/>
    <w:multiLevelType w:val="hybridMultilevel"/>
    <w:tmpl w:val="9D2E62FE"/>
    <w:lvl w:ilvl="0" w:tplc="B274AB72">
      <w:start w:val="1"/>
      <w:numFmt w:val="bullet"/>
      <w:lvlText w:val=""/>
      <w:lvlJc w:val="left"/>
      <w:pPr>
        <w:ind w:left="720" w:hanging="360"/>
      </w:pPr>
      <w:rPr>
        <w:rFonts w:ascii="Symbol" w:hAnsi="Symbol" w:hint="default"/>
      </w:rPr>
    </w:lvl>
    <w:lvl w:ilvl="1" w:tplc="B274AB72">
      <w:start w:val="1"/>
      <w:numFmt w:val="bullet"/>
      <w:lvlText w:val=""/>
      <w:lvlJc w:val="left"/>
      <w:pPr>
        <w:ind w:left="1440" w:hanging="360"/>
      </w:pPr>
      <w:rPr>
        <w:rFonts w:ascii="Symbol" w:hAnsi="Symbol"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431777864">
    <w:abstractNumId w:val="15"/>
  </w:num>
  <w:num w:numId="2" w16cid:durableId="2056736410">
    <w:abstractNumId w:val="47"/>
  </w:num>
  <w:num w:numId="3" w16cid:durableId="1696080796">
    <w:abstractNumId w:val="13"/>
  </w:num>
  <w:num w:numId="4" w16cid:durableId="458915473">
    <w:abstractNumId w:val="22"/>
  </w:num>
  <w:num w:numId="5" w16cid:durableId="496073372">
    <w:abstractNumId w:val="19"/>
  </w:num>
  <w:num w:numId="6" w16cid:durableId="362366014">
    <w:abstractNumId w:val="37"/>
  </w:num>
  <w:num w:numId="7" w16cid:durableId="557085790">
    <w:abstractNumId w:val="46"/>
  </w:num>
  <w:num w:numId="8" w16cid:durableId="269632147">
    <w:abstractNumId w:val="51"/>
  </w:num>
  <w:num w:numId="9" w16cid:durableId="625744794">
    <w:abstractNumId w:val="8"/>
  </w:num>
  <w:num w:numId="10" w16cid:durableId="212619036">
    <w:abstractNumId w:val="30"/>
  </w:num>
  <w:num w:numId="11" w16cid:durableId="1565140212">
    <w:abstractNumId w:val="45"/>
  </w:num>
  <w:num w:numId="12" w16cid:durableId="178859840">
    <w:abstractNumId w:val="35"/>
  </w:num>
  <w:num w:numId="13" w16cid:durableId="1056783826">
    <w:abstractNumId w:val="3"/>
  </w:num>
  <w:num w:numId="14" w16cid:durableId="1696272520">
    <w:abstractNumId w:val="38"/>
  </w:num>
  <w:num w:numId="15" w16cid:durableId="1174104392">
    <w:abstractNumId w:val="25"/>
  </w:num>
  <w:num w:numId="16" w16cid:durableId="874271706">
    <w:abstractNumId w:val="65"/>
  </w:num>
  <w:num w:numId="17" w16cid:durableId="1141264855">
    <w:abstractNumId w:val="52"/>
  </w:num>
  <w:num w:numId="18" w16cid:durableId="2071266752">
    <w:abstractNumId w:val="63"/>
  </w:num>
  <w:num w:numId="19" w16cid:durableId="207886530">
    <w:abstractNumId w:val="50"/>
  </w:num>
  <w:num w:numId="20" w16cid:durableId="800223540">
    <w:abstractNumId w:val="36"/>
  </w:num>
  <w:num w:numId="21" w16cid:durableId="1410998291">
    <w:abstractNumId w:val="2"/>
  </w:num>
  <w:num w:numId="22" w16cid:durableId="1117143294">
    <w:abstractNumId w:val="42"/>
  </w:num>
  <w:num w:numId="23" w16cid:durableId="231239697">
    <w:abstractNumId w:val="6"/>
  </w:num>
  <w:num w:numId="24" w16cid:durableId="1598635844">
    <w:abstractNumId w:val="26"/>
  </w:num>
  <w:num w:numId="25" w16cid:durableId="1497647863">
    <w:abstractNumId w:val="67"/>
  </w:num>
  <w:num w:numId="26" w16cid:durableId="1267419987">
    <w:abstractNumId w:val="44"/>
  </w:num>
  <w:num w:numId="27" w16cid:durableId="1813016536">
    <w:abstractNumId w:val="41"/>
  </w:num>
  <w:num w:numId="28" w16cid:durableId="1585869744">
    <w:abstractNumId w:val="27"/>
  </w:num>
  <w:num w:numId="29" w16cid:durableId="1300764928">
    <w:abstractNumId w:val="29"/>
  </w:num>
  <w:num w:numId="30" w16cid:durableId="311452631">
    <w:abstractNumId w:val="59"/>
  </w:num>
  <w:num w:numId="31" w16cid:durableId="568348013">
    <w:abstractNumId w:val="43"/>
  </w:num>
  <w:num w:numId="32" w16cid:durableId="2070691462">
    <w:abstractNumId w:val="5"/>
  </w:num>
  <w:num w:numId="33" w16cid:durableId="180123194">
    <w:abstractNumId w:val="66"/>
  </w:num>
  <w:num w:numId="34" w16cid:durableId="2001763612">
    <w:abstractNumId w:val="56"/>
  </w:num>
  <w:num w:numId="35" w16cid:durableId="60639330">
    <w:abstractNumId w:val="34"/>
  </w:num>
  <w:num w:numId="36" w16cid:durableId="2001693645">
    <w:abstractNumId w:val="23"/>
  </w:num>
  <w:num w:numId="37" w16cid:durableId="222258381">
    <w:abstractNumId w:val="31"/>
  </w:num>
  <w:num w:numId="38" w16cid:durableId="1675063609">
    <w:abstractNumId w:val="0"/>
  </w:num>
  <w:num w:numId="39" w16cid:durableId="248275397">
    <w:abstractNumId w:val="10"/>
  </w:num>
  <w:num w:numId="40" w16cid:durableId="1467702481">
    <w:abstractNumId w:val="64"/>
  </w:num>
  <w:num w:numId="41" w16cid:durableId="173886401">
    <w:abstractNumId w:val="62"/>
  </w:num>
  <w:num w:numId="42" w16cid:durableId="456997865">
    <w:abstractNumId w:val="11"/>
  </w:num>
  <w:num w:numId="43" w16cid:durableId="684795705">
    <w:abstractNumId w:val="39"/>
  </w:num>
  <w:num w:numId="44" w16cid:durableId="1304389177">
    <w:abstractNumId w:val="16"/>
  </w:num>
  <w:num w:numId="45" w16cid:durableId="1644315442">
    <w:abstractNumId w:val="17"/>
  </w:num>
  <w:num w:numId="46" w16cid:durableId="1438794226">
    <w:abstractNumId w:val="28"/>
  </w:num>
  <w:num w:numId="47" w16cid:durableId="541747755">
    <w:abstractNumId w:val="53"/>
  </w:num>
  <w:num w:numId="48" w16cid:durableId="1390223137">
    <w:abstractNumId w:val="61"/>
  </w:num>
  <w:num w:numId="49" w16cid:durableId="458380482">
    <w:abstractNumId w:val="55"/>
  </w:num>
  <w:num w:numId="50" w16cid:durableId="1450852787">
    <w:abstractNumId w:val="1"/>
  </w:num>
  <w:num w:numId="51" w16cid:durableId="1619070883">
    <w:abstractNumId w:val="68"/>
  </w:num>
  <w:num w:numId="52" w16cid:durableId="1021584730">
    <w:abstractNumId w:val="57"/>
  </w:num>
  <w:num w:numId="53" w16cid:durableId="1112239891">
    <w:abstractNumId w:val="24"/>
  </w:num>
  <w:num w:numId="54" w16cid:durableId="1403868266">
    <w:abstractNumId w:val="21"/>
  </w:num>
  <w:num w:numId="55" w16cid:durableId="1650208792">
    <w:abstractNumId w:val="48"/>
  </w:num>
  <w:num w:numId="56" w16cid:durableId="223102914">
    <w:abstractNumId w:val="58"/>
  </w:num>
  <w:num w:numId="57" w16cid:durableId="1475755782">
    <w:abstractNumId w:val="33"/>
  </w:num>
  <w:num w:numId="58" w16cid:durableId="1896431116">
    <w:abstractNumId w:val="54"/>
  </w:num>
  <w:num w:numId="59" w16cid:durableId="1487016705">
    <w:abstractNumId w:val="60"/>
  </w:num>
  <w:num w:numId="60" w16cid:durableId="1523742546">
    <w:abstractNumId w:val="49"/>
  </w:num>
  <w:num w:numId="61" w16cid:durableId="1815675695">
    <w:abstractNumId w:val="7"/>
  </w:num>
  <w:num w:numId="62" w16cid:durableId="816609385">
    <w:abstractNumId w:val="18"/>
  </w:num>
  <w:num w:numId="63" w16cid:durableId="850723809">
    <w:abstractNumId w:val="4"/>
  </w:num>
  <w:num w:numId="64" w16cid:durableId="1560818929">
    <w:abstractNumId w:val="9"/>
  </w:num>
  <w:num w:numId="65" w16cid:durableId="1137868792">
    <w:abstractNumId w:val="14"/>
  </w:num>
  <w:num w:numId="66" w16cid:durableId="1618289115">
    <w:abstractNumId w:val="12"/>
  </w:num>
  <w:num w:numId="67" w16cid:durableId="960065483">
    <w:abstractNumId w:val="32"/>
  </w:num>
  <w:num w:numId="68" w16cid:durableId="716783397">
    <w:abstractNumId w:val="20"/>
  </w:num>
  <w:num w:numId="69" w16cid:durableId="1426343104">
    <w:abstractNumId w:val="4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DEA"/>
    <w:rsid w:val="00000458"/>
    <w:rsid w:val="000009AE"/>
    <w:rsid w:val="00000B2F"/>
    <w:rsid w:val="00000BC5"/>
    <w:rsid w:val="00001264"/>
    <w:rsid w:val="00001320"/>
    <w:rsid w:val="00001B30"/>
    <w:rsid w:val="0000200D"/>
    <w:rsid w:val="00002218"/>
    <w:rsid w:val="00002534"/>
    <w:rsid w:val="000025E0"/>
    <w:rsid w:val="000025FA"/>
    <w:rsid w:val="0000262C"/>
    <w:rsid w:val="0000296D"/>
    <w:rsid w:val="000029B9"/>
    <w:rsid w:val="00002AEF"/>
    <w:rsid w:val="00003584"/>
    <w:rsid w:val="00003932"/>
    <w:rsid w:val="00003A99"/>
    <w:rsid w:val="00003B36"/>
    <w:rsid w:val="00003B92"/>
    <w:rsid w:val="00003C00"/>
    <w:rsid w:val="00003DA0"/>
    <w:rsid w:val="00003E5D"/>
    <w:rsid w:val="0000422E"/>
    <w:rsid w:val="0000435A"/>
    <w:rsid w:val="00004E58"/>
    <w:rsid w:val="00004F73"/>
    <w:rsid w:val="000050FD"/>
    <w:rsid w:val="000053A5"/>
    <w:rsid w:val="000055C2"/>
    <w:rsid w:val="00005F44"/>
    <w:rsid w:val="0000614E"/>
    <w:rsid w:val="0000628B"/>
    <w:rsid w:val="000062EB"/>
    <w:rsid w:val="0000661B"/>
    <w:rsid w:val="00007497"/>
    <w:rsid w:val="0000755F"/>
    <w:rsid w:val="000075FD"/>
    <w:rsid w:val="000079BE"/>
    <w:rsid w:val="00007B18"/>
    <w:rsid w:val="00007B36"/>
    <w:rsid w:val="00007C6F"/>
    <w:rsid w:val="00007CDC"/>
    <w:rsid w:val="00007EB5"/>
    <w:rsid w:val="000105E8"/>
    <w:rsid w:val="00010738"/>
    <w:rsid w:val="000107BF"/>
    <w:rsid w:val="000108FB"/>
    <w:rsid w:val="00010CDA"/>
    <w:rsid w:val="0001132A"/>
    <w:rsid w:val="00011367"/>
    <w:rsid w:val="00011537"/>
    <w:rsid w:val="000116B9"/>
    <w:rsid w:val="00011EFE"/>
    <w:rsid w:val="00012328"/>
    <w:rsid w:val="00012414"/>
    <w:rsid w:val="0001263B"/>
    <w:rsid w:val="0001365F"/>
    <w:rsid w:val="00013B08"/>
    <w:rsid w:val="00013CF2"/>
    <w:rsid w:val="00013D7A"/>
    <w:rsid w:val="00013F8F"/>
    <w:rsid w:val="00014724"/>
    <w:rsid w:val="00014C10"/>
    <w:rsid w:val="00014CFF"/>
    <w:rsid w:val="0001538B"/>
    <w:rsid w:val="00015531"/>
    <w:rsid w:val="00015FF2"/>
    <w:rsid w:val="000162DA"/>
    <w:rsid w:val="00016309"/>
    <w:rsid w:val="000165D3"/>
    <w:rsid w:val="000165DB"/>
    <w:rsid w:val="0001673A"/>
    <w:rsid w:val="00016B20"/>
    <w:rsid w:val="00016D8D"/>
    <w:rsid w:val="00017107"/>
    <w:rsid w:val="000171DF"/>
    <w:rsid w:val="0001737A"/>
    <w:rsid w:val="000174CD"/>
    <w:rsid w:val="0001750F"/>
    <w:rsid w:val="00017975"/>
    <w:rsid w:val="00017B00"/>
    <w:rsid w:val="00017B9C"/>
    <w:rsid w:val="00017D4D"/>
    <w:rsid w:val="00017F22"/>
    <w:rsid w:val="0002041E"/>
    <w:rsid w:val="00020F49"/>
    <w:rsid w:val="00021720"/>
    <w:rsid w:val="00021851"/>
    <w:rsid w:val="00021F57"/>
    <w:rsid w:val="00022021"/>
    <w:rsid w:val="00022044"/>
    <w:rsid w:val="00022167"/>
    <w:rsid w:val="00022705"/>
    <w:rsid w:val="000238E5"/>
    <w:rsid w:val="00023BAC"/>
    <w:rsid w:val="00023DF8"/>
    <w:rsid w:val="00023E6F"/>
    <w:rsid w:val="000246BE"/>
    <w:rsid w:val="00024EDE"/>
    <w:rsid w:val="00025463"/>
    <w:rsid w:val="0002653A"/>
    <w:rsid w:val="00026972"/>
    <w:rsid w:val="00026978"/>
    <w:rsid w:val="00026CA3"/>
    <w:rsid w:val="00026D82"/>
    <w:rsid w:val="00026D95"/>
    <w:rsid w:val="00026E1D"/>
    <w:rsid w:val="00026E67"/>
    <w:rsid w:val="0002712F"/>
    <w:rsid w:val="00027588"/>
    <w:rsid w:val="00027709"/>
    <w:rsid w:val="00027916"/>
    <w:rsid w:val="00027A00"/>
    <w:rsid w:val="000302C3"/>
    <w:rsid w:val="00030574"/>
    <w:rsid w:val="00030A98"/>
    <w:rsid w:val="00030FD3"/>
    <w:rsid w:val="000310CC"/>
    <w:rsid w:val="00031342"/>
    <w:rsid w:val="000313B9"/>
    <w:rsid w:val="0003174B"/>
    <w:rsid w:val="00031A0A"/>
    <w:rsid w:val="00031CE5"/>
    <w:rsid w:val="00032069"/>
    <w:rsid w:val="0003245C"/>
    <w:rsid w:val="000327F2"/>
    <w:rsid w:val="00032E01"/>
    <w:rsid w:val="00032EC5"/>
    <w:rsid w:val="00033251"/>
    <w:rsid w:val="0003346A"/>
    <w:rsid w:val="00033524"/>
    <w:rsid w:val="00033608"/>
    <w:rsid w:val="00033759"/>
    <w:rsid w:val="00033AA1"/>
    <w:rsid w:val="00033B15"/>
    <w:rsid w:val="00033BBB"/>
    <w:rsid w:val="00033D65"/>
    <w:rsid w:val="00034346"/>
    <w:rsid w:val="000343B5"/>
    <w:rsid w:val="0003442F"/>
    <w:rsid w:val="000346B5"/>
    <w:rsid w:val="00034739"/>
    <w:rsid w:val="00034E52"/>
    <w:rsid w:val="00035044"/>
    <w:rsid w:val="0003542D"/>
    <w:rsid w:val="0003548A"/>
    <w:rsid w:val="00035760"/>
    <w:rsid w:val="0003577D"/>
    <w:rsid w:val="0003590A"/>
    <w:rsid w:val="00036014"/>
    <w:rsid w:val="00036591"/>
    <w:rsid w:val="000365D8"/>
    <w:rsid w:val="00036E07"/>
    <w:rsid w:val="0003716D"/>
    <w:rsid w:val="000372BB"/>
    <w:rsid w:val="00037973"/>
    <w:rsid w:val="00040251"/>
    <w:rsid w:val="0004058E"/>
    <w:rsid w:val="00040952"/>
    <w:rsid w:val="00040AA3"/>
    <w:rsid w:val="00040D63"/>
    <w:rsid w:val="00040E45"/>
    <w:rsid w:val="0004162E"/>
    <w:rsid w:val="00041884"/>
    <w:rsid w:val="000419F0"/>
    <w:rsid w:val="00041BE8"/>
    <w:rsid w:val="000422B8"/>
    <w:rsid w:val="000424AA"/>
    <w:rsid w:val="00042743"/>
    <w:rsid w:val="00042A08"/>
    <w:rsid w:val="00042FE0"/>
    <w:rsid w:val="0004307D"/>
    <w:rsid w:val="00043080"/>
    <w:rsid w:val="0004366E"/>
    <w:rsid w:val="00043765"/>
    <w:rsid w:val="00043934"/>
    <w:rsid w:val="00043994"/>
    <w:rsid w:val="00043FFC"/>
    <w:rsid w:val="000448BA"/>
    <w:rsid w:val="00044A52"/>
    <w:rsid w:val="00044CE9"/>
    <w:rsid w:val="00044DDD"/>
    <w:rsid w:val="00044E8D"/>
    <w:rsid w:val="000451A0"/>
    <w:rsid w:val="000454E3"/>
    <w:rsid w:val="000456A0"/>
    <w:rsid w:val="000458AE"/>
    <w:rsid w:val="000459F8"/>
    <w:rsid w:val="000464E6"/>
    <w:rsid w:val="000466AA"/>
    <w:rsid w:val="000469B7"/>
    <w:rsid w:val="000469BC"/>
    <w:rsid w:val="00046F7E"/>
    <w:rsid w:val="0004704C"/>
    <w:rsid w:val="000470F2"/>
    <w:rsid w:val="0004711D"/>
    <w:rsid w:val="00047328"/>
    <w:rsid w:val="00047427"/>
    <w:rsid w:val="0004754F"/>
    <w:rsid w:val="000476DF"/>
    <w:rsid w:val="00047C92"/>
    <w:rsid w:val="00047CC1"/>
    <w:rsid w:val="000503D8"/>
    <w:rsid w:val="00050444"/>
    <w:rsid w:val="000504D7"/>
    <w:rsid w:val="00050678"/>
    <w:rsid w:val="00051254"/>
    <w:rsid w:val="00051307"/>
    <w:rsid w:val="000515DA"/>
    <w:rsid w:val="00051D1A"/>
    <w:rsid w:val="00051DC8"/>
    <w:rsid w:val="000521C0"/>
    <w:rsid w:val="0005289D"/>
    <w:rsid w:val="00052A71"/>
    <w:rsid w:val="00052ED0"/>
    <w:rsid w:val="00052F77"/>
    <w:rsid w:val="0005333D"/>
    <w:rsid w:val="0005334B"/>
    <w:rsid w:val="00053B78"/>
    <w:rsid w:val="00053D41"/>
    <w:rsid w:val="00053F99"/>
    <w:rsid w:val="00054573"/>
    <w:rsid w:val="0005471B"/>
    <w:rsid w:val="00054996"/>
    <w:rsid w:val="00055042"/>
    <w:rsid w:val="00055299"/>
    <w:rsid w:val="00055472"/>
    <w:rsid w:val="000554C6"/>
    <w:rsid w:val="000555E7"/>
    <w:rsid w:val="00055C40"/>
    <w:rsid w:val="0005627B"/>
    <w:rsid w:val="00056586"/>
    <w:rsid w:val="0005673F"/>
    <w:rsid w:val="00056D6D"/>
    <w:rsid w:val="00057048"/>
    <w:rsid w:val="0005711A"/>
    <w:rsid w:val="00057140"/>
    <w:rsid w:val="000573AE"/>
    <w:rsid w:val="000576DC"/>
    <w:rsid w:val="000578BD"/>
    <w:rsid w:val="00057D12"/>
    <w:rsid w:val="000600B5"/>
    <w:rsid w:val="0006022E"/>
    <w:rsid w:val="000603DC"/>
    <w:rsid w:val="000608A1"/>
    <w:rsid w:val="00060CC4"/>
    <w:rsid w:val="00060E6B"/>
    <w:rsid w:val="00061376"/>
    <w:rsid w:val="00061794"/>
    <w:rsid w:val="0006193F"/>
    <w:rsid w:val="00061BBD"/>
    <w:rsid w:val="0006307C"/>
    <w:rsid w:val="0006350E"/>
    <w:rsid w:val="00063511"/>
    <w:rsid w:val="0006363D"/>
    <w:rsid w:val="000638EA"/>
    <w:rsid w:val="00063B91"/>
    <w:rsid w:val="00064066"/>
    <w:rsid w:val="000641DD"/>
    <w:rsid w:val="0006420C"/>
    <w:rsid w:val="00064215"/>
    <w:rsid w:val="00064358"/>
    <w:rsid w:val="000643CE"/>
    <w:rsid w:val="00064505"/>
    <w:rsid w:val="000646DE"/>
    <w:rsid w:val="000647D3"/>
    <w:rsid w:val="000647F1"/>
    <w:rsid w:val="00064ED0"/>
    <w:rsid w:val="000652C6"/>
    <w:rsid w:val="00065460"/>
    <w:rsid w:val="000654E2"/>
    <w:rsid w:val="00065615"/>
    <w:rsid w:val="00065B07"/>
    <w:rsid w:val="00065E5F"/>
    <w:rsid w:val="00065F26"/>
    <w:rsid w:val="000662E4"/>
    <w:rsid w:val="0006634D"/>
    <w:rsid w:val="00066651"/>
    <w:rsid w:val="00066BF2"/>
    <w:rsid w:val="00066E1F"/>
    <w:rsid w:val="00066EB3"/>
    <w:rsid w:val="00067297"/>
    <w:rsid w:val="000673B0"/>
    <w:rsid w:val="00067D67"/>
    <w:rsid w:val="00067E5B"/>
    <w:rsid w:val="00067F8F"/>
    <w:rsid w:val="00067FD2"/>
    <w:rsid w:val="0007017B"/>
    <w:rsid w:val="0007026E"/>
    <w:rsid w:val="000702AA"/>
    <w:rsid w:val="0007032A"/>
    <w:rsid w:val="00070830"/>
    <w:rsid w:val="00070870"/>
    <w:rsid w:val="00070A63"/>
    <w:rsid w:val="00070AB9"/>
    <w:rsid w:val="00070F06"/>
    <w:rsid w:val="00071226"/>
    <w:rsid w:val="000714A9"/>
    <w:rsid w:val="000718D4"/>
    <w:rsid w:val="00071BF5"/>
    <w:rsid w:val="000721A8"/>
    <w:rsid w:val="000725D9"/>
    <w:rsid w:val="000727F4"/>
    <w:rsid w:val="00072A3C"/>
    <w:rsid w:val="00072BEB"/>
    <w:rsid w:val="00072CAB"/>
    <w:rsid w:val="00072FD4"/>
    <w:rsid w:val="000732CE"/>
    <w:rsid w:val="00073552"/>
    <w:rsid w:val="0007356B"/>
    <w:rsid w:val="000736EA"/>
    <w:rsid w:val="00073AA5"/>
    <w:rsid w:val="000741F2"/>
    <w:rsid w:val="000746F9"/>
    <w:rsid w:val="00074764"/>
    <w:rsid w:val="0007478D"/>
    <w:rsid w:val="00074987"/>
    <w:rsid w:val="0007499D"/>
    <w:rsid w:val="00074B3B"/>
    <w:rsid w:val="00074CD9"/>
    <w:rsid w:val="00074EEF"/>
    <w:rsid w:val="0007518E"/>
    <w:rsid w:val="000751B6"/>
    <w:rsid w:val="000751B8"/>
    <w:rsid w:val="0007534B"/>
    <w:rsid w:val="00075483"/>
    <w:rsid w:val="000754AE"/>
    <w:rsid w:val="00075930"/>
    <w:rsid w:val="00075A13"/>
    <w:rsid w:val="00075A19"/>
    <w:rsid w:val="00075B0E"/>
    <w:rsid w:val="000763AC"/>
    <w:rsid w:val="000764F0"/>
    <w:rsid w:val="000768C4"/>
    <w:rsid w:val="00077053"/>
    <w:rsid w:val="000770C0"/>
    <w:rsid w:val="00077875"/>
    <w:rsid w:val="00077C1D"/>
    <w:rsid w:val="00077C2B"/>
    <w:rsid w:val="000802DD"/>
    <w:rsid w:val="000803BC"/>
    <w:rsid w:val="000805AA"/>
    <w:rsid w:val="000807ED"/>
    <w:rsid w:val="0008091F"/>
    <w:rsid w:val="000809AA"/>
    <w:rsid w:val="00080CE6"/>
    <w:rsid w:val="00080F3B"/>
    <w:rsid w:val="000814C1"/>
    <w:rsid w:val="000816C2"/>
    <w:rsid w:val="00081789"/>
    <w:rsid w:val="000817D4"/>
    <w:rsid w:val="000819C4"/>
    <w:rsid w:val="00081B43"/>
    <w:rsid w:val="00081DF3"/>
    <w:rsid w:val="000820D8"/>
    <w:rsid w:val="0008229B"/>
    <w:rsid w:val="00082514"/>
    <w:rsid w:val="0008268B"/>
    <w:rsid w:val="000828B8"/>
    <w:rsid w:val="00082D6A"/>
    <w:rsid w:val="00082E3A"/>
    <w:rsid w:val="000835C9"/>
    <w:rsid w:val="00083719"/>
    <w:rsid w:val="000838D4"/>
    <w:rsid w:val="00083C3B"/>
    <w:rsid w:val="00083D2C"/>
    <w:rsid w:val="00083DDD"/>
    <w:rsid w:val="00084108"/>
    <w:rsid w:val="000841A0"/>
    <w:rsid w:val="00084437"/>
    <w:rsid w:val="0008446A"/>
    <w:rsid w:val="000847D8"/>
    <w:rsid w:val="0008489E"/>
    <w:rsid w:val="00084CC6"/>
    <w:rsid w:val="00084E1D"/>
    <w:rsid w:val="00085187"/>
    <w:rsid w:val="0008576A"/>
    <w:rsid w:val="00085AB0"/>
    <w:rsid w:val="00085BD7"/>
    <w:rsid w:val="00085C25"/>
    <w:rsid w:val="0008625C"/>
    <w:rsid w:val="00086325"/>
    <w:rsid w:val="000865A2"/>
    <w:rsid w:val="000865E5"/>
    <w:rsid w:val="000866CA"/>
    <w:rsid w:val="000868B8"/>
    <w:rsid w:val="0008692F"/>
    <w:rsid w:val="00086DF7"/>
    <w:rsid w:val="00087085"/>
    <w:rsid w:val="000870BD"/>
    <w:rsid w:val="0008760B"/>
    <w:rsid w:val="00087C5B"/>
    <w:rsid w:val="00087FF5"/>
    <w:rsid w:val="000907A4"/>
    <w:rsid w:val="00090CBE"/>
    <w:rsid w:val="00090CCA"/>
    <w:rsid w:val="00090E19"/>
    <w:rsid w:val="00091337"/>
    <w:rsid w:val="000913FE"/>
    <w:rsid w:val="00091664"/>
    <w:rsid w:val="00091817"/>
    <w:rsid w:val="00092283"/>
    <w:rsid w:val="00092374"/>
    <w:rsid w:val="00092A2D"/>
    <w:rsid w:val="00092F06"/>
    <w:rsid w:val="0009307A"/>
    <w:rsid w:val="00093644"/>
    <w:rsid w:val="000937FE"/>
    <w:rsid w:val="00093B27"/>
    <w:rsid w:val="00093CE9"/>
    <w:rsid w:val="00094234"/>
    <w:rsid w:val="00094307"/>
    <w:rsid w:val="0009430C"/>
    <w:rsid w:val="00094359"/>
    <w:rsid w:val="00094459"/>
    <w:rsid w:val="000945CA"/>
    <w:rsid w:val="000946E3"/>
    <w:rsid w:val="000948B2"/>
    <w:rsid w:val="000952DF"/>
    <w:rsid w:val="0009573E"/>
    <w:rsid w:val="00095770"/>
    <w:rsid w:val="0009578B"/>
    <w:rsid w:val="00095A18"/>
    <w:rsid w:val="00095A5C"/>
    <w:rsid w:val="00095D23"/>
    <w:rsid w:val="0009622B"/>
    <w:rsid w:val="0009637B"/>
    <w:rsid w:val="0009699D"/>
    <w:rsid w:val="00096A66"/>
    <w:rsid w:val="00096B9F"/>
    <w:rsid w:val="00096E72"/>
    <w:rsid w:val="00097572"/>
    <w:rsid w:val="00097729"/>
    <w:rsid w:val="00097760"/>
    <w:rsid w:val="000977E4"/>
    <w:rsid w:val="000978DD"/>
    <w:rsid w:val="00097DAB"/>
    <w:rsid w:val="00097F93"/>
    <w:rsid w:val="000A0237"/>
    <w:rsid w:val="000A03F6"/>
    <w:rsid w:val="000A0505"/>
    <w:rsid w:val="000A09FC"/>
    <w:rsid w:val="000A0DA4"/>
    <w:rsid w:val="000A0FF8"/>
    <w:rsid w:val="000A11BA"/>
    <w:rsid w:val="000A1315"/>
    <w:rsid w:val="000A13F3"/>
    <w:rsid w:val="000A164D"/>
    <w:rsid w:val="000A1677"/>
    <w:rsid w:val="000A17B6"/>
    <w:rsid w:val="000A17FA"/>
    <w:rsid w:val="000A1C36"/>
    <w:rsid w:val="000A1DEF"/>
    <w:rsid w:val="000A1F69"/>
    <w:rsid w:val="000A27ED"/>
    <w:rsid w:val="000A2BA2"/>
    <w:rsid w:val="000A2CA7"/>
    <w:rsid w:val="000A2FEA"/>
    <w:rsid w:val="000A3516"/>
    <w:rsid w:val="000A35B1"/>
    <w:rsid w:val="000A3844"/>
    <w:rsid w:val="000A3A64"/>
    <w:rsid w:val="000A3C9E"/>
    <w:rsid w:val="000A3F5A"/>
    <w:rsid w:val="000A437C"/>
    <w:rsid w:val="000A4DA8"/>
    <w:rsid w:val="000A4E65"/>
    <w:rsid w:val="000A50B6"/>
    <w:rsid w:val="000A51A0"/>
    <w:rsid w:val="000A5302"/>
    <w:rsid w:val="000A5509"/>
    <w:rsid w:val="000A56DC"/>
    <w:rsid w:val="000A5A4A"/>
    <w:rsid w:val="000A5AC4"/>
    <w:rsid w:val="000A5B98"/>
    <w:rsid w:val="000A5DC6"/>
    <w:rsid w:val="000A5EBD"/>
    <w:rsid w:val="000A5ED3"/>
    <w:rsid w:val="000A6390"/>
    <w:rsid w:val="000A681D"/>
    <w:rsid w:val="000A695D"/>
    <w:rsid w:val="000A6A19"/>
    <w:rsid w:val="000A6AAF"/>
    <w:rsid w:val="000A6C21"/>
    <w:rsid w:val="000A6F60"/>
    <w:rsid w:val="000A71D9"/>
    <w:rsid w:val="000A78D3"/>
    <w:rsid w:val="000A7AF9"/>
    <w:rsid w:val="000A7DD3"/>
    <w:rsid w:val="000A7FB5"/>
    <w:rsid w:val="000B084D"/>
    <w:rsid w:val="000B0A6F"/>
    <w:rsid w:val="000B0AFC"/>
    <w:rsid w:val="000B0D3A"/>
    <w:rsid w:val="000B0EFE"/>
    <w:rsid w:val="000B10A1"/>
    <w:rsid w:val="000B1BF5"/>
    <w:rsid w:val="000B1D09"/>
    <w:rsid w:val="000B1DA2"/>
    <w:rsid w:val="000B2080"/>
    <w:rsid w:val="000B20A5"/>
    <w:rsid w:val="000B21D1"/>
    <w:rsid w:val="000B22A1"/>
    <w:rsid w:val="000B2B97"/>
    <w:rsid w:val="000B2C88"/>
    <w:rsid w:val="000B2D04"/>
    <w:rsid w:val="000B316F"/>
    <w:rsid w:val="000B3598"/>
    <w:rsid w:val="000B35B4"/>
    <w:rsid w:val="000B39F0"/>
    <w:rsid w:val="000B3B04"/>
    <w:rsid w:val="000B3D41"/>
    <w:rsid w:val="000B3F94"/>
    <w:rsid w:val="000B4661"/>
    <w:rsid w:val="000B47D8"/>
    <w:rsid w:val="000B47D9"/>
    <w:rsid w:val="000B4A26"/>
    <w:rsid w:val="000B4ADE"/>
    <w:rsid w:val="000B4B7D"/>
    <w:rsid w:val="000B4CCA"/>
    <w:rsid w:val="000B5846"/>
    <w:rsid w:val="000B5AEA"/>
    <w:rsid w:val="000B5F24"/>
    <w:rsid w:val="000B61F5"/>
    <w:rsid w:val="000B6229"/>
    <w:rsid w:val="000B6232"/>
    <w:rsid w:val="000B62EA"/>
    <w:rsid w:val="000B6337"/>
    <w:rsid w:val="000B6577"/>
    <w:rsid w:val="000B6592"/>
    <w:rsid w:val="000B65C0"/>
    <w:rsid w:val="000B6868"/>
    <w:rsid w:val="000B6E65"/>
    <w:rsid w:val="000B6F7C"/>
    <w:rsid w:val="000B7183"/>
    <w:rsid w:val="000B769E"/>
    <w:rsid w:val="000B770D"/>
    <w:rsid w:val="000B7858"/>
    <w:rsid w:val="000B7B80"/>
    <w:rsid w:val="000B7C07"/>
    <w:rsid w:val="000B7D01"/>
    <w:rsid w:val="000B7EA2"/>
    <w:rsid w:val="000B7FF0"/>
    <w:rsid w:val="000C01C8"/>
    <w:rsid w:val="000C0370"/>
    <w:rsid w:val="000C0371"/>
    <w:rsid w:val="000C0474"/>
    <w:rsid w:val="000C05F2"/>
    <w:rsid w:val="000C0CBB"/>
    <w:rsid w:val="000C0D0A"/>
    <w:rsid w:val="000C0FE7"/>
    <w:rsid w:val="000C12D2"/>
    <w:rsid w:val="000C1717"/>
    <w:rsid w:val="000C171A"/>
    <w:rsid w:val="000C18AE"/>
    <w:rsid w:val="000C198F"/>
    <w:rsid w:val="000C1A01"/>
    <w:rsid w:val="000C1EA4"/>
    <w:rsid w:val="000C1EA6"/>
    <w:rsid w:val="000C264D"/>
    <w:rsid w:val="000C2677"/>
    <w:rsid w:val="000C2855"/>
    <w:rsid w:val="000C28EA"/>
    <w:rsid w:val="000C294F"/>
    <w:rsid w:val="000C3896"/>
    <w:rsid w:val="000C3957"/>
    <w:rsid w:val="000C3BD8"/>
    <w:rsid w:val="000C425A"/>
    <w:rsid w:val="000C44C7"/>
    <w:rsid w:val="000C4729"/>
    <w:rsid w:val="000C4CFF"/>
    <w:rsid w:val="000C4F58"/>
    <w:rsid w:val="000C5418"/>
    <w:rsid w:val="000C5458"/>
    <w:rsid w:val="000C571D"/>
    <w:rsid w:val="000C5872"/>
    <w:rsid w:val="000C5A2E"/>
    <w:rsid w:val="000C5A5E"/>
    <w:rsid w:val="000C5BA7"/>
    <w:rsid w:val="000C5D47"/>
    <w:rsid w:val="000C624A"/>
    <w:rsid w:val="000C683A"/>
    <w:rsid w:val="000C68DB"/>
    <w:rsid w:val="000C6AA2"/>
    <w:rsid w:val="000C70F0"/>
    <w:rsid w:val="000C72BB"/>
    <w:rsid w:val="000C77C7"/>
    <w:rsid w:val="000C78AF"/>
    <w:rsid w:val="000C7AF7"/>
    <w:rsid w:val="000C7D43"/>
    <w:rsid w:val="000C7D5E"/>
    <w:rsid w:val="000C7F18"/>
    <w:rsid w:val="000D05FA"/>
    <w:rsid w:val="000D0778"/>
    <w:rsid w:val="000D0A1D"/>
    <w:rsid w:val="000D10D8"/>
    <w:rsid w:val="000D1292"/>
    <w:rsid w:val="000D13B6"/>
    <w:rsid w:val="000D1699"/>
    <w:rsid w:val="000D16B4"/>
    <w:rsid w:val="000D1829"/>
    <w:rsid w:val="000D1A3F"/>
    <w:rsid w:val="000D1BAC"/>
    <w:rsid w:val="000D1CC8"/>
    <w:rsid w:val="000D1EE4"/>
    <w:rsid w:val="000D29E8"/>
    <w:rsid w:val="000D2ACA"/>
    <w:rsid w:val="000D2FA1"/>
    <w:rsid w:val="000D31C1"/>
    <w:rsid w:val="000D3433"/>
    <w:rsid w:val="000D3A43"/>
    <w:rsid w:val="000D3AE1"/>
    <w:rsid w:val="000D3D64"/>
    <w:rsid w:val="000D3E1F"/>
    <w:rsid w:val="000D3FDC"/>
    <w:rsid w:val="000D4726"/>
    <w:rsid w:val="000D5360"/>
    <w:rsid w:val="000D53DD"/>
    <w:rsid w:val="000D5468"/>
    <w:rsid w:val="000D5A84"/>
    <w:rsid w:val="000D5B3F"/>
    <w:rsid w:val="000D5CCD"/>
    <w:rsid w:val="000D609F"/>
    <w:rsid w:val="000D6327"/>
    <w:rsid w:val="000D64F6"/>
    <w:rsid w:val="000D678E"/>
    <w:rsid w:val="000D6C0F"/>
    <w:rsid w:val="000D6CC5"/>
    <w:rsid w:val="000D6F7B"/>
    <w:rsid w:val="000D6F90"/>
    <w:rsid w:val="000D704B"/>
    <w:rsid w:val="000D72ED"/>
    <w:rsid w:val="000D753A"/>
    <w:rsid w:val="000D757C"/>
    <w:rsid w:val="000D784C"/>
    <w:rsid w:val="000D7904"/>
    <w:rsid w:val="000D7C27"/>
    <w:rsid w:val="000D7CEC"/>
    <w:rsid w:val="000D7F74"/>
    <w:rsid w:val="000E04B9"/>
    <w:rsid w:val="000E05AA"/>
    <w:rsid w:val="000E06AE"/>
    <w:rsid w:val="000E0C21"/>
    <w:rsid w:val="000E12C6"/>
    <w:rsid w:val="000E1971"/>
    <w:rsid w:val="000E1C2C"/>
    <w:rsid w:val="000E1CA5"/>
    <w:rsid w:val="000E20CA"/>
    <w:rsid w:val="000E233F"/>
    <w:rsid w:val="000E2BAA"/>
    <w:rsid w:val="000E2BF1"/>
    <w:rsid w:val="000E2CAE"/>
    <w:rsid w:val="000E3365"/>
    <w:rsid w:val="000E36A1"/>
    <w:rsid w:val="000E3896"/>
    <w:rsid w:val="000E3923"/>
    <w:rsid w:val="000E4294"/>
    <w:rsid w:val="000E43D0"/>
    <w:rsid w:val="000E43F3"/>
    <w:rsid w:val="000E44AC"/>
    <w:rsid w:val="000E4504"/>
    <w:rsid w:val="000E4691"/>
    <w:rsid w:val="000E49B8"/>
    <w:rsid w:val="000E4A0F"/>
    <w:rsid w:val="000E4EDC"/>
    <w:rsid w:val="000E51FB"/>
    <w:rsid w:val="000E5814"/>
    <w:rsid w:val="000E5830"/>
    <w:rsid w:val="000E59DB"/>
    <w:rsid w:val="000E5C98"/>
    <w:rsid w:val="000E5D21"/>
    <w:rsid w:val="000E6112"/>
    <w:rsid w:val="000E645B"/>
    <w:rsid w:val="000E6597"/>
    <w:rsid w:val="000E6C32"/>
    <w:rsid w:val="000E713C"/>
    <w:rsid w:val="000E77BA"/>
    <w:rsid w:val="000F01E3"/>
    <w:rsid w:val="000F07A1"/>
    <w:rsid w:val="000F0897"/>
    <w:rsid w:val="000F0CEC"/>
    <w:rsid w:val="000F1070"/>
    <w:rsid w:val="000F11C5"/>
    <w:rsid w:val="000F16D5"/>
    <w:rsid w:val="000F175F"/>
    <w:rsid w:val="000F17F9"/>
    <w:rsid w:val="000F1C92"/>
    <w:rsid w:val="000F1D03"/>
    <w:rsid w:val="000F2053"/>
    <w:rsid w:val="000F2191"/>
    <w:rsid w:val="000F2432"/>
    <w:rsid w:val="000F247C"/>
    <w:rsid w:val="000F2943"/>
    <w:rsid w:val="000F29F8"/>
    <w:rsid w:val="000F2A32"/>
    <w:rsid w:val="000F3523"/>
    <w:rsid w:val="000F3890"/>
    <w:rsid w:val="000F38F1"/>
    <w:rsid w:val="000F3903"/>
    <w:rsid w:val="000F3D81"/>
    <w:rsid w:val="000F43C2"/>
    <w:rsid w:val="000F45DB"/>
    <w:rsid w:val="000F467C"/>
    <w:rsid w:val="000F4A3A"/>
    <w:rsid w:val="000F4D9D"/>
    <w:rsid w:val="000F4E04"/>
    <w:rsid w:val="000F507B"/>
    <w:rsid w:val="000F52AA"/>
    <w:rsid w:val="000F53A1"/>
    <w:rsid w:val="000F5550"/>
    <w:rsid w:val="000F572D"/>
    <w:rsid w:val="000F57C8"/>
    <w:rsid w:val="000F5879"/>
    <w:rsid w:val="000F5A80"/>
    <w:rsid w:val="000F6245"/>
    <w:rsid w:val="000F62C7"/>
    <w:rsid w:val="000F63F4"/>
    <w:rsid w:val="000F6541"/>
    <w:rsid w:val="000F660A"/>
    <w:rsid w:val="000F68C5"/>
    <w:rsid w:val="000F6D03"/>
    <w:rsid w:val="000F6D56"/>
    <w:rsid w:val="000F6F58"/>
    <w:rsid w:val="000F739B"/>
    <w:rsid w:val="000F7722"/>
    <w:rsid w:val="000F787A"/>
    <w:rsid w:val="0010007C"/>
    <w:rsid w:val="00100112"/>
    <w:rsid w:val="00100322"/>
    <w:rsid w:val="0010049C"/>
    <w:rsid w:val="001005E8"/>
    <w:rsid w:val="00100681"/>
    <w:rsid w:val="00100CBD"/>
    <w:rsid w:val="00100F32"/>
    <w:rsid w:val="00101260"/>
    <w:rsid w:val="0010142B"/>
    <w:rsid w:val="00101535"/>
    <w:rsid w:val="00101745"/>
    <w:rsid w:val="0010179D"/>
    <w:rsid w:val="00101B20"/>
    <w:rsid w:val="00101C4A"/>
    <w:rsid w:val="00101E90"/>
    <w:rsid w:val="0010248E"/>
    <w:rsid w:val="00102589"/>
    <w:rsid w:val="00102C55"/>
    <w:rsid w:val="00102D6C"/>
    <w:rsid w:val="0010324E"/>
    <w:rsid w:val="001035D5"/>
    <w:rsid w:val="0010379E"/>
    <w:rsid w:val="00104078"/>
    <w:rsid w:val="001040DD"/>
    <w:rsid w:val="001045A0"/>
    <w:rsid w:val="00104B80"/>
    <w:rsid w:val="001051D1"/>
    <w:rsid w:val="001052A8"/>
    <w:rsid w:val="00105505"/>
    <w:rsid w:val="001057AD"/>
    <w:rsid w:val="00105C45"/>
    <w:rsid w:val="00105D04"/>
    <w:rsid w:val="00105D38"/>
    <w:rsid w:val="00105D60"/>
    <w:rsid w:val="00105DEF"/>
    <w:rsid w:val="00106060"/>
    <w:rsid w:val="00106185"/>
    <w:rsid w:val="00106765"/>
    <w:rsid w:val="00106B7F"/>
    <w:rsid w:val="00106BCB"/>
    <w:rsid w:val="00107373"/>
    <w:rsid w:val="00107A4C"/>
    <w:rsid w:val="00107B70"/>
    <w:rsid w:val="00107E1F"/>
    <w:rsid w:val="0011027F"/>
    <w:rsid w:val="0011049F"/>
    <w:rsid w:val="0011062E"/>
    <w:rsid w:val="00110D52"/>
    <w:rsid w:val="00111247"/>
    <w:rsid w:val="001114C1"/>
    <w:rsid w:val="00111512"/>
    <w:rsid w:val="0011176F"/>
    <w:rsid w:val="00111B3B"/>
    <w:rsid w:val="001126E7"/>
    <w:rsid w:val="00112B8C"/>
    <w:rsid w:val="00112D23"/>
    <w:rsid w:val="00112F15"/>
    <w:rsid w:val="0011338E"/>
    <w:rsid w:val="001135EA"/>
    <w:rsid w:val="0011392F"/>
    <w:rsid w:val="0011393B"/>
    <w:rsid w:val="001139CF"/>
    <w:rsid w:val="001140DD"/>
    <w:rsid w:val="0011447E"/>
    <w:rsid w:val="001148DC"/>
    <w:rsid w:val="0011490C"/>
    <w:rsid w:val="001152AE"/>
    <w:rsid w:val="0011541F"/>
    <w:rsid w:val="001156F7"/>
    <w:rsid w:val="00115A49"/>
    <w:rsid w:val="00115C91"/>
    <w:rsid w:val="00115D18"/>
    <w:rsid w:val="001162D9"/>
    <w:rsid w:val="00116584"/>
    <w:rsid w:val="001165AF"/>
    <w:rsid w:val="00116C09"/>
    <w:rsid w:val="001170EE"/>
    <w:rsid w:val="00117ED7"/>
    <w:rsid w:val="001202DD"/>
    <w:rsid w:val="001202E7"/>
    <w:rsid w:val="00120E04"/>
    <w:rsid w:val="001215FB"/>
    <w:rsid w:val="001216F0"/>
    <w:rsid w:val="00121AC5"/>
    <w:rsid w:val="00121C27"/>
    <w:rsid w:val="00121CB4"/>
    <w:rsid w:val="00122005"/>
    <w:rsid w:val="001220B8"/>
    <w:rsid w:val="00122118"/>
    <w:rsid w:val="00122174"/>
    <w:rsid w:val="001225A3"/>
    <w:rsid w:val="001225EC"/>
    <w:rsid w:val="00122663"/>
    <w:rsid w:val="001226A5"/>
    <w:rsid w:val="001226E5"/>
    <w:rsid w:val="001230C3"/>
    <w:rsid w:val="001230EE"/>
    <w:rsid w:val="00123381"/>
    <w:rsid w:val="0012344C"/>
    <w:rsid w:val="0012361F"/>
    <w:rsid w:val="001236F9"/>
    <w:rsid w:val="00123738"/>
    <w:rsid w:val="00123925"/>
    <w:rsid w:val="00123C3C"/>
    <w:rsid w:val="00123F83"/>
    <w:rsid w:val="00124181"/>
    <w:rsid w:val="0012436C"/>
    <w:rsid w:val="00124950"/>
    <w:rsid w:val="00125017"/>
    <w:rsid w:val="0012527E"/>
    <w:rsid w:val="001252FD"/>
    <w:rsid w:val="00125337"/>
    <w:rsid w:val="0012558B"/>
    <w:rsid w:val="00125826"/>
    <w:rsid w:val="00125905"/>
    <w:rsid w:val="0012595E"/>
    <w:rsid w:val="001260C0"/>
    <w:rsid w:val="001262FB"/>
    <w:rsid w:val="00126494"/>
    <w:rsid w:val="0012657D"/>
    <w:rsid w:val="001265F8"/>
    <w:rsid w:val="00126A82"/>
    <w:rsid w:val="00126AD0"/>
    <w:rsid w:val="00126BA0"/>
    <w:rsid w:val="001270E5"/>
    <w:rsid w:val="00127718"/>
    <w:rsid w:val="0012774B"/>
    <w:rsid w:val="00127943"/>
    <w:rsid w:val="00127D0E"/>
    <w:rsid w:val="00130354"/>
    <w:rsid w:val="001303C6"/>
    <w:rsid w:val="001303C9"/>
    <w:rsid w:val="00130700"/>
    <w:rsid w:val="0013095A"/>
    <w:rsid w:val="0013105E"/>
    <w:rsid w:val="001317CD"/>
    <w:rsid w:val="00131C9D"/>
    <w:rsid w:val="00131D2A"/>
    <w:rsid w:val="00132034"/>
    <w:rsid w:val="0013242F"/>
    <w:rsid w:val="00132562"/>
    <w:rsid w:val="0013279A"/>
    <w:rsid w:val="001329AB"/>
    <w:rsid w:val="00132BFF"/>
    <w:rsid w:val="00132D53"/>
    <w:rsid w:val="00132E5C"/>
    <w:rsid w:val="001330E3"/>
    <w:rsid w:val="00133242"/>
    <w:rsid w:val="0013353F"/>
    <w:rsid w:val="001335C3"/>
    <w:rsid w:val="00133961"/>
    <w:rsid w:val="00133C14"/>
    <w:rsid w:val="0013453C"/>
    <w:rsid w:val="00134640"/>
    <w:rsid w:val="0013468F"/>
    <w:rsid w:val="00134AFE"/>
    <w:rsid w:val="00134CF7"/>
    <w:rsid w:val="00134D07"/>
    <w:rsid w:val="001351C9"/>
    <w:rsid w:val="001351D4"/>
    <w:rsid w:val="0013535A"/>
    <w:rsid w:val="00135385"/>
    <w:rsid w:val="001355DC"/>
    <w:rsid w:val="0013563B"/>
    <w:rsid w:val="00135775"/>
    <w:rsid w:val="00135787"/>
    <w:rsid w:val="001357D3"/>
    <w:rsid w:val="00135BE0"/>
    <w:rsid w:val="0013651C"/>
    <w:rsid w:val="00136923"/>
    <w:rsid w:val="00136E81"/>
    <w:rsid w:val="00137133"/>
    <w:rsid w:val="001373AC"/>
    <w:rsid w:val="001405EB"/>
    <w:rsid w:val="001407E4"/>
    <w:rsid w:val="001409F1"/>
    <w:rsid w:val="00140B49"/>
    <w:rsid w:val="00140C62"/>
    <w:rsid w:val="00140D67"/>
    <w:rsid w:val="00140E04"/>
    <w:rsid w:val="00140E2C"/>
    <w:rsid w:val="001411B2"/>
    <w:rsid w:val="00141716"/>
    <w:rsid w:val="00141752"/>
    <w:rsid w:val="0014189E"/>
    <w:rsid w:val="00141A8F"/>
    <w:rsid w:val="00141B04"/>
    <w:rsid w:val="00141B67"/>
    <w:rsid w:val="001429B6"/>
    <w:rsid w:val="001431FC"/>
    <w:rsid w:val="00143405"/>
    <w:rsid w:val="001438FB"/>
    <w:rsid w:val="0014393B"/>
    <w:rsid w:val="00143F73"/>
    <w:rsid w:val="00143FE3"/>
    <w:rsid w:val="0014431E"/>
    <w:rsid w:val="0014439D"/>
    <w:rsid w:val="001445E9"/>
    <w:rsid w:val="001450B4"/>
    <w:rsid w:val="00145258"/>
    <w:rsid w:val="00145306"/>
    <w:rsid w:val="001453F3"/>
    <w:rsid w:val="001456CD"/>
    <w:rsid w:val="00145B17"/>
    <w:rsid w:val="00146133"/>
    <w:rsid w:val="001464C0"/>
    <w:rsid w:val="001464C7"/>
    <w:rsid w:val="00146886"/>
    <w:rsid w:val="001469A4"/>
    <w:rsid w:val="00146A07"/>
    <w:rsid w:val="00146F50"/>
    <w:rsid w:val="001476DB"/>
    <w:rsid w:val="001476FC"/>
    <w:rsid w:val="00147DCB"/>
    <w:rsid w:val="00147E06"/>
    <w:rsid w:val="00147F3A"/>
    <w:rsid w:val="0015032E"/>
    <w:rsid w:val="00150993"/>
    <w:rsid w:val="001509B9"/>
    <w:rsid w:val="00150D05"/>
    <w:rsid w:val="00150DA4"/>
    <w:rsid w:val="00150F1D"/>
    <w:rsid w:val="0015100C"/>
    <w:rsid w:val="00151B78"/>
    <w:rsid w:val="00151B8D"/>
    <w:rsid w:val="00151BEF"/>
    <w:rsid w:val="00151F8D"/>
    <w:rsid w:val="0015203B"/>
    <w:rsid w:val="001524BD"/>
    <w:rsid w:val="00152636"/>
    <w:rsid w:val="0015277F"/>
    <w:rsid w:val="00152808"/>
    <w:rsid w:val="0015295C"/>
    <w:rsid w:val="00152D95"/>
    <w:rsid w:val="00152ED9"/>
    <w:rsid w:val="0015305A"/>
    <w:rsid w:val="001532A6"/>
    <w:rsid w:val="001535A3"/>
    <w:rsid w:val="00153778"/>
    <w:rsid w:val="00153906"/>
    <w:rsid w:val="001540AE"/>
    <w:rsid w:val="001541FD"/>
    <w:rsid w:val="0015435F"/>
    <w:rsid w:val="00154518"/>
    <w:rsid w:val="00154584"/>
    <w:rsid w:val="00154AF0"/>
    <w:rsid w:val="00154EBC"/>
    <w:rsid w:val="001551D7"/>
    <w:rsid w:val="001552C2"/>
    <w:rsid w:val="001553F4"/>
    <w:rsid w:val="00155BA8"/>
    <w:rsid w:val="001560B3"/>
    <w:rsid w:val="001560B5"/>
    <w:rsid w:val="0015636F"/>
    <w:rsid w:val="00156823"/>
    <w:rsid w:val="00156B3A"/>
    <w:rsid w:val="00156FC7"/>
    <w:rsid w:val="00157849"/>
    <w:rsid w:val="00157A8C"/>
    <w:rsid w:val="00157B4B"/>
    <w:rsid w:val="00157C4B"/>
    <w:rsid w:val="00157CE0"/>
    <w:rsid w:val="00157D89"/>
    <w:rsid w:val="001600C3"/>
    <w:rsid w:val="0016019F"/>
    <w:rsid w:val="00160B97"/>
    <w:rsid w:val="00160B9D"/>
    <w:rsid w:val="00160D2E"/>
    <w:rsid w:val="00161114"/>
    <w:rsid w:val="0016128B"/>
    <w:rsid w:val="001612C3"/>
    <w:rsid w:val="001613BC"/>
    <w:rsid w:val="001617C5"/>
    <w:rsid w:val="00161914"/>
    <w:rsid w:val="001619DF"/>
    <w:rsid w:val="00161BD0"/>
    <w:rsid w:val="00161CB8"/>
    <w:rsid w:val="00161D91"/>
    <w:rsid w:val="00162139"/>
    <w:rsid w:val="001629F2"/>
    <w:rsid w:val="00162A8F"/>
    <w:rsid w:val="00162ADA"/>
    <w:rsid w:val="001633AB"/>
    <w:rsid w:val="00163595"/>
    <w:rsid w:val="001635F5"/>
    <w:rsid w:val="001636DF"/>
    <w:rsid w:val="0016378E"/>
    <w:rsid w:val="00163A53"/>
    <w:rsid w:val="00164020"/>
    <w:rsid w:val="001646E0"/>
    <w:rsid w:val="00164AFC"/>
    <w:rsid w:val="00164CA6"/>
    <w:rsid w:val="00164E68"/>
    <w:rsid w:val="001650DA"/>
    <w:rsid w:val="00165875"/>
    <w:rsid w:val="00165911"/>
    <w:rsid w:val="001659B6"/>
    <w:rsid w:val="00166091"/>
    <w:rsid w:val="001660ED"/>
    <w:rsid w:val="00166348"/>
    <w:rsid w:val="0016638A"/>
    <w:rsid w:val="001664C9"/>
    <w:rsid w:val="00166798"/>
    <w:rsid w:val="001668B9"/>
    <w:rsid w:val="00166942"/>
    <w:rsid w:val="00166999"/>
    <w:rsid w:val="0016710B"/>
    <w:rsid w:val="00167315"/>
    <w:rsid w:val="001677A0"/>
    <w:rsid w:val="00167913"/>
    <w:rsid w:val="0016792B"/>
    <w:rsid w:val="00167D1C"/>
    <w:rsid w:val="00167DF0"/>
    <w:rsid w:val="0017055A"/>
    <w:rsid w:val="001705F2"/>
    <w:rsid w:val="001705FB"/>
    <w:rsid w:val="001708A7"/>
    <w:rsid w:val="00170A0F"/>
    <w:rsid w:val="00170DDF"/>
    <w:rsid w:val="0017173C"/>
    <w:rsid w:val="00171830"/>
    <w:rsid w:val="001718AC"/>
    <w:rsid w:val="00171A13"/>
    <w:rsid w:val="00171D81"/>
    <w:rsid w:val="00171FD4"/>
    <w:rsid w:val="0017217B"/>
    <w:rsid w:val="001724E8"/>
    <w:rsid w:val="0017255C"/>
    <w:rsid w:val="0017274C"/>
    <w:rsid w:val="00172822"/>
    <w:rsid w:val="001728B6"/>
    <w:rsid w:val="001729C8"/>
    <w:rsid w:val="00172D91"/>
    <w:rsid w:val="00172E15"/>
    <w:rsid w:val="00173258"/>
    <w:rsid w:val="001733BB"/>
    <w:rsid w:val="00173496"/>
    <w:rsid w:val="00173A80"/>
    <w:rsid w:val="00173D63"/>
    <w:rsid w:val="00173E59"/>
    <w:rsid w:val="00173EA8"/>
    <w:rsid w:val="00174097"/>
    <w:rsid w:val="00174170"/>
    <w:rsid w:val="0017418E"/>
    <w:rsid w:val="00174912"/>
    <w:rsid w:val="001749F9"/>
    <w:rsid w:val="00174BA7"/>
    <w:rsid w:val="00174C08"/>
    <w:rsid w:val="00174C72"/>
    <w:rsid w:val="00174D0B"/>
    <w:rsid w:val="00174EF8"/>
    <w:rsid w:val="00175055"/>
    <w:rsid w:val="00175134"/>
    <w:rsid w:val="001754D8"/>
    <w:rsid w:val="00175B39"/>
    <w:rsid w:val="00175C3A"/>
    <w:rsid w:val="00175E16"/>
    <w:rsid w:val="001761BB"/>
    <w:rsid w:val="0017654E"/>
    <w:rsid w:val="001769D4"/>
    <w:rsid w:val="00176B1D"/>
    <w:rsid w:val="00176B94"/>
    <w:rsid w:val="001771E2"/>
    <w:rsid w:val="0017750C"/>
    <w:rsid w:val="00177945"/>
    <w:rsid w:val="00177B0D"/>
    <w:rsid w:val="00177D06"/>
    <w:rsid w:val="00177F03"/>
    <w:rsid w:val="00177F6D"/>
    <w:rsid w:val="00180398"/>
    <w:rsid w:val="00180703"/>
    <w:rsid w:val="0018076D"/>
    <w:rsid w:val="00180A31"/>
    <w:rsid w:val="00180E3D"/>
    <w:rsid w:val="00180F53"/>
    <w:rsid w:val="00182140"/>
    <w:rsid w:val="001824BA"/>
    <w:rsid w:val="00182600"/>
    <w:rsid w:val="001826E8"/>
    <w:rsid w:val="00182966"/>
    <w:rsid w:val="00182E02"/>
    <w:rsid w:val="00182E48"/>
    <w:rsid w:val="00182E8C"/>
    <w:rsid w:val="00182F1B"/>
    <w:rsid w:val="0018367D"/>
    <w:rsid w:val="001838C1"/>
    <w:rsid w:val="00183C7D"/>
    <w:rsid w:val="00183D0A"/>
    <w:rsid w:val="00183D60"/>
    <w:rsid w:val="00183E5D"/>
    <w:rsid w:val="00183EE7"/>
    <w:rsid w:val="001840D9"/>
    <w:rsid w:val="001842CD"/>
    <w:rsid w:val="001857C8"/>
    <w:rsid w:val="00185998"/>
    <w:rsid w:val="00185AE2"/>
    <w:rsid w:val="00185D98"/>
    <w:rsid w:val="00185E14"/>
    <w:rsid w:val="00185FC4"/>
    <w:rsid w:val="00186080"/>
    <w:rsid w:val="001862FC"/>
    <w:rsid w:val="00186A45"/>
    <w:rsid w:val="00186A80"/>
    <w:rsid w:val="00186C5E"/>
    <w:rsid w:val="00186C76"/>
    <w:rsid w:val="00186D0C"/>
    <w:rsid w:val="00186D48"/>
    <w:rsid w:val="0018700B"/>
    <w:rsid w:val="00187204"/>
    <w:rsid w:val="0018722D"/>
    <w:rsid w:val="001873E9"/>
    <w:rsid w:val="001874E1"/>
    <w:rsid w:val="001876B3"/>
    <w:rsid w:val="00187A59"/>
    <w:rsid w:val="00187B85"/>
    <w:rsid w:val="0019089E"/>
    <w:rsid w:val="00190974"/>
    <w:rsid w:val="001909E8"/>
    <w:rsid w:val="00190F93"/>
    <w:rsid w:val="00191107"/>
    <w:rsid w:val="001913F4"/>
    <w:rsid w:val="001918AD"/>
    <w:rsid w:val="00191BB6"/>
    <w:rsid w:val="001921F8"/>
    <w:rsid w:val="001923D4"/>
    <w:rsid w:val="001924D4"/>
    <w:rsid w:val="00192545"/>
    <w:rsid w:val="00192813"/>
    <w:rsid w:val="00192892"/>
    <w:rsid w:val="00192CAC"/>
    <w:rsid w:val="00192FB8"/>
    <w:rsid w:val="00193A74"/>
    <w:rsid w:val="00193AE0"/>
    <w:rsid w:val="00193BBA"/>
    <w:rsid w:val="00193CF3"/>
    <w:rsid w:val="00193DBE"/>
    <w:rsid w:val="00193F8A"/>
    <w:rsid w:val="0019404E"/>
    <w:rsid w:val="00194092"/>
    <w:rsid w:val="00194127"/>
    <w:rsid w:val="00194265"/>
    <w:rsid w:val="0019441F"/>
    <w:rsid w:val="00194885"/>
    <w:rsid w:val="001948F1"/>
    <w:rsid w:val="00194A9A"/>
    <w:rsid w:val="00194FB8"/>
    <w:rsid w:val="0019509D"/>
    <w:rsid w:val="00195189"/>
    <w:rsid w:val="001951FD"/>
    <w:rsid w:val="001956C4"/>
    <w:rsid w:val="00195A32"/>
    <w:rsid w:val="00195B56"/>
    <w:rsid w:val="00195D3A"/>
    <w:rsid w:val="00195F04"/>
    <w:rsid w:val="0019601F"/>
    <w:rsid w:val="001966C0"/>
    <w:rsid w:val="00196C04"/>
    <w:rsid w:val="00196CCE"/>
    <w:rsid w:val="00196E2D"/>
    <w:rsid w:val="00196F36"/>
    <w:rsid w:val="0019711F"/>
    <w:rsid w:val="001978AD"/>
    <w:rsid w:val="00197EBE"/>
    <w:rsid w:val="001A01D1"/>
    <w:rsid w:val="001A072B"/>
    <w:rsid w:val="001A0756"/>
    <w:rsid w:val="001A0A71"/>
    <w:rsid w:val="001A0C2C"/>
    <w:rsid w:val="001A1186"/>
    <w:rsid w:val="001A1382"/>
    <w:rsid w:val="001A162C"/>
    <w:rsid w:val="001A1734"/>
    <w:rsid w:val="001A17FD"/>
    <w:rsid w:val="001A187C"/>
    <w:rsid w:val="001A1B85"/>
    <w:rsid w:val="001A1C9F"/>
    <w:rsid w:val="001A1F05"/>
    <w:rsid w:val="001A2173"/>
    <w:rsid w:val="001A2219"/>
    <w:rsid w:val="001A2247"/>
    <w:rsid w:val="001A28B4"/>
    <w:rsid w:val="001A2EAD"/>
    <w:rsid w:val="001A2FA8"/>
    <w:rsid w:val="001A32A4"/>
    <w:rsid w:val="001A35C4"/>
    <w:rsid w:val="001A369F"/>
    <w:rsid w:val="001A3713"/>
    <w:rsid w:val="001A38DC"/>
    <w:rsid w:val="001A39DA"/>
    <w:rsid w:val="001A3AC4"/>
    <w:rsid w:val="001A3AF6"/>
    <w:rsid w:val="001A43D0"/>
    <w:rsid w:val="001A4402"/>
    <w:rsid w:val="001A4989"/>
    <w:rsid w:val="001A4A42"/>
    <w:rsid w:val="001A4B73"/>
    <w:rsid w:val="001A4DC6"/>
    <w:rsid w:val="001A4F8E"/>
    <w:rsid w:val="001A513F"/>
    <w:rsid w:val="001A5157"/>
    <w:rsid w:val="001A54EF"/>
    <w:rsid w:val="001A556B"/>
    <w:rsid w:val="001A5643"/>
    <w:rsid w:val="001A566D"/>
    <w:rsid w:val="001A5876"/>
    <w:rsid w:val="001A5C08"/>
    <w:rsid w:val="001A5F14"/>
    <w:rsid w:val="001A6253"/>
    <w:rsid w:val="001A63F2"/>
    <w:rsid w:val="001A6412"/>
    <w:rsid w:val="001A6510"/>
    <w:rsid w:val="001A69FC"/>
    <w:rsid w:val="001A6AE7"/>
    <w:rsid w:val="001A7377"/>
    <w:rsid w:val="001A77C1"/>
    <w:rsid w:val="001B0533"/>
    <w:rsid w:val="001B0EA0"/>
    <w:rsid w:val="001B0EC3"/>
    <w:rsid w:val="001B0F09"/>
    <w:rsid w:val="001B1111"/>
    <w:rsid w:val="001B1134"/>
    <w:rsid w:val="001B16D7"/>
    <w:rsid w:val="001B18D9"/>
    <w:rsid w:val="001B1A8C"/>
    <w:rsid w:val="001B1AE2"/>
    <w:rsid w:val="001B1D2E"/>
    <w:rsid w:val="001B1D98"/>
    <w:rsid w:val="001B1F11"/>
    <w:rsid w:val="001B24F8"/>
    <w:rsid w:val="001B255D"/>
    <w:rsid w:val="001B2570"/>
    <w:rsid w:val="001B2A22"/>
    <w:rsid w:val="001B2B05"/>
    <w:rsid w:val="001B2B3D"/>
    <w:rsid w:val="001B2C4E"/>
    <w:rsid w:val="001B2D9D"/>
    <w:rsid w:val="001B2EEF"/>
    <w:rsid w:val="001B32E2"/>
    <w:rsid w:val="001B3934"/>
    <w:rsid w:val="001B3A6F"/>
    <w:rsid w:val="001B3AF4"/>
    <w:rsid w:val="001B3B77"/>
    <w:rsid w:val="001B3BC2"/>
    <w:rsid w:val="001B3D6C"/>
    <w:rsid w:val="001B3ED8"/>
    <w:rsid w:val="001B3FDC"/>
    <w:rsid w:val="001B4108"/>
    <w:rsid w:val="001B4114"/>
    <w:rsid w:val="001B4131"/>
    <w:rsid w:val="001B4AB9"/>
    <w:rsid w:val="001B4D9C"/>
    <w:rsid w:val="001B4E77"/>
    <w:rsid w:val="001B4EF5"/>
    <w:rsid w:val="001B4F9F"/>
    <w:rsid w:val="001B500C"/>
    <w:rsid w:val="001B502D"/>
    <w:rsid w:val="001B530E"/>
    <w:rsid w:val="001B5489"/>
    <w:rsid w:val="001B5811"/>
    <w:rsid w:val="001B5DDC"/>
    <w:rsid w:val="001B65EA"/>
    <w:rsid w:val="001B665D"/>
    <w:rsid w:val="001B6BD6"/>
    <w:rsid w:val="001B6CE0"/>
    <w:rsid w:val="001B6DA5"/>
    <w:rsid w:val="001B7038"/>
    <w:rsid w:val="001B7174"/>
    <w:rsid w:val="001B748F"/>
    <w:rsid w:val="001B7821"/>
    <w:rsid w:val="001B7874"/>
    <w:rsid w:val="001B791D"/>
    <w:rsid w:val="001B79D4"/>
    <w:rsid w:val="001B79EF"/>
    <w:rsid w:val="001B7BCB"/>
    <w:rsid w:val="001B7C88"/>
    <w:rsid w:val="001B7FF2"/>
    <w:rsid w:val="001C0048"/>
    <w:rsid w:val="001C00ED"/>
    <w:rsid w:val="001C05F6"/>
    <w:rsid w:val="001C09AF"/>
    <w:rsid w:val="001C0F7E"/>
    <w:rsid w:val="001C1052"/>
    <w:rsid w:val="001C1388"/>
    <w:rsid w:val="001C1687"/>
    <w:rsid w:val="001C1776"/>
    <w:rsid w:val="001C1C86"/>
    <w:rsid w:val="001C2366"/>
    <w:rsid w:val="001C238C"/>
    <w:rsid w:val="001C27A6"/>
    <w:rsid w:val="001C27A9"/>
    <w:rsid w:val="001C2982"/>
    <w:rsid w:val="001C2F27"/>
    <w:rsid w:val="001C30EF"/>
    <w:rsid w:val="001C3205"/>
    <w:rsid w:val="001C3D21"/>
    <w:rsid w:val="001C3D90"/>
    <w:rsid w:val="001C40BB"/>
    <w:rsid w:val="001C45EC"/>
    <w:rsid w:val="001C4A54"/>
    <w:rsid w:val="001C4FAF"/>
    <w:rsid w:val="001C56F0"/>
    <w:rsid w:val="001C576B"/>
    <w:rsid w:val="001C58A6"/>
    <w:rsid w:val="001C5BA0"/>
    <w:rsid w:val="001C5BD3"/>
    <w:rsid w:val="001C5EA9"/>
    <w:rsid w:val="001C634C"/>
    <w:rsid w:val="001C6855"/>
    <w:rsid w:val="001C6AC6"/>
    <w:rsid w:val="001C6EF9"/>
    <w:rsid w:val="001C6F6F"/>
    <w:rsid w:val="001C7247"/>
    <w:rsid w:val="001C7751"/>
    <w:rsid w:val="001C7776"/>
    <w:rsid w:val="001C79FF"/>
    <w:rsid w:val="001C7CAF"/>
    <w:rsid w:val="001C7DD0"/>
    <w:rsid w:val="001C7E82"/>
    <w:rsid w:val="001D0312"/>
    <w:rsid w:val="001D092F"/>
    <w:rsid w:val="001D0B8B"/>
    <w:rsid w:val="001D0BD6"/>
    <w:rsid w:val="001D0D8F"/>
    <w:rsid w:val="001D10A9"/>
    <w:rsid w:val="001D14BE"/>
    <w:rsid w:val="001D1A48"/>
    <w:rsid w:val="001D1A7A"/>
    <w:rsid w:val="001D1BD8"/>
    <w:rsid w:val="001D2089"/>
    <w:rsid w:val="001D21B9"/>
    <w:rsid w:val="001D2272"/>
    <w:rsid w:val="001D23C9"/>
    <w:rsid w:val="001D2565"/>
    <w:rsid w:val="001D25D6"/>
    <w:rsid w:val="001D2C4C"/>
    <w:rsid w:val="001D2E8B"/>
    <w:rsid w:val="001D2FBD"/>
    <w:rsid w:val="001D2FFC"/>
    <w:rsid w:val="001D306F"/>
    <w:rsid w:val="001D30D4"/>
    <w:rsid w:val="001D3B48"/>
    <w:rsid w:val="001D3E22"/>
    <w:rsid w:val="001D3F19"/>
    <w:rsid w:val="001D41A9"/>
    <w:rsid w:val="001D4468"/>
    <w:rsid w:val="001D46DD"/>
    <w:rsid w:val="001D47C7"/>
    <w:rsid w:val="001D4821"/>
    <w:rsid w:val="001D48D7"/>
    <w:rsid w:val="001D4AB8"/>
    <w:rsid w:val="001D4C50"/>
    <w:rsid w:val="001D4F0F"/>
    <w:rsid w:val="001D5258"/>
    <w:rsid w:val="001D54AA"/>
    <w:rsid w:val="001D59CE"/>
    <w:rsid w:val="001D5ADF"/>
    <w:rsid w:val="001D5C43"/>
    <w:rsid w:val="001D5EB2"/>
    <w:rsid w:val="001D611A"/>
    <w:rsid w:val="001D6559"/>
    <w:rsid w:val="001D68A6"/>
    <w:rsid w:val="001D68FA"/>
    <w:rsid w:val="001D6D73"/>
    <w:rsid w:val="001D74FC"/>
    <w:rsid w:val="001D772A"/>
    <w:rsid w:val="001D7A37"/>
    <w:rsid w:val="001D7CCA"/>
    <w:rsid w:val="001D7CD5"/>
    <w:rsid w:val="001D7F10"/>
    <w:rsid w:val="001E0162"/>
    <w:rsid w:val="001E01F5"/>
    <w:rsid w:val="001E03BF"/>
    <w:rsid w:val="001E03DD"/>
    <w:rsid w:val="001E0410"/>
    <w:rsid w:val="001E0AF1"/>
    <w:rsid w:val="001E0BFD"/>
    <w:rsid w:val="001E0CE7"/>
    <w:rsid w:val="001E1708"/>
    <w:rsid w:val="001E1A0D"/>
    <w:rsid w:val="001E1CAB"/>
    <w:rsid w:val="001E21B2"/>
    <w:rsid w:val="001E2240"/>
    <w:rsid w:val="001E23C6"/>
    <w:rsid w:val="001E2675"/>
    <w:rsid w:val="001E2710"/>
    <w:rsid w:val="001E2C6C"/>
    <w:rsid w:val="001E2CDA"/>
    <w:rsid w:val="001E2CF6"/>
    <w:rsid w:val="001E2E72"/>
    <w:rsid w:val="001E3E6C"/>
    <w:rsid w:val="001E3FDB"/>
    <w:rsid w:val="001E43A1"/>
    <w:rsid w:val="001E4A23"/>
    <w:rsid w:val="001E4A9A"/>
    <w:rsid w:val="001E4AF7"/>
    <w:rsid w:val="001E4D09"/>
    <w:rsid w:val="001E52B1"/>
    <w:rsid w:val="001E595D"/>
    <w:rsid w:val="001E5BA6"/>
    <w:rsid w:val="001E5DDC"/>
    <w:rsid w:val="001E5EE1"/>
    <w:rsid w:val="001E60D4"/>
    <w:rsid w:val="001E6976"/>
    <w:rsid w:val="001E697A"/>
    <w:rsid w:val="001E7063"/>
    <w:rsid w:val="001E7A5C"/>
    <w:rsid w:val="001E7C02"/>
    <w:rsid w:val="001E7F7F"/>
    <w:rsid w:val="001F0203"/>
    <w:rsid w:val="001F0420"/>
    <w:rsid w:val="001F0434"/>
    <w:rsid w:val="001F07E9"/>
    <w:rsid w:val="001F0B81"/>
    <w:rsid w:val="001F0C10"/>
    <w:rsid w:val="001F0D41"/>
    <w:rsid w:val="001F0DD9"/>
    <w:rsid w:val="001F0FDE"/>
    <w:rsid w:val="001F109F"/>
    <w:rsid w:val="001F16DC"/>
    <w:rsid w:val="001F183E"/>
    <w:rsid w:val="001F21D0"/>
    <w:rsid w:val="001F2285"/>
    <w:rsid w:val="001F2669"/>
    <w:rsid w:val="001F282B"/>
    <w:rsid w:val="001F2842"/>
    <w:rsid w:val="001F2E87"/>
    <w:rsid w:val="001F2F82"/>
    <w:rsid w:val="001F31F3"/>
    <w:rsid w:val="001F3A80"/>
    <w:rsid w:val="001F3BB0"/>
    <w:rsid w:val="001F3C68"/>
    <w:rsid w:val="001F3E1D"/>
    <w:rsid w:val="001F42E4"/>
    <w:rsid w:val="001F4A90"/>
    <w:rsid w:val="001F4C3B"/>
    <w:rsid w:val="001F4D83"/>
    <w:rsid w:val="001F4E61"/>
    <w:rsid w:val="001F5014"/>
    <w:rsid w:val="001F5533"/>
    <w:rsid w:val="001F588A"/>
    <w:rsid w:val="001F5939"/>
    <w:rsid w:val="001F5A74"/>
    <w:rsid w:val="001F5AE0"/>
    <w:rsid w:val="001F5C9D"/>
    <w:rsid w:val="001F5DF1"/>
    <w:rsid w:val="001F6036"/>
    <w:rsid w:val="001F6194"/>
    <w:rsid w:val="001F694C"/>
    <w:rsid w:val="001F6A5D"/>
    <w:rsid w:val="001F6C42"/>
    <w:rsid w:val="001F6CBE"/>
    <w:rsid w:val="001F7017"/>
    <w:rsid w:val="001F725D"/>
    <w:rsid w:val="001F780F"/>
    <w:rsid w:val="001F7935"/>
    <w:rsid w:val="001F79D6"/>
    <w:rsid w:val="001F7AD6"/>
    <w:rsid w:val="001F7D4E"/>
    <w:rsid w:val="0020038F"/>
    <w:rsid w:val="0020067C"/>
    <w:rsid w:val="002009BC"/>
    <w:rsid w:val="00200FD9"/>
    <w:rsid w:val="00200FDC"/>
    <w:rsid w:val="00201764"/>
    <w:rsid w:val="0020177B"/>
    <w:rsid w:val="00201D7E"/>
    <w:rsid w:val="00201E59"/>
    <w:rsid w:val="00202032"/>
    <w:rsid w:val="00202212"/>
    <w:rsid w:val="00202254"/>
    <w:rsid w:val="002023E5"/>
    <w:rsid w:val="002025E3"/>
    <w:rsid w:val="00202AAA"/>
    <w:rsid w:val="00202D6B"/>
    <w:rsid w:val="00203116"/>
    <w:rsid w:val="00203223"/>
    <w:rsid w:val="0020322F"/>
    <w:rsid w:val="0020378A"/>
    <w:rsid w:val="00203ED6"/>
    <w:rsid w:val="00203F0C"/>
    <w:rsid w:val="00204191"/>
    <w:rsid w:val="0020420B"/>
    <w:rsid w:val="00204296"/>
    <w:rsid w:val="0020479A"/>
    <w:rsid w:val="002049A4"/>
    <w:rsid w:val="002049EE"/>
    <w:rsid w:val="00204BCC"/>
    <w:rsid w:val="00204CD2"/>
    <w:rsid w:val="00205109"/>
    <w:rsid w:val="0020522C"/>
    <w:rsid w:val="0020575C"/>
    <w:rsid w:val="00205B9F"/>
    <w:rsid w:val="0020603D"/>
    <w:rsid w:val="002060D2"/>
    <w:rsid w:val="002061C3"/>
    <w:rsid w:val="00206899"/>
    <w:rsid w:val="00206A1C"/>
    <w:rsid w:val="00206CC6"/>
    <w:rsid w:val="0020710F"/>
    <w:rsid w:val="00207366"/>
    <w:rsid w:val="002073BC"/>
    <w:rsid w:val="00207ED0"/>
    <w:rsid w:val="00207F71"/>
    <w:rsid w:val="002101C2"/>
    <w:rsid w:val="002103E9"/>
    <w:rsid w:val="002104AF"/>
    <w:rsid w:val="00210CAD"/>
    <w:rsid w:val="00210CF7"/>
    <w:rsid w:val="00210ED7"/>
    <w:rsid w:val="00211009"/>
    <w:rsid w:val="002112FD"/>
    <w:rsid w:val="00211302"/>
    <w:rsid w:val="00211375"/>
    <w:rsid w:val="00211563"/>
    <w:rsid w:val="00211634"/>
    <w:rsid w:val="002121D9"/>
    <w:rsid w:val="00212580"/>
    <w:rsid w:val="00212917"/>
    <w:rsid w:val="002132B5"/>
    <w:rsid w:val="002133B2"/>
    <w:rsid w:val="00213416"/>
    <w:rsid w:val="002136EA"/>
    <w:rsid w:val="00213A41"/>
    <w:rsid w:val="00213C64"/>
    <w:rsid w:val="00213CD6"/>
    <w:rsid w:val="00214491"/>
    <w:rsid w:val="0021492E"/>
    <w:rsid w:val="00214D62"/>
    <w:rsid w:val="00214F83"/>
    <w:rsid w:val="00215332"/>
    <w:rsid w:val="002155DB"/>
    <w:rsid w:val="00215754"/>
    <w:rsid w:val="00215790"/>
    <w:rsid w:val="00215825"/>
    <w:rsid w:val="002159DE"/>
    <w:rsid w:val="00215BEA"/>
    <w:rsid w:val="00215C71"/>
    <w:rsid w:val="00215E89"/>
    <w:rsid w:val="00215EDE"/>
    <w:rsid w:val="0021605F"/>
    <w:rsid w:val="00216071"/>
    <w:rsid w:val="002162FF"/>
    <w:rsid w:val="002163FA"/>
    <w:rsid w:val="00216500"/>
    <w:rsid w:val="0021651A"/>
    <w:rsid w:val="002165AA"/>
    <w:rsid w:val="0021674E"/>
    <w:rsid w:val="00216774"/>
    <w:rsid w:val="00216C1D"/>
    <w:rsid w:val="002171AF"/>
    <w:rsid w:val="00217991"/>
    <w:rsid w:val="00217999"/>
    <w:rsid w:val="00217D1F"/>
    <w:rsid w:val="00217E83"/>
    <w:rsid w:val="00217F9F"/>
    <w:rsid w:val="00220097"/>
    <w:rsid w:val="002202CD"/>
    <w:rsid w:val="002204D5"/>
    <w:rsid w:val="00220548"/>
    <w:rsid w:val="00220552"/>
    <w:rsid w:val="00220732"/>
    <w:rsid w:val="0022094D"/>
    <w:rsid w:val="00220AE6"/>
    <w:rsid w:val="00220CCF"/>
    <w:rsid w:val="00220D42"/>
    <w:rsid w:val="00221060"/>
    <w:rsid w:val="002217C9"/>
    <w:rsid w:val="002217F2"/>
    <w:rsid w:val="00221B7D"/>
    <w:rsid w:val="002222B8"/>
    <w:rsid w:val="002223BE"/>
    <w:rsid w:val="00222430"/>
    <w:rsid w:val="0022247E"/>
    <w:rsid w:val="00222555"/>
    <w:rsid w:val="002225F0"/>
    <w:rsid w:val="00222608"/>
    <w:rsid w:val="00222B3C"/>
    <w:rsid w:val="00222BE8"/>
    <w:rsid w:val="00222C1B"/>
    <w:rsid w:val="00223141"/>
    <w:rsid w:val="0022366F"/>
    <w:rsid w:val="0022367B"/>
    <w:rsid w:val="002239E0"/>
    <w:rsid w:val="00223BE5"/>
    <w:rsid w:val="00223D7D"/>
    <w:rsid w:val="00223DE8"/>
    <w:rsid w:val="0022407C"/>
    <w:rsid w:val="002240AD"/>
    <w:rsid w:val="00224368"/>
    <w:rsid w:val="00224659"/>
    <w:rsid w:val="002246A8"/>
    <w:rsid w:val="00224788"/>
    <w:rsid w:val="0022488A"/>
    <w:rsid w:val="00224C25"/>
    <w:rsid w:val="00224D4C"/>
    <w:rsid w:val="00224EA9"/>
    <w:rsid w:val="00224ECB"/>
    <w:rsid w:val="00225409"/>
    <w:rsid w:val="00225D26"/>
    <w:rsid w:val="00226325"/>
    <w:rsid w:val="002264F7"/>
    <w:rsid w:val="00226753"/>
    <w:rsid w:val="002268DD"/>
    <w:rsid w:val="0022696A"/>
    <w:rsid w:val="00226B33"/>
    <w:rsid w:val="00227001"/>
    <w:rsid w:val="00227417"/>
    <w:rsid w:val="00227588"/>
    <w:rsid w:val="0022766D"/>
    <w:rsid w:val="002279AC"/>
    <w:rsid w:val="00227C2C"/>
    <w:rsid w:val="00227F02"/>
    <w:rsid w:val="00227FBD"/>
    <w:rsid w:val="0023012A"/>
    <w:rsid w:val="00230394"/>
    <w:rsid w:val="002303A5"/>
    <w:rsid w:val="002308B2"/>
    <w:rsid w:val="00230BBB"/>
    <w:rsid w:val="00230BBC"/>
    <w:rsid w:val="00230E00"/>
    <w:rsid w:val="00231516"/>
    <w:rsid w:val="0023203D"/>
    <w:rsid w:val="00232195"/>
    <w:rsid w:val="002327CA"/>
    <w:rsid w:val="00232970"/>
    <w:rsid w:val="00232979"/>
    <w:rsid w:val="00232AFD"/>
    <w:rsid w:val="00232EE6"/>
    <w:rsid w:val="00232EF7"/>
    <w:rsid w:val="00233069"/>
    <w:rsid w:val="002331AD"/>
    <w:rsid w:val="0023322C"/>
    <w:rsid w:val="0023326A"/>
    <w:rsid w:val="00233311"/>
    <w:rsid w:val="00233410"/>
    <w:rsid w:val="002335AC"/>
    <w:rsid w:val="002338C4"/>
    <w:rsid w:val="00233982"/>
    <w:rsid w:val="002339A7"/>
    <w:rsid w:val="00233D14"/>
    <w:rsid w:val="00233E92"/>
    <w:rsid w:val="00233FF5"/>
    <w:rsid w:val="0023420F"/>
    <w:rsid w:val="002342F3"/>
    <w:rsid w:val="0023438B"/>
    <w:rsid w:val="0023458B"/>
    <w:rsid w:val="002348AC"/>
    <w:rsid w:val="00234ADE"/>
    <w:rsid w:val="00234DE7"/>
    <w:rsid w:val="00234F58"/>
    <w:rsid w:val="0023507B"/>
    <w:rsid w:val="00235138"/>
    <w:rsid w:val="0023514B"/>
    <w:rsid w:val="00235FC7"/>
    <w:rsid w:val="00236085"/>
    <w:rsid w:val="00236330"/>
    <w:rsid w:val="002364AF"/>
    <w:rsid w:val="00236583"/>
    <w:rsid w:val="002366EA"/>
    <w:rsid w:val="002367A7"/>
    <w:rsid w:val="0023689C"/>
    <w:rsid w:val="00236B61"/>
    <w:rsid w:val="00236CB4"/>
    <w:rsid w:val="00236CF0"/>
    <w:rsid w:val="002371CC"/>
    <w:rsid w:val="00237285"/>
    <w:rsid w:val="00237336"/>
    <w:rsid w:val="00237791"/>
    <w:rsid w:val="00237B0B"/>
    <w:rsid w:val="00237B22"/>
    <w:rsid w:val="00237BE8"/>
    <w:rsid w:val="00237E11"/>
    <w:rsid w:val="00237E9C"/>
    <w:rsid w:val="00240074"/>
    <w:rsid w:val="00240154"/>
    <w:rsid w:val="00240209"/>
    <w:rsid w:val="00240319"/>
    <w:rsid w:val="00240358"/>
    <w:rsid w:val="002407D8"/>
    <w:rsid w:val="00240E22"/>
    <w:rsid w:val="00241014"/>
    <w:rsid w:val="0024177B"/>
    <w:rsid w:val="002418A5"/>
    <w:rsid w:val="00241A80"/>
    <w:rsid w:val="00241DE6"/>
    <w:rsid w:val="00241E42"/>
    <w:rsid w:val="002421AF"/>
    <w:rsid w:val="002423EC"/>
    <w:rsid w:val="002427C6"/>
    <w:rsid w:val="002427F9"/>
    <w:rsid w:val="00242BB9"/>
    <w:rsid w:val="00243225"/>
    <w:rsid w:val="0024354F"/>
    <w:rsid w:val="00243B16"/>
    <w:rsid w:val="002441DF"/>
    <w:rsid w:val="002448E9"/>
    <w:rsid w:val="002449F5"/>
    <w:rsid w:val="00244B02"/>
    <w:rsid w:val="00244DE4"/>
    <w:rsid w:val="00244EA7"/>
    <w:rsid w:val="00245008"/>
    <w:rsid w:val="00245222"/>
    <w:rsid w:val="002453DD"/>
    <w:rsid w:val="00245503"/>
    <w:rsid w:val="00245E80"/>
    <w:rsid w:val="00245F5C"/>
    <w:rsid w:val="00245FE2"/>
    <w:rsid w:val="002460BC"/>
    <w:rsid w:val="002461C7"/>
    <w:rsid w:val="0024626F"/>
    <w:rsid w:val="0024632F"/>
    <w:rsid w:val="00246654"/>
    <w:rsid w:val="002468B6"/>
    <w:rsid w:val="00246B46"/>
    <w:rsid w:val="002470F7"/>
    <w:rsid w:val="00247345"/>
    <w:rsid w:val="00247420"/>
    <w:rsid w:val="00247801"/>
    <w:rsid w:val="00247844"/>
    <w:rsid w:val="00247A49"/>
    <w:rsid w:val="00247CD2"/>
    <w:rsid w:val="00247DA8"/>
    <w:rsid w:val="00247DD2"/>
    <w:rsid w:val="00250046"/>
    <w:rsid w:val="00250162"/>
    <w:rsid w:val="002502BA"/>
    <w:rsid w:val="002503DD"/>
    <w:rsid w:val="00250431"/>
    <w:rsid w:val="002504E4"/>
    <w:rsid w:val="00250F72"/>
    <w:rsid w:val="00250FAE"/>
    <w:rsid w:val="0025101A"/>
    <w:rsid w:val="0025169C"/>
    <w:rsid w:val="00251E6E"/>
    <w:rsid w:val="00251FA3"/>
    <w:rsid w:val="00252357"/>
    <w:rsid w:val="002523D9"/>
    <w:rsid w:val="00252637"/>
    <w:rsid w:val="002527A0"/>
    <w:rsid w:val="00252894"/>
    <w:rsid w:val="0025300B"/>
    <w:rsid w:val="002530B7"/>
    <w:rsid w:val="00253214"/>
    <w:rsid w:val="002533CD"/>
    <w:rsid w:val="002539FE"/>
    <w:rsid w:val="00253B9D"/>
    <w:rsid w:val="00253C30"/>
    <w:rsid w:val="00253F86"/>
    <w:rsid w:val="00253F98"/>
    <w:rsid w:val="002540DA"/>
    <w:rsid w:val="00254383"/>
    <w:rsid w:val="002543B6"/>
    <w:rsid w:val="0025451B"/>
    <w:rsid w:val="002546AB"/>
    <w:rsid w:val="002547D9"/>
    <w:rsid w:val="00254908"/>
    <w:rsid w:val="00254B55"/>
    <w:rsid w:val="00254BCB"/>
    <w:rsid w:val="00254CA5"/>
    <w:rsid w:val="00254D10"/>
    <w:rsid w:val="00255266"/>
    <w:rsid w:val="00256041"/>
    <w:rsid w:val="002560C1"/>
    <w:rsid w:val="002560DD"/>
    <w:rsid w:val="00256478"/>
    <w:rsid w:val="0025698B"/>
    <w:rsid w:val="00256A1F"/>
    <w:rsid w:val="00256FA1"/>
    <w:rsid w:val="00257341"/>
    <w:rsid w:val="002573E4"/>
    <w:rsid w:val="00257A76"/>
    <w:rsid w:val="00257B47"/>
    <w:rsid w:val="0026021B"/>
    <w:rsid w:val="002602FA"/>
    <w:rsid w:val="0026031B"/>
    <w:rsid w:val="00260878"/>
    <w:rsid w:val="002609B4"/>
    <w:rsid w:val="00260B7F"/>
    <w:rsid w:val="00260D7F"/>
    <w:rsid w:val="00260E88"/>
    <w:rsid w:val="00260ECB"/>
    <w:rsid w:val="0026142E"/>
    <w:rsid w:val="002614F0"/>
    <w:rsid w:val="00261575"/>
    <w:rsid w:val="002615AB"/>
    <w:rsid w:val="002615F4"/>
    <w:rsid w:val="00261CBC"/>
    <w:rsid w:val="0026227E"/>
    <w:rsid w:val="0026263C"/>
    <w:rsid w:val="00262688"/>
    <w:rsid w:val="0026288C"/>
    <w:rsid w:val="002629DD"/>
    <w:rsid w:val="00262B57"/>
    <w:rsid w:val="00262EA8"/>
    <w:rsid w:val="0026360B"/>
    <w:rsid w:val="002638BB"/>
    <w:rsid w:val="00263B5E"/>
    <w:rsid w:val="00263EAE"/>
    <w:rsid w:val="00263F30"/>
    <w:rsid w:val="0026415C"/>
    <w:rsid w:val="002642C9"/>
    <w:rsid w:val="0026434C"/>
    <w:rsid w:val="002646B4"/>
    <w:rsid w:val="0026476F"/>
    <w:rsid w:val="00264775"/>
    <w:rsid w:val="00264962"/>
    <w:rsid w:val="002649FE"/>
    <w:rsid w:val="00264DB9"/>
    <w:rsid w:val="00264E5A"/>
    <w:rsid w:val="0026551A"/>
    <w:rsid w:val="002655DF"/>
    <w:rsid w:val="0026562C"/>
    <w:rsid w:val="002657E5"/>
    <w:rsid w:val="00265939"/>
    <w:rsid w:val="002659B2"/>
    <w:rsid w:val="00265B62"/>
    <w:rsid w:val="00266550"/>
    <w:rsid w:val="00266C49"/>
    <w:rsid w:val="00266E8B"/>
    <w:rsid w:val="00266F89"/>
    <w:rsid w:val="002671F0"/>
    <w:rsid w:val="002672C0"/>
    <w:rsid w:val="0026734F"/>
    <w:rsid w:val="002673BC"/>
    <w:rsid w:val="00267434"/>
    <w:rsid w:val="00267F35"/>
    <w:rsid w:val="0027001E"/>
    <w:rsid w:val="00270312"/>
    <w:rsid w:val="00270569"/>
    <w:rsid w:val="002707EC"/>
    <w:rsid w:val="00270DE0"/>
    <w:rsid w:val="00270F42"/>
    <w:rsid w:val="002712A6"/>
    <w:rsid w:val="0027131F"/>
    <w:rsid w:val="00271440"/>
    <w:rsid w:val="002715AC"/>
    <w:rsid w:val="00271B43"/>
    <w:rsid w:val="00271BC2"/>
    <w:rsid w:val="00271ED0"/>
    <w:rsid w:val="00271FC8"/>
    <w:rsid w:val="00272021"/>
    <w:rsid w:val="00272343"/>
    <w:rsid w:val="00272664"/>
    <w:rsid w:val="0027289F"/>
    <w:rsid w:val="002728A0"/>
    <w:rsid w:val="00272CB6"/>
    <w:rsid w:val="00272F59"/>
    <w:rsid w:val="0027315F"/>
    <w:rsid w:val="00273319"/>
    <w:rsid w:val="00273390"/>
    <w:rsid w:val="00273470"/>
    <w:rsid w:val="002735D3"/>
    <w:rsid w:val="00273791"/>
    <w:rsid w:val="0027381F"/>
    <w:rsid w:val="00273CF9"/>
    <w:rsid w:val="00273EEA"/>
    <w:rsid w:val="0027421A"/>
    <w:rsid w:val="002742E8"/>
    <w:rsid w:val="0027451D"/>
    <w:rsid w:val="002746A2"/>
    <w:rsid w:val="00274901"/>
    <w:rsid w:val="00274DAD"/>
    <w:rsid w:val="002751E0"/>
    <w:rsid w:val="00275B70"/>
    <w:rsid w:val="0027631F"/>
    <w:rsid w:val="0027684C"/>
    <w:rsid w:val="00276951"/>
    <w:rsid w:val="00276A6F"/>
    <w:rsid w:val="00276CEC"/>
    <w:rsid w:val="00277076"/>
    <w:rsid w:val="00277126"/>
    <w:rsid w:val="0027714E"/>
    <w:rsid w:val="002772A1"/>
    <w:rsid w:val="00277341"/>
    <w:rsid w:val="00277A75"/>
    <w:rsid w:val="00277A76"/>
    <w:rsid w:val="00277AF3"/>
    <w:rsid w:val="00277C96"/>
    <w:rsid w:val="00277E94"/>
    <w:rsid w:val="0028009E"/>
    <w:rsid w:val="00280237"/>
    <w:rsid w:val="0028023F"/>
    <w:rsid w:val="002804B0"/>
    <w:rsid w:val="00280882"/>
    <w:rsid w:val="002808FC"/>
    <w:rsid w:val="002808FE"/>
    <w:rsid w:val="00280EA9"/>
    <w:rsid w:val="002811AC"/>
    <w:rsid w:val="002813CF"/>
    <w:rsid w:val="00281451"/>
    <w:rsid w:val="002817E6"/>
    <w:rsid w:val="002822CF"/>
    <w:rsid w:val="002827BA"/>
    <w:rsid w:val="00282C5C"/>
    <w:rsid w:val="00282ED5"/>
    <w:rsid w:val="002833ED"/>
    <w:rsid w:val="00283981"/>
    <w:rsid w:val="00283EB9"/>
    <w:rsid w:val="00284334"/>
    <w:rsid w:val="00284726"/>
    <w:rsid w:val="002848BD"/>
    <w:rsid w:val="00284BED"/>
    <w:rsid w:val="00284C48"/>
    <w:rsid w:val="00284D2B"/>
    <w:rsid w:val="00284D31"/>
    <w:rsid w:val="00284D34"/>
    <w:rsid w:val="00284EBB"/>
    <w:rsid w:val="00284F38"/>
    <w:rsid w:val="00284FC1"/>
    <w:rsid w:val="002853C4"/>
    <w:rsid w:val="0028542D"/>
    <w:rsid w:val="002854C4"/>
    <w:rsid w:val="002856EF"/>
    <w:rsid w:val="00285B12"/>
    <w:rsid w:val="00285BE6"/>
    <w:rsid w:val="00285EC8"/>
    <w:rsid w:val="00285F14"/>
    <w:rsid w:val="00285FFA"/>
    <w:rsid w:val="002865C9"/>
    <w:rsid w:val="002866AB"/>
    <w:rsid w:val="00286A52"/>
    <w:rsid w:val="00286A9B"/>
    <w:rsid w:val="00286B28"/>
    <w:rsid w:val="00286EFF"/>
    <w:rsid w:val="00287245"/>
    <w:rsid w:val="002873C3"/>
    <w:rsid w:val="0028751E"/>
    <w:rsid w:val="00287A24"/>
    <w:rsid w:val="00287D2E"/>
    <w:rsid w:val="00287E67"/>
    <w:rsid w:val="00290042"/>
    <w:rsid w:val="00290300"/>
    <w:rsid w:val="0029061A"/>
    <w:rsid w:val="00290A71"/>
    <w:rsid w:val="00290EE6"/>
    <w:rsid w:val="00291145"/>
    <w:rsid w:val="00291281"/>
    <w:rsid w:val="00291372"/>
    <w:rsid w:val="00291DAC"/>
    <w:rsid w:val="00291F27"/>
    <w:rsid w:val="002921CC"/>
    <w:rsid w:val="00292324"/>
    <w:rsid w:val="00292386"/>
    <w:rsid w:val="00292877"/>
    <w:rsid w:val="00292AF3"/>
    <w:rsid w:val="00292DC3"/>
    <w:rsid w:val="00292F60"/>
    <w:rsid w:val="00292F93"/>
    <w:rsid w:val="0029321F"/>
    <w:rsid w:val="0029370D"/>
    <w:rsid w:val="002938A3"/>
    <w:rsid w:val="00293C6F"/>
    <w:rsid w:val="00293D53"/>
    <w:rsid w:val="0029430E"/>
    <w:rsid w:val="00294370"/>
    <w:rsid w:val="00294422"/>
    <w:rsid w:val="002944AB"/>
    <w:rsid w:val="002947DC"/>
    <w:rsid w:val="002947E3"/>
    <w:rsid w:val="00294B0F"/>
    <w:rsid w:val="00294E56"/>
    <w:rsid w:val="00294F34"/>
    <w:rsid w:val="00295151"/>
    <w:rsid w:val="00295289"/>
    <w:rsid w:val="00295305"/>
    <w:rsid w:val="0029544F"/>
    <w:rsid w:val="002955D3"/>
    <w:rsid w:val="00295625"/>
    <w:rsid w:val="00295820"/>
    <w:rsid w:val="00295970"/>
    <w:rsid w:val="002959D4"/>
    <w:rsid w:val="00295E11"/>
    <w:rsid w:val="00295E3F"/>
    <w:rsid w:val="002961FD"/>
    <w:rsid w:val="002963D3"/>
    <w:rsid w:val="002965E7"/>
    <w:rsid w:val="00296721"/>
    <w:rsid w:val="002967CE"/>
    <w:rsid w:val="00296995"/>
    <w:rsid w:val="00296B17"/>
    <w:rsid w:val="00296BE9"/>
    <w:rsid w:val="00296C63"/>
    <w:rsid w:val="00296CF2"/>
    <w:rsid w:val="00296FA0"/>
    <w:rsid w:val="00296FB4"/>
    <w:rsid w:val="002970C4"/>
    <w:rsid w:val="00297241"/>
    <w:rsid w:val="00297389"/>
    <w:rsid w:val="002974CA"/>
    <w:rsid w:val="00297A39"/>
    <w:rsid w:val="00297C4D"/>
    <w:rsid w:val="00297DBF"/>
    <w:rsid w:val="00297E68"/>
    <w:rsid w:val="00297F04"/>
    <w:rsid w:val="002A00F8"/>
    <w:rsid w:val="002A02E8"/>
    <w:rsid w:val="002A035C"/>
    <w:rsid w:val="002A0363"/>
    <w:rsid w:val="002A0424"/>
    <w:rsid w:val="002A054A"/>
    <w:rsid w:val="002A1144"/>
    <w:rsid w:val="002A119C"/>
    <w:rsid w:val="002A12D1"/>
    <w:rsid w:val="002A1516"/>
    <w:rsid w:val="002A1526"/>
    <w:rsid w:val="002A165C"/>
    <w:rsid w:val="002A16B0"/>
    <w:rsid w:val="002A1A6D"/>
    <w:rsid w:val="002A1C64"/>
    <w:rsid w:val="002A2575"/>
    <w:rsid w:val="002A268B"/>
    <w:rsid w:val="002A26AA"/>
    <w:rsid w:val="002A26E4"/>
    <w:rsid w:val="002A294E"/>
    <w:rsid w:val="002A2957"/>
    <w:rsid w:val="002A2986"/>
    <w:rsid w:val="002A2EA5"/>
    <w:rsid w:val="002A3355"/>
    <w:rsid w:val="002A38E8"/>
    <w:rsid w:val="002A3941"/>
    <w:rsid w:val="002A3B31"/>
    <w:rsid w:val="002A3C9B"/>
    <w:rsid w:val="002A3CA5"/>
    <w:rsid w:val="002A3DB9"/>
    <w:rsid w:val="002A3ED2"/>
    <w:rsid w:val="002A40C0"/>
    <w:rsid w:val="002A4F91"/>
    <w:rsid w:val="002A50C2"/>
    <w:rsid w:val="002A570C"/>
    <w:rsid w:val="002A5F50"/>
    <w:rsid w:val="002A635F"/>
    <w:rsid w:val="002A6538"/>
    <w:rsid w:val="002A6BE5"/>
    <w:rsid w:val="002A70BE"/>
    <w:rsid w:val="002A715F"/>
    <w:rsid w:val="002A753E"/>
    <w:rsid w:val="002A7717"/>
    <w:rsid w:val="002A7AEB"/>
    <w:rsid w:val="002A7E0B"/>
    <w:rsid w:val="002B01A8"/>
    <w:rsid w:val="002B023F"/>
    <w:rsid w:val="002B0423"/>
    <w:rsid w:val="002B04A0"/>
    <w:rsid w:val="002B04C8"/>
    <w:rsid w:val="002B0564"/>
    <w:rsid w:val="002B072C"/>
    <w:rsid w:val="002B0BF8"/>
    <w:rsid w:val="002B0D64"/>
    <w:rsid w:val="002B0D99"/>
    <w:rsid w:val="002B0DD9"/>
    <w:rsid w:val="002B128C"/>
    <w:rsid w:val="002B14A6"/>
    <w:rsid w:val="002B15BF"/>
    <w:rsid w:val="002B1843"/>
    <w:rsid w:val="002B194D"/>
    <w:rsid w:val="002B1BFC"/>
    <w:rsid w:val="002B1FA7"/>
    <w:rsid w:val="002B26F6"/>
    <w:rsid w:val="002B2F49"/>
    <w:rsid w:val="002B31F5"/>
    <w:rsid w:val="002B3207"/>
    <w:rsid w:val="002B320C"/>
    <w:rsid w:val="002B3348"/>
    <w:rsid w:val="002B356B"/>
    <w:rsid w:val="002B39E3"/>
    <w:rsid w:val="002B3C60"/>
    <w:rsid w:val="002B419A"/>
    <w:rsid w:val="002B4399"/>
    <w:rsid w:val="002B44E7"/>
    <w:rsid w:val="002B481C"/>
    <w:rsid w:val="002B4BA7"/>
    <w:rsid w:val="002B4C46"/>
    <w:rsid w:val="002B4D71"/>
    <w:rsid w:val="002B4DA7"/>
    <w:rsid w:val="002B55E2"/>
    <w:rsid w:val="002B5848"/>
    <w:rsid w:val="002B584A"/>
    <w:rsid w:val="002B5FAB"/>
    <w:rsid w:val="002B639C"/>
    <w:rsid w:val="002B6713"/>
    <w:rsid w:val="002B6812"/>
    <w:rsid w:val="002B6C7C"/>
    <w:rsid w:val="002B6D48"/>
    <w:rsid w:val="002B6E63"/>
    <w:rsid w:val="002B6F73"/>
    <w:rsid w:val="002B7435"/>
    <w:rsid w:val="002B76B0"/>
    <w:rsid w:val="002B77D8"/>
    <w:rsid w:val="002B793B"/>
    <w:rsid w:val="002B7A00"/>
    <w:rsid w:val="002B7DC4"/>
    <w:rsid w:val="002B7E2A"/>
    <w:rsid w:val="002B7EB8"/>
    <w:rsid w:val="002C01CD"/>
    <w:rsid w:val="002C01EA"/>
    <w:rsid w:val="002C0823"/>
    <w:rsid w:val="002C0AC7"/>
    <w:rsid w:val="002C0B41"/>
    <w:rsid w:val="002C0C4A"/>
    <w:rsid w:val="002C0C4B"/>
    <w:rsid w:val="002C0F7C"/>
    <w:rsid w:val="002C12D3"/>
    <w:rsid w:val="002C1393"/>
    <w:rsid w:val="002C1477"/>
    <w:rsid w:val="002C1692"/>
    <w:rsid w:val="002C1825"/>
    <w:rsid w:val="002C192B"/>
    <w:rsid w:val="002C1C33"/>
    <w:rsid w:val="002C23E5"/>
    <w:rsid w:val="002C262C"/>
    <w:rsid w:val="002C27E2"/>
    <w:rsid w:val="002C2861"/>
    <w:rsid w:val="002C297C"/>
    <w:rsid w:val="002C2DD1"/>
    <w:rsid w:val="002C2E95"/>
    <w:rsid w:val="002C3145"/>
    <w:rsid w:val="002C3221"/>
    <w:rsid w:val="002C334E"/>
    <w:rsid w:val="002C3CCA"/>
    <w:rsid w:val="002C3CFD"/>
    <w:rsid w:val="002C4709"/>
    <w:rsid w:val="002C4826"/>
    <w:rsid w:val="002C4894"/>
    <w:rsid w:val="002C49E8"/>
    <w:rsid w:val="002C4B23"/>
    <w:rsid w:val="002C4D10"/>
    <w:rsid w:val="002C4EE0"/>
    <w:rsid w:val="002C5131"/>
    <w:rsid w:val="002C5310"/>
    <w:rsid w:val="002C53BD"/>
    <w:rsid w:val="002C53C8"/>
    <w:rsid w:val="002C584E"/>
    <w:rsid w:val="002C596F"/>
    <w:rsid w:val="002C5A41"/>
    <w:rsid w:val="002C5AE4"/>
    <w:rsid w:val="002C60A7"/>
    <w:rsid w:val="002C6160"/>
    <w:rsid w:val="002C6368"/>
    <w:rsid w:val="002C678E"/>
    <w:rsid w:val="002C7150"/>
    <w:rsid w:val="002C73C8"/>
    <w:rsid w:val="002C74AD"/>
    <w:rsid w:val="002C754B"/>
    <w:rsid w:val="002C763C"/>
    <w:rsid w:val="002C7707"/>
    <w:rsid w:val="002C7838"/>
    <w:rsid w:val="002C788C"/>
    <w:rsid w:val="002C7952"/>
    <w:rsid w:val="002C7B8D"/>
    <w:rsid w:val="002C7F12"/>
    <w:rsid w:val="002D0009"/>
    <w:rsid w:val="002D013E"/>
    <w:rsid w:val="002D022A"/>
    <w:rsid w:val="002D0423"/>
    <w:rsid w:val="002D0A8E"/>
    <w:rsid w:val="002D0C96"/>
    <w:rsid w:val="002D0EAB"/>
    <w:rsid w:val="002D100B"/>
    <w:rsid w:val="002D145F"/>
    <w:rsid w:val="002D14AF"/>
    <w:rsid w:val="002D1640"/>
    <w:rsid w:val="002D18F0"/>
    <w:rsid w:val="002D1B1B"/>
    <w:rsid w:val="002D1E5E"/>
    <w:rsid w:val="002D21CE"/>
    <w:rsid w:val="002D2EAC"/>
    <w:rsid w:val="002D3037"/>
    <w:rsid w:val="002D3205"/>
    <w:rsid w:val="002D32FE"/>
    <w:rsid w:val="002D34B7"/>
    <w:rsid w:val="002D34F1"/>
    <w:rsid w:val="002D39D8"/>
    <w:rsid w:val="002D3A60"/>
    <w:rsid w:val="002D3B3B"/>
    <w:rsid w:val="002D4053"/>
    <w:rsid w:val="002D40DD"/>
    <w:rsid w:val="002D443F"/>
    <w:rsid w:val="002D457A"/>
    <w:rsid w:val="002D4773"/>
    <w:rsid w:val="002D4B5A"/>
    <w:rsid w:val="002D4CE7"/>
    <w:rsid w:val="002D4F60"/>
    <w:rsid w:val="002D50A7"/>
    <w:rsid w:val="002D50C6"/>
    <w:rsid w:val="002D5606"/>
    <w:rsid w:val="002D5ACA"/>
    <w:rsid w:val="002D5BB4"/>
    <w:rsid w:val="002D62FC"/>
    <w:rsid w:val="002D6C68"/>
    <w:rsid w:val="002D7089"/>
    <w:rsid w:val="002D7295"/>
    <w:rsid w:val="002D72B8"/>
    <w:rsid w:val="002D7452"/>
    <w:rsid w:val="002D7864"/>
    <w:rsid w:val="002D7961"/>
    <w:rsid w:val="002D799E"/>
    <w:rsid w:val="002D7A98"/>
    <w:rsid w:val="002D7AFC"/>
    <w:rsid w:val="002D7DD1"/>
    <w:rsid w:val="002D7E9A"/>
    <w:rsid w:val="002E00B7"/>
    <w:rsid w:val="002E01BC"/>
    <w:rsid w:val="002E024E"/>
    <w:rsid w:val="002E046C"/>
    <w:rsid w:val="002E04DB"/>
    <w:rsid w:val="002E09F6"/>
    <w:rsid w:val="002E0BB4"/>
    <w:rsid w:val="002E0C5B"/>
    <w:rsid w:val="002E0E72"/>
    <w:rsid w:val="002E100B"/>
    <w:rsid w:val="002E140D"/>
    <w:rsid w:val="002E18A7"/>
    <w:rsid w:val="002E19F4"/>
    <w:rsid w:val="002E1B4D"/>
    <w:rsid w:val="002E1DC8"/>
    <w:rsid w:val="002E206B"/>
    <w:rsid w:val="002E25E8"/>
    <w:rsid w:val="002E298C"/>
    <w:rsid w:val="002E2DDE"/>
    <w:rsid w:val="002E3184"/>
    <w:rsid w:val="002E3869"/>
    <w:rsid w:val="002E3DAF"/>
    <w:rsid w:val="002E4298"/>
    <w:rsid w:val="002E45B8"/>
    <w:rsid w:val="002E463A"/>
    <w:rsid w:val="002E464D"/>
    <w:rsid w:val="002E4E7A"/>
    <w:rsid w:val="002E4F1A"/>
    <w:rsid w:val="002E521A"/>
    <w:rsid w:val="002E5468"/>
    <w:rsid w:val="002E551A"/>
    <w:rsid w:val="002E5599"/>
    <w:rsid w:val="002E55C2"/>
    <w:rsid w:val="002E5673"/>
    <w:rsid w:val="002E594E"/>
    <w:rsid w:val="002E595E"/>
    <w:rsid w:val="002E5F33"/>
    <w:rsid w:val="002E5F5D"/>
    <w:rsid w:val="002E5FFC"/>
    <w:rsid w:val="002E6249"/>
    <w:rsid w:val="002E6471"/>
    <w:rsid w:val="002E6564"/>
    <w:rsid w:val="002E6596"/>
    <w:rsid w:val="002E6901"/>
    <w:rsid w:val="002E6BB3"/>
    <w:rsid w:val="002E6ECE"/>
    <w:rsid w:val="002E701D"/>
    <w:rsid w:val="002E70D5"/>
    <w:rsid w:val="002E76FA"/>
    <w:rsid w:val="002E7B6F"/>
    <w:rsid w:val="002E7CCF"/>
    <w:rsid w:val="002E7E18"/>
    <w:rsid w:val="002F01CF"/>
    <w:rsid w:val="002F0C0A"/>
    <w:rsid w:val="002F11C1"/>
    <w:rsid w:val="002F149F"/>
    <w:rsid w:val="002F153C"/>
    <w:rsid w:val="002F1741"/>
    <w:rsid w:val="002F1B19"/>
    <w:rsid w:val="002F1FD1"/>
    <w:rsid w:val="002F2482"/>
    <w:rsid w:val="002F2505"/>
    <w:rsid w:val="002F2805"/>
    <w:rsid w:val="002F30F3"/>
    <w:rsid w:val="002F32C3"/>
    <w:rsid w:val="002F3BEF"/>
    <w:rsid w:val="002F3CC0"/>
    <w:rsid w:val="002F3EB0"/>
    <w:rsid w:val="002F40FE"/>
    <w:rsid w:val="002F42FC"/>
    <w:rsid w:val="002F4545"/>
    <w:rsid w:val="002F4618"/>
    <w:rsid w:val="002F4930"/>
    <w:rsid w:val="002F4B08"/>
    <w:rsid w:val="002F5297"/>
    <w:rsid w:val="002F55A4"/>
    <w:rsid w:val="002F55B1"/>
    <w:rsid w:val="002F5625"/>
    <w:rsid w:val="002F563C"/>
    <w:rsid w:val="002F57EF"/>
    <w:rsid w:val="002F58BF"/>
    <w:rsid w:val="002F5B84"/>
    <w:rsid w:val="002F61C3"/>
    <w:rsid w:val="002F639C"/>
    <w:rsid w:val="002F64AC"/>
    <w:rsid w:val="002F6570"/>
    <w:rsid w:val="002F6704"/>
    <w:rsid w:val="002F68A6"/>
    <w:rsid w:val="002F6A19"/>
    <w:rsid w:val="002F6C18"/>
    <w:rsid w:val="002F6D04"/>
    <w:rsid w:val="002F6E1B"/>
    <w:rsid w:val="002F7225"/>
    <w:rsid w:val="002F73EA"/>
    <w:rsid w:val="002F7DF8"/>
    <w:rsid w:val="002F7E46"/>
    <w:rsid w:val="00300DE0"/>
    <w:rsid w:val="00301174"/>
    <w:rsid w:val="00301527"/>
    <w:rsid w:val="0030206D"/>
    <w:rsid w:val="0030218A"/>
    <w:rsid w:val="00302C56"/>
    <w:rsid w:val="0030333C"/>
    <w:rsid w:val="00303D70"/>
    <w:rsid w:val="00303EDE"/>
    <w:rsid w:val="003040B7"/>
    <w:rsid w:val="003041FB"/>
    <w:rsid w:val="003042E4"/>
    <w:rsid w:val="0030454C"/>
    <w:rsid w:val="00304712"/>
    <w:rsid w:val="00304B25"/>
    <w:rsid w:val="00304B26"/>
    <w:rsid w:val="00304E6F"/>
    <w:rsid w:val="003050BB"/>
    <w:rsid w:val="00305343"/>
    <w:rsid w:val="003053ED"/>
    <w:rsid w:val="003054F8"/>
    <w:rsid w:val="00305780"/>
    <w:rsid w:val="00305B01"/>
    <w:rsid w:val="00305CA5"/>
    <w:rsid w:val="00306031"/>
    <w:rsid w:val="00306217"/>
    <w:rsid w:val="003064D9"/>
    <w:rsid w:val="0030654A"/>
    <w:rsid w:val="00306896"/>
    <w:rsid w:val="00306E99"/>
    <w:rsid w:val="00306FBE"/>
    <w:rsid w:val="0030761E"/>
    <w:rsid w:val="00307B2F"/>
    <w:rsid w:val="00307B3F"/>
    <w:rsid w:val="00307E60"/>
    <w:rsid w:val="00310211"/>
    <w:rsid w:val="0031027B"/>
    <w:rsid w:val="0031089D"/>
    <w:rsid w:val="003108B3"/>
    <w:rsid w:val="00310A3A"/>
    <w:rsid w:val="00310C5A"/>
    <w:rsid w:val="00310D13"/>
    <w:rsid w:val="00310D20"/>
    <w:rsid w:val="00310E73"/>
    <w:rsid w:val="00311553"/>
    <w:rsid w:val="00311C85"/>
    <w:rsid w:val="00311DEF"/>
    <w:rsid w:val="00312065"/>
    <w:rsid w:val="00312186"/>
    <w:rsid w:val="00312326"/>
    <w:rsid w:val="00312386"/>
    <w:rsid w:val="00312A09"/>
    <w:rsid w:val="00312A53"/>
    <w:rsid w:val="00312ACD"/>
    <w:rsid w:val="00312BA7"/>
    <w:rsid w:val="00312CD4"/>
    <w:rsid w:val="00312FD9"/>
    <w:rsid w:val="00313007"/>
    <w:rsid w:val="00313289"/>
    <w:rsid w:val="00313579"/>
    <w:rsid w:val="003139F7"/>
    <w:rsid w:val="00313AE6"/>
    <w:rsid w:val="00313DBB"/>
    <w:rsid w:val="003145F3"/>
    <w:rsid w:val="00314A00"/>
    <w:rsid w:val="00314A32"/>
    <w:rsid w:val="00314F0B"/>
    <w:rsid w:val="003152D7"/>
    <w:rsid w:val="00315364"/>
    <w:rsid w:val="00315449"/>
    <w:rsid w:val="003156EE"/>
    <w:rsid w:val="00315EC7"/>
    <w:rsid w:val="00316516"/>
    <w:rsid w:val="0031659F"/>
    <w:rsid w:val="0031673E"/>
    <w:rsid w:val="0031697C"/>
    <w:rsid w:val="00316AC6"/>
    <w:rsid w:val="00316CDD"/>
    <w:rsid w:val="00316F77"/>
    <w:rsid w:val="00317108"/>
    <w:rsid w:val="0031714E"/>
    <w:rsid w:val="00317811"/>
    <w:rsid w:val="0031790E"/>
    <w:rsid w:val="00317DE8"/>
    <w:rsid w:val="00320320"/>
    <w:rsid w:val="00320360"/>
    <w:rsid w:val="003203A2"/>
    <w:rsid w:val="00320800"/>
    <w:rsid w:val="00320B5C"/>
    <w:rsid w:val="00320C6C"/>
    <w:rsid w:val="0032123E"/>
    <w:rsid w:val="0032130C"/>
    <w:rsid w:val="0032159A"/>
    <w:rsid w:val="0032169D"/>
    <w:rsid w:val="00321733"/>
    <w:rsid w:val="00321813"/>
    <w:rsid w:val="00321A01"/>
    <w:rsid w:val="00321E40"/>
    <w:rsid w:val="003222D2"/>
    <w:rsid w:val="00322401"/>
    <w:rsid w:val="0032283D"/>
    <w:rsid w:val="00322B4B"/>
    <w:rsid w:val="00322BD3"/>
    <w:rsid w:val="00322E63"/>
    <w:rsid w:val="00323195"/>
    <w:rsid w:val="00323460"/>
    <w:rsid w:val="00323703"/>
    <w:rsid w:val="003237B6"/>
    <w:rsid w:val="00323D60"/>
    <w:rsid w:val="00323DF3"/>
    <w:rsid w:val="00323F2C"/>
    <w:rsid w:val="00323FBC"/>
    <w:rsid w:val="0032406A"/>
    <w:rsid w:val="003241AF"/>
    <w:rsid w:val="00324719"/>
    <w:rsid w:val="00324761"/>
    <w:rsid w:val="0032479B"/>
    <w:rsid w:val="003248F6"/>
    <w:rsid w:val="00324BAB"/>
    <w:rsid w:val="00324EDA"/>
    <w:rsid w:val="00325364"/>
    <w:rsid w:val="0032552C"/>
    <w:rsid w:val="00325687"/>
    <w:rsid w:val="003256FD"/>
    <w:rsid w:val="00325703"/>
    <w:rsid w:val="0032589A"/>
    <w:rsid w:val="00325EC4"/>
    <w:rsid w:val="00326496"/>
    <w:rsid w:val="003264D3"/>
    <w:rsid w:val="003268AE"/>
    <w:rsid w:val="00326945"/>
    <w:rsid w:val="003269E5"/>
    <w:rsid w:val="00326D2D"/>
    <w:rsid w:val="003275C9"/>
    <w:rsid w:val="0032768D"/>
    <w:rsid w:val="00327A80"/>
    <w:rsid w:val="00327D7C"/>
    <w:rsid w:val="00327FEB"/>
    <w:rsid w:val="003304E0"/>
    <w:rsid w:val="00330791"/>
    <w:rsid w:val="003309F0"/>
    <w:rsid w:val="00330C77"/>
    <w:rsid w:val="00330DB5"/>
    <w:rsid w:val="00330F16"/>
    <w:rsid w:val="00331157"/>
    <w:rsid w:val="00331404"/>
    <w:rsid w:val="003318B9"/>
    <w:rsid w:val="00331ABE"/>
    <w:rsid w:val="00331B11"/>
    <w:rsid w:val="00331C90"/>
    <w:rsid w:val="00331C98"/>
    <w:rsid w:val="00331DA3"/>
    <w:rsid w:val="00331EDA"/>
    <w:rsid w:val="00332189"/>
    <w:rsid w:val="00332442"/>
    <w:rsid w:val="00332A5E"/>
    <w:rsid w:val="00332B0B"/>
    <w:rsid w:val="00332C7A"/>
    <w:rsid w:val="00333070"/>
    <w:rsid w:val="0033337B"/>
    <w:rsid w:val="00333568"/>
    <w:rsid w:val="00333A2A"/>
    <w:rsid w:val="00333C21"/>
    <w:rsid w:val="00333DB5"/>
    <w:rsid w:val="00333F0C"/>
    <w:rsid w:val="003340AD"/>
    <w:rsid w:val="0033428F"/>
    <w:rsid w:val="003342AF"/>
    <w:rsid w:val="00334317"/>
    <w:rsid w:val="003345FC"/>
    <w:rsid w:val="00334888"/>
    <w:rsid w:val="003348D5"/>
    <w:rsid w:val="003349B7"/>
    <w:rsid w:val="00334A76"/>
    <w:rsid w:val="00334AE4"/>
    <w:rsid w:val="00334B95"/>
    <w:rsid w:val="00334C56"/>
    <w:rsid w:val="00335311"/>
    <w:rsid w:val="003356D9"/>
    <w:rsid w:val="0033589D"/>
    <w:rsid w:val="00335C85"/>
    <w:rsid w:val="00335ED8"/>
    <w:rsid w:val="003360F6"/>
    <w:rsid w:val="00336120"/>
    <w:rsid w:val="0033666F"/>
    <w:rsid w:val="00336850"/>
    <w:rsid w:val="00336DBD"/>
    <w:rsid w:val="00336EB2"/>
    <w:rsid w:val="00336F78"/>
    <w:rsid w:val="00336FCB"/>
    <w:rsid w:val="00337570"/>
    <w:rsid w:val="00340350"/>
    <w:rsid w:val="003403F6"/>
    <w:rsid w:val="003405DC"/>
    <w:rsid w:val="00340AFC"/>
    <w:rsid w:val="00340FDE"/>
    <w:rsid w:val="00341171"/>
    <w:rsid w:val="0034151E"/>
    <w:rsid w:val="003415C7"/>
    <w:rsid w:val="003416FF"/>
    <w:rsid w:val="00341B5C"/>
    <w:rsid w:val="00341D34"/>
    <w:rsid w:val="00342205"/>
    <w:rsid w:val="003422D7"/>
    <w:rsid w:val="003422FD"/>
    <w:rsid w:val="00342900"/>
    <w:rsid w:val="0034308B"/>
    <w:rsid w:val="003431F9"/>
    <w:rsid w:val="00343559"/>
    <w:rsid w:val="0034355A"/>
    <w:rsid w:val="003435AF"/>
    <w:rsid w:val="0034363B"/>
    <w:rsid w:val="00343B0A"/>
    <w:rsid w:val="00343C62"/>
    <w:rsid w:val="00343CC0"/>
    <w:rsid w:val="003441F2"/>
    <w:rsid w:val="003442CF"/>
    <w:rsid w:val="00344346"/>
    <w:rsid w:val="00344849"/>
    <w:rsid w:val="00344C14"/>
    <w:rsid w:val="00344CCF"/>
    <w:rsid w:val="00344ECB"/>
    <w:rsid w:val="003450E0"/>
    <w:rsid w:val="003450E1"/>
    <w:rsid w:val="00345515"/>
    <w:rsid w:val="0034552F"/>
    <w:rsid w:val="00345C90"/>
    <w:rsid w:val="00345E46"/>
    <w:rsid w:val="00346091"/>
    <w:rsid w:val="003460D4"/>
    <w:rsid w:val="00346500"/>
    <w:rsid w:val="00346518"/>
    <w:rsid w:val="00346901"/>
    <w:rsid w:val="00346910"/>
    <w:rsid w:val="00346927"/>
    <w:rsid w:val="00346B2B"/>
    <w:rsid w:val="00347507"/>
    <w:rsid w:val="003479AC"/>
    <w:rsid w:val="003509E8"/>
    <w:rsid w:val="00350B2D"/>
    <w:rsid w:val="00350C16"/>
    <w:rsid w:val="00350E73"/>
    <w:rsid w:val="00350F1E"/>
    <w:rsid w:val="0035108A"/>
    <w:rsid w:val="00351461"/>
    <w:rsid w:val="00351506"/>
    <w:rsid w:val="00351684"/>
    <w:rsid w:val="00351778"/>
    <w:rsid w:val="003519B1"/>
    <w:rsid w:val="00351D97"/>
    <w:rsid w:val="00352181"/>
    <w:rsid w:val="003523B4"/>
    <w:rsid w:val="0035269F"/>
    <w:rsid w:val="00352714"/>
    <w:rsid w:val="0035296A"/>
    <w:rsid w:val="00352BD1"/>
    <w:rsid w:val="00352F9B"/>
    <w:rsid w:val="0035367D"/>
    <w:rsid w:val="003539E2"/>
    <w:rsid w:val="00353AF6"/>
    <w:rsid w:val="00353DDE"/>
    <w:rsid w:val="00353F36"/>
    <w:rsid w:val="00353F94"/>
    <w:rsid w:val="003543AE"/>
    <w:rsid w:val="00354947"/>
    <w:rsid w:val="00354B47"/>
    <w:rsid w:val="00354DAC"/>
    <w:rsid w:val="00354DD3"/>
    <w:rsid w:val="00354E55"/>
    <w:rsid w:val="003550A1"/>
    <w:rsid w:val="0035546C"/>
    <w:rsid w:val="00355A72"/>
    <w:rsid w:val="00355B6C"/>
    <w:rsid w:val="00355DF1"/>
    <w:rsid w:val="00355E77"/>
    <w:rsid w:val="00355F0D"/>
    <w:rsid w:val="0035605F"/>
    <w:rsid w:val="003563E4"/>
    <w:rsid w:val="003566C0"/>
    <w:rsid w:val="0035670A"/>
    <w:rsid w:val="0035692F"/>
    <w:rsid w:val="00356FA9"/>
    <w:rsid w:val="00356FF9"/>
    <w:rsid w:val="003570EF"/>
    <w:rsid w:val="0035782E"/>
    <w:rsid w:val="00357A65"/>
    <w:rsid w:val="00357B6E"/>
    <w:rsid w:val="00357D9E"/>
    <w:rsid w:val="00357F9B"/>
    <w:rsid w:val="00360105"/>
    <w:rsid w:val="00360111"/>
    <w:rsid w:val="0036065C"/>
    <w:rsid w:val="003606AF"/>
    <w:rsid w:val="003606E7"/>
    <w:rsid w:val="003606F1"/>
    <w:rsid w:val="003609A8"/>
    <w:rsid w:val="00360CB4"/>
    <w:rsid w:val="00360CF8"/>
    <w:rsid w:val="00360CFA"/>
    <w:rsid w:val="00360D7B"/>
    <w:rsid w:val="00360F87"/>
    <w:rsid w:val="00361519"/>
    <w:rsid w:val="003617A1"/>
    <w:rsid w:val="003618EB"/>
    <w:rsid w:val="00361C27"/>
    <w:rsid w:val="00361E36"/>
    <w:rsid w:val="0036227A"/>
    <w:rsid w:val="0036233C"/>
    <w:rsid w:val="0036314B"/>
    <w:rsid w:val="00363209"/>
    <w:rsid w:val="003634AF"/>
    <w:rsid w:val="003635E1"/>
    <w:rsid w:val="003635F8"/>
    <w:rsid w:val="00363BBE"/>
    <w:rsid w:val="00363C2F"/>
    <w:rsid w:val="0036413D"/>
    <w:rsid w:val="0036429D"/>
    <w:rsid w:val="0036437B"/>
    <w:rsid w:val="003647BA"/>
    <w:rsid w:val="00364819"/>
    <w:rsid w:val="00364A80"/>
    <w:rsid w:val="00364E50"/>
    <w:rsid w:val="00364ED2"/>
    <w:rsid w:val="00364FEF"/>
    <w:rsid w:val="003651BB"/>
    <w:rsid w:val="00365523"/>
    <w:rsid w:val="00365ABD"/>
    <w:rsid w:val="00365B21"/>
    <w:rsid w:val="00365E3E"/>
    <w:rsid w:val="00365E8B"/>
    <w:rsid w:val="00365FF6"/>
    <w:rsid w:val="00366067"/>
    <w:rsid w:val="003662FC"/>
    <w:rsid w:val="0036695C"/>
    <w:rsid w:val="00366B50"/>
    <w:rsid w:val="00366FE1"/>
    <w:rsid w:val="00367292"/>
    <w:rsid w:val="00367379"/>
    <w:rsid w:val="00367405"/>
    <w:rsid w:val="00367653"/>
    <w:rsid w:val="00367842"/>
    <w:rsid w:val="0036786F"/>
    <w:rsid w:val="00367B5D"/>
    <w:rsid w:val="00367C74"/>
    <w:rsid w:val="00367CB6"/>
    <w:rsid w:val="00367DE5"/>
    <w:rsid w:val="003700AC"/>
    <w:rsid w:val="003703C7"/>
    <w:rsid w:val="00370561"/>
    <w:rsid w:val="003705D0"/>
    <w:rsid w:val="003706C5"/>
    <w:rsid w:val="003709F6"/>
    <w:rsid w:val="00370A19"/>
    <w:rsid w:val="00371453"/>
    <w:rsid w:val="0037146F"/>
    <w:rsid w:val="00371472"/>
    <w:rsid w:val="00371A0E"/>
    <w:rsid w:val="00371B19"/>
    <w:rsid w:val="00371D6D"/>
    <w:rsid w:val="00371DAC"/>
    <w:rsid w:val="00371FAD"/>
    <w:rsid w:val="00372014"/>
    <w:rsid w:val="0037214E"/>
    <w:rsid w:val="0037214F"/>
    <w:rsid w:val="003723AF"/>
    <w:rsid w:val="003725CC"/>
    <w:rsid w:val="00372DB2"/>
    <w:rsid w:val="00372F94"/>
    <w:rsid w:val="00373313"/>
    <w:rsid w:val="00373715"/>
    <w:rsid w:val="003737EE"/>
    <w:rsid w:val="003739AA"/>
    <w:rsid w:val="00373C15"/>
    <w:rsid w:val="00373C44"/>
    <w:rsid w:val="00373C62"/>
    <w:rsid w:val="0037413B"/>
    <w:rsid w:val="003744F6"/>
    <w:rsid w:val="00374ADC"/>
    <w:rsid w:val="00374D17"/>
    <w:rsid w:val="00374FFA"/>
    <w:rsid w:val="0037525F"/>
    <w:rsid w:val="003756D9"/>
    <w:rsid w:val="00375B6B"/>
    <w:rsid w:val="00375F2B"/>
    <w:rsid w:val="00376C7A"/>
    <w:rsid w:val="00376DFC"/>
    <w:rsid w:val="00377316"/>
    <w:rsid w:val="00377A50"/>
    <w:rsid w:val="00377D3D"/>
    <w:rsid w:val="00377F06"/>
    <w:rsid w:val="003802F9"/>
    <w:rsid w:val="003803F2"/>
    <w:rsid w:val="00380758"/>
    <w:rsid w:val="00380C2D"/>
    <w:rsid w:val="00381073"/>
    <w:rsid w:val="00381531"/>
    <w:rsid w:val="00381928"/>
    <w:rsid w:val="003821D2"/>
    <w:rsid w:val="00382446"/>
    <w:rsid w:val="00382549"/>
    <w:rsid w:val="00382936"/>
    <w:rsid w:val="00382FE0"/>
    <w:rsid w:val="00383493"/>
    <w:rsid w:val="003835AD"/>
    <w:rsid w:val="003836B5"/>
    <w:rsid w:val="0038385A"/>
    <w:rsid w:val="00383A21"/>
    <w:rsid w:val="00383AD2"/>
    <w:rsid w:val="00384097"/>
    <w:rsid w:val="003846DD"/>
    <w:rsid w:val="0038478E"/>
    <w:rsid w:val="003849F8"/>
    <w:rsid w:val="00384B1B"/>
    <w:rsid w:val="00384C29"/>
    <w:rsid w:val="00384D26"/>
    <w:rsid w:val="00384D94"/>
    <w:rsid w:val="0038556F"/>
    <w:rsid w:val="003857CE"/>
    <w:rsid w:val="003857FD"/>
    <w:rsid w:val="00385D52"/>
    <w:rsid w:val="003869BE"/>
    <w:rsid w:val="00386A9E"/>
    <w:rsid w:val="003870DB"/>
    <w:rsid w:val="00387302"/>
    <w:rsid w:val="003879A1"/>
    <w:rsid w:val="00387DD8"/>
    <w:rsid w:val="00387F4E"/>
    <w:rsid w:val="0039001A"/>
    <w:rsid w:val="0039003B"/>
    <w:rsid w:val="003903B3"/>
    <w:rsid w:val="0039098A"/>
    <w:rsid w:val="00391499"/>
    <w:rsid w:val="00391704"/>
    <w:rsid w:val="0039178B"/>
    <w:rsid w:val="00391B94"/>
    <w:rsid w:val="00391BF1"/>
    <w:rsid w:val="00391C81"/>
    <w:rsid w:val="003920EE"/>
    <w:rsid w:val="003921BE"/>
    <w:rsid w:val="003924C5"/>
    <w:rsid w:val="003926D9"/>
    <w:rsid w:val="00392901"/>
    <w:rsid w:val="00392A96"/>
    <w:rsid w:val="00392B5E"/>
    <w:rsid w:val="003936E1"/>
    <w:rsid w:val="0039382F"/>
    <w:rsid w:val="00393FB4"/>
    <w:rsid w:val="00394064"/>
    <w:rsid w:val="0039406E"/>
    <w:rsid w:val="003940C1"/>
    <w:rsid w:val="00394754"/>
    <w:rsid w:val="00394988"/>
    <w:rsid w:val="00394A32"/>
    <w:rsid w:val="00394AAF"/>
    <w:rsid w:val="00394E32"/>
    <w:rsid w:val="00394E5F"/>
    <w:rsid w:val="00394ED4"/>
    <w:rsid w:val="00395186"/>
    <w:rsid w:val="003956AA"/>
    <w:rsid w:val="0039577D"/>
    <w:rsid w:val="00395D72"/>
    <w:rsid w:val="00396387"/>
    <w:rsid w:val="003963DF"/>
    <w:rsid w:val="003966F5"/>
    <w:rsid w:val="00396C2B"/>
    <w:rsid w:val="00396C9E"/>
    <w:rsid w:val="003970F1"/>
    <w:rsid w:val="00397686"/>
    <w:rsid w:val="00397BAA"/>
    <w:rsid w:val="00397BD8"/>
    <w:rsid w:val="003A060F"/>
    <w:rsid w:val="003A09DE"/>
    <w:rsid w:val="003A0B82"/>
    <w:rsid w:val="003A0BB1"/>
    <w:rsid w:val="003A0DD6"/>
    <w:rsid w:val="003A1385"/>
    <w:rsid w:val="003A148B"/>
    <w:rsid w:val="003A17A3"/>
    <w:rsid w:val="003A1C53"/>
    <w:rsid w:val="003A1CCD"/>
    <w:rsid w:val="003A1DE8"/>
    <w:rsid w:val="003A1EED"/>
    <w:rsid w:val="003A2224"/>
    <w:rsid w:val="003A23BB"/>
    <w:rsid w:val="003A25AA"/>
    <w:rsid w:val="003A265E"/>
    <w:rsid w:val="003A2A0E"/>
    <w:rsid w:val="003A2F21"/>
    <w:rsid w:val="003A32FE"/>
    <w:rsid w:val="003A3346"/>
    <w:rsid w:val="003A340A"/>
    <w:rsid w:val="003A359D"/>
    <w:rsid w:val="003A361B"/>
    <w:rsid w:val="003A3751"/>
    <w:rsid w:val="003A39A9"/>
    <w:rsid w:val="003A3A97"/>
    <w:rsid w:val="003A3B5C"/>
    <w:rsid w:val="003A442A"/>
    <w:rsid w:val="003A4C68"/>
    <w:rsid w:val="003A4D45"/>
    <w:rsid w:val="003A4D65"/>
    <w:rsid w:val="003A50AD"/>
    <w:rsid w:val="003A5265"/>
    <w:rsid w:val="003A53B2"/>
    <w:rsid w:val="003A54A5"/>
    <w:rsid w:val="003A5BD8"/>
    <w:rsid w:val="003A5D82"/>
    <w:rsid w:val="003A5DA4"/>
    <w:rsid w:val="003A5E0E"/>
    <w:rsid w:val="003A6284"/>
    <w:rsid w:val="003A6926"/>
    <w:rsid w:val="003A780C"/>
    <w:rsid w:val="003A7B75"/>
    <w:rsid w:val="003A7D9D"/>
    <w:rsid w:val="003A7DFF"/>
    <w:rsid w:val="003A7F05"/>
    <w:rsid w:val="003B026D"/>
    <w:rsid w:val="003B0464"/>
    <w:rsid w:val="003B0F2A"/>
    <w:rsid w:val="003B1291"/>
    <w:rsid w:val="003B1386"/>
    <w:rsid w:val="003B139C"/>
    <w:rsid w:val="003B14AB"/>
    <w:rsid w:val="003B193C"/>
    <w:rsid w:val="003B1C9F"/>
    <w:rsid w:val="003B1E61"/>
    <w:rsid w:val="003B1EA0"/>
    <w:rsid w:val="003B29B9"/>
    <w:rsid w:val="003B31AE"/>
    <w:rsid w:val="003B325E"/>
    <w:rsid w:val="003B331C"/>
    <w:rsid w:val="003B38E0"/>
    <w:rsid w:val="003B3B4B"/>
    <w:rsid w:val="003B448B"/>
    <w:rsid w:val="003B4505"/>
    <w:rsid w:val="003B473B"/>
    <w:rsid w:val="003B49F0"/>
    <w:rsid w:val="003B4AAC"/>
    <w:rsid w:val="003B4C0D"/>
    <w:rsid w:val="003B52B3"/>
    <w:rsid w:val="003B55D6"/>
    <w:rsid w:val="003B57D4"/>
    <w:rsid w:val="003B58BC"/>
    <w:rsid w:val="003B5909"/>
    <w:rsid w:val="003B5D9E"/>
    <w:rsid w:val="003B60C9"/>
    <w:rsid w:val="003B65FF"/>
    <w:rsid w:val="003B6CBE"/>
    <w:rsid w:val="003B6D11"/>
    <w:rsid w:val="003B6DD1"/>
    <w:rsid w:val="003B7606"/>
    <w:rsid w:val="003B76C0"/>
    <w:rsid w:val="003B7833"/>
    <w:rsid w:val="003B788B"/>
    <w:rsid w:val="003B79C5"/>
    <w:rsid w:val="003C00B7"/>
    <w:rsid w:val="003C01DC"/>
    <w:rsid w:val="003C027C"/>
    <w:rsid w:val="003C0285"/>
    <w:rsid w:val="003C05A3"/>
    <w:rsid w:val="003C089C"/>
    <w:rsid w:val="003C09EB"/>
    <w:rsid w:val="003C0C00"/>
    <w:rsid w:val="003C0D09"/>
    <w:rsid w:val="003C0D5B"/>
    <w:rsid w:val="003C0EEC"/>
    <w:rsid w:val="003C15BE"/>
    <w:rsid w:val="003C15D2"/>
    <w:rsid w:val="003C1726"/>
    <w:rsid w:val="003C1952"/>
    <w:rsid w:val="003C1E3A"/>
    <w:rsid w:val="003C202B"/>
    <w:rsid w:val="003C23B2"/>
    <w:rsid w:val="003C26B9"/>
    <w:rsid w:val="003C2842"/>
    <w:rsid w:val="003C29C2"/>
    <w:rsid w:val="003C2A02"/>
    <w:rsid w:val="003C2A4D"/>
    <w:rsid w:val="003C2C32"/>
    <w:rsid w:val="003C2DCF"/>
    <w:rsid w:val="003C2EC5"/>
    <w:rsid w:val="003C2F94"/>
    <w:rsid w:val="003C315C"/>
    <w:rsid w:val="003C326E"/>
    <w:rsid w:val="003C3C2C"/>
    <w:rsid w:val="003C3CAF"/>
    <w:rsid w:val="003C4177"/>
    <w:rsid w:val="003C41AE"/>
    <w:rsid w:val="003C430C"/>
    <w:rsid w:val="003C4403"/>
    <w:rsid w:val="003C4579"/>
    <w:rsid w:val="003C4692"/>
    <w:rsid w:val="003C488F"/>
    <w:rsid w:val="003C4BE9"/>
    <w:rsid w:val="003C4D2E"/>
    <w:rsid w:val="003C5149"/>
    <w:rsid w:val="003C54FE"/>
    <w:rsid w:val="003C5E13"/>
    <w:rsid w:val="003C5FF3"/>
    <w:rsid w:val="003C611D"/>
    <w:rsid w:val="003C6234"/>
    <w:rsid w:val="003C62AA"/>
    <w:rsid w:val="003C64C9"/>
    <w:rsid w:val="003C6D4B"/>
    <w:rsid w:val="003C6E60"/>
    <w:rsid w:val="003C710A"/>
    <w:rsid w:val="003C77B7"/>
    <w:rsid w:val="003C77CD"/>
    <w:rsid w:val="003C7987"/>
    <w:rsid w:val="003D04D9"/>
    <w:rsid w:val="003D04F5"/>
    <w:rsid w:val="003D0648"/>
    <w:rsid w:val="003D0930"/>
    <w:rsid w:val="003D0B6F"/>
    <w:rsid w:val="003D10DD"/>
    <w:rsid w:val="003D18E9"/>
    <w:rsid w:val="003D19C2"/>
    <w:rsid w:val="003D1A0E"/>
    <w:rsid w:val="003D1ACC"/>
    <w:rsid w:val="003D250A"/>
    <w:rsid w:val="003D2536"/>
    <w:rsid w:val="003D25D6"/>
    <w:rsid w:val="003D269C"/>
    <w:rsid w:val="003D29A4"/>
    <w:rsid w:val="003D2AEE"/>
    <w:rsid w:val="003D2B63"/>
    <w:rsid w:val="003D2CCD"/>
    <w:rsid w:val="003D3125"/>
    <w:rsid w:val="003D3585"/>
    <w:rsid w:val="003D3669"/>
    <w:rsid w:val="003D3A03"/>
    <w:rsid w:val="003D436F"/>
    <w:rsid w:val="003D4B04"/>
    <w:rsid w:val="003D4F8B"/>
    <w:rsid w:val="003D521B"/>
    <w:rsid w:val="003D5424"/>
    <w:rsid w:val="003D5515"/>
    <w:rsid w:val="003D57B9"/>
    <w:rsid w:val="003D5AE1"/>
    <w:rsid w:val="003D5F00"/>
    <w:rsid w:val="003D6622"/>
    <w:rsid w:val="003D665C"/>
    <w:rsid w:val="003D68E8"/>
    <w:rsid w:val="003D6F21"/>
    <w:rsid w:val="003D6F33"/>
    <w:rsid w:val="003D710F"/>
    <w:rsid w:val="003D73AC"/>
    <w:rsid w:val="003D762E"/>
    <w:rsid w:val="003D7A28"/>
    <w:rsid w:val="003D7C34"/>
    <w:rsid w:val="003E051D"/>
    <w:rsid w:val="003E0836"/>
    <w:rsid w:val="003E0A2E"/>
    <w:rsid w:val="003E0A56"/>
    <w:rsid w:val="003E0B50"/>
    <w:rsid w:val="003E0E7B"/>
    <w:rsid w:val="003E1707"/>
    <w:rsid w:val="003E1BF2"/>
    <w:rsid w:val="003E22B5"/>
    <w:rsid w:val="003E24C5"/>
    <w:rsid w:val="003E2679"/>
    <w:rsid w:val="003E271D"/>
    <w:rsid w:val="003E28AA"/>
    <w:rsid w:val="003E2B40"/>
    <w:rsid w:val="003E2BF7"/>
    <w:rsid w:val="003E2C6D"/>
    <w:rsid w:val="003E2CE8"/>
    <w:rsid w:val="003E2E21"/>
    <w:rsid w:val="003E2F34"/>
    <w:rsid w:val="003E300C"/>
    <w:rsid w:val="003E31C4"/>
    <w:rsid w:val="003E346F"/>
    <w:rsid w:val="003E3556"/>
    <w:rsid w:val="003E35F6"/>
    <w:rsid w:val="003E3661"/>
    <w:rsid w:val="003E38F7"/>
    <w:rsid w:val="003E3B1E"/>
    <w:rsid w:val="003E3B8F"/>
    <w:rsid w:val="003E429A"/>
    <w:rsid w:val="003E44E1"/>
    <w:rsid w:val="003E48E7"/>
    <w:rsid w:val="003E4BA2"/>
    <w:rsid w:val="003E4C49"/>
    <w:rsid w:val="003E5179"/>
    <w:rsid w:val="003E5547"/>
    <w:rsid w:val="003E557B"/>
    <w:rsid w:val="003E56D0"/>
    <w:rsid w:val="003E5774"/>
    <w:rsid w:val="003E5BEB"/>
    <w:rsid w:val="003E644A"/>
    <w:rsid w:val="003E66CA"/>
    <w:rsid w:val="003E66DC"/>
    <w:rsid w:val="003E6809"/>
    <w:rsid w:val="003E6883"/>
    <w:rsid w:val="003E6976"/>
    <w:rsid w:val="003E6CCC"/>
    <w:rsid w:val="003E72B3"/>
    <w:rsid w:val="003E7672"/>
    <w:rsid w:val="003E7762"/>
    <w:rsid w:val="003E7A3A"/>
    <w:rsid w:val="003E7B5A"/>
    <w:rsid w:val="003E7CE1"/>
    <w:rsid w:val="003F00F4"/>
    <w:rsid w:val="003F0402"/>
    <w:rsid w:val="003F065D"/>
    <w:rsid w:val="003F095C"/>
    <w:rsid w:val="003F0C52"/>
    <w:rsid w:val="003F0CF6"/>
    <w:rsid w:val="003F0D8E"/>
    <w:rsid w:val="003F1020"/>
    <w:rsid w:val="003F111E"/>
    <w:rsid w:val="003F11D5"/>
    <w:rsid w:val="003F121E"/>
    <w:rsid w:val="003F123D"/>
    <w:rsid w:val="003F1641"/>
    <w:rsid w:val="003F16BC"/>
    <w:rsid w:val="003F1C40"/>
    <w:rsid w:val="003F1E98"/>
    <w:rsid w:val="003F2070"/>
    <w:rsid w:val="003F2228"/>
    <w:rsid w:val="003F22F9"/>
    <w:rsid w:val="003F24ED"/>
    <w:rsid w:val="003F2631"/>
    <w:rsid w:val="003F387D"/>
    <w:rsid w:val="003F3973"/>
    <w:rsid w:val="003F3D5A"/>
    <w:rsid w:val="003F47C4"/>
    <w:rsid w:val="003F483E"/>
    <w:rsid w:val="003F4BB0"/>
    <w:rsid w:val="003F4C4D"/>
    <w:rsid w:val="003F4D5B"/>
    <w:rsid w:val="003F4FD8"/>
    <w:rsid w:val="003F5023"/>
    <w:rsid w:val="003F5525"/>
    <w:rsid w:val="003F5704"/>
    <w:rsid w:val="003F572A"/>
    <w:rsid w:val="003F57D4"/>
    <w:rsid w:val="003F5878"/>
    <w:rsid w:val="003F58F9"/>
    <w:rsid w:val="003F591E"/>
    <w:rsid w:val="003F5924"/>
    <w:rsid w:val="003F599C"/>
    <w:rsid w:val="003F59E9"/>
    <w:rsid w:val="003F5BF9"/>
    <w:rsid w:val="003F6188"/>
    <w:rsid w:val="003F61E1"/>
    <w:rsid w:val="003F61FE"/>
    <w:rsid w:val="003F6307"/>
    <w:rsid w:val="003F6584"/>
    <w:rsid w:val="003F67EA"/>
    <w:rsid w:val="003F6A9C"/>
    <w:rsid w:val="003F6C50"/>
    <w:rsid w:val="003F6C93"/>
    <w:rsid w:val="003F709F"/>
    <w:rsid w:val="003F7284"/>
    <w:rsid w:val="003F737F"/>
    <w:rsid w:val="003F764B"/>
    <w:rsid w:val="003F76C9"/>
    <w:rsid w:val="003F78BF"/>
    <w:rsid w:val="003F791E"/>
    <w:rsid w:val="003F79D2"/>
    <w:rsid w:val="003F7AF1"/>
    <w:rsid w:val="003F7EC4"/>
    <w:rsid w:val="00400017"/>
    <w:rsid w:val="004000A4"/>
    <w:rsid w:val="004002FF"/>
    <w:rsid w:val="0040053E"/>
    <w:rsid w:val="00400A1F"/>
    <w:rsid w:val="00401098"/>
    <w:rsid w:val="004013B5"/>
    <w:rsid w:val="0040162B"/>
    <w:rsid w:val="00401717"/>
    <w:rsid w:val="00401855"/>
    <w:rsid w:val="0040199E"/>
    <w:rsid w:val="00401BD5"/>
    <w:rsid w:val="00401CA9"/>
    <w:rsid w:val="00402066"/>
    <w:rsid w:val="00402574"/>
    <w:rsid w:val="004026B0"/>
    <w:rsid w:val="00402771"/>
    <w:rsid w:val="00402CC8"/>
    <w:rsid w:val="00402D3B"/>
    <w:rsid w:val="00402D9C"/>
    <w:rsid w:val="00402E03"/>
    <w:rsid w:val="004032AB"/>
    <w:rsid w:val="00403398"/>
    <w:rsid w:val="0040385D"/>
    <w:rsid w:val="00404310"/>
    <w:rsid w:val="00404497"/>
    <w:rsid w:val="0040468C"/>
    <w:rsid w:val="004046B6"/>
    <w:rsid w:val="00404C8D"/>
    <w:rsid w:val="0040530D"/>
    <w:rsid w:val="00405676"/>
    <w:rsid w:val="00405FD6"/>
    <w:rsid w:val="00406176"/>
    <w:rsid w:val="004061EB"/>
    <w:rsid w:val="004062CE"/>
    <w:rsid w:val="00406702"/>
    <w:rsid w:val="00406AAD"/>
    <w:rsid w:val="00406F99"/>
    <w:rsid w:val="00407614"/>
    <w:rsid w:val="0040789A"/>
    <w:rsid w:val="004078CF"/>
    <w:rsid w:val="00407E9E"/>
    <w:rsid w:val="004102EF"/>
    <w:rsid w:val="00410897"/>
    <w:rsid w:val="00410CF3"/>
    <w:rsid w:val="00410F75"/>
    <w:rsid w:val="00411014"/>
    <w:rsid w:val="0041126E"/>
    <w:rsid w:val="0041195F"/>
    <w:rsid w:val="00411963"/>
    <w:rsid w:val="00411D63"/>
    <w:rsid w:val="00411F08"/>
    <w:rsid w:val="00411F21"/>
    <w:rsid w:val="00412036"/>
    <w:rsid w:val="00412318"/>
    <w:rsid w:val="004124E4"/>
    <w:rsid w:val="00412595"/>
    <w:rsid w:val="00412B50"/>
    <w:rsid w:val="00412C05"/>
    <w:rsid w:val="00412C11"/>
    <w:rsid w:val="00412D08"/>
    <w:rsid w:val="00412F98"/>
    <w:rsid w:val="00413261"/>
    <w:rsid w:val="004134BA"/>
    <w:rsid w:val="0041385A"/>
    <w:rsid w:val="00413869"/>
    <w:rsid w:val="004142ED"/>
    <w:rsid w:val="004143A9"/>
    <w:rsid w:val="00414471"/>
    <w:rsid w:val="00414B27"/>
    <w:rsid w:val="00414DCF"/>
    <w:rsid w:val="00415506"/>
    <w:rsid w:val="0041597F"/>
    <w:rsid w:val="004159BE"/>
    <w:rsid w:val="00415A0A"/>
    <w:rsid w:val="00415AAF"/>
    <w:rsid w:val="00415B87"/>
    <w:rsid w:val="00415D68"/>
    <w:rsid w:val="00415E65"/>
    <w:rsid w:val="00415F3F"/>
    <w:rsid w:val="00415F62"/>
    <w:rsid w:val="0041606F"/>
    <w:rsid w:val="004162F8"/>
    <w:rsid w:val="00416361"/>
    <w:rsid w:val="00416510"/>
    <w:rsid w:val="00416B97"/>
    <w:rsid w:val="00416DDA"/>
    <w:rsid w:val="00416DFC"/>
    <w:rsid w:val="004172AE"/>
    <w:rsid w:val="00417669"/>
    <w:rsid w:val="00417CCF"/>
    <w:rsid w:val="00417D5D"/>
    <w:rsid w:val="00417D7D"/>
    <w:rsid w:val="00420190"/>
    <w:rsid w:val="00420555"/>
    <w:rsid w:val="0042067E"/>
    <w:rsid w:val="004207D9"/>
    <w:rsid w:val="00420D93"/>
    <w:rsid w:val="00420F42"/>
    <w:rsid w:val="00421131"/>
    <w:rsid w:val="0042127A"/>
    <w:rsid w:val="004218C7"/>
    <w:rsid w:val="00421A7B"/>
    <w:rsid w:val="00421ADA"/>
    <w:rsid w:val="004220E1"/>
    <w:rsid w:val="00422164"/>
    <w:rsid w:val="0042223C"/>
    <w:rsid w:val="004222A8"/>
    <w:rsid w:val="004227F9"/>
    <w:rsid w:val="0042299B"/>
    <w:rsid w:val="00422AB2"/>
    <w:rsid w:val="00423113"/>
    <w:rsid w:val="00423196"/>
    <w:rsid w:val="00423364"/>
    <w:rsid w:val="004235F6"/>
    <w:rsid w:val="004237BF"/>
    <w:rsid w:val="00423853"/>
    <w:rsid w:val="00423B66"/>
    <w:rsid w:val="00423B8C"/>
    <w:rsid w:val="00423E4A"/>
    <w:rsid w:val="00423F5A"/>
    <w:rsid w:val="00423FDA"/>
    <w:rsid w:val="0042416B"/>
    <w:rsid w:val="00424183"/>
    <w:rsid w:val="00424279"/>
    <w:rsid w:val="00424519"/>
    <w:rsid w:val="004248D3"/>
    <w:rsid w:val="00424C06"/>
    <w:rsid w:val="004257B2"/>
    <w:rsid w:val="004257C0"/>
    <w:rsid w:val="00425B6C"/>
    <w:rsid w:val="00425C1C"/>
    <w:rsid w:val="00425E4C"/>
    <w:rsid w:val="0042627F"/>
    <w:rsid w:val="00426829"/>
    <w:rsid w:val="00426949"/>
    <w:rsid w:val="00426AAC"/>
    <w:rsid w:val="00426B08"/>
    <w:rsid w:val="00426B72"/>
    <w:rsid w:val="00426CA8"/>
    <w:rsid w:val="00427058"/>
    <w:rsid w:val="004271EC"/>
    <w:rsid w:val="0042754A"/>
    <w:rsid w:val="00427872"/>
    <w:rsid w:val="0043000A"/>
    <w:rsid w:val="0043002B"/>
    <w:rsid w:val="00430046"/>
    <w:rsid w:val="00430818"/>
    <w:rsid w:val="00430BA8"/>
    <w:rsid w:val="00430EA7"/>
    <w:rsid w:val="004310D6"/>
    <w:rsid w:val="00431354"/>
    <w:rsid w:val="00431382"/>
    <w:rsid w:val="004313B6"/>
    <w:rsid w:val="004317F8"/>
    <w:rsid w:val="00431940"/>
    <w:rsid w:val="004319C5"/>
    <w:rsid w:val="004319E1"/>
    <w:rsid w:val="00431B99"/>
    <w:rsid w:val="00431C96"/>
    <w:rsid w:val="0043202F"/>
    <w:rsid w:val="004323EB"/>
    <w:rsid w:val="004323F4"/>
    <w:rsid w:val="00432430"/>
    <w:rsid w:val="00432563"/>
    <w:rsid w:val="0043267F"/>
    <w:rsid w:val="00432A6E"/>
    <w:rsid w:val="00433058"/>
    <w:rsid w:val="004332F5"/>
    <w:rsid w:val="004333B4"/>
    <w:rsid w:val="004338B1"/>
    <w:rsid w:val="00433A84"/>
    <w:rsid w:val="00434015"/>
    <w:rsid w:val="004343BF"/>
    <w:rsid w:val="0043448D"/>
    <w:rsid w:val="0043468C"/>
    <w:rsid w:val="00434B16"/>
    <w:rsid w:val="00434BB5"/>
    <w:rsid w:val="00434DB6"/>
    <w:rsid w:val="0043504B"/>
    <w:rsid w:val="004352F5"/>
    <w:rsid w:val="00435662"/>
    <w:rsid w:val="00435910"/>
    <w:rsid w:val="00435B51"/>
    <w:rsid w:val="00435D3B"/>
    <w:rsid w:val="00435D74"/>
    <w:rsid w:val="004364EC"/>
    <w:rsid w:val="004365C0"/>
    <w:rsid w:val="004366DC"/>
    <w:rsid w:val="0043680A"/>
    <w:rsid w:val="00436BC3"/>
    <w:rsid w:val="00436CDF"/>
    <w:rsid w:val="00436E27"/>
    <w:rsid w:val="00437891"/>
    <w:rsid w:val="00437936"/>
    <w:rsid w:val="00440134"/>
    <w:rsid w:val="0044020E"/>
    <w:rsid w:val="00440437"/>
    <w:rsid w:val="004405DC"/>
    <w:rsid w:val="004406F2"/>
    <w:rsid w:val="004409A7"/>
    <w:rsid w:val="00440C73"/>
    <w:rsid w:val="0044129E"/>
    <w:rsid w:val="004412B0"/>
    <w:rsid w:val="004412E8"/>
    <w:rsid w:val="00441366"/>
    <w:rsid w:val="0044142F"/>
    <w:rsid w:val="004414EA"/>
    <w:rsid w:val="004414FD"/>
    <w:rsid w:val="00441804"/>
    <w:rsid w:val="00441840"/>
    <w:rsid w:val="00441A56"/>
    <w:rsid w:val="00441DE7"/>
    <w:rsid w:val="00441E50"/>
    <w:rsid w:val="00441EAD"/>
    <w:rsid w:val="00441FA9"/>
    <w:rsid w:val="004420BA"/>
    <w:rsid w:val="00442103"/>
    <w:rsid w:val="0044239D"/>
    <w:rsid w:val="004426AF"/>
    <w:rsid w:val="004428A1"/>
    <w:rsid w:val="00442A8C"/>
    <w:rsid w:val="004433EF"/>
    <w:rsid w:val="0044392A"/>
    <w:rsid w:val="00443B96"/>
    <w:rsid w:val="00443BA9"/>
    <w:rsid w:val="00443D89"/>
    <w:rsid w:val="00443DA1"/>
    <w:rsid w:val="00443E9F"/>
    <w:rsid w:val="00443F31"/>
    <w:rsid w:val="0044468D"/>
    <w:rsid w:val="00444C05"/>
    <w:rsid w:val="00444EC4"/>
    <w:rsid w:val="004452B8"/>
    <w:rsid w:val="0044552C"/>
    <w:rsid w:val="00445680"/>
    <w:rsid w:val="00445907"/>
    <w:rsid w:val="00445C3B"/>
    <w:rsid w:val="0044617B"/>
    <w:rsid w:val="00446352"/>
    <w:rsid w:val="00446522"/>
    <w:rsid w:val="00446704"/>
    <w:rsid w:val="0044670F"/>
    <w:rsid w:val="004467A8"/>
    <w:rsid w:val="004468B7"/>
    <w:rsid w:val="00446B9C"/>
    <w:rsid w:val="00446C2A"/>
    <w:rsid w:val="00446FC3"/>
    <w:rsid w:val="0044735E"/>
    <w:rsid w:val="00447393"/>
    <w:rsid w:val="004473FE"/>
    <w:rsid w:val="00447788"/>
    <w:rsid w:val="004479F7"/>
    <w:rsid w:val="00447B69"/>
    <w:rsid w:val="00447C08"/>
    <w:rsid w:val="00447C3D"/>
    <w:rsid w:val="00447DE1"/>
    <w:rsid w:val="00450249"/>
    <w:rsid w:val="0045050B"/>
    <w:rsid w:val="0045066E"/>
    <w:rsid w:val="00450B0D"/>
    <w:rsid w:val="00450BF0"/>
    <w:rsid w:val="00450E99"/>
    <w:rsid w:val="00450FA3"/>
    <w:rsid w:val="0045128F"/>
    <w:rsid w:val="004512E3"/>
    <w:rsid w:val="00451501"/>
    <w:rsid w:val="004519C3"/>
    <w:rsid w:val="00452628"/>
    <w:rsid w:val="004527DE"/>
    <w:rsid w:val="00452E2B"/>
    <w:rsid w:val="00453B87"/>
    <w:rsid w:val="00453E0E"/>
    <w:rsid w:val="00453E1B"/>
    <w:rsid w:val="004541CF"/>
    <w:rsid w:val="00454210"/>
    <w:rsid w:val="004547BC"/>
    <w:rsid w:val="00454ECB"/>
    <w:rsid w:val="0045502F"/>
    <w:rsid w:val="00455164"/>
    <w:rsid w:val="004553AD"/>
    <w:rsid w:val="00455471"/>
    <w:rsid w:val="00455829"/>
    <w:rsid w:val="004559DD"/>
    <w:rsid w:val="004559FB"/>
    <w:rsid w:val="00455C6A"/>
    <w:rsid w:val="00455FF1"/>
    <w:rsid w:val="0045607B"/>
    <w:rsid w:val="00456191"/>
    <w:rsid w:val="00456265"/>
    <w:rsid w:val="00456422"/>
    <w:rsid w:val="0045693E"/>
    <w:rsid w:val="00456C68"/>
    <w:rsid w:val="00456E80"/>
    <w:rsid w:val="00456F00"/>
    <w:rsid w:val="00456F6D"/>
    <w:rsid w:val="00457C2E"/>
    <w:rsid w:val="004600FF"/>
    <w:rsid w:val="0046046F"/>
    <w:rsid w:val="004604B3"/>
    <w:rsid w:val="00460D7D"/>
    <w:rsid w:val="00460EE3"/>
    <w:rsid w:val="0046118A"/>
    <w:rsid w:val="00461411"/>
    <w:rsid w:val="00461770"/>
    <w:rsid w:val="00461DE3"/>
    <w:rsid w:val="00461DF5"/>
    <w:rsid w:val="00462192"/>
    <w:rsid w:val="004624DB"/>
    <w:rsid w:val="00462A78"/>
    <w:rsid w:val="00462AF2"/>
    <w:rsid w:val="00462BEE"/>
    <w:rsid w:val="00462C31"/>
    <w:rsid w:val="00462F3A"/>
    <w:rsid w:val="0046304E"/>
    <w:rsid w:val="0046314D"/>
    <w:rsid w:val="004631E5"/>
    <w:rsid w:val="004632F0"/>
    <w:rsid w:val="00463832"/>
    <w:rsid w:val="00463DA8"/>
    <w:rsid w:val="00463FA7"/>
    <w:rsid w:val="00463FF3"/>
    <w:rsid w:val="00464336"/>
    <w:rsid w:val="00464357"/>
    <w:rsid w:val="004646F5"/>
    <w:rsid w:val="00464733"/>
    <w:rsid w:val="00464A5D"/>
    <w:rsid w:val="00464EBD"/>
    <w:rsid w:val="00465264"/>
    <w:rsid w:val="0046565C"/>
    <w:rsid w:val="00465701"/>
    <w:rsid w:val="00465A4D"/>
    <w:rsid w:val="00465ACA"/>
    <w:rsid w:val="00465C5F"/>
    <w:rsid w:val="0046618B"/>
    <w:rsid w:val="004663E9"/>
    <w:rsid w:val="0046641E"/>
    <w:rsid w:val="0046644F"/>
    <w:rsid w:val="004664AB"/>
    <w:rsid w:val="004664E0"/>
    <w:rsid w:val="0046679B"/>
    <w:rsid w:val="00467276"/>
    <w:rsid w:val="00467325"/>
    <w:rsid w:val="004673D7"/>
    <w:rsid w:val="004675E6"/>
    <w:rsid w:val="00467833"/>
    <w:rsid w:val="004679DD"/>
    <w:rsid w:val="00467C97"/>
    <w:rsid w:val="0047027C"/>
    <w:rsid w:val="0047040C"/>
    <w:rsid w:val="004705C5"/>
    <w:rsid w:val="00470703"/>
    <w:rsid w:val="00471030"/>
    <w:rsid w:val="0047172A"/>
    <w:rsid w:val="00471A18"/>
    <w:rsid w:val="00471C21"/>
    <w:rsid w:val="00472029"/>
    <w:rsid w:val="0047206F"/>
    <w:rsid w:val="0047225B"/>
    <w:rsid w:val="0047231C"/>
    <w:rsid w:val="0047272A"/>
    <w:rsid w:val="00472B62"/>
    <w:rsid w:val="00472C51"/>
    <w:rsid w:val="00472EE0"/>
    <w:rsid w:val="00473199"/>
    <w:rsid w:val="0047390B"/>
    <w:rsid w:val="004739EA"/>
    <w:rsid w:val="00473A42"/>
    <w:rsid w:val="00473BCA"/>
    <w:rsid w:val="00473D72"/>
    <w:rsid w:val="00473DC7"/>
    <w:rsid w:val="00474057"/>
    <w:rsid w:val="004740F0"/>
    <w:rsid w:val="0047432F"/>
    <w:rsid w:val="004748C8"/>
    <w:rsid w:val="00474C07"/>
    <w:rsid w:val="00474CA4"/>
    <w:rsid w:val="0047548B"/>
    <w:rsid w:val="004754B5"/>
    <w:rsid w:val="004756C1"/>
    <w:rsid w:val="004759E8"/>
    <w:rsid w:val="00475B2C"/>
    <w:rsid w:val="00475BFE"/>
    <w:rsid w:val="004762BD"/>
    <w:rsid w:val="004767D3"/>
    <w:rsid w:val="00476A37"/>
    <w:rsid w:val="00476C2F"/>
    <w:rsid w:val="00476DCB"/>
    <w:rsid w:val="00476DF7"/>
    <w:rsid w:val="00477317"/>
    <w:rsid w:val="00477355"/>
    <w:rsid w:val="004776AF"/>
    <w:rsid w:val="00477810"/>
    <w:rsid w:val="00477C61"/>
    <w:rsid w:val="00477D81"/>
    <w:rsid w:val="00480505"/>
    <w:rsid w:val="00480512"/>
    <w:rsid w:val="00480B2A"/>
    <w:rsid w:val="0048101A"/>
    <w:rsid w:val="004813F8"/>
    <w:rsid w:val="004817D8"/>
    <w:rsid w:val="00481841"/>
    <w:rsid w:val="004819A8"/>
    <w:rsid w:val="00481F51"/>
    <w:rsid w:val="004823C1"/>
    <w:rsid w:val="0048242C"/>
    <w:rsid w:val="0048273F"/>
    <w:rsid w:val="004828C6"/>
    <w:rsid w:val="004829A1"/>
    <w:rsid w:val="0048319E"/>
    <w:rsid w:val="004835D0"/>
    <w:rsid w:val="00483773"/>
    <w:rsid w:val="00483833"/>
    <w:rsid w:val="004838ED"/>
    <w:rsid w:val="00483DB2"/>
    <w:rsid w:val="00483DF4"/>
    <w:rsid w:val="00484108"/>
    <w:rsid w:val="004841E6"/>
    <w:rsid w:val="004841FA"/>
    <w:rsid w:val="0048458C"/>
    <w:rsid w:val="004847D8"/>
    <w:rsid w:val="004848BA"/>
    <w:rsid w:val="00484955"/>
    <w:rsid w:val="00484D88"/>
    <w:rsid w:val="00484D90"/>
    <w:rsid w:val="00484E03"/>
    <w:rsid w:val="00485123"/>
    <w:rsid w:val="0048524E"/>
    <w:rsid w:val="00485253"/>
    <w:rsid w:val="00485550"/>
    <w:rsid w:val="00485A2D"/>
    <w:rsid w:val="00485C3A"/>
    <w:rsid w:val="00485F20"/>
    <w:rsid w:val="00486034"/>
    <w:rsid w:val="00486133"/>
    <w:rsid w:val="00486150"/>
    <w:rsid w:val="004862FC"/>
    <w:rsid w:val="00486778"/>
    <w:rsid w:val="00486853"/>
    <w:rsid w:val="00486C9E"/>
    <w:rsid w:val="00486D40"/>
    <w:rsid w:val="004874C4"/>
    <w:rsid w:val="004874D9"/>
    <w:rsid w:val="00487894"/>
    <w:rsid w:val="004878DB"/>
    <w:rsid w:val="00487E37"/>
    <w:rsid w:val="00490303"/>
    <w:rsid w:val="0049038A"/>
    <w:rsid w:val="004904E9"/>
    <w:rsid w:val="004905C5"/>
    <w:rsid w:val="0049084C"/>
    <w:rsid w:val="00490A38"/>
    <w:rsid w:val="00490CF9"/>
    <w:rsid w:val="00490F10"/>
    <w:rsid w:val="00490FCD"/>
    <w:rsid w:val="00490FEA"/>
    <w:rsid w:val="0049105D"/>
    <w:rsid w:val="004910AC"/>
    <w:rsid w:val="0049124A"/>
    <w:rsid w:val="00491761"/>
    <w:rsid w:val="00491C26"/>
    <w:rsid w:val="00491CD7"/>
    <w:rsid w:val="0049208C"/>
    <w:rsid w:val="00492146"/>
    <w:rsid w:val="00492484"/>
    <w:rsid w:val="0049250A"/>
    <w:rsid w:val="004929FB"/>
    <w:rsid w:val="004930B8"/>
    <w:rsid w:val="004934DB"/>
    <w:rsid w:val="00493977"/>
    <w:rsid w:val="00493C20"/>
    <w:rsid w:val="00493C89"/>
    <w:rsid w:val="00493C91"/>
    <w:rsid w:val="00493DB1"/>
    <w:rsid w:val="0049424A"/>
    <w:rsid w:val="0049442C"/>
    <w:rsid w:val="0049460D"/>
    <w:rsid w:val="004948A9"/>
    <w:rsid w:val="004948F0"/>
    <w:rsid w:val="004949BC"/>
    <w:rsid w:val="00494A41"/>
    <w:rsid w:val="00494A4D"/>
    <w:rsid w:val="00494EB9"/>
    <w:rsid w:val="0049510F"/>
    <w:rsid w:val="004951D3"/>
    <w:rsid w:val="0049544C"/>
    <w:rsid w:val="004956C0"/>
    <w:rsid w:val="004957C6"/>
    <w:rsid w:val="004959DF"/>
    <w:rsid w:val="00495A0A"/>
    <w:rsid w:val="00496310"/>
    <w:rsid w:val="0049691E"/>
    <w:rsid w:val="00496B13"/>
    <w:rsid w:val="00496D7C"/>
    <w:rsid w:val="004975D9"/>
    <w:rsid w:val="004976C1"/>
    <w:rsid w:val="00497FE7"/>
    <w:rsid w:val="004A00B0"/>
    <w:rsid w:val="004A0557"/>
    <w:rsid w:val="004A0AC0"/>
    <w:rsid w:val="004A0F65"/>
    <w:rsid w:val="004A1DDF"/>
    <w:rsid w:val="004A2128"/>
    <w:rsid w:val="004A21D2"/>
    <w:rsid w:val="004A223A"/>
    <w:rsid w:val="004A33C9"/>
    <w:rsid w:val="004A3790"/>
    <w:rsid w:val="004A389A"/>
    <w:rsid w:val="004A3925"/>
    <w:rsid w:val="004A3F8B"/>
    <w:rsid w:val="004A4023"/>
    <w:rsid w:val="004A447E"/>
    <w:rsid w:val="004A4617"/>
    <w:rsid w:val="004A4792"/>
    <w:rsid w:val="004A4A3E"/>
    <w:rsid w:val="004A4FED"/>
    <w:rsid w:val="004A5062"/>
    <w:rsid w:val="004A52E9"/>
    <w:rsid w:val="004A5350"/>
    <w:rsid w:val="004A5533"/>
    <w:rsid w:val="004A56DA"/>
    <w:rsid w:val="004A5EA6"/>
    <w:rsid w:val="004A5F5E"/>
    <w:rsid w:val="004A5FCD"/>
    <w:rsid w:val="004A64C2"/>
    <w:rsid w:val="004A66E9"/>
    <w:rsid w:val="004A67DE"/>
    <w:rsid w:val="004A6982"/>
    <w:rsid w:val="004A6D83"/>
    <w:rsid w:val="004A705B"/>
    <w:rsid w:val="004A711D"/>
    <w:rsid w:val="004A71EF"/>
    <w:rsid w:val="004A77D8"/>
    <w:rsid w:val="004A7822"/>
    <w:rsid w:val="004A7C03"/>
    <w:rsid w:val="004A7CE3"/>
    <w:rsid w:val="004A7F6F"/>
    <w:rsid w:val="004B02B7"/>
    <w:rsid w:val="004B0591"/>
    <w:rsid w:val="004B0654"/>
    <w:rsid w:val="004B0A10"/>
    <w:rsid w:val="004B0BBC"/>
    <w:rsid w:val="004B10AD"/>
    <w:rsid w:val="004B10B2"/>
    <w:rsid w:val="004B1326"/>
    <w:rsid w:val="004B137F"/>
    <w:rsid w:val="004B1574"/>
    <w:rsid w:val="004B16C0"/>
    <w:rsid w:val="004B1B2E"/>
    <w:rsid w:val="004B1CCA"/>
    <w:rsid w:val="004B2446"/>
    <w:rsid w:val="004B24E3"/>
    <w:rsid w:val="004B25B4"/>
    <w:rsid w:val="004B25D5"/>
    <w:rsid w:val="004B28FF"/>
    <w:rsid w:val="004B2979"/>
    <w:rsid w:val="004B2E3C"/>
    <w:rsid w:val="004B3006"/>
    <w:rsid w:val="004B3599"/>
    <w:rsid w:val="004B3A12"/>
    <w:rsid w:val="004B3B48"/>
    <w:rsid w:val="004B41B3"/>
    <w:rsid w:val="004B421B"/>
    <w:rsid w:val="004B4246"/>
    <w:rsid w:val="004B444D"/>
    <w:rsid w:val="004B46C0"/>
    <w:rsid w:val="004B481F"/>
    <w:rsid w:val="004B49B0"/>
    <w:rsid w:val="004B4A4C"/>
    <w:rsid w:val="004B4EC5"/>
    <w:rsid w:val="004B5161"/>
    <w:rsid w:val="004B516D"/>
    <w:rsid w:val="004B531A"/>
    <w:rsid w:val="004B59FF"/>
    <w:rsid w:val="004B62CB"/>
    <w:rsid w:val="004B6645"/>
    <w:rsid w:val="004B68B0"/>
    <w:rsid w:val="004B6CB9"/>
    <w:rsid w:val="004B7058"/>
    <w:rsid w:val="004B707F"/>
    <w:rsid w:val="004B723E"/>
    <w:rsid w:val="004B77C6"/>
    <w:rsid w:val="004B7B9F"/>
    <w:rsid w:val="004B7DF8"/>
    <w:rsid w:val="004C05C6"/>
    <w:rsid w:val="004C0D24"/>
    <w:rsid w:val="004C0D9D"/>
    <w:rsid w:val="004C12E7"/>
    <w:rsid w:val="004C1C21"/>
    <w:rsid w:val="004C2619"/>
    <w:rsid w:val="004C26DF"/>
    <w:rsid w:val="004C27A5"/>
    <w:rsid w:val="004C293B"/>
    <w:rsid w:val="004C2BAA"/>
    <w:rsid w:val="004C2F93"/>
    <w:rsid w:val="004C3BD1"/>
    <w:rsid w:val="004C3E39"/>
    <w:rsid w:val="004C3E45"/>
    <w:rsid w:val="004C4BE5"/>
    <w:rsid w:val="004C4F26"/>
    <w:rsid w:val="004C509C"/>
    <w:rsid w:val="004C5205"/>
    <w:rsid w:val="004C553C"/>
    <w:rsid w:val="004C5981"/>
    <w:rsid w:val="004C5D68"/>
    <w:rsid w:val="004C5EC5"/>
    <w:rsid w:val="004C5F9E"/>
    <w:rsid w:val="004C5FAA"/>
    <w:rsid w:val="004C609B"/>
    <w:rsid w:val="004C6188"/>
    <w:rsid w:val="004C6591"/>
    <w:rsid w:val="004C67C0"/>
    <w:rsid w:val="004C696E"/>
    <w:rsid w:val="004C6D29"/>
    <w:rsid w:val="004C70EB"/>
    <w:rsid w:val="004C72F3"/>
    <w:rsid w:val="004C7D57"/>
    <w:rsid w:val="004C7ED1"/>
    <w:rsid w:val="004D0D30"/>
    <w:rsid w:val="004D1412"/>
    <w:rsid w:val="004D1424"/>
    <w:rsid w:val="004D1836"/>
    <w:rsid w:val="004D1915"/>
    <w:rsid w:val="004D197A"/>
    <w:rsid w:val="004D201C"/>
    <w:rsid w:val="004D21F7"/>
    <w:rsid w:val="004D23FC"/>
    <w:rsid w:val="004D25BC"/>
    <w:rsid w:val="004D2684"/>
    <w:rsid w:val="004D2878"/>
    <w:rsid w:val="004D2BB3"/>
    <w:rsid w:val="004D2DE2"/>
    <w:rsid w:val="004D366F"/>
    <w:rsid w:val="004D3BBC"/>
    <w:rsid w:val="004D4158"/>
    <w:rsid w:val="004D419E"/>
    <w:rsid w:val="004D4B0F"/>
    <w:rsid w:val="004D4C55"/>
    <w:rsid w:val="004D4F28"/>
    <w:rsid w:val="004D4F67"/>
    <w:rsid w:val="004D4FD6"/>
    <w:rsid w:val="004D55DB"/>
    <w:rsid w:val="004D5A2F"/>
    <w:rsid w:val="004D5DD6"/>
    <w:rsid w:val="004D62B9"/>
    <w:rsid w:val="004D633A"/>
    <w:rsid w:val="004D63BE"/>
    <w:rsid w:val="004D658B"/>
    <w:rsid w:val="004D6674"/>
    <w:rsid w:val="004D6677"/>
    <w:rsid w:val="004D68F7"/>
    <w:rsid w:val="004D776C"/>
    <w:rsid w:val="004D7FD0"/>
    <w:rsid w:val="004E02B3"/>
    <w:rsid w:val="004E03AB"/>
    <w:rsid w:val="004E0812"/>
    <w:rsid w:val="004E081D"/>
    <w:rsid w:val="004E0862"/>
    <w:rsid w:val="004E093C"/>
    <w:rsid w:val="004E101A"/>
    <w:rsid w:val="004E1555"/>
    <w:rsid w:val="004E1654"/>
    <w:rsid w:val="004E16DF"/>
    <w:rsid w:val="004E173B"/>
    <w:rsid w:val="004E1B7A"/>
    <w:rsid w:val="004E2405"/>
    <w:rsid w:val="004E2458"/>
    <w:rsid w:val="004E254B"/>
    <w:rsid w:val="004E2645"/>
    <w:rsid w:val="004E2A71"/>
    <w:rsid w:val="004E2CA4"/>
    <w:rsid w:val="004E2CE0"/>
    <w:rsid w:val="004E30FB"/>
    <w:rsid w:val="004E3270"/>
    <w:rsid w:val="004E34BF"/>
    <w:rsid w:val="004E3705"/>
    <w:rsid w:val="004E3B64"/>
    <w:rsid w:val="004E40F6"/>
    <w:rsid w:val="004E4162"/>
    <w:rsid w:val="004E46A2"/>
    <w:rsid w:val="004E4B37"/>
    <w:rsid w:val="004E4C9C"/>
    <w:rsid w:val="004E4FB2"/>
    <w:rsid w:val="004E5293"/>
    <w:rsid w:val="004E5A4B"/>
    <w:rsid w:val="004E5F70"/>
    <w:rsid w:val="004E63E8"/>
    <w:rsid w:val="004E63ED"/>
    <w:rsid w:val="004E64B8"/>
    <w:rsid w:val="004E6AE3"/>
    <w:rsid w:val="004E6BF5"/>
    <w:rsid w:val="004E6C6C"/>
    <w:rsid w:val="004E70C4"/>
    <w:rsid w:val="004E77A7"/>
    <w:rsid w:val="004E7835"/>
    <w:rsid w:val="004E7976"/>
    <w:rsid w:val="004E7B58"/>
    <w:rsid w:val="004E7BF0"/>
    <w:rsid w:val="004E7C10"/>
    <w:rsid w:val="004E7F77"/>
    <w:rsid w:val="004F0067"/>
    <w:rsid w:val="004F06DE"/>
    <w:rsid w:val="004F08BC"/>
    <w:rsid w:val="004F0A83"/>
    <w:rsid w:val="004F0A9C"/>
    <w:rsid w:val="004F0BF9"/>
    <w:rsid w:val="004F0C39"/>
    <w:rsid w:val="004F0C6D"/>
    <w:rsid w:val="004F0F95"/>
    <w:rsid w:val="004F0FA2"/>
    <w:rsid w:val="004F11DE"/>
    <w:rsid w:val="004F1269"/>
    <w:rsid w:val="004F1412"/>
    <w:rsid w:val="004F148E"/>
    <w:rsid w:val="004F1A5C"/>
    <w:rsid w:val="004F1BBB"/>
    <w:rsid w:val="004F1D06"/>
    <w:rsid w:val="004F1EE9"/>
    <w:rsid w:val="004F2529"/>
    <w:rsid w:val="004F2797"/>
    <w:rsid w:val="004F2B37"/>
    <w:rsid w:val="004F32EA"/>
    <w:rsid w:val="004F34E9"/>
    <w:rsid w:val="004F3658"/>
    <w:rsid w:val="004F365E"/>
    <w:rsid w:val="004F3906"/>
    <w:rsid w:val="004F3F42"/>
    <w:rsid w:val="004F405A"/>
    <w:rsid w:val="004F42A8"/>
    <w:rsid w:val="004F48A6"/>
    <w:rsid w:val="004F48DD"/>
    <w:rsid w:val="004F495D"/>
    <w:rsid w:val="004F4BD1"/>
    <w:rsid w:val="004F4EBA"/>
    <w:rsid w:val="004F51A4"/>
    <w:rsid w:val="004F5276"/>
    <w:rsid w:val="004F59F4"/>
    <w:rsid w:val="004F5A8A"/>
    <w:rsid w:val="004F5BA3"/>
    <w:rsid w:val="004F5DC1"/>
    <w:rsid w:val="004F603C"/>
    <w:rsid w:val="004F73DB"/>
    <w:rsid w:val="004F7453"/>
    <w:rsid w:val="004F76AD"/>
    <w:rsid w:val="004F77B3"/>
    <w:rsid w:val="004F7D38"/>
    <w:rsid w:val="004F7D3A"/>
    <w:rsid w:val="00500556"/>
    <w:rsid w:val="00500D62"/>
    <w:rsid w:val="00500E28"/>
    <w:rsid w:val="00500F6F"/>
    <w:rsid w:val="0050117B"/>
    <w:rsid w:val="005011A4"/>
    <w:rsid w:val="00501202"/>
    <w:rsid w:val="00501250"/>
    <w:rsid w:val="0050146D"/>
    <w:rsid w:val="005017E8"/>
    <w:rsid w:val="00501C37"/>
    <w:rsid w:val="00501D3C"/>
    <w:rsid w:val="00501D8A"/>
    <w:rsid w:val="00501E69"/>
    <w:rsid w:val="00501F7D"/>
    <w:rsid w:val="00502BFF"/>
    <w:rsid w:val="00502D2B"/>
    <w:rsid w:val="00502DF5"/>
    <w:rsid w:val="00502F06"/>
    <w:rsid w:val="00503231"/>
    <w:rsid w:val="00503F81"/>
    <w:rsid w:val="00504075"/>
    <w:rsid w:val="0050437D"/>
    <w:rsid w:val="005045D6"/>
    <w:rsid w:val="005049F5"/>
    <w:rsid w:val="00504A20"/>
    <w:rsid w:val="00504F13"/>
    <w:rsid w:val="00504F28"/>
    <w:rsid w:val="0050505A"/>
    <w:rsid w:val="00505596"/>
    <w:rsid w:val="0050599B"/>
    <w:rsid w:val="00505BDF"/>
    <w:rsid w:val="00505C31"/>
    <w:rsid w:val="00505CDB"/>
    <w:rsid w:val="0050645A"/>
    <w:rsid w:val="00506630"/>
    <w:rsid w:val="00506A11"/>
    <w:rsid w:val="00506EAE"/>
    <w:rsid w:val="005075B2"/>
    <w:rsid w:val="0050781A"/>
    <w:rsid w:val="00507A0A"/>
    <w:rsid w:val="00507B49"/>
    <w:rsid w:val="0051032A"/>
    <w:rsid w:val="0051054D"/>
    <w:rsid w:val="005106DD"/>
    <w:rsid w:val="005109DD"/>
    <w:rsid w:val="00510C0C"/>
    <w:rsid w:val="00510D7A"/>
    <w:rsid w:val="00511128"/>
    <w:rsid w:val="00511332"/>
    <w:rsid w:val="005113E3"/>
    <w:rsid w:val="00511675"/>
    <w:rsid w:val="00511ABF"/>
    <w:rsid w:val="005120A8"/>
    <w:rsid w:val="00512926"/>
    <w:rsid w:val="00513178"/>
    <w:rsid w:val="005131FC"/>
    <w:rsid w:val="0051325E"/>
    <w:rsid w:val="00513450"/>
    <w:rsid w:val="00513454"/>
    <w:rsid w:val="005134AB"/>
    <w:rsid w:val="00513563"/>
    <w:rsid w:val="005135B1"/>
    <w:rsid w:val="005136AC"/>
    <w:rsid w:val="005138F4"/>
    <w:rsid w:val="005141FC"/>
    <w:rsid w:val="0051432A"/>
    <w:rsid w:val="005145CB"/>
    <w:rsid w:val="005146AD"/>
    <w:rsid w:val="005148B0"/>
    <w:rsid w:val="0051492B"/>
    <w:rsid w:val="00514BDB"/>
    <w:rsid w:val="0051513B"/>
    <w:rsid w:val="00515162"/>
    <w:rsid w:val="005151DE"/>
    <w:rsid w:val="005152B5"/>
    <w:rsid w:val="00515346"/>
    <w:rsid w:val="005155ED"/>
    <w:rsid w:val="005156CD"/>
    <w:rsid w:val="00515889"/>
    <w:rsid w:val="00515FBC"/>
    <w:rsid w:val="005161F2"/>
    <w:rsid w:val="00516427"/>
    <w:rsid w:val="0051643E"/>
    <w:rsid w:val="00516886"/>
    <w:rsid w:val="00516DD0"/>
    <w:rsid w:val="00516E96"/>
    <w:rsid w:val="00517090"/>
    <w:rsid w:val="0051718E"/>
    <w:rsid w:val="00517621"/>
    <w:rsid w:val="00517628"/>
    <w:rsid w:val="0051770C"/>
    <w:rsid w:val="00517E33"/>
    <w:rsid w:val="00517EFE"/>
    <w:rsid w:val="00520050"/>
    <w:rsid w:val="00520ECB"/>
    <w:rsid w:val="00520FBA"/>
    <w:rsid w:val="005211F5"/>
    <w:rsid w:val="00521448"/>
    <w:rsid w:val="00521528"/>
    <w:rsid w:val="0052170B"/>
    <w:rsid w:val="005219DD"/>
    <w:rsid w:val="00521B58"/>
    <w:rsid w:val="00521E2E"/>
    <w:rsid w:val="005221A4"/>
    <w:rsid w:val="005221D6"/>
    <w:rsid w:val="0052239C"/>
    <w:rsid w:val="00522468"/>
    <w:rsid w:val="005226D8"/>
    <w:rsid w:val="00522968"/>
    <w:rsid w:val="005229CA"/>
    <w:rsid w:val="005232C5"/>
    <w:rsid w:val="005236AC"/>
    <w:rsid w:val="00523928"/>
    <w:rsid w:val="00523FDA"/>
    <w:rsid w:val="0052420A"/>
    <w:rsid w:val="0052459F"/>
    <w:rsid w:val="00524618"/>
    <w:rsid w:val="00524922"/>
    <w:rsid w:val="0052498C"/>
    <w:rsid w:val="00524A14"/>
    <w:rsid w:val="00524A42"/>
    <w:rsid w:val="00524AA2"/>
    <w:rsid w:val="00524CB8"/>
    <w:rsid w:val="00524E5E"/>
    <w:rsid w:val="00525037"/>
    <w:rsid w:val="005250CA"/>
    <w:rsid w:val="005253AB"/>
    <w:rsid w:val="005255A4"/>
    <w:rsid w:val="00525B0A"/>
    <w:rsid w:val="00525B31"/>
    <w:rsid w:val="00525EA4"/>
    <w:rsid w:val="0052606D"/>
    <w:rsid w:val="005261D5"/>
    <w:rsid w:val="005262B8"/>
    <w:rsid w:val="00526A69"/>
    <w:rsid w:val="00526F05"/>
    <w:rsid w:val="00526F23"/>
    <w:rsid w:val="00527038"/>
    <w:rsid w:val="0052715D"/>
    <w:rsid w:val="0052757E"/>
    <w:rsid w:val="0052793A"/>
    <w:rsid w:val="005279B9"/>
    <w:rsid w:val="00527AF3"/>
    <w:rsid w:val="00527C50"/>
    <w:rsid w:val="00527D94"/>
    <w:rsid w:val="005300FD"/>
    <w:rsid w:val="00530334"/>
    <w:rsid w:val="00530791"/>
    <w:rsid w:val="0053092B"/>
    <w:rsid w:val="00530947"/>
    <w:rsid w:val="00530951"/>
    <w:rsid w:val="00530A2E"/>
    <w:rsid w:val="00530A6B"/>
    <w:rsid w:val="00530ADB"/>
    <w:rsid w:val="005310BA"/>
    <w:rsid w:val="0053184B"/>
    <w:rsid w:val="005319A7"/>
    <w:rsid w:val="00532612"/>
    <w:rsid w:val="00532A3A"/>
    <w:rsid w:val="00532D56"/>
    <w:rsid w:val="00532EC9"/>
    <w:rsid w:val="00532F47"/>
    <w:rsid w:val="00533127"/>
    <w:rsid w:val="005332C5"/>
    <w:rsid w:val="00533921"/>
    <w:rsid w:val="00533D7E"/>
    <w:rsid w:val="00533ED7"/>
    <w:rsid w:val="0053408C"/>
    <w:rsid w:val="00534712"/>
    <w:rsid w:val="00534738"/>
    <w:rsid w:val="0053473E"/>
    <w:rsid w:val="005348BC"/>
    <w:rsid w:val="00534F2B"/>
    <w:rsid w:val="005357A7"/>
    <w:rsid w:val="00535853"/>
    <w:rsid w:val="005359D6"/>
    <w:rsid w:val="00535A51"/>
    <w:rsid w:val="00535D55"/>
    <w:rsid w:val="00535E17"/>
    <w:rsid w:val="00535E41"/>
    <w:rsid w:val="0053615C"/>
    <w:rsid w:val="0053620C"/>
    <w:rsid w:val="00536B5A"/>
    <w:rsid w:val="00536CED"/>
    <w:rsid w:val="00536DFF"/>
    <w:rsid w:val="00537151"/>
    <w:rsid w:val="00537303"/>
    <w:rsid w:val="00537306"/>
    <w:rsid w:val="005373D9"/>
    <w:rsid w:val="0053793A"/>
    <w:rsid w:val="0053796C"/>
    <w:rsid w:val="00537C1F"/>
    <w:rsid w:val="00537C7A"/>
    <w:rsid w:val="00537E08"/>
    <w:rsid w:val="00537ED2"/>
    <w:rsid w:val="005400E8"/>
    <w:rsid w:val="0054012D"/>
    <w:rsid w:val="005405DA"/>
    <w:rsid w:val="0054078A"/>
    <w:rsid w:val="00540881"/>
    <w:rsid w:val="005408E6"/>
    <w:rsid w:val="00540A79"/>
    <w:rsid w:val="00540AB3"/>
    <w:rsid w:val="00540F06"/>
    <w:rsid w:val="0054126F"/>
    <w:rsid w:val="005415E9"/>
    <w:rsid w:val="005418F2"/>
    <w:rsid w:val="00541B89"/>
    <w:rsid w:val="00541E21"/>
    <w:rsid w:val="00541E78"/>
    <w:rsid w:val="0054213C"/>
    <w:rsid w:val="00542142"/>
    <w:rsid w:val="00542200"/>
    <w:rsid w:val="00542500"/>
    <w:rsid w:val="00542893"/>
    <w:rsid w:val="00542920"/>
    <w:rsid w:val="00542C31"/>
    <w:rsid w:val="00542F6B"/>
    <w:rsid w:val="0054326A"/>
    <w:rsid w:val="00543772"/>
    <w:rsid w:val="00543911"/>
    <w:rsid w:val="00543BA6"/>
    <w:rsid w:val="00543CF6"/>
    <w:rsid w:val="00543F23"/>
    <w:rsid w:val="00543F88"/>
    <w:rsid w:val="005444E4"/>
    <w:rsid w:val="005449FC"/>
    <w:rsid w:val="00544DB6"/>
    <w:rsid w:val="00544ED3"/>
    <w:rsid w:val="005451F4"/>
    <w:rsid w:val="00545462"/>
    <w:rsid w:val="00545907"/>
    <w:rsid w:val="0054596B"/>
    <w:rsid w:val="005459FE"/>
    <w:rsid w:val="00545ADB"/>
    <w:rsid w:val="0054670F"/>
    <w:rsid w:val="00546755"/>
    <w:rsid w:val="00546759"/>
    <w:rsid w:val="005467A8"/>
    <w:rsid w:val="00546BCB"/>
    <w:rsid w:val="00546D7A"/>
    <w:rsid w:val="00546E6B"/>
    <w:rsid w:val="0054713D"/>
    <w:rsid w:val="005475B5"/>
    <w:rsid w:val="005475C2"/>
    <w:rsid w:val="0054794F"/>
    <w:rsid w:val="00547B83"/>
    <w:rsid w:val="00547C2A"/>
    <w:rsid w:val="005501B6"/>
    <w:rsid w:val="005503E0"/>
    <w:rsid w:val="0055053D"/>
    <w:rsid w:val="0055079F"/>
    <w:rsid w:val="00550B28"/>
    <w:rsid w:val="00550C25"/>
    <w:rsid w:val="00550F35"/>
    <w:rsid w:val="00551325"/>
    <w:rsid w:val="0055162D"/>
    <w:rsid w:val="00551BD8"/>
    <w:rsid w:val="00551BFD"/>
    <w:rsid w:val="00551EF4"/>
    <w:rsid w:val="00552353"/>
    <w:rsid w:val="005525B4"/>
    <w:rsid w:val="005527D5"/>
    <w:rsid w:val="00552C4E"/>
    <w:rsid w:val="0055301D"/>
    <w:rsid w:val="0055304C"/>
    <w:rsid w:val="005532E5"/>
    <w:rsid w:val="00553545"/>
    <w:rsid w:val="0055380F"/>
    <w:rsid w:val="00553EE2"/>
    <w:rsid w:val="00553F10"/>
    <w:rsid w:val="0055404F"/>
    <w:rsid w:val="0055428D"/>
    <w:rsid w:val="005542B1"/>
    <w:rsid w:val="005546BA"/>
    <w:rsid w:val="005546C4"/>
    <w:rsid w:val="00554A5D"/>
    <w:rsid w:val="00554AC3"/>
    <w:rsid w:val="00554B2A"/>
    <w:rsid w:val="00554E80"/>
    <w:rsid w:val="00554EA4"/>
    <w:rsid w:val="00554FCF"/>
    <w:rsid w:val="00555754"/>
    <w:rsid w:val="00555A7E"/>
    <w:rsid w:val="00555AD6"/>
    <w:rsid w:val="00555BC1"/>
    <w:rsid w:val="00556049"/>
    <w:rsid w:val="005565C6"/>
    <w:rsid w:val="00556703"/>
    <w:rsid w:val="00556ACD"/>
    <w:rsid w:val="00556F01"/>
    <w:rsid w:val="0055701B"/>
    <w:rsid w:val="00557511"/>
    <w:rsid w:val="0055757D"/>
    <w:rsid w:val="00557784"/>
    <w:rsid w:val="0055782D"/>
    <w:rsid w:val="0055799F"/>
    <w:rsid w:val="00557B38"/>
    <w:rsid w:val="00557B91"/>
    <w:rsid w:val="005600F1"/>
    <w:rsid w:val="00560695"/>
    <w:rsid w:val="0056070B"/>
    <w:rsid w:val="00560A24"/>
    <w:rsid w:val="00560B4D"/>
    <w:rsid w:val="00560B87"/>
    <w:rsid w:val="00560FE3"/>
    <w:rsid w:val="005610BB"/>
    <w:rsid w:val="00561260"/>
    <w:rsid w:val="00561368"/>
    <w:rsid w:val="005613F5"/>
    <w:rsid w:val="00561B38"/>
    <w:rsid w:val="00561B44"/>
    <w:rsid w:val="00561D4F"/>
    <w:rsid w:val="00561E9D"/>
    <w:rsid w:val="005627C2"/>
    <w:rsid w:val="00562A96"/>
    <w:rsid w:val="00562CE0"/>
    <w:rsid w:val="00562F68"/>
    <w:rsid w:val="00563395"/>
    <w:rsid w:val="00563CFD"/>
    <w:rsid w:val="00563E4F"/>
    <w:rsid w:val="00563EF4"/>
    <w:rsid w:val="00563FCF"/>
    <w:rsid w:val="0056420F"/>
    <w:rsid w:val="0056424C"/>
    <w:rsid w:val="005642CE"/>
    <w:rsid w:val="005642EC"/>
    <w:rsid w:val="0056436D"/>
    <w:rsid w:val="0056450E"/>
    <w:rsid w:val="005646FC"/>
    <w:rsid w:val="00564923"/>
    <w:rsid w:val="00564E94"/>
    <w:rsid w:val="00564F0F"/>
    <w:rsid w:val="00564F17"/>
    <w:rsid w:val="00565317"/>
    <w:rsid w:val="005658BB"/>
    <w:rsid w:val="00565A35"/>
    <w:rsid w:val="00565EC6"/>
    <w:rsid w:val="00566670"/>
    <w:rsid w:val="005667EC"/>
    <w:rsid w:val="00566BCA"/>
    <w:rsid w:val="00566C71"/>
    <w:rsid w:val="0056745E"/>
    <w:rsid w:val="005674C4"/>
    <w:rsid w:val="0056753C"/>
    <w:rsid w:val="005675D6"/>
    <w:rsid w:val="00567A65"/>
    <w:rsid w:val="00567AC0"/>
    <w:rsid w:val="0057038A"/>
    <w:rsid w:val="00570AA0"/>
    <w:rsid w:val="00570AF4"/>
    <w:rsid w:val="00570AF9"/>
    <w:rsid w:val="00570DC2"/>
    <w:rsid w:val="00570E56"/>
    <w:rsid w:val="00570EC1"/>
    <w:rsid w:val="005712A8"/>
    <w:rsid w:val="0057178F"/>
    <w:rsid w:val="00572581"/>
    <w:rsid w:val="00572993"/>
    <w:rsid w:val="00572F28"/>
    <w:rsid w:val="005731E5"/>
    <w:rsid w:val="00573678"/>
    <w:rsid w:val="00573765"/>
    <w:rsid w:val="00573C1B"/>
    <w:rsid w:val="00573E0C"/>
    <w:rsid w:val="00573E17"/>
    <w:rsid w:val="00574077"/>
    <w:rsid w:val="00574284"/>
    <w:rsid w:val="005743E2"/>
    <w:rsid w:val="00574EAA"/>
    <w:rsid w:val="00574FF0"/>
    <w:rsid w:val="00575345"/>
    <w:rsid w:val="00575623"/>
    <w:rsid w:val="00575B30"/>
    <w:rsid w:val="00575C09"/>
    <w:rsid w:val="00575C52"/>
    <w:rsid w:val="00575CD9"/>
    <w:rsid w:val="00575D7E"/>
    <w:rsid w:val="00575DF7"/>
    <w:rsid w:val="00575E95"/>
    <w:rsid w:val="00575F9B"/>
    <w:rsid w:val="0057613C"/>
    <w:rsid w:val="005767D6"/>
    <w:rsid w:val="00576884"/>
    <w:rsid w:val="00576898"/>
    <w:rsid w:val="00576923"/>
    <w:rsid w:val="005769F4"/>
    <w:rsid w:val="00576A43"/>
    <w:rsid w:val="00577095"/>
    <w:rsid w:val="0057749C"/>
    <w:rsid w:val="0057754E"/>
    <w:rsid w:val="00577923"/>
    <w:rsid w:val="0058063A"/>
    <w:rsid w:val="0058090E"/>
    <w:rsid w:val="005809F5"/>
    <w:rsid w:val="00580BC6"/>
    <w:rsid w:val="005811FA"/>
    <w:rsid w:val="00581315"/>
    <w:rsid w:val="0058161E"/>
    <w:rsid w:val="00581628"/>
    <w:rsid w:val="00581671"/>
    <w:rsid w:val="005817E4"/>
    <w:rsid w:val="00581878"/>
    <w:rsid w:val="005820CC"/>
    <w:rsid w:val="0058215A"/>
    <w:rsid w:val="00582326"/>
    <w:rsid w:val="0058276D"/>
    <w:rsid w:val="005827A7"/>
    <w:rsid w:val="005827CF"/>
    <w:rsid w:val="00582DCC"/>
    <w:rsid w:val="00582E55"/>
    <w:rsid w:val="00582F6E"/>
    <w:rsid w:val="00582FC8"/>
    <w:rsid w:val="00582FE0"/>
    <w:rsid w:val="0058301D"/>
    <w:rsid w:val="005832B0"/>
    <w:rsid w:val="00583929"/>
    <w:rsid w:val="00583BB3"/>
    <w:rsid w:val="005840A3"/>
    <w:rsid w:val="005841F7"/>
    <w:rsid w:val="005843C1"/>
    <w:rsid w:val="00584402"/>
    <w:rsid w:val="0058441D"/>
    <w:rsid w:val="00584558"/>
    <w:rsid w:val="0058481C"/>
    <w:rsid w:val="005848C4"/>
    <w:rsid w:val="00584B53"/>
    <w:rsid w:val="00585509"/>
    <w:rsid w:val="005856AD"/>
    <w:rsid w:val="005857CB"/>
    <w:rsid w:val="005858C9"/>
    <w:rsid w:val="00585B92"/>
    <w:rsid w:val="00585BEB"/>
    <w:rsid w:val="00585E72"/>
    <w:rsid w:val="00585E8A"/>
    <w:rsid w:val="00585EEC"/>
    <w:rsid w:val="00585F70"/>
    <w:rsid w:val="0058627E"/>
    <w:rsid w:val="00586587"/>
    <w:rsid w:val="0058698B"/>
    <w:rsid w:val="00586AC7"/>
    <w:rsid w:val="00586C30"/>
    <w:rsid w:val="00586CB6"/>
    <w:rsid w:val="00587460"/>
    <w:rsid w:val="005875D6"/>
    <w:rsid w:val="00587605"/>
    <w:rsid w:val="005877D0"/>
    <w:rsid w:val="005902A4"/>
    <w:rsid w:val="005903C7"/>
    <w:rsid w:val="0059045B"/>
    <w:rsid w:val="005906A2"/>
    <w:rsid w:val="00590772"/>
    <w:rsid w:val="00590A84"/>
    <w:rsid w:val="00590B37"/>
    <w:rsid w:val="00590EB9"/>
    <w:rsid w:val="00590EE6"/>
    <w:rsid w:val="00590F2D"/>
    <w:rsid w:val="00591122"/>
    <w:rsid w:val="00591269"/>
    <w:rsid w:val="005913E3"/>
    <w:rsid w:val="00591454"/>
    <w:rsid w:val="0059145D"/>
    <w:rsid w:val="005915D2"/>
    <w:rsid w:val="00591690"/>
    <w:rsid w:val="0059170E"/>
    <w:rsid w:val="00591967"/>
    <w:rsid w:val="00591CFD"/>
    <w:rsid w:val="00592205"/>
    <w:rsid w:val="005923C2"/>
    <w:rsid w:val="0059240A"/>
    <w:rsid w:val="0059246E"/>
    <w:rsid w:val="0059255F"/>
    <w:rsid w:val="005925CD"/>
    <w:rsid w:val="00592A22"/>
    <w:rsid w:val="00592C4C"/>
    <w:rsid w:val="00592FC2"/>
    <w:rsid w:val="0059320A"/>
    <w:rsid w:val="00593798"/>
    <w:rsid w:val="005938A5"/>
    <w:rsid w:val="00593BB8"/>
    <w:rsid w:val="00594200"/>
    <w:rsid w:val="0059435A"/>
    <w:rsid w:val="005945D7"/>
    <w:rsid w:val="005947C6"/>
    <w:rsid w:val="005948E9"/>
    <w:rsid w:val="00594B9F"/>
    <w:rsid w:val="00594F94"/>
    <w:rsid w:val="00594FA7"/>
    <w:rsid w:val="00594FE7"/>
    <w:rsid w:val="005951AA"/>
    <w:rsid w:val="005955F6"/>
    <w:rsid w:val="005959A5"/>
    <w:rsid w:val="005959E1"/>
    <w:rsid w:val="00595CFD"/>
    <w:rsid w:val="00595CFF"/>
    <w:rsid w:val="00595D40"/>
    <w:rsid w:val="00595DF8"/>
    <w:rsid w:val="00595E1D"/>
    <w:rsid w:val="0059632D"/>
    <w:rsid w:val="00596424"/>
    <w:rsid w:val="00596519"/>
    <w:rsid w:val="00596731"/>
    <w:rsid w:val="00596B03"/>
    <w:rsid w:val="00596CFB"/>
    <w:rsid w:val="00596E0F"/>
    <w:rsid w:val="00596F8B"/>
    <w:rsid w:val="00597236"/>
    <w:rsid w:val="005973D0"/>
    <w:rsid w:val="00597558"/>
    <w:rsid w:val="00597A62"/>
    <w:rsid w:val="00597B16"/>
    <w:rsid w:val="00597DFB"/>
    <w:rsid w:val="00597E5D"/>
    <w:rsid w:val="005A00F3"/>
    <w:rsid w:val="005A0158"/>
    <w:rsid w:val="005A01EC"/>
    <w:rsid w:val="005A035A"/>
    <w:rsid w:val="005A04E9"/>
    <w:rsid w:val="005A04FD"/>
    <w:rsid w:val="005A06B7"/>
    <w:rsid w:val="005A0C35"/>
    <w:rsid w:val="005A0F12"/>
    <w:rsid w:val="005A11F6"/>
    <w:rsid w:val="005A1E28"/>
    <w:rsid w:val="005A2137"/>
    <w:rsid w:val="005A23A1"/>
    <w:rsid w:val="005A253A"/>
    <w:rsid w:val="005A282D"/>
    <w:rsid w:val="005A2863"/>
    <w:rsid w:val="005A2B44"/>
    <w:rsid w:val="005A2EF0"/>
    <w:rsid w:val="005A30ED"/>
    <w:rsid w:val="005A3B39"/>
    <w:rsid w:val="005A3B72"/>
    <w:rsid w:val="005A3FB8"/>
    <w:rsid w:val="005A4079"/>
    <w:rsid w:val="005A431C"/>
    <w:rsid w:val="005A4416"/>
    <w:rsid w:val="005A4965"/>
    <w:rsid w:val="005A4ECE"/>
    <w:rsid w:val="005A52F2"/>
    <w:rsid w:val="005A533A"/>
    <w:rsid w:val="005A545F"/>
    <w:rsid w:val="005A54AC"/>
    <w:rsid w:val="005A56E0"/>
    <w:rsid w:val="005A58EA"/>
    <w:rsid w:val="005A5A90"/>
    <w:rsid w:val="005A5EF6"/>
    <w:rsid w:val="005A5FD1"/>
    <w:rsid w:val="005A659A"/>
    <w:rsid w:val="005A6860"/>
    <w:rsid w:val="005A68F5"/>
    <w:rsid w:val="005A69D8"/>
    <w:rsid w:val="005A6DBB"/>
    <w:rsid w:val="005A6E0D"/>
    <w:rsid w:val="005A6E39"/>
    <w:rsid w:val="005A6F8A"/>
    <w:rsid w:val="005A6FC7"/>
    <w:rsid w:val="005A7280"/>
    <w:rsid w:val="005A7973"/>
    <w:rsid w:val="005A7E55"/>
    <w:rsid w:val="005A7E57"/>
    <w:rsid w:val="005A7F2D"/>
    <w:rsid w:val="005B0030"/>
    <w:rsid w:val="005B0856"/>
    <w:rsid w:val="005B0A58"/>
    <w:rsid w:val="005B0BB3"/>
    <w:rsid w:val="005B0F45"/>
    <w:rsid w:val="005B128F"/>
    <w:rsid w:val="005B15B5"/>
    <w:rsid w:val="005B210A"/>
    <w:rsid w:val="005B249D"/>
    <w:rsid w:val="005B2595"/>
    <w:rsid w:val="005B289E"/>
    <w:rsid w:val="005B2A43"/>
    <w:rsid w:val="005B2EBA"/>
    <w:rsid w:val="005B3124"/>
    <w:rsid w:val="005B331F"/>
    <w:rsid w:val="005B3455"/>
    <w:rsid w:val="005B34F5"/>
    <w:rsid w:val="005B3720"/>
    <w:rsid w:val="005B376D"/>
    <w:rsid w:val="005B3A95"/>
    <w:rsid w:val="005B3CA6"/>
    <w:rsid w:val="005B3DD9"/>
    <w:rsid w:val="005B3E6C"/>
    <w:rsid w:val="005B41FD"/>
    <w:rsid w:val="005B4379"/>
    <w:rsid w:val="005B4404"/>
    <w:rsid w:val="005B4821"/>
    <w:rsid w:val="005B48E1"/>
    <w:rsid w:val="005B4D18"/>
    <w:rsid w:val="005B4D68"/>
    <w:rsid w:val="005B4E72"/>
    <w:rsid w:val="005B4F82"/>
    <w:rsid w:val="005B5005"/>
    <w:rsid w:val="005B506A"/>
    <w:rsid w:val="005B536E"/>
    <w:rsid w:val="005B548D"/>
    <w:rsid w:val="005B54F9"/>
    <w:rsid w:val="005B559C"/>
    <w:rsid w:val="005B5614"/>
    <w:rsid w:val="005B5784"/>
    <w:rsid w:val="005B5A88"/>
    <w:rsid w:val="005B5AA3"/>
    <w:rsid w:val="005B5B6F"/>
    <w:rsid w:val="005B5C05"/>
    <w:rsid w:val="005B5DB3"/>
    <w:rsid w:val="005B5F6F"/>
    <w:rsid w:val="005B60AD"/>
    <w:rsid w:val="005B6697"/>
    <w:rsid w:val="005B6F1F"/>
    <w:rsid w:val="005B6FC4"/>
    <w:rsid w:val="005B7015"/>
    <w:rsid w:val="005B7334"/>
    <w:rsid w:val="005B77B0"/>
    <w:rsid w:val="005C02F2"/>
    <w:rsid w:val="005C0328"/>
    <w:rsid w:val="005C0691"/>
    <w:rsid w:val="005C06FC"/>
    <w:rsid w:val="005C0741"/>
    <w:rsid w:val="005C08F8"/>
    <w:rsid w:val="005C0A4D"/>
    <w:rsid w:val="005C0B53"/>
    <w:rsid w:val="005C0B9E"/>
    <w:rsid w:val="005C0C74"/>
    <w:rsid w:val="005C0DAC"/>
    <w:rsid w:val="005C1186"/>
    <w:rsid w:val="005C12A9"/>
    <w:rsid w:val="005C177F"/>
    <w:rsid w:val="005C1934"/>
    <w:rsid w:val="005C1BFC"/>
    <w:rsid w:val="005C2220"/>
    <w:rsid w:val="005C22E8"/>
    <w:rsid w:val="005C240A"/>
    <w:rsid w:val="005C26EE"/>
    <w:rsid w:val="005C2B83"/>
    <w:rsid w:val="005C3296"/>
    <w:rsid w:val="005C34A9"/>
    <w:rsid w:val="005C3504"/>
    <w:rsid w:val="005C36A0"/>
    <w:rsid w:val="005C377F"/>
    <w:rsid w:val="005C37F2"/>
    <w:rsid w:val="005C392C"/>
    <w:rsid w:val="005C3947"/>
    <w:rsid w:val="005C3F62"/>
    <w:rsid w:val="005C401D"/>
    <w:rsid w:val="005C43DE"/>
    <w:rsid w:val="005C45E8"/>
    <w:rsid w:val="005C479C"/>
    <w:rsid w:val="005C4A2A"/>
    <w:rsid w:val="005C4ABF"/>
    <w:rsid w:val="005C4F41"/>
    <w:rsid w:val="005C5047"/>
    <w:rsid w:val="005C50FC"/>
    <w:rsid w:val="005C5552"/>
    <w:rsid w:val="005C5633"/>
    <w:rsid w:val="005C5697"/>
    <w:rsid w:val="005C57C2"/>
    <w:rsid w:val="005C57F7"/>
    <w:rsid w:val="005C58CC"/>
    <w:rsid w:val="005C606E"/>
    <w:rsid w:val="005C6546"/>
    <w:rsid w:val="005C6AB5"/>
    <w:rsid w:val="005C6BB8"/>
    <w:rsid w:val="005C6CFB"/>
    <w:rsid w:val="005C6EC4"/>
    <w:rsid w:val="005C729B"/>
    <w:rsid w:val="005C7420"/>
    <w:rsid w:val="005C76FA"/>
    <w:rsid w:val="005C7735"/>
    <w:rsid w:val="005C7978"/>
    <w:rsid w:val="005C7C8A"/>
    <w:rsid w:val="005C7C94"/>
    <w:rsid w:val="005C7E3D"/>
    <w:rsid w:val="005C7F6E"/>
    <w:rsid w:val="005D0561"/>
    <w:rsid w:val="005D05FF"/>
    <w:rsid w:val="005D0842"/>
    <w:rsid w:val="005D0B2B"/>
    <w:rsid w:val="005D0B47"/>
    <w:rsid w:val="005D0D6B"/>
    <w:rsid w:val="005D11E4"/>
    <w:rsid w:val="005D143E"/>
    <w:rsid w:val="005D1473"/>
    <w:rsid w:val="005D193F"/>
    <w:rsid w:val="005D1D22"/>
    <w:rsid w:val="005D27BC"/>
    <w:rsid w:val="005D2B97"/>
    <w:rsid w:val="005D2BA1"/>
    <w:rsid w:val="005D3A9C"/>
    <w:rsid w:val="005D3DCB"/>
    <w:rsid w:val="005D3EEB"/>
    <w:rsid w:val="005D46BE"/>
    <w:rsid w:val="005D4B55"/>
    <w:rsid w:val="005D5191"/>
    <w:rsid w:val="005D5568"/>
    <w:rsid w:val="005D571E"/>
    <w:rsid w:val="005D5B77"/>
    <w:rsid w:val="005D5DD1"/>
    <w:rsid w:val="005D5EAD"/>
    <w:rsid w:val="005D66D9"/>
    <w:rsid w:val="005D676B"/>
    <w:rsid w:val="005D6C6A"/>
    <w:rsid w:val="005D6CC1"/>
    <w:rsid w:val="005D6CCA"/>
    <w:rsid w:val="005D7079"/>
    <w:rsid w:val="005D719E"/>
    <w:rsid w:val="005D75A3"/>
    <w:rsid w:val="005D77BE"/>
    <w:rsid w:val="005D7A83"/>
    <w:rsid w:val="005D7BA0"/>
    <w:rsid w:val="005D7D13"/>
    <w:rsid w:val="005E0039"/>
    <w:rsid w:val="005E0928"/>
    <w:rsid w:val="005E096B"/>
    <w:rsid w:val="005E096F"/>
    <w:rsid w:val="005E0A8C"/>
    <w:rsid w:val="005E0AD1"/>
    <w:rsid w:val="005E0C0F"/>
    <w:rsid w:val="005E0C6A"/>
    <w:rsid w:val="005E0CB7"/>
    <w:rsid w:val="005E0D6A"/>
    <w:rsid w:val="005E1219"/>
    <w:rsid w:val="005E1333"/>
    <w:rsid w:val="005E1488"/>
    <w:rsid w:val="005E1550"/>
    <w:rsid w:val="005E16E5"/>
    <w:rsid w:val="005E181A"/>
    <w:rsid w:val="005E18D6"/>
    <w:rsid w:val="005E1A60"/>
    <w:rsid w:val="005E1DA2"/>
    <w:rsid w:val="005E1F86"/>
    <w:rsid w:val="005E24D8"/>
    <w:rsid w:val="005E2D72"/>
    <w:rsid w:val="005E2E86"/>
    <w:rsid w:val="005E30E0"/>
    <w:rsid w:val="005E3A21"/>
    <w:rsid w:val="005E432D"/>
    <w:rsid w:val="005E446D"/>
    <w:rsid w:val="005E471D"/>
    <w:rsid w:val="005E4AC3"/>
    <w:rsid w:val="005E4B6A"/>
    <w:rsid w:val="005E4BEF"/>
    <w:rsid w:val="005E4C0A"/>
    <w:rsid w:val="005E4DBA"/>
    <w:rsid w:val="005E4E49"/>
    <w:rsid w:val="005E5165"/>
    <w:rsid w:val="005E52AD"/>
    <w:rsid w:val="005E59CB"/>
    <w:rsid w:val="005E5A06"/>
    <w:rsid w:val="005E5BE1"/>
    <w:rsid w:val="005E5D9F"/>
    <w:rsid w:val="005E5DC9"/>
    <w:rsid w:val="005E5E2E"/>
    <w:rsid w:val="005E63A2"/>
    <w:rsid w:val="005E677B"/>
    <w:rsid w:val="005E6939"/>
    <w:rsid w:val="005E6952"/>
    <w:rsid w:val="005E6C24"/>
    <w:rsid w:val="005E6CD0"/>
    <w:rsid w:val="005E6DEE"/>
    <w:rsid w:val="005E6E8D"/>
    <w:rsid w:val="005E6F60"/>
    <w:rsid w:val="005E710D"/>
    <w:rsid w:val="005E7148"/>
    <w:rsid w:val="005E735E"/>
    <w:rsid w:val="005E75A7"/>
    <w:rsid w:val="005E796F"/>
    <w:rsid w:val="005E7B8B"/>
    <w:rsid w:val="005E7B9C"/>
    <w:rsid w:val="005E7BBF"/>
    <w:rsid w:val="005F0095"/>
    <w:rsid w:val="005F00ED"/>
    <w:rsid w:val="005F01F1"/>
    <w:rsid w:val="005F039A"/>
    <w:rsid w:val="005F03C5"/>
    <w:rsid w:val="005F0674"/>
    <w:rsid w:val="005F0773"/>
    <w:rsid w:val="005F0780"/>
    <w:rsid w:val="005F0ACE"/>
    <w:rsid w:val="005F0EAD"/>
    <w:rsid w:val="005F0FDF"/>
    <w:rsid w:val="005F1283"/>
    <w:rsid w:val="005F1E10"/>
    <w:rsid w:val="005F1EA1"/>
    <w:rsid w:val="005F1F79"/>
    <w:rsid w:val="005F22D3"/>
    <w:rsid w:val="005F245E"/>
    <w:rsid w:val="005F24B2"/>
    <w:rsid w:val="005F2A0D"/>
    <w:rsid w:val="005F2DA0"/>
    <w:rsid w:val="005F2DD7"/>
    <w:rsid w:val="005F2E63"/>
    <w:rsid w:val="005F3139"/>
    <w:rsid w:val="005F336F"/>
    <w:rsid w:val="005F33D0"/>
    <w:rsid w:val="005F34FE"/>
    <w:rsid w:val="005F3A41"/>
    <w:rsid w:val="005F3BAD"/>
    <w:rsid w:val="005F3C57"/>
    <w:rsid w:val="005F4164"/>
    <w:rsid w:val="005F421F"/>
    <w:rsid w:val="005F4541"/>
    <w:rsid w:val="005F469B"/>
    <w:rsid w:val="005F52B7"/>
    <w:rsid w:val="005F5BC6"/>
    <w:rsid w:val="005F5C61"/>
    <w:rsid w:val="005F5C72"/>
    <w:rsid w:val="005F5D56"/>
    <w:rsid w:val="005F6187"/>
    <w:rsid w:val="005F66DB"/>
    <w:rsid w:val="005F690B"/>
    <w:rsid w:val="005F698D"/>
    <w:rsid w:val="005F6A7C"/>
    <w:rsid w:val="005F6AE8"/>
    <w:rsid w:val="005F6AF1"/>
    <w:rsid w:val="005F6E30"/>
    <w:rsid w:val="005F729D"/>
    <w:rsid w:val="005F7334"/>
    <w:rsid w:val="005F7932"/>
    <w:rsid w:val="00600160"/>
    <w:rsid w:val="006002DB"/>
    <w:rsid w:val="0060035A"/>
    <w:rsid w:val="00600426"/>
    <w:rsid w:val="006006DC"/>
    <w:rsid w:val="006008B6"/>
    <w:rsid w:val="00600956"/>
    <w:rsid w:val="00600AA9"/>
    <w:rsid w:val="00600B12"/>
    <w:rsid w:val="00600D5E"/>
    <w:rsid w:val="00600E5B"/>
    <w:rsid w:val="00600F8E"/>
    <w:rsid w:val="006012EC"/>
    <w:rsid w:val="00601486"/>
    <w:rsid w:val="0060165C"/>
    <w:rsid w:val="006017B3"/>
    <w:rsid w:val="00601A70"/>
    <w:rsid w:val="00601A81"/>
    <w:rsid w:val="00601B16"/>
    <w:rsid w:val="0060221F"/>
    <w:rsid w:val="0060224A"/>
    <w:rsid w:val="006023AE"/>
    <w:rsid w:val="006026AA"/>
    <w:rsid w:val="006029F7"/>
    <w:rsid w:val="00602A18"/>
    <w:rsid w:val="00602A89"/>
    <w:rsid w:val="00602C2C"/>
    <w:rsid w:val="00602E32"/>
    <w:rsid w:val="00603475"/>
    <w:rsid w:val="006036A0"/>
    <w:rsid w:val="00603838"/>
    <w:rsid w:val="00603CF3"/>
    <w:rsid w:val="00604976"/>
    <w:rsid w:val="00604CC7"/>
    <w:rsid w:val="00604D02"/>
    <w:rsid w:val="00604D9C"/>
    <w:rsid w:val="00605075"/>
    <w:rsid w:val="006050F3"/>
    <w:rsid w:val="00605244"/>
    <w:rsid w:val="006056D6"/>
    <w:rsid w:val="00605B3F"/>
    <w:rsid w:val="00605BB4"/>
    <w:rsid w:val="00605CE3"/>
    <w:rsid w:val="00605D5E"/>
    <w:rsid w:val="00605DC3"/>
    <w:rsid w:val="0060616B"/>
    <w:rsid w:val="00606421"/>
    <w:rsid w:val="00606E98"/>
    <w:rsid w:val="00606F06"/>
    <w:rsid w:val="0060727B"/>
    <w:rsid w:val="00607666"/>
    <w:rsid w:val="00607E64"/>
    <w:rsid w:val="00607F73"/>
    <w:rsid w:val="006100E8"/>
    <w:rsid w:val="0061023B"/>
    <w:rsid w:val="00610337"/>
    <w:rsid w:val="006103E2"/>
    <w:rsid w:val="006105FB"/>
    <w:rsid w:val="00610745"/>
    <w:rsid w:val="00610850"/>
    <w:rsid w:val="006109AA"/>
    <w:rsid w:val="00610A11"/>
    <w:rsid w:val="00610B6B"/>
    <w:rsid w:val="00610C75"/>
    <w:rsid w:val="00611152"/>
    <w:rsid w:val="00611363"/>
    <w:rsid w:val="00611516"/>
    <w:rsid w:val="00611A81"/>
    <w:rsid w:val="00611A89"/>
    <w:rsid w:val="006120D7"/>
    <w:rsid w:val="006120EB"/>
    <w:rsid w:val="006120F1"/>
    <w:rsid w:val="006123BF"/>
    <w:rsid w:val="006123EF"/>
    <w:rsid w:val="006124AD"/>
    <w:rsid w:val="006124BD"/>
    <w:rsid w:val="00612750"/>
    <w:rsid w:val="0061280C"/>
    <w:rsid w:val="0061295A"/>
    <w:rsid w:val="00613280"/>
    <w:rsid w:val="0061333D"/>
    <w:rsid w:val="0061360E"/>
    <w:rsid w:val="00613682"/>
    <w:rsid w:val="006139B9"/>
    <w:rsid w:val="00613A38"/>
    <w:rsid w:val="00613D6F"/>
    <w:rsid w:val="006142B3"/>
    <w:rsid w:val="0061454F"/>
    <w:rsid w:val="00614602"/>
    <w:rsid w:val="006147A6"/>
    <w:rsid w:val="00614810"/>
    <w:rsid w:val="00614AB9"/>
    <w:rsid w:val="00614E30"/>
    <w:rsid w:val="006150F2"/>
    <w:rsid w:val="00615155"/>
    <w:rsid w:val="006155D7"/>
    <w:rsid w:val="0061578D"/>
    <w:rsid w:val="00615B20"/>
    <w:rsid w:val="00615BCC"/>
    <w:rsid w:val="00615F29"/>
    <w:rsid w:val="00615F93"/>
    <w:rsid w:val="0061645C"/>
    <w:rsid w:val="0061663E"/>
    <w:rsid w:val="0061682F"/>
    <w:rsid w:val="00616BAE"/>
    <w:rsid w:val="00616BFC"/>
    <w:rsid w:val="00617530"/>
    <w:rsid w:val="00617B69"/>
    <w:rsid w:val="0062032F"/>
    <w:rsid w:val="00620B3C"/>
    <w:rsid w:val="00620B6D"/>
    <w:rsid w:val="00621531"/>
    <w:rsid w:val="006217BF"/>
    <w:rsid w:val="0062184C"/>
    <w:rsid w:val="00621B22"/>
    <w:rsid w:val="006220DE"/>
    <w:rsid w:val="00622349"/>
    <w:rsid w:val="006228E1"/>
    <w:rsid w:val="00622E38"/>
    <w:rsid w:val="006236F7"/>
    <w:rsid w:val="00623737"/>
    <w:rsid w:val="00623742"/>
    <w:rsid w:val="00623CDA"/>
    <w:rsid w:val="00623E56"/>
    <w:rsid w:val="00623EBA"/>
    <w:rsid w:val="00623F19"/>
    <w:rsid w:val="00623F40"/>
    <w:rsid w:val="006240C6"/>
    <w:rsid w:val="00624691"/>
    <w:rsid w:val="00624A5A"/>
    <w:rsid w:val="00624BF3"/>
    <w:rsid w:val="00624E5C"/>
    <w:rsid w:val="006253F7"/>
    <w:rsid w:val="006255D5"/>
    <w:rsid w:val="006255E6"/>
    <w:rsid w:val="00625B50"/>
    <w:rsid w:val="00625BC6"/>
    <w:rsid w:val="00626004"/>
    <w:rsid w:val="00626338"/>
    <w:rsid w:val="006266D2"/>
    <w:rsid w:val="006266E9"/>
    <w:rsid w:val="0062671F"/>
    <w:rsid w:val="00626BDE"/>
    <w:rsid w:val="00627266"/>
    <w:rsid w:val="0062797B"/>
    <w:rsid w:val="006279EF"/>
    <w:rsid w:val="00627B0E"/>
    <w:rsid w:val="00627B87"/>
    <w:rsid w:val="00627EB5"/>
    <w:rsid w:val="006300C8"/>
    <w:rsid w:val="00630128"/>
    <w:rsid w:val="00630239"/>
    <w:rsid w:val="006302F6"/>
    <w:rsid w:val="006305FC"/>
    <w:rsid w:val="00630F98"/>
    <w:rsid w:val="00630FF3"/>
    <w:rsid w:val="00631167"/>
    <w:rsid w:val="006311AF"/>
    <w:rsid w:val="006312A9"/>
    <w:rsid w:val="00631844"/>
    <w:rsid w:val="00631B06"/>
    <w:rsid w:val="00631CA3"/>
    <w:rsid w:val="00631F12"/>
    <w:rsid w:val="006323C9"/>
    <w:rsid w:val="00632773"/>
    <w:rsid w:val="00632804"/>
    <w:rsid w:val="006328CE"/>
    <w:rsid w:val="006329F1"/>
    <w:rsid w:val="00632A5A"/>
    <w:rsid w:val="0063314A"/>
    <w:rsid w:val="0063331F"/>
    <w:rsid w:val="00633540"/>
    <w:rsid w:val="006339C9"/>
    <w:rsid w:val="00633A3F"/>
    <w:rsid w:val="00634022"/>
    <w:rsid w:val="00634091"/>
    <w:rsid w:val="006340B0"/>
    <w:rsid w:val="006344F4"/>
    <w:rsid w:val="00634718"/>
    <w:rsid w:val="0063480C"/>
    <w:rsid w:val="006349F9"/>
    <w:rsid w:val="00635172"/>
    <w:rsid w:val="006353EC"/>
    <w:rsid w:val="00635481"/>
    <w:rsid w:val="00635ADE"/>
    <w:rsid w:val="00635C74"/>
    <w:rsid w:val="00636243"/>
    <w:rsid w:val="00636371"/>
    <w:rsid w:val="00636415"/>
    <w:rsid w:val="006367A2"/>
    <w:rsid w:val="00636C91"/>
    <w:rsid w:val="00636DB6"/>
    <w:rsid w:val="00636F20"/>
    <w:rsid w:val="00636FEF"/>
    <w:rsid w:val="00637028"/>
    <w:rsid w:val="0063735E"/>
    <w:rsid w:val="0063745B"/>
    <w:rsid w:val="00637AA3"/>
    <w:rsid w:val="00637E18"/>
    <w:rsid w:val="00640145"/>
    <w:rsid w:val="0064094E"/>
    <w:rsid w:val="00640FC2"/>
    <w:rsid w:val="00641163"/>
    <w:rsid w:val="006411BF"/>
    <w:rsid w:val="006411CB"/>
    <w:rsid w:val="0064132D"/>
    <w:rsid w:val="00641476"/>
    <w:rsid w:val="00641786"/>
    <w:rsid w:val="00641883"/>
    <w:rsid w:val="00641D8F"/>
    <w:rsid w:val="00642146"/>
    <w:rsid w:val="00642233"/>
    <w:rsid w:val="00642AB5"/>
    <w:rsid w:val="00642CAB"/>
    <w:rsid w:val="00643534"/>
    <w:rsid w:val="0064356F"/>
    <w:rsid w:val="00643718"/>
    <w:rsid w:val="00643977"/>
    <w:rsid w:val="00643A37"/>
    <w:rsid w:val="006442B2"/>
    <w:rsid w:val="00644A21"/>
    <w:rsid w:val="00644A63"/>
    <w:rsid w:val="00644BF0"/>
    <w:rsid w:val="00644E80"/>
    <w:rsid w:val="00644ECD"/>
    <w:rsid w:val="00645310"/>
    <w:rsid w:val="006453D9"/>
    <w:rsid w:val="006454D7"/>
    <w:rsid w:val="0064552F"/>
    <w:rsid w:val="00645722"/>
    <w:rsid w:val="00646153"/>
    <w:rsid w:val="0064627E"/>
    <w:rsid w:val="00647213"/>
    <w:rsid w:val="006474CA"/>
    <w:rsid w:val="006474F6"/>
    <w:rsid w:val="006476A8"/>
    <w:rsid w:val="0064771C"/>
    <w:rsid w:val="00647841"/>
    <w:rsid w:val="00647B10"/>
    <w:rsid w:val="00647C8A"/>
    <w:rsid w:val="0065018F"/>
    <w:rsid w:val="006501AF"/>
    <w:rsid w:val="006504F6"/>
    <w:rsid w:val="00650568"/>
    <w:rsid w:val="0065101A"/>
    <w:rsid w:val="00651090"/>
    <w:rsid w:val="0065172C"/>
    <w:rsid w:val="0065181E"/>
    <w:rsid w:val="00651873"/>
    <w:rsid w:val="00651C55"/>
    <w:rsid w:val="00651D4B"/>
    <w:rsid w:val="006521B7"/>
    <w:rsid w:val="006524FC"/>
    <w:rsid w:val="006526A3"/>
    <w:rsid w:val="00652988"/>
    <w:rsid w:val="00652A75"/>
    <w:rsid w:val="00652E4A"/>
    <w:rsid w:val="0065313F"/>
    <w:rsid w:val="0065372D"/>
    <w:rsid w:val="00653BC7"/>
    <w:rsid w:val="00653DA5"/>
    <w:rsid w:val="00653E5B"/>
    <w:rsid w:val="0065412A"/>
    <w:rsid w:val="0065422E"/>
    <w:rsid w:val="00654724"/>
    <w:rsid w:val="00654959"/>
    <w:rsid w:val="00654ACF"/>
    <w:rsid w:val="00654E92"/>
    <w:rsid w:val="00654EED"/>
    <w:rsid w:val="00655053"/>
    <w:rsid w:val="006550AB"/>
    <w:rsid w:val="0065570B"/>
    <w:rsid w:val="00655796"/>
    <w:rsid w:val="0065592C"/>
    <w:rsid w:val="00655C07"/>
    <w:rsid w:val="00655F81"/>
    <w:rsid w:val="00656474"/>
    <w:rsid w:val="006564F8"/>
    <w:rsid w:val="00656883"/>
    <w:rsid w:val="00656BA7"/>
    <w:rsid w:val="00657068"/>
    <w:rsid w:val="006572D5"/>
    <w:rsid w:val="0066068B"/>
    <w:rsid w:val="0066071A"/>
    <w:rsid w:val="006607A7"/>
    <w:rsid w:val="00660829"/>
    <w:rsid w:val="0066097D"/>
    <w:rsid w:val="00660BBE"/>
    <w:rsid w:val="00660BD3"/>
    <w:rsid w:val="00661150"/>
    <w:rsid w:val="00661160"/>
    <w:rsid w:val="006613A9"/>
    <w:rsid w:val="0066172D"/>
    <w:rsid w:val="00661D57"/>
    <w:rsid w:val="006621FE"/>
    <w:rsid w:val="0066293D"/>
    <w:rsid w:val="006629E8"/>
    <w:rsid w:val="00662BC4"/>
    <w:rsid w:val="00663014"/>
    <w:rsid w:val="006631E1"/>
    <w:rsid w:val="006636F5"/>
    <w:rsid w:val="0066383A"/>
    <w:rsid w:val="00663D10"/>
    <w:rsid w:val="00663EB6"/>
    <w:rsid w:val="0066430E"/>
    <w:rsid w:val="0066476C"/>
    <w:rsid w:val="006647F9"/>
    <w:rsid w:val="00664AE3"/>
    <w:rsid w:val="00664E3B"/>
    <w:rsid w:val="0066517D"/>
    <w:rsid w:val="00665243"/>
    <w:rsid w:val="00665490"/>
    <w:rsid w:val="00665504"/>
    <w:rsid w:val="00665887"/>
    <w:rsid w:val="00665B31"/>
    <w:rsid w:val="00665E63"/>
    <w:rsid w:val="00665F63"/>
    <w:rsid w:val="0066603C"/>
    <w:rsid w:val="0066630D"/>
    <w:rsid w:val="00666327"/>
    <w:rsid w:val="00666778"/>
    <w:rsid w:val="006667FD"/>
    <w:rsid w:val="006668FF"/>
    <w:rsid w:val="00666B39"/>
    <w:rsid w:val="00666C26"/>
    <w:rsid w:val="00666D6C"/>
    <w:rsid w:val="00667182"/>
    <w:rsid w:val="0066721B"/>
    <w:rsid w:val="006673DC"/>
    <w:rsid w:val="00667AE2"/>
    <w:rsid w:val="00667B09"/>
    <w:rsid w:val="006702F7"/>
    <w:rsid w:val="0067051B"/>
    <w:rsid w:val="00670628"/>
    <w:rsid w:val="00670A20"/>
    <w:rsid w:val="00670AA6"/>
    <w:rsid w:val="00670B15"/>
    <w:rsid w:val="00670BBA"/>
    <w:rsid w:val="0067127B"/>
    <w:rsid w:val="00671885"/>
    <w:rsid w:val="00671A6F"/>
    <w:rsid w:val="00671C08"/>
    <w:rsid w:val="00671D4F"/>
    <w:rsid w:val="00671DB1"/>
    <w:rsid w:val="00671E67"/>
    <w:rsid w:val="00672060"/>
    <w:rsid w:val="006721B4"/>
    <w:rsid w:val="00672211"/>
    <w:rsid w:val="00672622"/>
    <w:rsid w:val="00672B8A"/>
    <w:rsid w:val="00672DD1"/>
    <w:rsid w:val="00672FA1"/>
    <w:rsid w:val="00672FB0"/>
    <w:rsid w:val="00672FB4"/>
    <w:rsid w:val="006730D5"/>
    <w:rsid w:val="006734D5"/>
    <w:rsid w:val="0067372E"/>
    <w:rsid w:val="0067380E"/>
    <w:rsid w:val="006738B4"/>
    <w:rsid w:val="00673997"/>
    <w:rsid w:val="00673B25"/>
    <w:rsid w:val="00673BE6"/>
    <w:rsid w:val="00674008"/>
    <w:rsid w:val="0067411D"/>
    <w:rsid w:val="006741C8"/>
    <w:rsid w:val="00674AD7"/>
    <w:rsid w:val="00674C25"/>
    <w:rsid w:val="00674E2B"/>
    <w:rsid w:val="00674F47"/>
    <w:rsid w:val="00674F82"/>
    <w:rsid w:val="00675584"/>
    <w:rsid w:val="0067558D"/>
    <w:rsid w:val="0067591F"/>
    <w:rsid w:val="00675A37"/>
    <w:rsid w:val="00675EFA"/>
    <w:rsid w:val="00675F0B"/>
    <w:rsid w:val="0067654A"/>
    <w:rsid w:val="006765F6"/>
    <w:rsid w:val="0067670A"/>
    <w:rsid w:val="00676E7E"/>
    <w:rsid w:val="00676F3D"/>
    <w:rsid w:val="0067736C"/>
    <w:rsid w:val="006774A7"/>
    <w:rsid w:val="00677CB7"/>
    <w:rsid w:val="00680158"/>
    <w:rsid w:val="00680484"/>
    <w:rsid w:val="00680511"/>
    <w:rsid w:val="00680824"/>
    <w:rsid w:val="006809F9"/>
    <w:rsid w:val="0068113D"/>
    <w:rsid w:val="00681938"/>
    <w:rsid w:val="00681CF2"/>
    <w:rsid w:val="00682003"/>
    <w:rsid w:val="00682028"/>
    <w:rsid w:val="0068221E"/>
    <w:rsid w:val="006823F4"/>
    <w:rsid w:val="006824CB"/>
    <w:rsid w:val="006825CB"/>
    <w:rsid w:val="00682951"/>
    <w:rsid w:val="00682B60"/>
    <w:rsid w:val="00682D52"/>
    <w:rsid w:val="006832FC"/>
    <w:rsid w:val="00683885"/>
    <w:rsid w:val="006839BC"/>
    <w:rsid w:val="00683C8E"/>
    <w:rsid w:val="00683DF5"/>
    <w:rsid w:val="00684ED4"/>
    <w:rsid w:val="006852C8"/>
    <w:rsid w:val="00685338"/>
    <w:rsid w:val="00685810"/>
    <w:rsid w:val="0068586A"/>
    <w:rsid w:val="00685875"/>
    <w:rsid w:val="00685B42"/>
    <w:rsid w:val="006860FF"/>
    <w:rsid w:val="006869BA"/>
    <w:rsid w:val="00686BE2"/>
    <w:rsid w:val="00686E49"/>
    <w:rsid w:val="00687054"/>
    <w:rsid w:val="006873F7"/>
    <w:rsid w:val="00687608"/>
    <w:rsid w:val="00687D30"/>
    <w:rsid w:val="00687E58"/>
    <w:rsid w:val="00687ECE"/>
    <w:rsid w:val="00687F69"/>
    <w:rsid w:val="00687F6E"/>
    <w:rsid w:val="00690451"/>
    <w:rsid w:val="00690732"/>
    <w:rsid w:val="006907F6"/>
    <w:rsid w:val="006908AE"/>
    <w:rsid w:val="00690D0F"/>
    <w:rsid w:val="00690E44"/>
    <w:rsid w:val="00690EA2"/>
    <w:rsid w:val="0069118C"/>
    <w:rsid w:val="00691385"/>
    <w:rsid w:val="00691398"/>
    <w:rsid w:val="00691529"/>
    <w:rsid w:val="00691AE3"/>
    <w:rsid w:val="006923F2"/>
    <w:rsid w:val="00692B94"/>
    <w:rsid w:val="00692DB3"/>
    <w:rsid w:val="00692E78"/>
    <w:rsid w:val="00692EB9"/>
    <w:rsid w:val="0069300C"/>
    <w:rsid w:val="00693113"/>
    <w:rsid w:val="00693127"/>
    <w:rsid w:val="00693240"/>
    <w:rsid w:val="006935CA"/>
    <w:rsid w:val="00693AED"/>
    <w:rsid w:val="00693EA5"/>
    <w:rsid w:val="00693F4C"/>
    <w:rsid w:val="006940DE"/>
    <w:rsid w:val="0069425D"/>
    <w:rsid w:val="00694468"/>
    <w:rsid w:val="0069453D"/>
    <w:rsid w:val="006945C3"/>
    <w:rsid w:val="00695516"/>
    <w:rsid w:val="006956C1"/>
    <w:rsid w:val="006956C6"/>
    <w:rsid w:val="00695D54"/>
    <w:rsid w:val="00695DEB"/>
    <w:rsid w:val="00695E1B"/>
    <w:rsid w:val="00696033"/>
    <w:rsid w:val="0069625A"/>
    <w:rsid w:val="006962BC"/>
    <w:rsid w:val="00696391"/>
    <w:rsid w:val="00696399"/>
    <w:rsid w:val="00696487"/>
    <w:rsid w:val="0069666B"/>
    <w:rsid w:val="00696700"/>
    <w:rsid w:val="00696AB9"/>
    <w:rsid w:val="00696F40"/>
    <w:rsid w:val="00696FF1"/>
    <w:rsid w:val="0069701F"/>
    <w:rsid w:val="00697392"/>
    <w:rsid w:val="00697536"/>
    <w:rsid w:val="0069762C"/>
    <w:rsid w:val="006977F9"/>
    <w:rsid w:val="006978CA"/>
    <w:rsid w:val="006A009C"/>
    <w:rsid w:val="006A03E6"/>
    <w:rsid w:val="006A0487"/>
    <w:rsid w:val="006A04DF"/>
    <w:rsid w:val="006A05C6"/>
    <w:rsid w:val="006A06AD"/>
    <w:rsid w:val="006A0866"/>
    <w:rsid w:val="006A086F"/>
    <w:rsid w:val="006A0A20"/>
    <w:rsid w:val="006A10F3"/>
    <w:rsid w:val="006A1156"/>
    <w:rsid w:val="006A11F0"/>
    <w:rsid w:val="006A14F4"/>
    <w:rsid w:val="006A15B0"/>
    <w:rsid w:val="006A1937"/>
    <w:rsid w:val="006A1A21"/>
    <w:rsid w:val="006A1AD0"/>
    <w:rsid w:val="006A1CDA"/>
    <w:rsid w:val="006A2433"/>
    <w:rsid w:val="006A262D"/>
    <w:rsid w:val="006A2998"/>
    <w:rsid w:val="006A2A39"/>
    <w:rsid w:val="006A2E53"/>
    <w:rsid w:val="006A2E5D"/>
    <w:rsid w:val="006A3208"/>
    <w:rsid w:val="006A355C"/>
    <w:rsid w:val="006A357B"/>
    <w:rsid w:val="006A389E"/>
    <w:rsid w:val="006A3BEB"/>
    <w:rsid w:val="006A3BEE"/>
    <w:rsid w:val="006A3D6C"/>
    <w:rsid w:val="006A42B2"/>
    <w:rsid w:val="006A43F3"/>
    <w:rsid w:val="006A46D0"/>
    <w:rsid w:val="006A5510"/>
    <w:rsid w:val="006A55FD"/>
    <w:rsid w:val="006A5625"/>
    <w:rsid w:val="006A59A8"/>
    <w:rsid w:val="006A5D38"/>
    <w:rsid w:val="006A5DE9"/>
    <w:rsid w:val="006A5EB4"/>
    <w:rsid w:val="006A6679"/>
    <w:rsid w:val="006A69C6"/>
    <w:rsid w:val="006A6A2E"/>
    <w:rsid w:val="006A6E79"/>
    <w:rsid w:val="006A6F91"/>
    <w:rsid w:val="006A70D6"/>
    <w:rsid w:val="006A7241"/>
    <w:rsid w:val="006A735D"/>
    <w:rsid w:val="006A7753"/>
    <w:rsid w:val="006A7CAF"/>
    <w:rsid w:val="006A7D7E"/>
    <w:rsid w:val="006A7E49"/>
    <w:rsid w:val="006A7FCF"/>
    <w:rsid w:val="006B0BA3"/>
    <w:rsid w:val="006B12C5"/>
    <w:rsid w:val="006B1368"/>
    <w:rsid w:val="006B138A"/>
    <w:rsid w:val="006B15C2"/>
    <w:rsid w:val="006B1BEB"/>
    <w:rsid w:val="006B1BFD"/>
    <w:rsid w:val="006B1EEA"/>
    <w:rsid w:val="006B1EF7"/>
    <w:rsid w:val="006B201B"/>
    <w:rsid w:val="006B20CF"/>
    <w:rsid w:val="006B232E"/>
    <w:rsid w:val="006B23CD"/>
    <w:rsid w:val="006B257B"/>
    <w:rsid w:val="006B2966"/>
    <w:rsid w:val="006B2D4F"/>
    <w:rsid w:val="006B2D8C"/>
    <w:rsid w:val="006B30B8"/>
    <w:rsid w:val="006B35C4"/>
    <w:rsid w:val="006B398F"/>
    <w:rsid w:val="006B39CA"/>
    <w:rsid w:val="006B3CF2"/>
    <w:rsid w:val="006B3ED1"/>
    <w:rsid w:val="006B402E"/>
    <w:rsid w:val="006B4497"/>
    <w:rsid w:val="006B4595"/>
    <w:rsid w:val="006B4806"/>
    <w:rsid w:val="006B4BD1"/>
    <w:rsid w:val="006B5171"/>
    <w:rsid w:val="006B556A"/>
    <w:rsid w:val="006B55DC"/>
    <w:rsid w:val="006B560B"/>
    <w:rsid w:val="006B56AF"/>
    <w:rsid w:val="006B5CAB"/>
    <w:rsid w:val="006B5EFD"/>
    <w:rsid w:val="006B5F4C"/>
    <w:rsid w:val="006B6627"/>
    <w:rsid w:val="006B675E"/>
    <w:rsid w:val="006B678A"/>
    <w:rsid w:val="006B6928"/>
    <w:rsid w:val="006B6B28"/>
    <w:rsid w:val="006B6C7E"/>
    <w:rsid w:val="006B6EA8"/>
    <w:rsid w:val="006B75E6"/>
    <w:rsid w:val="006B77FF"/>
    <w:rsid w:val="006B7B05"/>
    <w:rsid w:val="006C10A9"/>
    <w:rsid w:val="006C17F1"/>
    <w:rsid w:val="006C1824"/>
    <w:rsid w:val="006C1996"/>
    <w:rsid w:val="006C1E9E"/>
    <w:rsid w:val="006C1F3F"/>
    <w:rsid w:val="006C22F4"/>
    <w:rsid w:val="006C2590"/>
    <w:rsid w:val="006C2904"/>
    <w:rsid w:val="006C2FD9"/>
    <w:rsid w:val="006C30F6"/>
    <w:rsid w:val="006C3365"/>
    <w:rsid w:val="006C355D"/>
    <w:rsid w:val="006C3622"/>
    <w:rsid w:val="006C378A"/>
    <w:rsid w:val="006C386C"/>
    <w:rsid w:val="006C39EC"/>
    <w:rsid w:val="006C3FD9"/>
    <w:rsid w:val="006C4AED"/>
    <w:rsid w:val="006C4E20"/>
    <w:rsid w:val="006C4F9E"/>
    <w:rsid w:val="006C4FBA"/>
    <w:rsid w:val="006C5015"/>
    <w:rsid w:val="006C51F1"/>
    <w:rsid w:val="006C52A1"/>
    <w:rsid w:val="006C5533"/>
    <w:rsid w:val="006C57A1"/>
    <w:rsid w:val="006C585B"/>
    <w:rsid w:val="006C5B75"/>
    <w:rsid w:val="006C5CCE"/>
    <w:rsid w:val="006C5E16"/>
    <w:rsid w:val="006C5E53"/>
    <w:rsid w:val="006C5FFF"/>
    <w:rsid w:val="006C6448"/>
    <w:rsid w:val="006C658C"/>
    <w:rsid w:val="006C6689"/>
    <w:rsid w:val="006C6F79"/>
    <w:rsid w:val="006C72C2"/>
    <w:rsid w:val="006C7AAF"/>
    <w:rsid w:val="006C7BB5"/>
    <w:rsid w:val="006C7C89"/>
    <w:rsid w:val="006D0095"/>
    <w:rsid w:val="006D04B5"/>
    <w:rsid w:val="006D08B5"/>
    <w:rsid w:val="006D0C06"/>
    <w:rsid w:val="006D1157"/>
    <w:rsid w:val="006D1374"/>
    <w:rsid w:val="006D155B"/>
    <w:rsid w:val="006D1701"/>
    <w:rsid w:val="006D1780"/>
    <w:rsid w:val="006D1899"/>
    <w:rsid w:val="006D1A6C"/>
    <w:rsid w:val="006D1BF0"/>
    <w:rsid w:val="006D1C24"/>
    <w:rsid w:val="006D230C"/>
    <w:rsid w:val="006D2693"/>
    <w:rsid w:val="006D2A12"/>
    <w:rsid w:val="006D2A78"/>
    <w:rsid w:val="006D2C1A"/>
    <w:rsid w:val="006D2DD6"/>
    <w:rsid w:val="006D2E5B"/>
    <w:rsid w:val="006D3393"/>
    <w:rsid w:val="006D367E"/>
    <w:rsid w:val="006D3B34"/>
    <w:rsid w:val="006D3C5D"/>
    <w:rsid w:val="006D40A1"/>
    <w:rsid w:val="006D41D2"/>
    <w:rsid w:val="006D42FD"/>
    <w:rsid w:val="006D4313"/>
    <w:rsid w:val="006D43EC"/>
    <w:rsid w:val="006D4D04"/>
    <w:rsid w:val="006D5297"/>
    <w:rsid w:val="006D562C"/>
    <w:rsid w:val="006D59AF"/>
    <w:rsid w:val="006D5A16"/>
    <w:rsid w:val="006D5ADC"/>
    <w:rsid w:val="006D5C63"/>
    <w:rsid w:val="006D5D3E"/>
    <w:rsid w:val="006D612F"/>
    <w:rsid w:val="006D639F"/>
    <w:rsid w:val="006D674D"/>
    <w:rsid w:val="006D6781"/>
    <w:rsid w:val="006D679F"/>
    <w:rsid w:val="006D682E"/>
    <w:rsid w:val="006D6846"/>
    <w:rsid w:val="006D68E1"/>
    <w:rsid w:val="006D6BBB"/>
    <w:rsid w:val="006D6FE1"/>
    <w:rsid w:val="006D713E"/>
    <w:rsid w:val="006D73C4"/>
    <w:rsid w:val="006D743D"/>
    <w:rsid w:val="006D7523"/>
    <w:rsid w:val="006D77B5"/>
    <w:rsid w:val="006D783A"/>
    <w:rsid w:val="006D786C"/>
    <w:rsid w:val="006E00E8"/>
    <w:rsid w:val="006E030E"/>
    <w:rsid w:val="006E0541"/>
    <w:rsid w:val="006E0A0A"/>
    <w:rsid w:val="006E106B"/>
    <w:rsid w:val="006E12F1"/>
    <w:rsid w:val="006E136C"/>
    <w:rsid w:val="006E13D0"/>
    <w:rsid w:val="006E179F"/>
    <w:rsid w:val="006E19E0"/>
    <w:rsid w:val="006E1AC9"/>
    <w:rsid w:val="006E1BCC"/>
    <w:rsid w:val="006E1CC1"/>
    <w:rsid w:val="006E25B4"/>
    <w:rsid w:val="006E2AFA"/>
    <w:rsid w:val="006E2B03"/>
    <w:rsid w:val="006E2B51"/>
    <w:rsid w:val="006E2E6C"/>
    <w:rsid w:val="006E2F71"/>
    <w:rsid w:val="006E35CA"/>
    <w:rsid w:val="006E3A77"/>
    <w:rsid w:val="006E3FDF"/>
    <w:rsid w:val="006E41E3"/>
    <w:rsid w:val="006E43B9"/>
    <w:rsid w:val="006E43D6"/>
    <w:rsid w:val="006E43F1"/>
    <w:rsid w:val="006E49AF"/>
    <w:rsid w:val="006E4A6B"/>
    <w:rsid w:val="006E4AC6"/>
    <w:rsid w:val="006E51AF"/>
    <w:rsid w:val="006E53F2"/>
    <w:rsid w:val="006E557A"/>
    <w:rsid w:val="006E56D6"/>
    <w:rsid w:val="006E589E"/>
    <w:rsid w:val="006E59A4"/>
    <w:rsid w:val="006E5BE9"/>
    <w:rsid w:val="006E5C26"/>
    <w:rsid w:val="006E65A5"/>
    <w:rsid w:val="006E67E6"/>
    <w:rsid w:val="006E6B92"/>
    <w:rsid w:val="006E6DAA"/>
    <w:rsid w:val="006E6FEA"/>
    <w:rsid w:val="006E7156"/>
    <w:rsid w:val="006E72BF"/>
    <w:rsid w:val="006E7A7D"/>
    <w:rsid w:val="006E7E13"/>
    <w:rsid w:val="006F008D"/>
    <w:rsid w:val="006F02D0"/>
    <w:rsid w:val="006F0A03"/>
    <w:rsid w:val="006F0A44"/>
    <w:rsid w:val="006F0AB2"/>
    <w:rsid w:val="006F0DA1"/>
    <w:rsid w:val="006F0FBD"/>
    <w:rsid w:val="006F1187"/>
    <w:rsid w:val="006F1296"/>
    <w:rsid w:val="006F1369"/>
    <w:rsid w:val="006F1456"/>
    <w:rsid w:val="006F1851"/>
    <w:rsid w:val="006F19E7"/>
    <w:rsid w:val="006F1B8F"/>
    <w:rsid w:val="006F1FA3"/>
    <w:rsid w:val="006F2452"/>
    <w:rsid w:val="006F25D3"/>
    <w:rsid w:val="006F268E"/>
    <w:rsid w:val="006F26D3"/>
    <w:rsid w:val="006F334B"/>
    <w:rsid w:val="006F3478"/>
    <w:rsid w:val="006F35A5"/>
    <w:rsid w:val="006F35A8"/>
    <w:rsid w:val="006F397A"/>
    <w:rsid w:val="006F3BF8"/>
    <w:rsid w:val="006F3D4B"/>
    <w:rsid w:val="006F3E1D"/>
    <w:rsid w:val="006F3EC1"/>
    <w:rsid w:val="006F4043"/>
    <w:rsid w:val="006F4218"/>
    <w:rsid w:val="006F496C"/>
    <w:rsid w:val="006F4ABB"/>
    <w:rsid w:val="006F4F51"/>
    <w:rsid w:val="006F5056"/>
    <w:rsid w:val="006F51DD"/>
    <w:rsid w:val="006F5209"/>
    <w:rsid w:val="006F531D"/>
    <w:rsid w:val="006F56A6"/>
    <w:rsid w:val="006F5828"/>
    <w:rsid w:val="006F585E"/>
    <w:rsid w:val="006F5981"/>
    <w:rsid w:val="006F5AC6"/>
    <w:rsid w:val="006F5F9F"/>
    <w:rsid w:val="006F6237"/>
    <w:rsid w:val="006F64E0"/>
    <w:rsid w:val="006F66F6"/>
    <w:rsid w:val="006F6827"/>
    <w:rsid w:val="006F68D7"/>
    <w:rsid w:val="006F690C"/>
    <w:rsid w:val="006F6A68"/>
    <w:rsid w:val="006F6CDC"/>
    <w:rsid w:val="006F7383"/>
    <w:rsid w:val="006F7B47"/>
    <w:rsid w:val="006F7CDE"/>
    <w:rsid w:val="006F7D79"/>
    <w:rsid w:val="006F7DEA"/>
    <w:rsid w:val="00700014"/>
    <w:rsid w:val="0070001B"/>
    <w:rsid w:val="00700042"/>
    <w:rsid w:val="007006D7"/>
    <w:rsid w:val="007008AE"/>
    <w:rsid w:val="00700B55"/>
    <w:rsid w:val="00700E91"/>
    <w:rsid w:val="00700EEB"/>
    <w:rsid w:val="00701215"/>
    <w:rsid w:val="007012CF"/>
    <w:rsid w:val="0070193A"/>
    <w:rsid w:val="00701ACB"/>
    <w:rsid w:val="00702101"/>
    <w:rsid w:val="007025A8"/>
    <w:rsid w:val="00702B59"/>
    <w:rsid w:val="00702BDD"/>
    <w:rsid w:val="00702D87"/>
    <w:rsid w:val="00703371"/>
    <w:rsid w:val="007034ED"/>
    <w:rsid w:val="00703682"/>
    <w:rsid w:val="007039C2"/>
    <w:rsid w:val="00703A5C"/>
    <w:rsid w:val="00703B2B"/>
    <w:rsid w:val="00703EDC"/>
    <w:rsid w:val="00703F3C"/>
    <w:rsid w:val="0070428B"/>
    <w:rsid w:val="00704593"/>
    <w:rsid w:val="007046B6"/>
    <w:rsid w:val="007048A1"/>
    <w:rsid w:val="007048EC"/>
    <w:rsid w:val="00704A2F"/>
    <w:rsid w:val="00704B94"/>
    <w:rsid w:val="00704E1D"/>
    <w:rsid w:val="0070500F"/>
    <w:rsid w:val="007051F8"/>
    <w:rsid w:val="00705646"/>
    <w:rsid w:val="007059B2"/>
    <w:rsid w:val="00705BFF"/>
    <w:rsid w:val="00705DA5"/>
    <w:rsid w:val="007060A1"/>
    <w:rsid w:val="007060EB"/>
    <w:rsid w:val="007062F5"/>
    <w:rsid w:val="00706993"/>
    <w:rsid w:val="00706A0F"/>
    <w:rsid w:val="00706BE0"/>
    <w:rsid w:val="00707082"/>
    <w:rsid w:val="0070733D"/>
    <w:rsid w:val="007077F4"/>
    <w:rsid w:val="00707CD8"/>
    <w:rsid w:val="00707D89"/>
    <w:rsid w:val="00710775"/>
    <w:rsid w:val="00710CE7"/>
    <w:rsid w:val="00710FD6"/>
    <w:rsid w:val="00711142"/>
    <w:rsid w:val="0071131F"/>
    <w:rsid w:val="007116DA"/>
    <w:rsid w:val="007119E8"/>
    <w:rsid w:val="00711A81"/>
    <w:rsid w:val="00711DCC"/>
    <w:rsid w:val="007121A8"/>
    <w:rsid w:val="007127D3"/>
    <w:rsid w:val="00712BCC"/>
    <w:rsid w:val="00712C34"/>
    <w:rsid w:val="00712CFB"/>
    <w:rsid w:val="00712F3F"/>
    <w:rsid w:val="00713829"/>
    <w:rsid w:val="007138D3"/>
    <w:rsid w:val="007138F8"/>
    <w:rsid w:val="00713973"/>
    <w:rsid w:val="007139EB"/>
    <w:rsid w:val="00713CD0"/>
    <w:rsid w:val="00713FB5"/>
    <w:rsid w:val="007140C3"/>
    <w:rsid w:val="00714207"/>
    <w:rsid w:val="00714310"/>
    <w:rsid w:val="0071452E"/>
    <w:rsid w:val="00714536"/>
    <w:rsid w:val="00714668"/>
    <w:rsid w:val="007146C9"/>
    <w:rsid w:val="007146F2"/>
    <w:rsid w:val="00714A7F"/>
    <w:rsid w:val="00714BE5"/>
    <w:rsid w:val="00714D29"/>
    <w:rsid w:val="00714E15"/>
    <w:rsid w:val="0071500A"/>
    <w:rsid w:val="0071522E"/>
    <w:rsid w:val="0071568D"/>
    <w:rsid w:val="00716276"/>
    <w:rsid w:val="007164CE"/>
    <w:rsid w:val="007165B1"/>
    <w:rsid w:val="00716719"/>
    <w:rsid w:val="00716797"/>
    <w:rsid w:val="00716998"/>
    <w:rsid w:val="00716B0E"/>
    <w:rsid w:val="007176C1"/>
    <w:rsid w:val="00717B63"/>
    <w:rsid w:val="00717F79"/>
    <w:rsid w:val="0072055E"/>
    <w:rsid w:val="007205AD"/>
    <w:rsid w:val="0072071B"/>
    <w:rsid w:val="00720BB2"/>
    <w:rsid w:val="00720D02"/>
    <w:rsid w:val="00721022"/>
    <w:rsid w:val="00721328"/>
    <w:rsid w:val="007214C2"/>
    <w:rsid w:val="007217F9"/>
    <w:rsid w:val="0072194E"/>
    <w:rsid w:val="00721C8D"/>
    <w:rsid w:val="00721DE6"/>
    <w:rsid w:val="00721E0E"/>
    <w:rsid w:val="00722163"/>
    <w:rsid w:val="007225B5"/>
    <w:rsid w:val="00722C36"/>
    <w:rsid w:val="00723196"/>
    <w:rsid w:val="00723405"/>
    <w:rsid w:val="00723A2F"/>
    <w:rsid w:val="00723B2F"/>
    <w:rsid w:val="0072466D"/>
    <w:rsid w:val="00724860"/>
    <w:rsid w:val="00724A78"/>
    <w:rsid w:val="00724EB3"/>
    <w:rsid w:val="00725456"/>
    <w:rsid w:val="007254B4"/>
    <w:rsid w:val="007254CB"/>
    <w:rsid w:val="007255A1"/>
    <w:rsid w:val="007256CC"/>
    <w:rsid w:val="007257E0"/>
    <w:rsid w:val="00725B04"/>
    <w:rsid w:val="00725D15"/>
    <w:rsid w:val="00725EB7"/>
    <w:rsid w:val="00726744"/>
    <w:rsid w:val="00726AF5"/>
    <w:rsid w:val="00726C48"/>
    <w:rsid w:val="00726E9F"/>
    <w:rsid w:val="00726F5C"/>
    <w:rsid w:val="00727221"/>
    <w:rsid w:val="0072735A"/>
    <w:rsid w:val="0072738F"/>
    <w:rsid w:val="00727441"/>
    <w:rsid w:val="00727877"/>
    <w:rsid w:val="00727906"/>
    <w:rsid w:val="00727979"/>
    <w:rsid w:val="007301ED"/>
    <w:rsid w:val="00730D68"/>
    <w:rsid w:val="00730E90"/>
    <w:rsid w:val="00730F10"/>
    <w:rsid w:val="00730F2B"/>
    <w:rsid w:val="00731194"/>
    <w:rsid w:val="007312EF"/>
    <w:rsid w:val="007313F3"/>
    <w:rsid w:val="00731670"/>
    <w:rsid w:val="00731695"/>
    <w:rsid w:val="007316BC"/>
    <w:rsid w:val="007316F1"/>
    <w:rsid w:val="0073170C"/>
    <w:rsid w:val="00731860"/>
    <w:rsid w:val="00731AF3"/>
    <w:rsid w:val="0073223A"/>
    <w:rsid w:val="00732611"/>
    <w:rsid w:val="00732628"/>
    <w:rsid w:val="00732666"/>
    <w:rsid w:val="00732730"/>
    <w:rsid w:val="00732F10"/>
    <w:rsid w:val="007336EB"/>
    <w:rsid w:val="00733797"/>
    <w:rsid w:val="007338F9"/>
    <w:rsid w:val="007339AD"/>
    <w:rsid w:val="00733A17"/>
    <w:rsid w:val="00733AC3"/>
    <w:rsid w:val="00733C0E"/>
    <w:rsid w:val="00733CB6"/>
    <w:rsid w:val="0073422A"/>
    <w:rsid w:val="00734966"/>
    <w:rsid w:val="00734E19"/>
    <w:rsid w:val="00734EAC"/>
    <w:rsid w:val="00734FA8"/>
    <w:rsid w:val="007351F9"/>
    <w:rsid w:val="0073568A"/>
    <w:rsid w:val="007356FE"/>
    <w:rsid w:val="007357DA"/>
    <w:rsid w:val="00735F2B"/>
    <w:rsid w:val="00735F35"/>
    <w:rsid w:val="00735FA4"/>
    <w:rsid w:val="00736AD0"/>
    <w:rsid w:val="00736D77"/>
    <w:rsid w:val="0073722C"/>
    <w:rsid w:val="00737631"/>
    <w:rsid w:val="00737637"/>
    <w:rsid w:val="00737975"/>
    <w:rsid w:val="00737DB4"/>
    <w:rsid w:val="00737DE5"/>
    <w:rsid w:val="007403EC"/>
    <w:rsid w:val="007406CB"/>
    <w:rsid w:val="00740B18"/>
    <w:rsid w:val="00740F61"/>
    <w:rsid w:val="0074129C"/>
    <w:rsid w:val="007414D9"/>
    <w:rsid w:val="00741DDB"/>
    <w:rsid w:val="00741EF4"/>
    <w:rsid w:val="00741F68"/>
    <w:rsid w:val="00742018"/>
    <w:rsid w:val="00742235"/>
    <w:rsid w:val="007422A7"/>
    <w:rsid w:val="007428CA"/>
    <w:rsid w:val="00742B69"/>
    <w:rsid w:val="00742CEB"/>
    <w:rsid w:val="007435A7"/>
    <w:rsid w:val="00743708"/>
    <w:rsid w:val="00743829"/>
    <w:rsid w:val="007440B2"/>
    <w:rsid w:val="00744488"/>
    <w:rsid w:val="0074492A"/>
    <w:rsid w:val="00744B5E"/>
    <w:rsid w:val="00744BD2"/>
    <w:rsid w:val="00744C0D"/>
    <w:rsid w:val="00744C48"/>
    <w:rsid w:val="00744FCB"/>
    <w:rsid w:val="007450A1"/>
    <w:rsid w:val="00745127"/>
    <w:rsid w:val="0074518B"/>
    <w:rsid w:val="007451BD"/>
    <w:rsid w:val="00745371"/>
    <w:rsid w:val="007454BB"/>
    <w:rsid w:val="007457D9"/>
    <w:rsid w:val="00745A63"/>
    <w:rsid w:val="00745CCD"/>
    <w:rsid w:val="00745ECE"/>
    <w:rsid w:val="0074613A"/>
    <w:rsid w:val="007464AC"/>
    <w:rsid w:val="00746D8A"/>
    <w:rsid w:val="00746DF8"/>
    <w:rsid w:val="00746FE8"/>
    <w:rsid w:val="0074723C"/>
    <w:rsid w:val="007478A9"/>
    <w:rsid w:val="00747916"/>
    <w:rsid w:val="00747AD5"/>
    <w:rsid w:val="00747F99"/>
    <w:rsid w:val="0075003E"/>
    <w:rsid w:val="00750132"/>
    <w:rsid w:val="00750394"/>
    <w:rsid w:val="00750AB7"/>
    <w:rsid w:val="00750B8C"/>
    <w:rsid w:val="00750EE0"/>
    <w:rsid w:val="00750F41"/>
    <w:rsid w:val="00751438"/>
    <w:rsid w:val="00751A10"/>
    <w:rsid w:val="00751A34"/>
    <w:rsid w:val="00751C00"/>
    <w:rsid w:val="007520E1"/>
    <w:rsid w:val="0075228F"/>
    <w:rsid w:val="00752521"/>
    <w:rsid w:val="007526E2"/>
    <w:rsid w:val="007533DC"/>
    <w:rsid w:val="00753A73"/>
    <w:rsid w:val="00753D5F"/>
    <w:rsid w:val="00753F77"/>
    <w:rsid w:val="00754066"/>
    <w:rsid w:val="007541AC"/>
    <w:rsid w:val="007542F5"/>
    <w:rsid w:val="00754488"/>
    <w:rsid w:val="007546BC"/>
    <w:rsid w:val="007547A3"/>
    <w:rsid w:val="007547C0"/>
    <w:rsid w:val="00754B52"/>
    <w:rsid w:val="00754E4D"/>
    <w:rsid w:val="007554A3"/>
    <w:rsid w:val="007554BB"/>
    <w:rsid w:val="00755545"/>
    <w:rsid w:val="007559BE"/>
    <w:rsid w:val="00755C68"/>
    <w:rsid w:val="00755D1D"/>
    <w:rsid w:val="00755DA9"/>
    <w:rsid w:val="00755FAB"/>
    <w:rsid w:val="00756186"/>
    <w:rsid w:val="0075635C"/>
    <w:rsid w:val="007566A6"/>
    <w:rsid w:val="007566C6"/>
    <w:rsid w:val="0075673F"/>
    <w:rsid w:val="00756740"/>
    <w:rsid w:val="00756801"/>
    <w:rsid w:val="007569D3"/>
    <w:rsid w:val="00756BFE"/>
    <w:rsid w:val="00756D51"/>
    <w:rsid w:val="00757A64"/>
    <w:rsid w:val="00757BA5"/>
    <w:rsid w:val="00757D21"/>
    <w:rsid w:val="00757E2F"/>
    <w:rsid w:val="007600A8"/>
    <w:rsid w:val="007601ED"/>
    <w:rsid w:val="00760283"/>
    <w:rsid w:val="00760F49"/>
    <w:rsid w:val="0076113A"/>
    <w:rsid w:val="007614A0"/>
    <w:rsid w:val="00761602"/>
    <w:rsid w:val="007619E6"/>
    <w:rsid w:val="00761DCA"/>
    <w:rsid w:val="00762003"/>
    <w:rsid w:val="00762276"/>
    <w:rsid w:val="0076242C"/>
    <w:rsid w:val="00762510"/>
    <w:rsid w:val="00762559"/>
    <w:rsid w:val="00762572"/>
    <w:rsid w:val="00762D09"/>
    <w:rsid w:val="00762DCE"/>
    <w:rsid w:val="0076354C"/>
    <w:rsid w:val="007639E2"/>
    <w:rsid w:val="00763ABD"/>
    <w:rsid w:val="00763E50"/>
    <w:rsid w:val="007640A2"/>
    <w:rsid w:val="0076447E"/>
    <w:rsid w:val="007647E9"/>
    <w:rsid w:val="00764926"/>
    <w:rsid w:val="0076513C"/>
    <w:rsid w:val="0076559E"/>
    <w:rsid w:val="007655C8"/>
    <w:rsid w:val="007658ED"/>
    <w:rsid w:val="00765D0D"/>
    <w:rsid w:val="00765DE6"/>
    <w:rsid w:val="00765EA5"/>
    <w:rsid w:val="00766043"/>
    <w:rsid w:val="0076649A"/>
    <w:rsid w:val="007665ED"/>
    <w:rsid w:val="0076674C"/>
    <w:rsid w:val="007667A8"/>
    <w:rsid w:val="007668CC"/>
    <w:rsid w:val="00766C13"/>
    <w:rsid w:val="00766C49"/>
    <w:rsid w:val="00766CA2"/>
    <w:rsid w:val="00767153"/>
    <w:rsid w:val="00767491"/>
    <w:rsid w:val="007679C3"/>
    <w:rsid w:val="00767A75"/>
    <w:rsid w:val="00767B34"/>
    <w:rsid w:val="00767D51"/>
    <w:rsid w:val="00767FD8"/>
    <w:rsid w:val="007700AD"/>
    <w:rsid w:val="007706BC"/>
    <w:rsid w:val="00770CEF"/>
    <w:rsid w:val="00770D1E"/>
    <w:rsid w:val="00770DF2"/>
    <w:rsid w:val="007710D3"/>
    <w:rsid w:val="007711DE"/>
    <w:rsid w:val="007712EB"/>
    <w:rsid w:val="007713A1"/>
    <w:rsid w:val="007713B4"/>
    <w:rsid w:val="007717BE"/>
    <w:rsid w:val="00771943"/>
    <w:rsid w:val="00771AED"/>
    <w:rsid w:val="00771B8E"/>
    <w:rsid w:val="00771E1C"/>
    <w:rsid w:val="00771E2B"/>
    <w:rsid w:val="00772011"/>
    <w:rsid w:val="007720DB"/>
    <w:rsid w:val="0077219B"/>
    <w:rsid w:val="007723B6"/>
    <w:rsid w:val="0077246A"/>
    <w:rsid w:val="00772927"/>
    <w:rsid w:val="00772E1B"/>
    <w:rsid w:val="00772F70"/>
    <w:rsid w:val="00773003"/>
    <w:rsid w:val="007731A8"/>
    <w:rsid w:val="00773ED2"/>
    <w:rsid w:val="00773F93"/>
    <w:rsid w:val="00774012"/>
    <w:rsid w:val="007745A2"/>
    <w:rsid w:val="0077479C"/>
    <w:rsid w:val="00774B73"/>
    <w:rsid w:val="00774C96"/>
    <w:rsid w:val="00774F30"/>
    <w:rsid w:val="007750A3"/>
    <w:rsid w:val="0077510B"/>
    <w:rsid w:val="007752B7"/>
    <w:rsid w:val="00775864"/>
    <w:rsid w:val="00776013"/>
    <w:rsid w:val="00776061"/>
    <w:rsid w:val="0077647A"/>
    <w:rsid w:val="00776523"/>
    <w:rsid w:val="00776585"/>
    <w:rsid w:val="00776B2D"/>
    <w:rsid w:val="00776BA1"/>
    <w:rsid w:val="00776D44"/>
    <w:rsid w:val="007771F9"/>
    <w:rsid w:val="007774DC"/>
    <w:rsid w:val="007777BF"/>
    <w:rsid w:val="007777FE"/>
    <w:rsid w:val="0077785B"/>
    <w:rsid w:val="00777BA1"/>
    <w:rsid w:val="00777F1B"/>
    <w:rsid w:val="007800B6"/>
    <w:rsid w:val="007803CA"/>
    <w:rsid w:val="007803CB"/>
    <w:rsid w:val="007805B9"/>
    <w:rsid w:val="007809FE"/>
    <w:rsid w:val="00780A8D"/>
    <w:rsid w:val="00780DDA"/>
    <w:rsid w:val="00780E75"/>
    <w:rsid w:val="00780F6A"/>
    <w:rsid w:val="00781178"/>
    <w:rsid w:val="00781206"/>
    <w:rsid w:val="00781517"/>
    <w:rsid w:val="00781574"/>
    <w:rsid w:val="00781635"/>
    <w:rsid w:val="0078169A"/>
    <w:rsid w:val="0078172F"/>
    <w:rsid w:val="00781AC8"/>
    <w:rsid w:val="00781B76"/>
    <w:rsid w:val="00781EE7"/>
    <w:rsid w:val="00782250"/>
    <w:rsid w:val="00782475"/>
    <w:rsid w:val="007824E3"/>
    <w:rsid w:val="007825AA"/>
    <w:rsid w:val="007828F8"/>
    <w:rsid w:val="00782BD6"/>
    <w:rsid w:val="00782C23"/>
    <w:rsid w:val="00782D4F"/>
    <w:rsid w:val="00782ED5"/>
    <w:rsid w:val="00782EDD"/>
    <w:rsid w:val="00782FAD"/>
    <w:rsid w:val="0078310E"/>
    <w:rsid w:val="00783326"/>
    <w:rsid w:val="00783399"/>
    <w:rsid w:val="00783752"/>
    <w:rsid w:val="0078375B"/>
    <w:rsid w:val="0078380C"/>
    <w:rsid w:val="00783973"/>
    <w:rsid w:val="00783BB6"/>
    <w:rsid w:val="00783BE5"/>
    <w:rsid w:val="00783F92"/>
    <w:rsid w:val="00784023"/>
    <w:rsid w:val="007841A2"/>
    <w:rsid w:val="007848F6"/>
    <w:rsid w:val="00784AFD"/>
    <w:rsid w:val="00785439"/>
    <w:rsid w:val="007854A6"/>
    <w:rsid w:val="0078559F"/>
    <w:rsid w:val="007855A6"/>
    <w:rsid w:val="0078599D"/>
    <w:rsid w:val="00785BED"/>
    <w:rsid w:val="00786065"/>
    <w:rsid w:val="007861DC"/>
    <w:rsid w:val="0078651F"/>
    <w:rsid w:val="007866F5"/>
    <w:rsid w:val="00786795"/>
    <w:rsid w:val="0078680C"/>
    <w:rsid w:val="00786992"/>
    <w:rsid w:val="00786C7C"/>
    <w:rsid w:val="00787185"/>
    <w:rsid w:val="00787230"/>
    <w:rsid w:val="007873DC"/>
    <w:rsid w:val="007874A9"/>
    <w:rsid w:val="007876B4"/>
    <w:rsid w:val="007876D0"/>
    <w:rsid w:val="007878D9"/>
    <w:rsid w:val="007879D4"/>
    <w:rsid w:val="00787CD6"/>
    <w:rsid w:val="00787D32"/>
    <w:rsid w:val="007900A0"/>
    <w:rsid w:val="007901FB"/>
    <w:rsid w:val="0079048C"/>
    <w:rsid w:val="00790A43"/>
    <w:rsid w:val="007911AA"/>
    <w:rsid w:val="007913C1"/>
    <w:rsid w:val="007918D3"/>
    <w:rsid w:val="00791914"/>
    <w:rsid w:val="00791A5E"/>
    <w:rsid w:val="00791B8A"/>
    <w:rsid w:val="0079228C"/>
    <w:rsid w:val="007925E2"/>
    <w:rsid w:val="00792783"/>
    <w:rsid w:val="007928A0"/>
    <w:rsid w:val="00792B5B"/>
    <w:rsid w:val="00792FED"/>
    <w:rsid w:val="0079310D"/>
    <w:rsid w:val="00793431"/>
    <w:rsid w:val="00793C42"/>
    <w:rsid w:val="00793D30"/>
    <w:rsid w:val="00793E83"/>
    <w:rsid w:val="0079403E"/>
    <w:rsid w:val="007947B4"/>
    <w:rsid w:val="00794867"/>
    <w:rsid w:val="00794DDD"/>
    <w:rsid w:val="00794E6A"/>
    <w:rsid w:val="00795749"/>
    <w:rsid w:val="00795892"/>
    <w:rsid w:val="00795894"/>
    <w:rsid w:val="00795CD0"/>
    <w:rsid w:val="00795F87"/>
    <w:rsid w:val="007961A4"/>
    <w:rsid w:val="0079636E"/>
    <w:rsid w:val="0079673D"/>
    <w:rsid w:val="00796D06"/>
    <w:rsid w:val="00796E26"/>
    <w:rsid w:val="007976CF"/>
    <w:rsid w:val="00797868"/>
    <w:rsid w:val="007A01FD"/>
    <w:rsid w:val="007A0380"/>
    <w:rsid w:val="007A0784"/>
    <w:rsid w:val="007A092A"/>
    <w:rsid w:val="007A09C4"/>
    <w:rsid w:val="007A0B74"/>
    <w:rsid w:val="007A0BBD"/>
    <w:rsid w:val="007A0E00"/>
    <w:rsid w:val="007A0E44"/>
    <w:rsid w:val="007A11F2"/>
    <w:rsid w:val="007A1206"/>
    <w:rsid w:val="007A12FA"/>
    <w:rsid w:val="007A1943"/>
    <w:rsid w:val="007A1A94"/>
    <w:rsid w:val="007A1B62"/>
    <w:rsid w:val="007A1E7F"/>
    <w:rsid w:val="007A1F79"/>
    <w:rsid w:val="007A217E"/>
    <w:rsid w:val="007A25D8"/>
    <w:rsid w:val="007A260A"/>
    <w:rsid w:val="007A26C9"/>
    <w:rsid w:val="007A2970"/>
    <w:rsid w:val="007A2B05"/>
    <w:rsid w:val="007A2D66"/>
    <w:rsid w:val="007A2F5B"/>
    <w:rsid w:val="007A30F5"/>
    <w:rsid w:val="007A3149"/>
    <w:rsid w:val="007A3192"/>
    <w:rsid w:val="007A31ED"/>
    <w:rsid w:val="007A35DC"/>
    <w:rsid w:val="007A37AD"/>
    <w:rsid w:val="007A4957"/>
    <w:rsid w:val="007A4A35"/>
    <w:rsid w:val="007A57F4"/>
    <w:rsid w:val="007A58EB"/>
    <w:rsid w:val="007A5B76"/>
    <w:rsid w:val="007A6CDF"/>
    <w:rsid w:val="007A70AA"/>
    <w:rsid w:val="007A7249"/>
    <w:rsid w:val="007A79A4"/>
    <w:rsid w:val="007A7C16"/>
    <w:rsid w:val="007A7FCF"/>
    <w:rsid w:val="007B01DA"/>
    <w:rsid w:val="007B03AF"/>
    <w:rsid w:val="007B03D3"/>
    <w:rsid w:val="007B0CBE"/>
    <w:rsid w:val="007B1427"/>
    <w:rsid w:val="007B14EF"/>
    <w:rsid w:val="007B188E"/>
    <w:rsid w:val="007B1AB6"/>
    <w:rsid w:val="007B1CB4"/>
    <w:rsid w:val="007B1D29"/>
    <w:rsid w:val="007B1E6C"/>
    <w:rsid w:val="007B1F6A"/>
    <w:rsid w:val="007B23C8"/>
    <w:rsid w:val="007B2695"/>
    <w:rsid w:val="007B29FF"/>
    <w:rsid w:val="007B2D1D"/>
    <w:rsid w:val="007B34C0"/>
    <w:rsid w:val="007B3844"/>
    <w:rsid w:val="007B3A7C"/>
    <w:rsid w:val="007B3A95"/>
    <w:rsid w:val="007B3AC5"/>
    <w:rsid w:val="007B3B51"/>
    <w:rsid w:val="007B4187"/>
    <w:rsid w:val="007B4351"/>
    <w:rsid w:val="007B4432"/>
    <w:rsid w:val="007B44E2"/>
    <w:rsid w:val="007B46A8"/>
    <w:rsid w:val="007B46DB"/>
    <w:rsid w:val="007B4C6F"/>
    <w:rsid w:val="007B4FB8"/>
    <w:rsid w:val="007B4FF0"/>
    <w:rsid w:val="007B541E"/>
    <w:rsid w:val="007B54BE"/>
    <w:rsid w:val="007B5501"/>
    <w:rsid w:val="007B5787"/>
    <w:rsid w:val="007B58D8"/>
    <w:rsid w:val="007B59C7"/>
    <w:rsid w:val="007B5D44"/>
    <w:rsid w:val="007B5DB7"/>
    <w:rsid w:val="007B5F7E"/>
    <w:rsid w:val="007B604C"/>
    <w:rsid w:val="007B6980"/>
    <w:rsid w:val="007B6CAF"/>
    <w:rsid w:val="007B7247"/>
    <w:rsid w:val="007B72EC"/>
    <w:rsid w:val="007B7344"/>
    <w:rsid w:val="007B7806"/>
    <w:rsid w:val="007B7A0D"/>
    <w:rsid w:val="007C041E"/>
    <w:rsid w:val="007C05F9"/>
    <w:rsid w:val="007C07FF"/>
    <w:rsid w:val="007C0E51"/>
    <w:rsid w:val="007C1181"/>
    <w:rsid w:val="007C13ED"/>
    <w:rsid w:val="007C1538"/>
    <w:rsid w:val="007C169D"/>
    <w:rsid w:val="007C17BA"/>
    <w:rsid w:val="007C1848"/>
    <w:rsid w:val="007C1A96"/>
    <w:rsid w:val="007C1DEE"/>
    <w:rsid w:val="007C23CA"/>
    <w:rsid w:val="007C291D"/>
    <w:rsid w:val="007C2AD1"/>
    <w:rsid w:val="007C2F2F"/>
    <w:rsid w:val="007C31D6"/>
    <w:rsid w:val="007C31E5"/>
    <w:rsid w:val="007C35BE"/>
    <w:rsid w:val="007C376C"/>
    <w:rsid w:val="007C3919"/>
    <w:rsid w:val="007C393B"/>
    <w:rsid w:val="007C3B72"/>
    <w:rsid w:val="007C3D6E"/>
    <w:rsid w:val="007C3DA9"/>
    <w:rsid w:val="007C43B2"/>
    <w:rsid w:val="007C47DF"/>
    <w:rsid w:val="007C48F5"/>
    <w:rsid w:val="007C4C23"/>
    <w:rsid w:val="007C4CD8"/>
    <w:rsid w:val="007C56CE"/>
    <w:rsid w:val="007C5788"/>
    <w:rsid w:val="007C5CFF"/>
    <w:rsid w:val="007C5FBC"/>
    <w:rsid w:val="007C5FCD"/>
    <w:rsid w:val="007C6001"/>
    <w:rsid w:val="007C61B1"/>
    <w:rsid w:val="007C68E7"/>
    <w:rsid w:val="007C6BCA"/>
    <w:rsid w:val="007C74F1"/>
    <w:rsid w:val="007C7712"/>
    <w:rsid w:val="007C779B"/>
    <w:rsid w:val="007D0031"/>
    <w:rsid w:val="007D030C"/>
    <w:rsid w:val="007D0385"/>
    <w:rsid w:val="007D06B5"/>
    <w:rsid w:val="007D088C"/>
    <w:rsid w:val="007D0C27"/>
    <w:rsid w:val="007D0E27"/>
    <w:rsid w:val="007D0E41"/>
    <w:rsid w:val="007D104F"/>
    <w:rsid w:val="007D1668"/>
    <w:rsid w:val="007D1858"/>
    <w:rsid w:val="007D18CB"/>
    <w:rsid w:val="007D1CEE"/>
    <w:rsid w:val="007D1DA0"/>
    <w:rsid w:val="007D20B1"/>
    <w:rsid w:val="007D2290"/>
    <w:rsid w:val="007D22BD"/>
    <w:rsid w:val="007D237B"/>
    <w:rsid w:val="007D2617"/>
    <w:rsid w:val="007D2947"/>
    <w:rsid w:val="007D2AFF"/>
    <w:rsid w:val="007D2DD0"/>
    <w:rsid w:val="007D2E16"/>
    <w:rsid w:val="007D319B"/>
    <w:rsid w:val="007D364D"/>
    <w:rsid w:val="007D38CD"/>
    <w:rsid w:val="007D38D8"/>
    <w:rsid w:val="007D3AC2"/>
    <w:rsid w:val="007D3ED7"/>
    <w:rsid w:val="007D459E"/>
    <w:rsid w:val="007D45A4"/>
    <w:rsid w:val="007D471E"/>
    <w:rsid w:val="007D4731"/>
    <w:rsid w:val="007D47B5"/>
    <w:rsid w:val="007D4A1B"/>
    <w:rsid w:val="007D4A79"/>
    <w:rsid w:val="007D4D73"/>
    <w:rsid w:val="007D4FB0"/>
    <w:rsid w:val="007D517F"/>
    <w:rsid w:val="007D51F8"/>
    <w:rsid w:val="007D52DA"/>
    <w:rsid w:val="007D5448"/>
    <w:rsid w:val="007D57C5"/>
    <w:rsid w:val="007D58D5"/>
    <w:rsid w:val="007D5AC6"/>
    <w:rsid w:val="007D5AEE"/>
    <w:rsid w:val="007D5AF8"/>
    <w:rsid w:val="007D5B36"/>
    <w:rsid w:val="007D5B74"/>
    <w:rsid w:val="007D5D7C"/>
    <w:rsid w:val="007D5F7B"/>
    <w:rsid w:val="007D6482"/>
    <w:rsid w:val="007D651B"/>
    <w:rsid w:val="007D6921"/>
    <w:rsid w:val="007D70B3"/>
    <w:rsid w:val="007D7A2E"/>
    <w:rsid w:val="007E062B"/>
    <w:rsid w:val="007E07D1"/>
    <w:rsid w:val="007E086F"/>
    <w:rsid w:val="007E0C38"/>
    <w:rsid w:val="007E0E87"/>
    <w:rsid w:val="007E0EE6"/>
    <w:rsid w:val="007E1817"/>
    <w:rsid w:val="007E1BDD"/>
    <w:rsid w:val="007E1F6B"/>
    <w:rsid w:val="007E2030"/>
    <w:rsid w:val="007E2203"/>
    <w:rsid w:val="007E291D"/>
    <w:rsid w:val="007E2C49"/>
    <w:rsid w:val="007E2FEB"/>
    <w:rsid w:val="007E3019"/>
    <w:rsid w:val="007E32D4"/>
    <w:rsid w:val="007E335C"/>
    <w:rsid w:val="007E33B4"/>
    <w:rsid w:val="007E3533"/>
    <w:rsid w:val="007E373F"/>
    <w:rsid w:val="007E37D0"/>
    <w:rsid w:val="007E3D5C"/>
    <w:rsid w:val="007E3D7B"/>
    <w:rsid w:val="007E3DC4"/>
    <w:rsid w:val="007E3E3B"/>
    <w:rsid w:val="007E3F6C"/>
    <w:rsid w:val="007E3FC6"/>
    <w:rsid w:val="007E43AB"/>
    <w:rsid w:val="007E455F"/>
    <w:rsid w:val="007E4590"/>
    <w:rsid w:val="007E45F6"/>
    <w:rsid w:val="007E4DB7"/>
    <w:rsid w:val="007E4F2A"/>
    <w:rsid w:val="007E5410"/>
    <w:rsid w:val="007E59D9"/>
    <w:rsid w:val="007E5A77"/>
    <w:rsid w:val="007E5A79"/>
    <w:rsid w:val="007E603F"/>
    <w:rsid w:val="007E60D7"/>
    <w:rsid w:val="007E61A8"/>
    <w:rsid w:val="007E64A3"/>
    <w:rsid w:val="007E68D9"/>
    <w:rsid w:val="007E6995"/>
    <w:rsid w:val="007E6F22"/>
    <w:rsid w:val="007E6F7B"/>
    <w:rsid w:val="007E70F2"/>
    <w:rsid w:val="007E7585"/>
    <w:rsid w:val="007E79C7"/>
    <w:rsid w:val="007E7E3F"/>
    <w:rsid w:val="007E7F31"/>
    <w:rsid w:val="007E7F99"/>
    <w:rsid w:val="007F0061"/>
    <w:rsid w:val="007F01FC"/>
    <w:rsid w:val="007F0CE3"/>
    <w:rsid w:val="007F0D4F"/>
    <w:rsid w:val="007F0EB1"/>
    <w:rsid w:val="007F1129"/>
    <w:rsid w:val="007F12DD"/>
    <w:rsid w:val="007F156D"/>
    <w:rsid w:val="007F1938"/>
    <w:rsid w:val="007F1A02"/>
    <w:rsid w:val="007F1B8C"/>
    <w:rsid w:val="007F1C4C"/>
    <w:rsid w:val="007F1EB2"/>
    <w:rsid w:val="007F1F20"/>
    <w:rsid w:val="007F1F3B"/>
    <w:rsid w:val="007F2111"/>
    <w:rsid w:val="007F25FE"/>
    <w:rsid w:val="007F2675"/>
    <w:rsid w:val="007F298F"/>
    <w:rsid w:val="007F29BB"/>
    <w:rsid w:val="007F2C0D"/>
    <w:rsid w:val="007F35A4"/>
    <w:rsid w:val="007F3642"/>
    <w:rsid w:val="007F3B79"/>
    <w:rsid w:val="007F41F3"/>
    <w:rsid w:val="007F441A"/>
    <w:rsid w:val="007F45AE"/>
    <w:rsid w:val="007F47B6"/>
    <w:rsid w:val="007F4C19"/>
    <w:rsid w:val="007F5054"/>
    <w:rsid w:val="007F518A"/>
    <w:rsid w:val="007F5F1F"/>
    <w:rsid w:val="007F6358"/>
    <w:rsid w:val="007F636E"/>
    <w:rsid w:val="007F6490"/>
    <w:rsid w:val="007F656A"/>
    <w:rsid w:val="007F67EF"/>
    <w:rsid w:val="007F690E"/>
    <w:rsid w:val="007F6B2A"/>
    <w:rsid w:val="007F6B93"/>
    <w:rsid w:val="007F708C"/>
    <w:rsid w:val="007F70B5"/>
    <w:rsid w:val="007F7229"/>
    <w:rsid w:val="007F76A5"/>
    <w:rsid w:val="007F7849"/>
    <w:rsid w:val="007F7A5A"/>
    <w:rsid w:val="007F7CE6"/>
    <w:rsid w:val="007F7EFD"/>
    <w:rsid w:val="0080031D"/>
    <w:rsid w:val="008003A8"/>
    <w:rsid w:val="00800456"/>
    <w:rsid w:val="008004E0"/>
    <w:rsid w:val="00800862"/>
    <w:rsid w:val="00800AAC"/>
    <w:rsid w:val="00800CDC"/>
    <w:rsid w:val="00800FD3"/>
    <w:rsid w:val="00801039"/>
    <w:rsid w:val="008018AF"/>
    <w:rsid w:val="00801B7C"/>
    <w:rsid w:val="00801EC9"/>
    <w:rsid w:val="008022F0"/>
    <w:rsid w:val="0080261D"/>
    <w:rsid w:val="00802B48"/>
    <w:rsid w:val="00802EF8"/>
    <w:rsid w:val="00803155"/>
    <w:rsid w:val="0080328E"/>
    <w:rsid w:val="00803A4E"/>
    <w:rsid w:val="00803E20"/>
    <w:rsid w:val="00803FE4"/>
    <w:rsid w:val="008045F9"/>
    <w:rsid w:val="008046E0"/>
    <w:rsid w:val="0080483D"/>
    <w:rsid w:val="008048D6"/>
    <w:rsid w:val="00804C81"/>
    <w:rsid w:val="008052AF"/>
    <w:rsid w:val="00805F72"/>
    <w:rsid w:val="008060C2"/>
    <w:rsid w:val="0080610C"/>
    <w:rsid w:val="0080614A"/>
    <w:rsid w:val="008061D8"/>
    <w:rsid w:val="0080647D"/>
    <w:rsid w:val="008066AA"/>
    <w:rsid w:val="00806730"/>
    <w:rsid w:val="00806740"/>
    <w:rsid w:val="00806E1F"/>
    <w:rsid w:val="00806E83"/>
    <w:rsid w:val="00806F60"/>
    <w:rsid w:val="00807173"/>
    <w:rsid w:val="0080725D"/>
    <w:rsid w:val="008078AE"/>
    <w:rsid w:val="008078CA"/>
    <w:rsid w:val="00807CBE"/>
    <w:rsid w:val="00807F67"/>
    <w:rsid w:val="008100EB"/>
    <w:rsid w:val="008106F8"/>
    <w:rsid w:val="0081109D"/>
    <w:rsid w:val="00811212"/>
    <w:rsid w:val="00811280"/>
    <w:rsid w:val="008114F5"/>
    <w:rsid w:val="008116CE"/>
    <w:rsid w:val="008123C5"/>
    <w:rsid w:val="00812591"/>
    <w:rsid w:val="00812637"/>
    <w:rsid w:val="00812B58"/>
    <w:rsid w:val="00812D5F"/>
    <w:rsid w:val="00812F6A"/>
    <w:rsid w:val="008132E0"/>
    <w:rsid w:val="008136F8"/>
    <w:rsid w:val="00813AD1"/>
    <w:rsid w:val="00813AEC"/>
    <w:rsid w:val="00813BFC"/>
    <w:rsid w:val="0081403B"/>
    <w:rsid w:val="008140A2"/>
    <w:rsid w:val="0081425B"/>
    <w:rsid w:val="00814964"/>
    <w:rsid w:val="00814D2C"/>
    <w:rsid w:val="0081504E"/>
    <w:rsid w:val="00815083"/>
    <w:rsid w:val="00815294"/>
    <w:rsid w:val="008153EA"/>
    <w:rsid w:val="0081541C"/>
    <w:rsid w:val="008156A3"/>
    <w:rsid w:val="008156C1"/>
    <w:rsid w:val="008158DA"/>
    <w:rsid w:val="008159CF"/>
    <w:rsid w:val="00815A6F"/>
    <w:rsid w:val="00815B09"/>
    <w:rsid w:val="00815C59"/>
    <w:rsid w:val="00815CA4"/>
    <w:rsid w:val="00815DFD"/>
    <w:rsid w:val="00815E31"/>
    <w:rsid w:val="00815E88"/>
    <w:rsid w:val="00816133"/>
    <w:rsid w:val="008164DE"/>
    <w:rsid w:val="008168CF"/>
    <w:rsid w:val="00817242"/>
    <w:rsid w:val="00817259"/>
    <w:rsid w:val="0081785F"/>
    <w:rsid w:val="00817AF3"/>
    <w:rsid w:val="00817C11"/>
    <w:rsid w:val="00817FA1"/>
    <w:rsid w:val="008203F1"/>
    <w:rsid w:val="00820452"/>
    <w:rsid w:val="00820639"/>
    <w:rsid w:val="008206E6"/>
    <w:rsid w:val="00820A62"/>
    <w:rsid w:val="00820F8C"/>
    <w:rsid w:val="00821051"/>
    <w:rsid w:val="00821209"/>
    <w:rsid w:val="00821385"/>
    <w:rsid w:val="0082141C"/>
    <w:rsid w:val="00821461"/>
    <w:rsid w:val="0082197A"/>
    <w:rsid w:val="00821B42"/>
    <w:rsid w:val="00821BC4"/>
    <w:rsid w:val="00822099"/>
    <w:rsid w:val="00822105"/>
    <w:rsid w:val="008221AE"/>
    <w:rsid w:val="008221CA"/>
    <w:rsid w:val="008221F0"/>
    <w:rsid w:val="008225C6"/>
    <w:rsid w:val="008226BC"/>
    <w:rsid w:val="008229AB"/>
    <w:rsid w:val="008234E3"/>
    <w:rsid w:val="00823BDD"/>
    <w:rsid w:val="00823C35"/>
    <w:rsid w:val="00823D30"/>
    <w:rsid w:val="00823D95"/>
    <w:rsid w:val="00823D98"/>
    <w:rsid w:val="00823E6F"/>
    <w:rsid w:val="00823ED0"/>
    <w:rsid w:val="00824037"/>
    <w:rsid w:val="00824068"/>
    <w:rsid w:val="008242F1"/>
    <w:rsid w:val="00824339"/>
    <w:rsid w:val="008244CB"/>
    <w:rsid w:val="0082491B"/>
    <w:rsid w:val="00824BCC"/>
    <w:rsid w:val="00824F6E"/>
    <w:rsid w:val="00824FBD"/>
    <w:rsid w:val="008251F3"/>
    <w:rsid w:val="00825305"/>
    <w:rsid w:val="008253AB"/>
    <w:rsid w:val="008254F8"/>
    <w:rsid w:val="008258EF"/>
    <w:rsid w:val="00825A60"/>
    <w:rsid w:val="00826171"/>
    <w:rsid w:val="00826320"/>
    <w:rsid w:val="0082656C"/>
    <w:rsid w:val="008265BE"/>
    <w:rsid w:val="00826872"/>
    <w:rsid w:val="00826D57"/>
    <w:rsid w:val="0082710E"/>
    <w:rsid w:val="0082710F"/>
    <w:rsid w:val="00827520"/>
    <w:rsid w:val="00827C3F"/>
    <w:rsid w:val="00827D26"/>
    <w:rsid w:val="00827DDB"/>
    <w:rsid w:val="00827F89"/>
    <w:rsid w:val="008303BB"/>
    <w:rsid w:val="0083051B"/>
    <w:rsid w:val="00830617"/>
    <w:rsid w:val="008306EF"/>
    <w:rsid w:val="0083092B"/>
    <w:rsid w:val="00830936"/>
    <w:rsid w:val="00831217"/>
    <w:rsid w:val="008312CB"/>
    <w:rsid w:val="00831358"/>
    <w:rsid w:val="008314B5"/>
    <w:rsid w:val="0083161F"/>
    <w:rsid w:val="00831784"/>
    <w:rsid w:val="00831B80"/>
    <w:rsid w:val="00831EA6"/>
    <w:rsid w:val="0083228E"/>
    <w:rsid w:val="0083237B"/>
    <w:rsid w:val="0083291C"/>
    <w:rsid w:val="008329C3"/>
    <w:rsid w:val="00832D26"/>
    <w:rsid w:val="00832E12"/>
    <w:rsid w:val="008334DA"/>
    <w:rsid w:val="00833B34"/>
    <w:rsid w:val="00833B63"/>
    <w:rsid w:val="00833EEB"/>
    <w:rsid w:val="00833F25"/>
    <w:rsid w:val="0083455D"/>
    <w:rsid w:val="008347D2"/>
    <w:rsid w:val="0083480F"/>
    <w:rsid w:val="0083486D"/>
    <w:rsid w:val="00834B94"/>
    <w:rsid w:val="00834E88"/>
    <w:rsid w:val="008354AA"/>
    <w:rsid w:val="00835CE0"/>
    <w:rsid w:val="00835E77"/>
    <w:rsid w:val="00835EF6"/>
    <w:rsid w:val="00835F21"/>
    <w:rsid w:val="0083618C"/>
    <w:rsid w:val="008361CF"/>
    <w:rsid w:val="00836217"/>
    <w:rsid w:val="00836366"/>
    <w:rsid w:val="00836814"/>
    <w:rsid w:val="008368BF"/>
    <w:rsid w:val="00836A68"/>
    <w:rsid w:val="00836B58"/>
    <w:rsid w:val="00836BC0"/>
    <w:rsid w:val="00837148"/>
    <w:rsid w:val="008371D7"/>
    <w:rsid w:val="0083798A"/>
    <w:rsid w:val="00837A24"/>
    <w:rsid w:val="00837D20"/>
    <w:rsid w:val="00837DC2"/>
    <w:rsid w:val="00837FB0"/>
    <w:rsid w:val="008406EA"/>
    <w:rsid w:val="00840845"/>
    <w:rsid w:val="00840881"/>
    <w:rsid w:val="00840B43"/>
    <w:rsid w:val="00840CAF"/>
    <w:rsid w:val="00840FB4"/>
    <w:rsid w:val="008412DA"/>
    <w:rsid w:val="00841679"/>
    <w:rsid w:val="00841877"/>
    <w:rsid w:val="00841DBA"/>
    <w:rsid w:val="0084216B"/>
    <w:rsid w:val="0084257A"/>
    <w:rsid w:val="0084259E"/>
    <w:rsid w:val="00842902"/>
    <w:rsid w:val="00842C42"/>
    <w:rsid w:val="00843233"/>
    <w:rsid w:val="008434BA"/>
    <w:rsid w:val="00843B09"/>
    <w:rsid w:val="00843D08"/>
    <w:rsid w:val="00843FEE"/>
    <w:rsid w:val="008440B8"/>
    <w:rsid w:val="008442E0"/>
    <w:rsid w:val="008445D0"/>
    <w:rsid w:val="00844633"/>
    <w:rsid w:val="008446FA"/>
    <w:rsid w:val="00844743"/>
    <w:rsid w:val="00844837"/>
    <w:rsid w:val="0084483F"/>
    <w:rsid w:val="00844BF1"/>
    <w:rsid w:val="008451A5"/>
    <w:rsid w:val="00845548"/>
    <w:rsid w:val="008458E1"/>
    <w:rsid w:val="00845A72"/>
    <w:rsid w:val="0084608A"/>
    <w:rsid w:val="00846147"/>
    <w:rsid w:val="00846543"/>
    <w:rsid w:val="008469F3"/>
    <w:rsid w:val="00847923"/>
    <w:rsid w:val="008479A1"/>
    <w:rsid w:val="008479E6"/>
    <w:rsid w:val="00847DC7"/>
    <w:rsid w:val="008501EE"/>
    <w:rsid w:val="0085051A"/>
    <w:rsid w:val="008505C0"/>
    <w:rsid w:val="008509FA"/>
    <w:rsid w:val="008511C1"/>
    <w:rsid w:val="00851797"/>
    <w:rsid w:val="0085186B"/>
    <w:rsid w:val="00851929"/>
    <w:rsid w:val="00851D46"/>
    <w:rsid w:val="00851F29"/>
    <w:rsid w:val="00851F78"/>
    <w:rsid w:val="00851FB3"/>
    <w:rsid w:val="00851FB5"/>
    <w:rsid w:val="008528F6"/>
    <w:rsid w:val="008539DA"/>
    <w:rsid w:val="00854066"/>
    <w:rsid w:val="008540D4"/>
    <w:rsid w:val="008541B0"/>
    <w:rsid w:val="008542B8"/>
    <w:rsid w:val="008543E8"/>
    <w:rsid w:val="0085440C"/>
    <w:rsid w:val="00854508"/>
    <w:rsid w:val="008545CD"/>
    <w:rsid w:val="0085480F"/>
    <w:rsid w:val="00854AD0"/>
    <w:rsid w:val="008551AE"/>
    <w:rsid w:val="008552E4"/>
    <w:rsid w:val="008553D1"/>
    <w:rsid w:val="00855468"/>
    <w:rsid w:val="008555C3"/>
    <w:rsid w:val="0085562E"/>
    <w:rsid w:val="00855914"/>
    <w:rsid w:val="00855B1C"/>
    <w:rsid w:val="00855B2B"/>
    <w:rsid w:val="00855CFB"/>
    <w:rsid w:val="00855D7F"/>
    <w:rsid w:val="00856212"/>
    <w:rsid w:val="00856279"/>
    <w:rsid w:val="008564DE"/>
    <w:rsid w:val="00856DE6"/>
    <w:rsid w:val="00857440"/>
    <w:rsid w:val="008575D7"/>
    <w:rsid w:val="00857843"/>
    <w:rsid w:val="00857AD6"/>
    <w:rsid w:val="00857B36"/>
    <w:rsid w:val="00857B55"/>
    <w:rsid w:val="00857E2F"/>
    <w:rsid w:val="00857F3B"/>
    <w:rsid w:val="0086002C"/>
    <w:rsid w:val="00860048"/>
    <w:rsid w:val="008601DA"/>
    <w:rsid w:val="008603C1"/>
    <w:rsid w:val="008609A2"/>
    <w:rsid w:val="008609C9"/>
    <w:rsid w:val="00860EFD"/>
    <w:rsid w:val="00860F0D"/>
    <w:rsid w:val="00860F6C"/>
    <w:rsid w:val="00861072"/>
    <w:rsid w:val="00861713"/>
    <w:rsid w:val="008617A2"/>
    <w:rsid w:val="00861A4F"/>
    <w:rsid w:val="00861A66"/>
    <w:rsid w:val="00861AD0"/>
    <w:rsid w:val="00861B49"/>
    <w:rsid w:val="00861F05"/>
    <w:rsid w:val="008621A6"/>
    <w:rsid w:val="008623DA"/>
    <w:rsid w:val="008626F4"/>
    <w:rsid w:val="00862727"/>
    <w:rsid w:val="00862AB8"/>
    <w:rsid w:val="00862D08"/>
    <w:rsid w:val="00862D38"/>
    <w:rsid w:val="008631A7"/>
    <w:rsid w:val="008632BD"/>
    <w:rsid w:val="00863B53"/>
    <w:rsid w:val="00863C43"/>
    <w:rsid w:val="00863C8E"/>
    <w:rsid w:val="00863D48"/>
    <w:rsid w:val="00863D70"/>
    <w:rsid w:val="00863E3B"/>
    <w:rsid w:val="00863FD0"/>
    <w:rsid w:val="00864217"/>
    <w:rsid w:val="008642A0"/>
    <w:rsid w:val="0086440C"/>
    <w:rsid w:val="0086454E"/>
    <w:rsid w:val="0086483F"/>
    <w:rsid w:val="00864909"/>
    <w:rsid w:val="00864C6C"/>
    <w:rsid w:val="00865282"/>
    <w:rsid w:val="008652B0"/>
    <w:rsid w:val="00865511"/>
    <w:rsid w:val="0086580E"/>
    <w:rsid w:val="00865988"/>
    <w:rsid w:val="00865B0C"/>
    <w:rsid w:val="00865B28"/>
    <w:rsid w:val="00865B84"/>
    <w:rsid w:val="00865F73"/>
    <w:rsid w:val="008666AD"/>
    <w:rsid w:val="008666E0"/>
    <w:rsid w:val="00866936"/>
    <w:rsid w:val="00866CD7"/>
    <w:rsid w:val="00866CFD"/>
    <w:rsid w:val="00866D21"/>
    <w:rsid w:val="00866D53"/>
    <w:rsid w:val="00866E08"/>
    <w:rsid w:val="00866F38"/>
    <w:rsid w:val="00867613"/>
    <w:rsid w:val="00870029"/>
    <w:rsid w:val="008707CA"/>
    <w:rsid w:val="008708CF"/>
    <w:rsid w:val="008709DD"/>
    <w:rsid w:val="00870B85"/>
    <w:rsid w:val="00871191"/>
    <w:rsid w:val="00871288"/>
    <w:rsid w:val="008713B8"/>
    <w:rsid w:val="008715C1"/>
    <w:rsid w:val="00871C8A"/>
    <w:rsid w:val="0087206C"/>
    <w:rsid w:val="0087232F"/>
    <w:rsid w:val="00872866"/>
    <w:rsid w:val="00872B53"/>
    <w:rsid w:val="00872CBE"/>
    <w:rsid w:val="00872CE1"/>
    <w:rsid w:val="00872DB0"/>
    <w:rsid w:val="00872E74"/>
    <w:rsid w:val="00872E95"/>
    <w:rsid w:val="00873395"/>
    <w:rsid w:val="0087382D"/>
    <w:rsid w:val="00873A49"/>
    <w:rsid w:val="00873AD1"/>
    <w:rsid w:val="00874535"/>
    <w:rsid w:val="00874F9F"/>
    <w:rsid w:val="00875153"/>
    <w:rsid w:val="00875508"/>
    <w:rsid w:val="00875646"/>
    <w:rsid w:val="00875C3B"/>
    <w:rsid w:val="00875FF6"/>
    <w:rsid w:val="008762BD"/>
    <w:rsid w:val="0087661E"/>
    <w:rsid w:val="0087688B"/>
    <w:rsid w:val="00876AFB"/>
    <w:rsid w:val="00876BC0"/>
    <w:rsid w:val="00876D7A"/>
    <w:rsid w:val="00877E60"/>
    <w:rsid w:val="00880378"/>
    <w:rsid w:val="0088097A"/>
    <w:rsid w:val="00880AB2"/>
    <w:rsid w:val="00880B91"/>
    <w:rsid w:val="008813B1"/>
    <w:rsid w:val="0088165B"/>
    <w:rsid w:val="00881AF4"/>
    <w:rsid w:val="00881B69"/>
    <w:rsid w:val="00881D33"/>
    <w:rsid w:val="00881F3F"/>
    <w:rsid w:val="00881FAA"/>
    <w:rsid w:val="00882603"/>
    <w:rsid w:val="00882827"/>
    <w:rsid w:val="00882990"/>
    <w:rsid w:val="00882BD3"/>
    <w:rsid w:val="00882C85"/>
    <w:rsid w:val="00882D47"/>
    <w:rsid w:val="00882D77"/>
    <w:rsid w:val="00882E0C"/>
    <w:rsid w:val="008830A9"/>
    <w:rsid w:val="00883132"/>
    <w:rsid w:val="0088331A"/>
    <w:rsid w:val="00883467"/>
    <w:rsid w:val="008835E1"/>
    <w:rsid w:val="00884051"/>
    <w:rsid w:val="0088407C"/>
    <w:rsid w:val="00884383"/>
    <w:rsid w:val="008845C1"/>
    <w:rsid w:val="008848F9"/>
    <w:rsid w:val="00884EF8"/>
    <w:rsid w:val="00885356"/>
    <w:rsid w:val="008856D8"/>
    <w:rsid w:val="00885A23"/>
    <w:rsid w:val="00885E15"/>
    <w:rsid w:val="00886958"/>
    <w:rsid w:val="00886F37"/>
    <w:rsid w:val="0088745E"/>
    <w:rsid w:val="008874E6"/>
    <w:rsid w:val="00887526"/>
    <w:rsid w:val="00887854"/>
    <w:rsid w:val="00887F02"/>
    <w:rsid w:val="008902DF"/>
    <w:rsid w:val="00890872"/>
    <w:rsid w:val="0089098E"/>
    <w:rsid w:val="00890C9C"/>
    <w:rsid w:val="008914C0"/>
    <w:rsid w:val="00891CE8"/>
    <w:rsid w:val="00891D14"/>
    <w:rsid w:val="00892128"/>
    <w:rsid w:val="008923AC"/>
    <w:rsid w:val="00893431"/>
    <w:rsid w:val="00893AB7"/>
    <w:rsid w:val="00893D0B"/>
    <w:rsid w:val="00893DCC"/>
    <w:rsid w:val="00893E32"/>
    <w:rsid w:val="008941BA"/>
    <w:rsid w:val="00894384"/>
    <w:rsid w:val="00894464"/>
    <w:rsid w:val="008948A0"/>
    <w:rsid w:val="00894D64"/>
    <w:rsid w:val="00894EA7"/>
    <w:rsid w:val="00895087"/>
    <w:rsid w:val="00895406"/>
    <w:rsid w:val="00895463"/>
    <w:rsid w:val="0089576F"/>
    <w:rsid w:val="00895BC1"/>
    <w:rsid w:val="008960CE"/>
    <w:rsid w:val="008962AD"/>
    <w:rsid w:val="00896958"/>
    <w:rsid w:val="00896B93"/>
    <w:rsid w:val="00896E0F"/>
    <w:rsid w:val="00896F6B"/>
    <w:rsid w:val="008972C2"/>
    <w:rsid w:val="00897425"/>
    <w:rsid w:val="00897539"/>
    <w:rsid w:val="008977FA"/>
    <w:rsid w:val="00897A70"/>
    <w:rsid w:val="00897A98"/>
    <w:rsid w:val="00897C31"/>
    <w:rsid w:val="00897EF5"/>
    <w:rsid w:val="00897F49"/>
    <w:rsid w:val="008A0084"/>
    <w:rsid w:val="008A0652"/>
    <w:rsid w:val="008A0761"/>
    <w:rsid w:val="008A08BB"/>
    <w:rsid w:val="008A12F8"/>
    <w:rsid w:val="008A1474"/>
    <w:rsid w:val="008A14E8"/>
    <w:rsid w:val="008A1A0D"/>
    <w:rsid w:val="008A1A2D"/>
    <w:rsid w:val="008A1A86"/>
    <w:rsid w:val="008A21F7"/>
    <w:rsid w:val="008A2226"/>
    <w:rsid w:val="008A26FE"/>
    <w:rsid w:val="008A2969"/>
    <w:rsid w:val="008A2BE5"/>
    <w:rsid w:val="008A2DCF"/>
    <w:rsid w:val="008A2FE2"/>
    <w:rsid w:val="008A3514"/>
    <w:rsid w:val="008A3870"/>
    <w:rsid w:val="008A38F8"/>
    <w:rsid w:val="008A3AB3"/>
    <w:rsid w:val="008A485C"/>
    <w:rsid w:val="008A491F"/>
    <w:rsid w:val="008A4997"/>
    <w:rsid w:val="008A4D50"/>
    <w:rsid w:val="008A506E"/>
    <w:rsid w:val="008A50BA"/>
    <w:rsid w:val="008A5265"/>
    <w:rsid w:val="008A5544"/>
    <w:rsid w:val="008A55C8"/>
    <w:rsid w:val="008A5884"/>
    <w:rsid w:val="008A5918"/>
    <w:rsid w:val="008A5D08"/>
    <w:rsid w:val="008A5D2C"/>
    <w:rsid w:val="008A5F79"/>
    <w:rsid w:val="008A62CF"/>
    <w:rsid w:val="008A656B"/>
    <w:rsid w:val="008A669F"/>
    <w:rsid w:val="008A6742"/>
    <w:rsid w:val="008A6CC7"/>
    <w:rsid w:val="008A72C2"/>
    <w:rsid w:val="008A7446"/>
    <w:rsid w:val="008A753B"/>
    <w:rsid w:val="008B0643"/>
    <w:rsid w:val="008B0649"/>
    <w:rsid w:val="008B11A6"/>
    <w:rsid w:val="008B11CE"/>
    <w:rsid w:val="008B13BB"/>
    <w:rsid w:val="008B145C"/>
    <w:rsid w:val="008B1736"/>
    <w:rsid w:val="008B1896"/>
    <w:rsid w:val="008B1992"/>
    <w:rsid w:val="008B1B2A"/>
    <w:rsid w:val="008B1B2F"/>
    <w:rsid w:val="008B1C98"/>
    <w:rsid w:val="008B2096"/>
    <w:rsid w:val="008B209E"/>
    <w:rsid w:val="008B2201"/>
    <w:rsid w:val="008B27F2"/>
    <w:rsid w:val="008B2839"/>
    <w:rsid w:val="008B284C"/>
    <w:rsid w:val="008B2BBB"/>
    <w:rsid w:val="008B2C38"/>
    <w:rsid w:val="008B3031"/>
    <w:rsid w:val="008B328D"/>
    <w:rsid w:val="008B3437"/>
    <w:rsid w:val="008B34E7"/>
    <w:rsid w:val="008B3651"/>
    <w:rsid w:val="008B3853"/>
    <w:rsid w:val="008B3BD7"/>
    <w:rsid w:val="008B3D11"/>
    <w:rsid w:val="008B3F4E"/>
    <w:rsid w:val="008B403C"/>
    <w:rsid w:val="008B4332"/>
    <w:rsid w:val="008B4801"/>
    <w:rsid w:val="008B4B2A"/>
    <w:rsid w:val="008B4B2F"/>
    <w:rsid w:val="008B4C14"/>
    <w:rsid w:val="008B4D73"/>
    <w:rsid w:val="008B4EFD"/>
    <w:rsid w:val="008B5588"/>
    <w:rsid w:val="008B6127"/>
    <w:rsid w:val="008B6616"/>
    <w:rsid w:val="008B6641"/>
    <w:rsid w:val="008B66EC"/>
    <w:rsid w:val="008B6859"/>
    <w:rsid w:val="008B6C9A"/>
    <w:rsid w:val="008B7164"/>
    <w:rsid w:val="008B7332"/>
    <w:rsid w:val="008B738F"/>
    <w:rsid w:val="008B7630"/>
    <w:rsid w:val="008B7817"/>
    <w:rsid w:val="008B78D2"/>
    <w:rsid w:val="008B7D70"/>
    <w:rsid w:val="008C005F"/>
    <w:rsid w:val="008C026F"/>
    <w:rsid w:val="008C02A9"/>
    <w:rsid w:val="008C03AE"/>
    <w:rsid w:val="008C08D2"/>
    <w:rsid w:val="008C08F0"/>
    <w:rsid w:val="008C0948"/>
    <w:rsid w:val="008C0AD6"/>
    <w:rsid w:val="008C0B32"/>
    <w:rsid w:val="008C0DEA"/>
    <w:rsid w:val="008C13D4"/>
    <w:rsid w:val="008C15DB"/>
    <w:rsid w:val="008C1D49"/>
    <w:rsid w:val="008C1EFB"/>
    <w:rsid w:val="008C1FF9"/>
    <w:rsid w:val="008C20FF"/>
    <w:rsid w:val="008C22AE"/>
    <w:rsid w:val="008C2319"/>
    <w:rsid w:val="008C2884"/>
    <w:rsid w:val="008C2B81"/>
    <w:rsid w:val="008C3086"/>
    <w:rsid w:val="008C30C7"/>
    <w:rsid w:val="008C3254"/>
    <w:rsid w:val="008C3705"/>
    <w:rsid w:val="008C37A6"/>
    <w:rsid w:val="008C389E"/>
    <w:rsid w:val="008C390D"/>
    <w:rsid w:val="008C3C40"/>
    <w:rsid w:val="008C3FA1"/>
    <w:rsid w:val="008C40BE"/>
    <w:rsid w:val="008C41F7"/>
    <w:rsid w:val="008C45AC"/>
    <w:rsid w:val="008C4646"/>
    <w:rsid w:val="008C4744"/>
    <w:rsid w:val="008C48C4"/>
    <w:rsid w:val="008C49CB"/>
    <w:rsid w:val="008C4D30"/>
    <w:rsid w:val="008C4DC5"/>
    <w:rsid w:val="008C5056"/>
    <w:rsid w:val="008C53A6"/>
    <w:rsid w:val="008C5484"/>
    <w:rsid w:val="008C5D13"/>
    <w:rsid w:val="008C5EB1"/>
    <w:rsid w:val="008C6087"/>
    <w:rsid w:val="008C6240"/>
    <w:rsid w:val="008C6483"/>
    <w:rsid w:val="008C6679"/>
    <w:rsid w:val="008C66C9"/>
    <w:rsid w:val="008C6D09"/>
    <w:rsid w:val="008C71DC"/>
    <w:rsid w:val="008C7A6F"/>
    <w:rsid w:val="008C7B67"/>
    <w:rsid w:val="008C7D4D"/>
    <w:rsid w:val="008C7E77"/>
    <w:rsid w:val="008D0442"/>
    <w:rsid w:val="008D06C2"/>
    <w:rsid w:val="008D0725"/>
    <w:rsid w:val="008D0B9D"/>
    <w:rsid w:val="008D0D56"/>
    <w:rsid w:val="008D129B"/>
    <w:rsid w:val="008D1563"/>
    <w:rsid w:val="008D19AB"/>
    <w:rsid w:val="008D1C0B"/>
    <w:rsid w:val="008D1C0C"/>
    <w:rsid w:val="008D21F3"/>
    <w:rsid w:val="008D232B"/>
    <w:rsid w:val="008D269E"/>
    <w:rsid w:val="008D2F9A"/>
    <w:rsid w:val="008D33C5"/>
    <w:rsid w:val="008D33E9"/>
    <w:rsid w:val="008D3B28"/>
    <w:rsid w:val="008D3C8D"/>
    <w:rsid w:val="008D3F35"/>
    <w:rsid w:val="008D42C0"/>
    <w:rsid w:val="008D4322"/>
    <w:rsid w:val="008D4902"/>
    <w:rsid w:val="008D49DB"/>
    <w:rsid w:val="008D49F7"/>
    <w:rsid w:val="008D4ABB"/>
    <w:rsid w:val="008D4AD5"/>
    <w:rsid w:val="008D4C18"/>
    <w:rsid w:val="008D4D0F"/>
    <w:rsid w:val="008D512F"/>
    <w:rsid w:val="008D51EE"/>
    <w:rsid w:val="008D55A1"/>
    <w:rsid w:val="008D55B9"/>
    <w:rsid w:val="008D5B64"/>
    <w:rsid w:val="008D5C9C"/>
    <w:rsid w:val="008D5EB0"/>
    <w:rsid w:val="008D639E"/>
    <w:rsid w:val="008D64AB"/>
    <w:rsid w:val="008D675C"/>
    <w:rsid w:val="008D69A2"/>
    <w:rsid w:val="008D6E23"/>
    <w:rsid w:val="008D7451"/>
    <w:rsid w:val="008D761A"/>
    <w:rsid w:val="008D7A14"/>
    <w:rsid w:val="008D7ABF"/>
    <w:rsid w:val="008D7DFB"/>
    <w:rsid w:val="008D7F6A"/>
    <w:rsid w:val="008E0051"/>
    <w:rsid w:val="008E00BA"/>
    <w:rsid w:val="008E015C"/>
    <w:rsid w:val="008E0599"/>
    <w:rsid w:val="008E0699"/>
    <w:rsid w:val="008E07A9"/>
    <w:rsid w:val="008E07B6"/>
    <w:rsid w:val="008E0A3F"/>
    <w:rsid w:val="008E0BC7"/>
    <w:rsid w:val="008E0EA3"/>
    <w:rsid w:val="008E0F55"/>
    <w:rsid w:val="008E10B4"/>
    <w:rsid w:val="008E12EE"/>
    <w:rsid w:val="008E1347"/>
    <w:rsid w:val="008E13AF"/>
    <w:rsid w:val="008E158B"/>
    <w:rsid w:val="008E15BC"/>
    <w:rsid w:val="008E15C5"/>
    <w:rsid w:val="008E1836"/>
    <w:rsid w:val="008E188F"/>
    <w:rsid w:val="008E1DDB"/>
    <w:rsid w:val="008E207D"/>
    <w:rsid w:val="008E269A"/>
    <w:rsid w:val="008E2767"/>
    <w:rsid w:val="008E2A29"/>
    <w:rsid w:val="008E2CB7"/>
    <w:rsid w:val="008E3243"/>
    <w:rsid w:val="008E3383"/>
    <w:rsid w:val="008E3788"/>
    <w:rsid w:val="008E3DE4"/>
    <w:rsid w:val="008E3E7E"/>
    <w:rsid w:val="008E4142"/>
    <w:rsid w:val="008E424D"/>
    <w:rsid w:val="008E4C17"/>
    <w:rsid w:val="008E4DC5"/>
    <w:rsid w:val="008E50AD"/>
    <w:rsid w:val="008E529E"/>
    <w:rsid w:val="008E52F8"/>
    <w:rsid w:val="008E588D"/>
    <w:rsid w:val="008E5A08"/>
    <w:rsid w:val="008E622A"/>
    <w:rsid w:val="008E62CA"/>
    <w:rsid w:val="008E6308"/>
    <w:rsid w:val="008E6620"/>
    <w:rsid w:val="008E6C18"/>
    <w:rsid w:val="008E7208"/>
    <w:rsid w:val="008E7256"/>
    <w:rsid w:val="008E7500"/>
    <w:rsid w:val="008E771A"/>
    <w:rsid w:val="008E78E4"/>
    <w:rsid w:val="008E79C0"/>
    <w:rsid w:val="008E7CC1"/>
    <w:rsid w:val="008E7D7C"/>
    <w:rsid w:val="008E7F9A"/>
    <w:rsid w:val="008F0225"/>
    <w:rsid w:val="008F05A1"/>
    <w:rsid w:val="008F0B56"/>
    <w:rsid w:val="008F0B7F"/>
    <w:rsid w:val="008F0CCD"/>
    <w:rsid w:val="008F11B9"/>
    <w:rsid w:val="008F1270"/>
    <w:rsid w:val="008F1819"/>
    <w:rsid w:val="008F199A"/>
    <w:rsid w:val="008F1B90"/>
    <w:rsid w:val="008F21A4"/>
    <w:rsid w:val="008F22B8"/>
    <w:rsid w:val="008F22DD"/>
    <w:rsid w:val="008F237F"/>
    <w:rsid w:val="008F2D9E"/>
    <w:rsid w:val="008F2EB9"/>
    <w:rsid w:val="008F30C2"/>
    <w:rsid w:val="008F32C2"/>
    <w:rsid w:val="008F3538"/>
    <w:rsid w:val="008F3973"/>
    <w:rsid w:val="008F3BDD"/>
    <w:rsid w:val="008F41BF"/>
    <w:rsid w:val="008F4640"/>
    <w:rsid w:val="008F47E1"/>
    <w:rsid w:val="008F4E17"/>
    <w:rsid w:val="008F4FE4"/>
    <w:rsid w:val="008F5065"/>
    <w:rsid w:val="008F53BD"/>
    <w:rsid w:val="008F5740"/>
    <w:rsid w:val="008F5834"/>
    <w:rsid w:val="008F5C88"/>
    <w:rsid w:val="008F5E09"/>
    <w:rsid w:val="008F5F36"/>
    <w:rsid w:val="008F6162"/>
    <w:rsid w:val="008F63B0"/>
    <w:rsid w:val="008F64AB"/>
    <w:rsid w:val="008F65B0"/>
    <w:rsid w:val="008F6A74"/>
    <w:rsid w:val="008F6AD7"/>
    <w:rsid w:val="008F6C09"/>
    <w:rsid w:val="008F76F3"/>
    <w:rsid w:val="008F7718"/>
    <w:rsid w:val="008F7912"/>
    <w:rsid w:val="008F7AD3"/>
    <w:rsid w:val="008F7CCF"/>
    <w:rsid w:val="00900416"/>
    <w:rsid w:val="0090064D"/>
    <w:rsid w:val="00900672"/>
    <w:rsid w:val="0090098D"/>
    <w:rsid w:val="00900B2D"/>
    <w:rsid w:val="00900C32"/>
    <w:rsid w:val="009010AF"/>
    <w:rsid w:val="00901219"/>
    <w:rsid w:val="00901789"/>
    <w:rsid w:val="009017ED"/>
    <w:rsid w:val="00901B7C"/>
    <w:rsid w:val="00901C42"/>
    <w:rsid w:val="009020CA"/>
    <w:rsid w:val="009020D6"/>
    <w:rsid w:val="009023F6"/>
    <w:rsid w:val="009026B2"/>
    <w:rsid w:val="00902BB8"/>
    <w:rsid w:val="00902EF7"/>
    <w:rsid w:val="00903101"/>
    <w:rsid w:val="009033BF"/>
    <w:rsid w:val="00903CB5"/>
    <w:rsid w:val="00903CD6"/>
    <w:rsid w:val="00903F9E"/>
    <w:rsid w:val="0090400D"/>
    <w:rsid w:val="009041F9"/>
    <w:rsid w:val="00904A05"/>
    <w:rsid w:val="00904FB8"/>
    <w:rsid w:val="0090500E"/>
    <w:rsid w:val="00905142"/>
    <w:rsid w:val="00906033"/>
    <w:rsid w:val="0090629C"/>
    <w:rsid w:val="00906445"/>
    <w:rsid w:val="00906451"/>
    <w:rsid w:val="009065A5"/>
    <w:rsid w:val="009066D7"/>
    <w:rsid w:val="009067AB"/>
    <w:rsid w:val="0090681C"/>
    <w:rsid w:val="00906885"/>
    <w:rsid w:val="00906D74"/>
    <w:rsid w:val="00906F8A"/>
    <w:rsid w:val="00907084"/>
    <w:rsid w:val="0090728A"/>
    <w:rsid w:val="00907294"/>
    <w:rsid w:val="009079E7"/>
    <w:rsid w:val="00907BB1"/>
    <w:rsid w:val="0091066B"/>
    <w:rsid w:val="009108B5"/>
    <w:rsid w:val="00910918"/>
    <w:rsid w:val="00910ECE"/>
    <w:rsid w:val="0091116E"/>
    <w:rsid w:val="0091197C"/>
    <w:rsid w:val="009125BB"/>
    <w:rsid w:val="00912982"/>
    <w:rsid w:val="00912BCC"/>
    <w:rsid w:val="00912D91"/>
    <w:rsid w:val="00912EF5"/>
    <w:rsid w:val="00912F8A"/>
    <w:rsid w:val="00913088"/>
    <w:rsid w:val="009131BE"/>
    <w:rsid w:val="009135E0"/>
    <w:rsid w:val="00913AC1"/>
    <w:rsid w:val="00913BF9"/>
    <w:rsid w:val="00913F44"/>
    <w:rsid w:val="009144CA"/>
    <w:rsid w:val="0091463D"/>
    <w:rsid w:val="00914E4E"/>
    <w:rsid w:val="009152CD"/>
    <w:rsid w:val="00915323"/>
    <w:rsid w:val="009154C2"/>
    <w:rsid w:val="0091559C"/>
    <w:rsid w:val="0091569D"/>
    <w:rsid w:val="009157D4"/>
    <w:rsid w:val="00915C93"/>
    <w:rsid w:val="00915CF7"/>
    <w:rsid w:val="00916AEF"/>
    <w:rsid w:val="00916C85"/>
    <w:rsid w:val="0091718B"/>
    <w:rsid w:val="009171F2"/>
    <w:rsid w:val="009176D7"/>
    <w:rsid w:val="0091783D"/>
    <w:rsid w:val="00920035"/>
    <w:rsid w:val="00920291"/>
    <w:rsid w:val="009202EA"/>
    <w:rsid w:val="009208D7"/>
    <w:rsid w:val="00920D15"/>
    <w:rsid w:val="00920ED3"/>
    <w:rsid w:val="00920F07"/>
    <w:rsid w:val="00920F0C"/>
    <w:rsid w:val="0092158A"/>
    <w:rsid w:val="00922572"/>
    <w:rsid w:val="00922784"/>
    <w:rsid w:val="00922915"/>
    <w:rsid w:val="00922B87"/>
    <w:rsid w:val="00922E54"/>
    <w:rsid w:val="009231F8"/>
    <w:rsid w:val="009238BF"/>
    <w:rsid w:val="00923D27"/>
    <w:rsid w:val="00923E19"/>
    <w:rsid w:val="0092411C"/>
    <w:rsid w:val="009242C1"/>
    <w:rsid w:val="009242ED"/>
    <w:rsid w:val="009245E7"/>
    <w:rsid w:val="00924652"/>
    <w:rsid w:val="00924C86"/>
    <w:rsid w:val="00924EB6"/>
    <w:rsid w:val="00925288"/>
    <w:rsid w:val="00925354"/>
    <w:rsid w:val="009255B5"/>
    <w:rsid w:val="009255D2"/>
    <w:rsid w:val="00925C78"/>
    <w:rsid w:val="00925CD9"/>
    <w:rsid w:val="00925DF1"/>
    <w:rsid w:val="00925F71"/>
    <w:rsid w:val="00926077"/>
    <w:rsid w:val="009261CF"/>
    <w:rsid w:val="00926268"/>
    <w:rsid w:val="00926369"/>
    <w:rsid w:val="009264CC"/>
    <w:rsid w:val="009266B7"/>
    <w:rsid w:val="009266C0"/>
    <w:rsid w:val="00926B07"/>
    <w:rsid w:val="00926CBD"/>
    <w:rsid w:val="00926CD2"/>
    <w:rsid w:val="00926DD5"/>
    <w:rsid w:val="00926F76"/>
    <w:rsid w:val="00926F85"/>
    <w:rsid w:val="0092708B"/>
    <w:rsid w:val="00927188"/>
    <w:rsid w:val="00927749"/>
    <w:rsid w:val="0092798F"/>
    <w:rsid w:val="00927A06"/>
    <w:rsid w:val="00927B9F"/>
    <w:rsid w:val="00927BC7"/>
    <w:rsid w:val="0093051F"/>
    <w:rsid w:val="00930C48"/>
    <w:rsid w:val="00930DA1"/>
    <w:rsid w:val="00930F18"/>
    <w:rsid w:val="009311C3"/>
    <w:rsid w:val="0093143B"/>
    <w:rsid w:val="00931485"/>
    <w:rsid w:val="00931667"/>
    <w:rsid w:val="009317B2"/>
    <w:rsid w:val="00931829"/>
    <w:rsid w:val="00931A67"/>
    <w:rsid w:val="00931B0D"/>
    <w:rsid w:val="00931B75"/>
    <w:rsid w:val="00931CE7"/>
    <w:rsid w:val="00931D4A"/>
    <w:rsid w:val="00931E0A"/>
    <w:rsid w:val="00931FD2"/>
    <w:rsid w:val="00932612"/>
    <w:rsid w:val="0093281C"/>
    <w:rsid w:val="00932A99"/>
    <w:rsid w:val="00932B43"/>
    <w:rsid w:val="00932B62"/>
    <w:rsid w:val="00932B83"/>
    <w:rsid w:val="00932CFD"/>
    <w:rsid w:val="00933741"/>
    <w:rsid w:val="00933978"/>
    <w:rsid w:val="00933B21"/>
    <w:rsid w:val="00933B9C"/>
    <w:rsid w:val="00933D40"/>
    <w:rsid w:val="00933D82"/>
    <w:rsid w:val="00933F3B"/>
    <w:rsid w:val="00934115"/>
    <w:rsid w:val="00934182"/>
    <w:rsid w:val="00934B20"/>
    <w:rsid w:val="00934C62"/>
    <w:rsid w:val="00935046"/>
    <w:rsid w:val="00935119"/>
    <w:rsid w:val="00935595"/>
    <w:rsid w:val="009357C3"/>
    <w:rsid w:val="00935A46"/>
    <w:rsid w:val="00935DFE"/>
    <w:rsid w:val="00935E6F"/>
    <w:rsid w:val="00935FD7"/>
    <w:rsid w:val="009361E9"/>
    <w:rsid w:val="0093648C"/>
    <w:rsid w:val="009364C7"/>
    <w:rsid w:val="00936A55"/>
    <w:rsid w:val="00936B87"/>
    <w:rsid w:val="00936CE6"/>
    <w:rsid w:val="00936E35"/>
    <w:rsid w:val="00936E54"/>
    <w:rsid w:val="00936F1B"/>
    <w:rsid w:val="0093700F"/>
    <w:rsid w:val="009371BC"/>
    <w:rsid w:val="0093744F"/>
    <w:rsid w:val="00937611"/>
    <w:rsid w:val="00937B11"/>
    <w:rsid w:val="00937CED"/>
    <w:rsid w:val="00937EF7"/>
    <w:rsid w:val="009402F5"/>
    <w:rsid w:val="00940FCF"/>
    <w:rsid w:val="00941362"/>
    <w:rsid w:val="00941640"/>
    <w:rsid w:val="00941A73"/>
    <w:rsid w:val="00941F26"/>
    <w:rsid w:val="00942149"/>
    <w:rsid w:val="009421E7"/>
    <w:rsid w:val="0094233F"/>
    <w:rsid w:val="009425CB"/>
    <w:rsid w:val="009426F2"/>
    <w:rsid w:val="00942B42"/>
    <w:rsid w:val="00942DA5"/>
    <w:rsid w:val="00942EC8"/>
    <w:rsid w:val="00942FDD"/>
    <w:rsid w:val="0094377C"/>
    <w:rsid w:val="0094379D"/>
    <w:rsid w:val="0094413A"/>
    <w:rsid w:val="0094444C"/>
    <w:rsid w:val="0094452D"/>
    <w:rsid w:val="009448AD"/>
    <w:rsid w:val="00944A8D"/>
    <w:rsid w:val="00944EFD"/>
    <w:rsid w:val="00945469"/>
    <w:rsid w:val="00945A33"/>
    <w:rsid w:val="00945CA9"/>
    <w:rsid w:val="00945E81"/>
    <w:rsid w:val="00946463"/>
    <w:rsid w:val="00946680"/>
    <w:rsid w:val="009467E3"/>
    <w:rsid w:val="00946C8F"/>
    <w:rsid w:val="00946C9C"/>
    <w:rsid w:val="009474B2"/>
    <w:rsid w:val="009474CF"/>
    <w:rsid w:val="0094790F"/>
    <w:rsid w:val="00947DBC"/>
    <w:rsid w:val="00947E44"/>
    <w:rsid w:val="00947ED2"/>
    <w:rsid w:val="00947F7B"/>
    <w:rsid w:val="009504CE"/>
    <w:rsid w:val="0095053E"/>
    <w:rsid w:val="009508CF"/>
    <w:rsid w:val="00950BBF"/>
    <w:rsid w:val="00950CCD"/>
    <w:rsid w:val="00950CF2"/>
    <w:rsid w:val="0095112F"/>
    <w:rsid w:val="00951237"/>
    <w:rsid w:val="009516AF"/>
    <w:rsid w:val="009518FA"/>
    <w:rsid w:val="00951A5E"/>
    <w:rsid w:val="00951B37"/>
    <w:rsid w:val="00951BF1"/>
    <w:rsid w:val="00951E0E"/>
    <w:rsid w:val="00951FEA"/>
    <w:rsid w:val="00952050"/>
    <w:rsid w:val="009524CA"/>
    <w:rsid w:val="009524E2"/>
    <w:rsid w:val="009526B4"/>
    <w:rsid w:val="0095271D"/>
    <w:rsid w:val="00952D0A"/>
    <w:rsid w:val="00952E36"/>
    <w:rsid w:val="00953222"/>
    <w:rsid w:val="00953879"/>
    <w:rsid w:val="00953B69"/>
    <w:rsid w:val="00953DCB"/>
    <w:rsid w:val="0095430B"/>
    <w:rsid w:val="009544C3"/>
    <w:rsid w:val="0095489E"/>
    <w:rsid w:val="0095494D"/>
    <w:rsid w:val="009550D4"/>
    <w:rsid w:val="00955882"/>
    <w:rsid w:val="00955CAE"/>
    <w:rsid w:val="00955D94"/>
    <w:rsid w:val="00955DBF"/>
    <w:rsid w:val="00955E3C"/>
    <w:rsid w:val="00955F05"/>
    <w:rsid w:val="00955FA8"/>
    <w:rsid w:val="0095652F"/>
    <w:rsid w:val="00956A78"/>
    <w:rsid w:val="00956B5F"/>
    <w:rsid w:val="00956BE9"/>
    <w:rsid w:val="00956F7F"/>
    <w:rsid w:val="00957308"/>
    <w:rsid w:val="0095732D"/>
    <w:rsid w:val="00957370"/>
    <w:rsid w:val="0095769C"/>
    <w:rsid w:val="00957923"/>
    <w:rsid w:val="00960062"/>
    <w:rsid w:val="00960211"/>
    <w:rsid w:val="009602F0"/>
    <w:rsid w:val="00960618"/>
    <w:rsid w:val="00960662"/>
    <w:rsid w:val="0096095E"/>
    <w:rsid w:val="00960A2F"/>
    <w:rsid w:val="00960ABB"/>
    <w:rsid w:val="00960C2A"/>
    <w:rsid w:val="00960F50"/>
    <w:rsid w:val="00960F6A"/>
    <w:rsid w:val="00960FCB"/>
    <w:rsid w:val="00961211"/>
    <w:rsid w:val="009616E5"/>
    <w:rsid w:val="00961B38"/>
    <w:rsid w:val="009627CE"/>
    <w:rsid w:val="00962C59"/>
    <w:rsid w:val="00962CDE"/>
    <w:rsid w:val="00962DDF"/>
    <w:rsid w:val="00963010"/>
    <w:rsid w:val="00963038"/>
    <w:rsid w:val="00963077"/>
    <w:rsid w:val="009631C5"/>
    <w:rsid w:val="009631DB"/>
    <w:rsid w:val="00964325"/>
    <w:rsid w:val="0096452A"/>
    <w:rsid w:val="0096453B"/>
    <w:rsid w:val="009646E5"/>
    <w:rsid w:val="009647EB"/>
    <w:rsid w:val="009647FE"/>
    <w:rsid w:val="00964C38"/>
    <w:rsid w:val="00964DC7"/>
    <w:rsid w:val="00965221"/>
    <w:rsid w:val="00965480"/>
    <w:rsid w:val="00965770"/>
    <w:rsid w:val="009659D2"/>
    <w:rsid w:val="00965B7E"/>
    <w:rsid w:val="00965F74"/>
    <w:rsid w:val="00966233"/>
    <w:rsid w:val="00966317"/>
    <w:rsid w:val="0096645D"/>
    <w:rsid w:val="009665CA"/>
    <w:rsid w:val="00966C08"/>
    <w:rsid w:val="00967118"/>
    <w:rsid w:val="00967857"/>
    <w:rsid w:val="009679CE"/>
    <w:rsid w:val="00967B7E"/>
    <w:rsid w:val="00967DBB"/>
    <w:rsid w:val="00967F1A"/>
    <w:rsid w:val="009700B6"/>
    <w:rsid w:val="00970254"/>
    <w:rsid w:val="00970281"/>
    <w:rsid w:val="00970958"/>
    <w:rsid w:val="00970A79"/>
    <w:rsid w:val="00970B58"/>
    <w:rsid w:val="00970EDF"/>
    <w:rsid w:val="00970F7A"/>
    <w:rsid w:val="00970FA0"/>
    <w:rsid w:val="009711A0"/>
    <w:rsid w:val="00971524"/>
    <w:rsid w:val="00971889"/>
    <w:rsid w:val="009718E4"/>
    <w:rsid w:val="009719A1"/>
    <w:rsid w:val="00971C9E"/>
    <w:rsid w:val="009720D7"/>
    <w:rsid w:val="00972B85"/>
    <w:rsid w:val="00972CE2"/>
    <w:rsid w:val="00972DF0"/>
    <w:rsid w:val="00972F91"/>
    <w:rsid w:val="00973DD3"/>
    <w:rsid w:val="00973E4D"/>
    <w:rsid w:val="00973F92"/>
    <w:rsid w:val="0097411E"/>
    <w:rsid w:val="00974206"/>
    <w:rsid w:val="009745D7"/>
    <w:rsid w:val="0097487B"/>
    <w:rsid w:val="00974FE5"/>
    <w:rsid w:val="00975263"/>
    <w:rsid w:val="0097579A"/>
    <w:rsid w:val="00975A6D"/>
    <w:rsid w:val="00975D53"/>
    <w:rsid w:val="00976084"/>
    <w:rsid w:val="0097644C"/>
    <w:rsid w:val="009764BC"/>
    <w:rsid w:val="009768C4"/>
    <w:rsid w:val="0097727D"/>
    <w:rsid w:val="009772B5"/>
    <w:rsid w:val="00977994"/>
    <w:rsid w:val="00977B48"/>
    <w:rsid w:val="00977C47"/>
    <w:rsid w:val="00977EA3"/>
    <w:rsid w:val="0098012A"/>
    <w:rsid w:val="009802EB"/>
    <w:rsid w:val="00980505"/>
    <w:rsid w:val="00980A10"/>
    <w:rsid w:val="00980A30"/>
    <w:rsid w:val="00980CA7"/>
    <w:rsid w:val="00980D6E"/>
    <w:rsid w:val="00980DC4"/>
    <w:rsid w:val="00980EEC"/>
    <w:rsid w:val="009811D7"/>
    <w:rsid w:val="009811DF"/>
    <w:rsid w:val="009811E2"/>
    <w:rsid w:val="00981268"/>
    <w:rsid w:val="00981274"/>
    <w:rsid w:val="009813FC"/>
    <w:rsid w:val="00981427"/>
    <w:rsid w:val="0098158B"/>
    <w:rsid w:val="0098167F"/>
    <w:rsid w:val="00981E40"/>
    <w:rsid w:val="00981E4C"/>
    <w:rsid w:val="00981FBE"/>
    <w:rsid w:val="009820C9"/>
    <w:rsid w:val="00982289"/>
    <w:rsid w:val="009823DE"/>
    <w:rsid w:val="009824FE"/>
    <w:rsid w:val="009826E3"/>
    <w:rsid w:val="0098283A"/>
    <w:rsid w:val="00982853"/>
    <w:rsid w:val="00982A9D"/>
    <w:rsid w:val="00982C80"/>
    <w:rsid w:val="009830A7"/>
    <w:rsid w:val="009831D9"/>
    <w:rsid w:val="00983563"/>
    <w:rsid w:val="0098363B"/>
    <w:rsid w:val="009839D3"/>
    <w:rsid w:val="00983B9D"/>
    <w:rsid w:val="00983C8E"/>
    <w:rsid w:val="0098409C"/>
    <w:rsid w:val="0098444A"/>
    <w:rsid w:val="009847F3"/>
    <w:rsid w:val="009849EC"/>
    <w:rsid w:val="00984B89"/>
    <w:rsid w:val="00984CD6"/>
    <w:rsid w:val="00984E8D"/>
    <w:rsid w:val="00984F0B"/>
    <w:rsid w:val="00984F6F"/>
    <w:rsid w:val="00985135"/>
    <w:rsid w:val="00985175"/>
    <w:rsid w:val="00985183"/>
    <w:rsid w:val="0098519B"/>
    <w:rsid w:val="009851D7"/>
    <w:rsid w:val="00985242"/>
    <w:rsid w:val="009853AB"/>
    <w:rsid w:val="00985E36"/>
    <w:rsid w:val="00985E67"/>
    <w:rsid w:val="0098619A"/>
    <w:rsid w:val="0098680F"/>
    <w:rsid w:val="00986FB4"/>
    <w:rsid w:val="00987320"/>
    <w:rsid w:val="0098764F"/>
    <w:rsid w:val="009876E8"/>
    <w:rsid w:val="00987779"/>
    <w:rsid w:val="00987983"/>
    <w:rsid w:val="00987CDC"/>
    <w:rsid w:val="00987DCE"/>
    <w:rsid w:val="00987FFD"/>
    <w:rsid w:val="009900C2"/>
    <w:rsid w:val="009905FE"/>
    <w:rsid w:val="00990733"/>
    <w:rsid w:val="00990A58"/>
    <w:rsid w:val="00990CD6"/>
    <w:rsid w:val="00990DBC"/>
    <w:rsid w:val="00990E90"/>
    <w:rsid w:val="0099143A"/>
    <w:rsid w:val="009917AF"/>
    <w:rsid w:val="00991E42"/>
    <w:rsid w:val="00992064"/>
    <w:rsid w:val="00992362"/>
    <w:rsid w:val="00992522"/>
    <w:rsid w:val="00992584"/>
    <w:rsid w:val="00992678"/>
    <w:rsid w:val="00992A91"/>
    <w:rsid w:val="00992AC3"/>
    <w:rsid w:val="00992C9D"/>
    <w:rsid w:val="00993519"/>
    <w:rsid w:val="00993771"/>
    <w:rsid w:val="00993967"/>
    <w:rsid w:val="009939CF"/>
    <w:rsid w:val="00993EB1"/>
    <w:rsid w:val="00994674"/>
    <w:rsid w:val="0099497F"/>
    <w:rsid w:val="009950F8"/>
    <w:rsid w:val="0099553B"/>
    <w:rsid w:val="009955B7"/>
    <w:rsid w:val="009959D4"/>
    <w:rsid w:val="009965BF"/>
    <w:rsid w:val="00996AE6"/>
    <w:rsid w:val="00996B62"/>
    <w:rsid w:val="00996BF4"/>
    <w:rsid w:val="00996DE5"/>
    <w:rsid w:val="00997370"/>
    <w:rsid w:val="009973E0"/>
    <w:rsid w:val="009977FA"/>
    <w:rsid w:val="00997CBC"/>
    <w:rsid w:val="009A0292"/>
    <w:rsid w:val="009A0465"/>
    <w:rsid w:val="009A0A7D"/>
    <w:rsid w:val="009A0CDD"/>
    <w:rsid w:val="009A132B"/>
    <w:rsid w:val="009A1936"/>
    <w:rsid w:val="009A1ED1"/>
    <w:rsid w:val="009A2312"/>
    <w:rsid w:val="009A258D"/>
    <w:rsid w:val="009A2661"/>
    <w:rsid w:val="009A2665"/>
    <w:rsid w:val="009A27C7"/>
    <w:rsid w:val="009A27D8"/>
    <w:rsid w:val="009A2B98"/>
    <w:rsid w:val="009A2ECA"/>
    <w:rsid w:val="009A3466"/>
    <w:rsid w:val="009A3530"/>
    <w:rsid w:val="009A3694"/>
    <w:rsid w:val="009A3765"/>
    <w:rsid w:val="009A37FF"/>
    <w:rsid w:val="009A39AC"/>
    <w:rsid w:val="009A3D76"/>
    <w:rsid w:val="009A4646"/>
    <w:rsid w:val="009A4964"/>
    <w:rsid w:val="009A4B1C"/>
    <w:rsid w:val="009A50B4"/>
    <w:rsid w:val="009A5269"/>
    <w:rsid w:val="009A540E"/>
    <w:rsid w:val="009A5AC5"/>
    <w:rsid w:val="009A5D65"/>
    <w:rsid w:val="009A6140"/>
    <w:rsid w:val="009A625D"/>
    <w:rsid w:val="009A62BF"/>
    <w:rsid w:val="009A6400"/>
    <w:rsid w:val="009A6492"/>
    <w:rsid w:val="009A64DC"/>
    <w:rsid w:val="009A66A6"/>
    <w:rsid w:val="009A6748"/>
    <w:rsid w:val="009A69B9"/>
    <w:rsid w:val="009A6B31"/>
    <w:rsid w:val="009A6D3D"/>
    <w:rsid w:val="009A6EC0"/>
    <w:rsid w:val="009A7164"/>
    <w:rsid w:val="009A75CA"/>
    <w:rsid w:val="009A792B"/>
    <w:rsid w:val="009A7967"/>
    <w:rsid w:val="009A7E04"/>
    <w:rsid w:val="009A7E41"/>
    <w:rsid w:val="009B0200"/>
    <w:rsid w:val="009B0449"/>
    <w:rsid w:val="009B0CAC"/>
    <w:rsid w:val="009B0D36"/>
    <w:rsid w:val="009B0F8D"/>
    <w:rsid w:val="009B1125"/>
    <w:rsid w:val="009B12DB"/>
    <w:rsid w:val="009B14C3"/>
    <w:rsid w:val="009B157A"/>
    <w:rsid w:val="009B15A3"/>
    <w:rsid w:val="009B1B34"/>
    <w:rsid w:val="009B1CAD"/>
    <w:rsid w:val="009B1D18"/>
    <w:rsid w:val="009B1F96"/>
    <w:rsid w:val="009B2425"/>
    <w:rsid w:val="009B2FED"/>
    <w:rsid w:val="009B3095"/>
    <w:rsid w:val="009B316C"/>
    <w:rsid w:val="009B3473"/>
    <w:rsid w:val="009B38C3"/>
    <w:rsid w:val="009B3A19"/>
    <w:rsid w:val="009B3C31"/>
    <w:rsid w:val="009B3DC4"/>
    <w:rsid w:val="009B40F7"/>
    <w:rsid w:val="009B438B"/>
    <w:rsid w:val="009B43B2"/>
    <w:rsid w:val="009B47B7"/>
    <w:rsid w:val="009B4B42"/>
    <w:rsid w:val="009B4DF1"/>
    <w:rsid w:val="009B561A"/>
    <w:rsid w:val="009B577B"/>
    <w:rsid w:val="009B62D2"/>
    <w:rsid w:val="009B6501"/>
    <w:rsid w:val="009B6615"/>
    <w:rsid w:val="009B6793"/>
    <w:rsid w:val="009B6A66"/>
    <w:rsid w:val="009B6DA3"/>
    <w:rsid w:val="009B71AD"/>
    <w:rsid w:val="009B741D"/>
    <w:rsid w:val="009B742E"/>
    <w:rsid w:val="009B765F"/>
    <w:rsid w:val="009B76DB"/>
    <w:rsid w:val="009B7B58"/>
    <w:rsid w:val="009B7D9D"/>
    <w:rsid w:val="009B7ECF"/>
    <w:rsid w:val="009C0343"/>
    <w:rsid w:val="009C090F"/>
    <w:rsid w:val="009C09F3"/>
    <w:rsid w:val="009C0FAD"/>
    <w:rsid w:val="009C11A8"/>
    <w:rsid w:val="009C135B"/>
    <w:rsid w:val="009C15CE"/>
    <w:rsid w:val="009C17FB"/>
    <w:rsid w:val="009C1909"/>
    <w:rsid w:val="009C1C21"/>
    <w:rsid w:val="009C1C2E"/>
    <w:rsid w:val="009C1DE8"/>
    <w:rsid w:val="009C2283"/>
    <w:rsid w:val="009C2489"/>
    <w:rsid w:val="009C25AD"/>
    <w:rsid w:val="009C2E07"/>
    <w:rsid w:val="009C2E9E"/>
    <w:rsid w:val="009C2F01"/>
    <w:rsid w:val="009C3761"/>
    <w:rsid w:val="009C3949"/>
    <w:rsid w:val="009C3A40"/>
    <w:rsid w:val="009C3DC2"/>
    <w:rsid w:val="009C3E02"/>
    <w:rsid w:val="009C4097"/>
    <w:rsid w:val="009C41D6"/>
    <w:rsid w:val="009C459E"/>
    <w:rsid w:val="009C481F"/>
    <w:rsid w:val="009C489F"/>
    <w:rsid w:val="009C48DE"/>
    <w:rsid w:val="009C4A02"/>
    <w:rsid w:val="009C4A7C"/>
    <w:rsid w:val="009C4BA7"/>
    <w:rsid w:val="009C4D63"/>
    <w:rsid w:val="009C4EBA"/>
    <w:rsid w:val="009C5898"/>
    <w:rsid w:val="009C592C"/>
    <w:rsid w:val="009C5C93"/>
    <w:rsid w:val="009C5F93"/>
    <w:rsid w:val="009C6023"/>
    <w:rsid w:val="009C631A"/>
    <w:rsid w:val="009C6662"/>
    <w:rsid w:val="009C66AC"/>
    <w:rsid w:val="009C6A24"/>
    <w:rsid w:val="009C7080"/>
    <w:rsid w:val="009C727C"/>
    <w:rsid w:val="009C752F"/>
    <w:rsid w:val="009C7569"/>
    <w:rsid w:val="009C75C1"/>
    <w:rsid w:val="009C7878"/>
    <w:rsid w:val="009C78D4"/>
    <w:rsid w:val="009C7A78"/>
    <w:rsid w:val="009C7B81"/>
    <w:rsid w:val="009C7E45"/>
    <w:rsid w:val="009D0009"/>
    <w:rsid w:val="009D0057"/>
    <w:rsid w:val="009D0068"/>
    <w:rsid w:val="009D00F0"/>
    <w:rsid w:val="009D01BC"/>
    <w:rsid w:val="009D02A3"/>
    <w:rsid w:val="009D0380"/>
    <w:rsid w:val="009D0918"/>
    <w:rsid w:val="009D0A68"/>
    <w:rsid w:val="009D0AEF"/>
    <w:rsid w:val="009D0CBA"/>
    <w:rsid w:val="009D0CC8"/>
    <w:rsid w:val="009D0F7B"/>
    <w:rsid w:val="009D1416"/>
    <w:rsid w:val="009D1977"/>
    <w:rsid w:val="009D1B58"/>
    <w:rsid w:val="009D1D8D"/>
    <w:rsid w:val="009D1F05"/>
    <w:rsid w:val="009D1FC1"/>
    <w:rsid w:val="009D22C6"/>
    <w:rsid w:val="009D2418"/>
    <w:rsid w:val="009D2543"/>
    <w:rsid w:val="009D26D4"/>
    <w:rsid w:val="009D2A9F"/>
    <w:rsid w:val="009D2AFF"/>
    <w:rsid w:val="009D2C1D"/>
    <w:rsid w:val="009D2FE5"/>
    <w:rsid w:val="009D3560"/>
    <w:rsid w:val="009D3C79"/>
    <w:rsid w:val="009D41A4"/>
    <w:rsid w:val="009D4802"/>
    <w:rsid w:val="009D4A47"/>
    <w:rsid w:val="009D4DA2"/>
    <w:rsid w:val="009D5197"/>
    <w:rsid w:val="009D51BD"/>
    <w:rsid w:val="009D5393"/>
    <w:rsid w:val="009D5C81"/>
    <w:rsid w:val="009D5FD7"/>
    <w:rsid w:val="009D605B"/>
    <w:rsid w:val="009D6180"/>
    <w:rsid w:val="009D620E"/>
    <w:rsid w:val="009D6424"/>
    <w:rsid w:val="009D6603"/>
    <w:rsid w:val="009D6936"/>
    <w:rsid w:val="009D6AB4"/>
    <w:rsid w:val="009D6BDB"/>
    <w:rsid w:val="009D6EF0"/>
    <w:rsid w:val="009D70A9"/>
    <w:rsid w:val="009D72E3"/>
    <w:rsid w:val="009D7A91"/>
    <w:rsid w:val="009D7ECB"/>
    <w:rsid w:val="009E01F9"/>
    <w:rsid w:val="009E0291"/>
    <w:rsid w:val="009E0445"/>
    <w:rsid w:val="009E0AB8"/>
    <w:rsid w:val="009E114A"/>
    <w:rsid w:val="009E12D9"/>
    <w:rsid w:val="009E1362"/>
    <w:rsid w:val="009E1369"/>
    <w:rsid w:val="009E15CF"/>
    <w:rsid w:val="009E16D6"/>
    <w:rsid w:val="009E16DD"/>
    <w:rsid w:val="009E1A90"/>
    <w:rsid w:val="009E1AC1"/>
    <w:rsid w:val="009E1D2A"/>
    <w:rsid w:val="009E2508"/>
    <w:rsid w:val="009E2590"/>
    <w:rsid w:val="009E25A9"/>
    <w:rsid w:val="009E2737"/>
    <w:rsid w:val="009E2774"/>
    <w:rsid w:val="009E28D1"/>
    <w:rsid w:val="009E2A5E"/>
    <w:rsid w:val="009E2D68"/>
    <w:rsid w:val="009E2D8B"/>
    <w:rsid w:val="009E2E27"/>
    <w:rsid w:val="009E2FD9"/>
    <w:rsid w:val="009E3163"/>
    <w:rsid w:val="009E3550"/>
    <w:rsid w:val="009E367D"/>
    <w:rsid w:val="009E3890"/>
    <w:rsid w:val="009E3E6A"/>
    <w:rsid w:val="009E3F03"/>
    <w:rsid w:val="009E44A4"/>
    <w:rsid w:val="009E4818"/>
    <w:rsid w:val="009E4BE7"/>
    <w:rsid w:val="009E5116"/>
    <w:rsid w:val="009E5776"/>
    <w:rsid w:val="009E5793"/>
    <w:rsid w:val="009E59F4"/>
    <w:rsid w:val="009E5AF5"/>
    <w:rsid w:val="009E5C0D"/>
    <w:rsid w:val="009E5DA1"/>
    <w:rsid w:val="009E5EAB"/>
    <w:rsid w:val="009E61D3"/>
    <w:rsid w:val="009E6306"/>
    <w:rsid w:val="009E632D"/>
    <w:rsid w:val="009E71C3"/>
    <w:rsid w:val="009E7212"/>
    <w:rsid w:val="009E729F"/>
    <w:rsid w:val="009E7454"/>
    <w:rsid w:val="009E7775"/>
    <w:rsid w:val="009E7831"/>
    <w:rsid w:val="009E7839"/>
    <w:rsid w:val="009E786C"/>
    <w:rsid w:val="009E7890"/>
    <w:rsid w:val="009E7966"/>
    <w:rsid w:val="009E7E7A"/>
    <w:rsid w:val="009E7ECF"/>
    <w:rsid w:val="009F01B0"/>
    <w:rsid w:val="009F0269"/>
    <w:rsid w:val="009F02B8"/>
    <w:rsid w:val="009F04D0"/>
    <w:rsid w:val="009F07D1"/>
    <w:rsid w:val="009F0935"/>
    <w:rsid w:val="009F10EC"/>
    <w:rsid w:val="009F1175"/>
    <w:rsid w:val="009F18CB"/>
    <w:rsid w:val="009F1982"/>
    <w:rsid w:val="009F1AE0"/>
    <w:rsid w:val="009F2040"/>
    <w:rsid w:val="009F2709"/>
    <w:rsid w:val="009F2798"/>
    <w:rsid w:val="009F27F2"/>
    <w:rsid w:val="009F2804"/>
    <w:rsid w:val="009F2890"/>
    <w:rsid w:val="009F2B9E"/>
    <w:rsid w:val="009F2C6B"/>
    <w:rsid w:val="009F30B0"/>
    <w:rsid w:val="009F32E7"/>
    <w:rsid w:val="009F375D"/>
    <w:rsid w:val="009F39D1"/>
    <w:rsid w:val="009F3DEF"/>
    <w:rsid w:val="009F4250"/>
    <w:rsid w:val="009F4860"/>
    <w:rsid w:val="009F4951"/>
    <w:rsid w:val="009F4960"/>
    <w:rsid w:val="009F526E"/>
    <w:rsid w:val="009F5636"/>
    <w:rsid w:val="009F58C3"/>
    <w:rsid w:val="009F5A54"/>
    <w:rsid w:val="009F5AD3"/>
    <w:rsid w:val="009F6489"/>
    <w:rsid w:val="009F6666"/>
    <w:rsid w:val="009F6824"/>
    <w:rsid w:val="009F69E8"/>
    <w:rsid w:val="009F6EDC"/>
    <w:rsid w:val="009F74E7"/>
    <w:rsid w:val="009F7955"/>
    <w:rsid w:val="009F7C8E"/>
    <w:rsid w:val="009F7F10"/>
    <w:rsid w:val="009F7F7B"/>
    <w:rsid w:val="00A003B5"/>
    <w:rsid w:val="00A004A2"/>
    <w:rsid w:val="00A006C0"/>
    <w:rsid w:val="00A00888"/>
    <w:rsid w:val="00A00A45"/>
    <w:rsid w:val="00A00E14"/>
    <w:rsid w:val="00A01081"/>
    <w:rsid w:val="00A0188C"/>
    <w:rsid w:val="00A01990"/>
    <w:rsid w:val="00A01A4A"/>
    <w:rsid w:val="00A01F5A"/>
    <w:rsid w:val="00A021F6"/>
    <w:rsid w:val="00A02204"/>
    <w:rsid w:val="00A028B1"/>
    <w:rsid w:val="00A028F7"/>
    <w:rsid w:val="00A02955"/>
    <w:rsid w:val="00A02A02"/>
    <w:rsid w:val="00A02A12"/>
    <w:rsid w:val="00A02ED0"/>
    <w:rsid w:val="00A03013"/>
    <w:rsid w:val="00A03086"/>
    <w:rsid w:val="00A037FD"/>
    <w:rsid w:val="00A0382E"/>
    <w:rsid w:val="00A038ED"/>
    <w:rsid w:val="00A03AE3"/>
    <w:rsid w:val="00A041C2"/>
    <w:rsid w:val="00A0420C"/>
    <w:rsid w:val="00A04256"/>
    <w:rsid w:val="00A0509F"/>
    <w:rsid w:val="00A050B2"/>
    <w:rsid w:val="00A0527A"/>
    <w:rsid w:val="00A05594"/>
    <w:rsid w:val="00A05692"/>
    <w:rsid w:val="00A058DE"/>
    <w:rsid w:val="00A05A61"/>
    <w:rsid w:val="00A05DCC"/>
    <w:rsid w:val="00A05EB2"/>
    <w:rsid w:val="00A0615B"/>
    <w:rsid w:val="00A061B4"/>
    <w:rsid w:val="00A06B52"/>
    <w:rsid w:val="00A06D91"/>
    <w:rsid w:val="00A070B3"/>
    <w:rsid w:val="00A07211"/>
    <w:rsid w:val="00A072D5"/>
    <w:rsid w:val="00A07691"/>
    <w:rsid w:val="00A07ACB"/>
    <w:rsid w:val="00A07FB1"/>
    <w:rsid w:val="00A07FD3"/>
    <w:rsid w:val="00A10103"/>
    <w:rsid w:val="00A101AE"/>
    <w:rsid w:val="00A10733"/>
    <w:rsid w:val="00A108BE"/>
    <w:rsid w:val="00A10A5B"/>
    <w:rsid w:val="00A10D64"/>
    <w:rsid w:val="00A11358"/>
    <w:rsid w:val="00A113DE"/>
    <w:rsid w:val="00A1197F"/>
    <w:rsid w:val="00A11985"/>
    <w:rsid w:val="00A11A26"/>
    <w:rsid w:val="00A11D97"/>
    <w:rsid w:val="00A11FD8"/>
    <w:rsid w:val="00A1221F"/>
    <w:rsid w:val="00A1269F"/>
    <w:rsid w:val="00A128D1"/>
    <w:rsid w:val="00A12ABE"/>
    <w:rsid w:val="00A12EC0"/>
    <w:rsid w:val="00A12F1B"/>
    <w:rsid w:val="00A13844"/>
    <w:rsid w:val="00A13DDA"/>
    <w:rsid w:val="00A13F00"/>
    <w:rsid w:val="00A14065"/>
    <w:rsid w:val="00A14160"/>
    <w:rsid w:val="00A14296"/>
    <w:rsid w:val="00A145B7"/>
    <w:rsid w:val="00A1467C"/>
    <w:rsid w:val="00A14D00"/>
    <w:rsid w:val="00A15297"/>
    <w:rsid w:val="00A153ED"/>
    <w:rsid w:val="00A15E5D"/>
    <w:rsid w:val="00A167E1"/>
    <w:rsid w:val="00A1693D"/>
    <w:rsid w:val="00A16AB3"/>
    <w:rsid w:val="00A16BF6"/>
    <w:rsid w:val="00A16C04"/>
    <w:rsid w:val="00A16C1E"/>
    <w:rsid w:val="00A16F4D"/>
    <w:rsid w:val="00A174FE"/>
    <w:rsid w:val="00A176D1"/>
    <w:rsid w:val="00A17975"/>
    <w:rsid w:val="00A17C71"/>
    <w:rsid w:val="00A20398"/>
    <w:rsid w:val="00A2049F"/>
    <w:rsid w:val="00A2061C"/>
    <w:rsid w:val="00A208FF"/>
    <w:rsid w:val="00A20A08"/>
    <w:rsid w:val="00A20A79"/>
    <w:rsid w:val="00A20D3B"/>
    <w:rsid w:val="00A20D7F"/>
    <w:rsid w:val="00A20E9A"/>
    <w:rsid w:val="00A21555"/>
    <w:rsid w:val="00A219D2"/>
    <w:rsid w:val="00A21D4B"/>
    <w:rsid w:val="00A21E93"/>
    <w:rsid w:val="00A2217C"/>
    <w:rsid w:val="00A22900"/>
    <w:rsid w:val="00A22E4E"/>
    <w:rsid w:val="00A22E7A"/>
    <w:rsid w:val="00A22F49"/>
    <w:rsid w:val="00A231FB"/>
    <w:rsid w:val="00A23241"/>
    <w:rsid w:val="00A23D5E"/>
    <w:rsid w:val="00A24407"/>
    <w:rsid w:val="00A2441B"/>
    <w:rsid w:val="00A24440"/>
    <w:rsid w:val="00A24773"/>
    <w:rsid w:val="00A25392"/>
    <w:rsid w:val="00A25723"/>
    <w:rsid w:val="00A25921"/>
    <w:rsid w:val="00A25994"/>
    <w:rsid w:val="00A25CA6"/>
    <w:rsid w:val="00A25E44"/>
    <w:rsid w:val="00A25F38"/>
    <w:rsid w:val="00A2637E"/>
    <w:rsid w:val="00A26884"/>
    <w:rsid w:val="00A26E8C"/>
    <w:rsid w:val="00A27245"/>
    <w:rsid w:val="00A272C6"/>
    <w:rsid w:val="00A27B3F"/>
    <w:rsid w:val="00A27BCB"/>
    <w:rsid w:val="00A27F79"/>
    <w:rsid w:val="00A302B3"/>
    <w:rsid w:val="00A3039E"/>
    <w:rsid w:val="00A303E4"/>
    <w:rsid w:val="00A30621"/>
    <w:rsid w:val="00A30642"/>
    <w:rsid w:val="00A30959"/>
    <w:rsid w:val="00A30A13"/>
    <w:rsid w:val="00A30DFD"/>
    <w:rsid w:val="00A30E15"/>
    <w:rsid w:val="00A313DB"/>
    <w:rsid w:val="00A31D81"/>
    <w:rsid w:val="00A323EB"/>
    <w:rsid w:val="00A32545"/>
    <w:rsid w:val="00A32618"/>
    <w:rsid w:val="00A32639"/>
    <w:rsid w:val="00A329A9"/>
    <w:rsid w:val="00A32A8F"/>
    <w:rsid w:val="00A32C16"/>
    <w:rsid w:val="00A330DD"/>
    <w:rsid w:val="00A33249"/>
    <w:rsid w:val="00A33599"/>
    <w:rsid w:val="00A33906"/>
    <w:rsid w:val="00A33BBF"/>
    <w:rsid w:val="00A33DA9"/>
    <w:rsid w:val="00A3437A"/>
    <w:rsid w:val="00A345AC"/>
    <w:rsid w:val="00A346EF"/>
    <w:rsid w:val="00A34B89"/>
    <w:rsid w:val="00A34BB3"/>
    <w:rsid w:val="00A34C00"/>
    <w:rsid w:val="00A34C94"/>
    <w:rsid w:val="00A34DDC"/>
    <w:rsid w:val="00A3533F"/>
    <w:rsid w:val="00A35946"/>
    <w:rsid w:val="00A359D3"/>
    <w:rsid w:val="00A360DF"/>
    <w:rsid w:val="00A36691"/>
    <w:rsid w:val="00A36775"/>
    <w:rsid w:val="00A369AC"/>
    <w:rsid w:val="00A36B1C"/>
    <w:rsid w:val="00A36D38"/>
    <w:rsid w:val="00A36FA7"/>
    <w:rsid w:val="00A37059"/>
    <w:rsid w:val="00A370FF"/>
    <w:rsid w:val="00A37B12"/>
    <w:rsid w:val="00A37C1C"/>
    <w:rsid w:val="00A37C6C"/>
    <w:rsid w:val="00A37DA9"/>
    <w:rsid w:val="00A37E65"/>
    <w:rsid w:val="00A37F2B"/>
    <w:rsid w:val="00A401C2"/>
    <w:rsid w:val="00A40620"/>
    <w:rsid w:val="00A407A8"/>
    <w:rsid w:val="00A40854"/>
    <w:rsid w:val="00A40927"/>
    <w:rsid w:val="00A4094A"/>
    <w:rsid w:val="00A40BED"/>
    <w:rsid w:val="00A40E85"/>
    <w:rsid w:val="00A412AB"/>
    <w:rsid w:val="00A415E7"/>
    <w:rsid w:val="00A415F6"/>
    <w:rsid w:val="00A4174D"/>
    <w:rsid w:val="00A4175D"/>
    <w:rsid w:val="00A4193D"/>
    <w:rsid w:val="00A41D07"/>
    <w:rsid w:val="00A41E35"/>
    <w:rsid w:val="00A41F09"/>
    <w:rsid w:val="00A42123"/>
    <w:rsid w:val="00A422AC"/>
    <w:rsid w:val="00A427C3"/>
    <w:rsid w:val="00A4297F"/>
    <w:rsid w:val="00A42A1E"/>
    <w:rsid w:val="00A432F4"/>
    <w:rsid w:val="00A43382"/>
    <w:rsid w:val="00A43489"/>
    <w:rsid w:val="00A43511"/>
    <w:rsid w:val="00A436CF"/>
    <w:rsid w:val="00A43A09"/>
    <w:rsid w:val="00A446B8"/>
    <w:rsid w:val="00A44783"/>
    <w:rsid w:val="00A447AB"/>
    <w:rsid w:val="00A44A9D"/>
    <w:rsid w:val="00A44ADA"/>
    <w:rsid w:val="00A44B97"/>
    <w:rsid w:val="00A44C76"/>
    <w:rsid w:val="00A44DEA"/>
    <w:rsid w:val="00A44F1F"/>
    <w:rsid w:val="00A45275"/>
    <w:rsid w:val="00A452FD"/>
    <w:rsid w:val="00A453B0"/>
    <w:rsid w:val="00A4582C"/>
    <w:rsid w:val="00A45A06"/>
    <w:rsid w:val="00A45A9A"/>
    <w:rsid w:val="00A45B92"/>
    <w:rsid w:val="00A45C8C"/>
    <w:rsid w:val="00A463C9"/>
    <w:rsid w:val="00A465E5"/>
    <w:rsid w:val="00A4694C"/>
    <w:rsid w:val="00A4727B"/>
    <w:rsid w:val="00A475A8"/>
    <w:rsid w:val="00A47610"/>
    <w:rsid w:val="00A479C1"/>
    <w:rsid w:val="00A47E8B"/>
    <w:rsid w:val="00A47EFA"/>
    <w:rsid w:val="00A47F33"/>
    <w:rsid w:val="00A50359"/>
    <w:rsid w:val="00A5038B"/>
    <w:rsid w:val="00A503E1"/>
    <w:rsid w:val="00A509B7"/>
    <w:rsid w:val="00A50F84"/>
    <w:rsid w:val="00A51178"/>
    <w:rsid w:val="00A51954"/>
    <w:rsid w:val="00A5213C"/>
    <w:rsid w:val="00A5233A"/>
    <w:rsid w:val="00A52C46"/>
    <w:rsid w:val="00A52DFB"/>
    <w:rsid w:val="00A52F14"/>
    <w:rsid w:val="00A52FC7"/>
    <w:rsid w:val="00A5318F"/>
    <w:rsid w:val="00A532E1"/>
    <w:rsid w:val="00A53D78"/>
    <w:rsid w:val="00A53F81"/>
    <w:rsid w:val="00A5518E"/>
    <w:rsid w:val="00A556B5"/>
    <w:rsid w:val="00A559F5"/>
    <w:rsid w:val="00A55BEC"/>
    <w:rsid w:val="00A55F46"/>
    <w:rsid w:val="00A55F73"/>
    <w:rsid w:val="00A56316"/>
    <w:rsid w:val="00A563A4"/>
    <w:rsid w:val="00A56762"/>
    <w:rsid w:val="00A56AE9"/>
    <w:rsid w:val="00A56D8F"/>
    <w:rsid w:val="00A56E2E"/>
    <w:rsid w:val="00A56EBD"/>
    <w:rsid w:val="00A56F1A"/>
    <w:rsid w:val="00A57364"/>
    <w:rsid w:val="00A57481"/>
    <w:rsid w:val="00A579CF"/>
    <w:rsid w:val="00A57AA7"/>
    <w:rsid w:val="00A57B7C"/>
    <w:rsid w:val="00A57D32"/>
    <w:rsid w:val="00A600D9"/>
    <w:rsid w:val="00A6018D"/>
    <w:rsid w:val="00A60448"/>
    <w:rsid w:val="00A60D1D"/>
    <w:rsid w:val="00A60F79"/>
    <w:rsid w:val="00A6103F"/>
    <w:rsid w:val="00A617A3"/>
    <w:rsid w:val="00A61918"/>
    <w:rsid w:val="00A61C9C"/>
    <w:rsid w:val="00A61F10"/>
    <w:rsid w:val="00A61F25"/>
    <w:rsid w:val="00A624E2"/>
    <w:rsid w:val="00A62509"/>
    <w:rsid w:val="00A626C4"/>
    <w:rsid w:val="00A62CD1"/>
    <w:rsid w:val="00A62DEF"/>
    <w:rsid w:val="00A63699"/>
    <w:rsid w:val="00A63748"/>
    <w:rsid w:val="00A63C8F"/>
    <w:rsid w:val="00A63D83"/>
    <w:rsid w:val="00A63F79"/>
    <w:rsid w:val="00A64027"/>
    <w:rsid w:val="00A641DF"/>
    <w:rsid w:val="00A643BC"/>
    <w:rsid w:val="00A6446F"/>
    <w:rsid w:val="00A644D8"/>
    <w:rsid w:val="00A64BB0"/>
    <w:rsid w:val="00A65659"/>
    <w:rsid w:val="00A656D6"/>
    <w:rsid w:val="00A65840"/>
    <w:rsid w:val="00A658EB"/>
    <w:rsid w:val="00A65B3B"/>
    <w:rsid w:val="00A65E81"/>
    <w:rsid w:val="00A66000"/>
    <w:rsid w:val="00A66152"/>
    <w:rsid w:val="00A6634E"/>
    <w:rsid w:val="00A663D9"/>
    <w:rsid w:val="00A66800"/>
    <w:rsid w:val="00A670D4"/>
    <w:rsid w:val="00A6765A"/>
    <w:rsid w:val="00A676C4"/>
    <w:rsid w:val="00A67A59"/>
    <w:rsid w:val="00A67E7D"/>
    <w:rsid w:val="00A67F6C"/>
    <w:rsid w:val="00A7000D"/>
    <w:rsid w:val="00A70119"/>
    <w:rsid w:val="00A701E7"/>
    <w:rsid w:val="00A707C7"/>
    <w:rsid w:val="00A707FE"/>
    <w:rsid w:val="00A70959"/>
    <w:rsid w:val="00A70B71"/>
    <w:rsid w:val="00A70DA7"/>
    <w:rsid w:val="00A70DF8"/>
    <w:rsid w:val="00A70F5D"/>
    <w:rsid w:val="00A72B64"/>
    <w:rsid w:val="00A72D33"/>
    <w:rsid w:val="00A7307B"/>
    <w:rsid w:val="00A731B7"/>
    <w:rsid w:val="00A7356E"/>
    <w:rsid w:val="00A73A02"/>
    <w:rsid w:val="00A73AD3"/>
    <w:rsid w:val="00A73B1A"/>
    <w:rsid w:val="00A7417F"/>
    <w:rsid w:val="00A748AD"/>
    <w:rsid w:val="00A7559F"/>
    <w:rsid w:val="00A756FB"/>
    <w:rsid w:val="00A7570B"/>
    <w:rsid w:val="00A75825"/>
    <w:rsid w:val="00A75A94"/>
    <w:rsid w:val="00A75AF8"/>
    <w:rsid w:val="00A75B11"/>
    <w:rsid w:val="00A7678F"/>
    <w:rsid w:val="00A768CA"/>
    <w:rsid w:val="00A76D95"/>
    <w:rsid w:val="00A76EFA"/>
    <w:rsid w:val="00A76FCA"/>
    <w:rsid w:val="00A77008"/>
    <w:rsid w:val="00A771B7"/>
    <w:rsid w:val="00A7730A"/>
    <w:rsid w:val="00A773B1"/>
    <w:rsid w:val="00A774F1"/>
    <w:rsid w:val="00A7754E"/>
    <w:rsid w:val="00A77592"/>
    <w:rsid w:val="00A7764D"/>
    <w:rsid w:val="00A77994"/>
    <w:rsid w:val="00A77A49"/>
    <w:rsid w:val="00A77B1B"/>
    <w:rsid w:val="00A77B91"/>
    <w:rsid w:val="00A77C1E"/>
    <w:rsid w:val="00A77F11"/>
    <w:rsid w:val="00A77FAC"/>
    <w:rsid w:val="00A8031A"/>
    <w:rsid w:val="00A8034E"/>
    <w:rsid w:val="00A80468"/>
    <w:rsid w:val="00A804E9"/>
    <w:rsid w:val="00A8055E"/>
    <w:rsid w:val="00A80697"/>
    <w:rsid w:val="00A80FF4"/>
    <w:rsid w:val="00A81298"/>
    <w:rsid w:val="00A812A4"/>
    <w:rsid w:val="00A81572"/>
    <w:rsid w:val="00A81581"/>
    <w:rsid w:val="00A81FC2"/>
    <w:rsid w:val="00A821CA"/>
    <w:rsid w:val="00A8240A"/>
    <w:rsid w:val="00A82667"/>
    <w:rsid w:val="00A826BF"/>
    <w:rsid w:val="00A827FF"/>
    <w:rsid w:val="00A829D8"/>
    <w:rsid w:val="00A82BEB"/>
    <w:rsid w:val="00A82C3D"/>
    <w:rsid w:val="00A8318C"/>
    <w:rsid w:val="00A83300"/>
    <w:rsid w:val="00A8335D"/>
    <w:rsid w:val="00A8339D"/>
    <w:rsid w:val="00A83532"/>
    <w:rsid w:val="00A83735"/>
    <w:rsid w:val="00A83805"/>
    <w:rsid w:val="00A83B40"/>
    <w:rsid w:val="00A83E75"/>
    <w:rsid w:val="00A843EA"/>
    <w:rsid w:val="00A84656"/>
    <w:rsid w:val="00A84C64"/>
    <w:rsid w:val="00A84DF7"/>
    <w:rsid w:val="00A84EFF"/>
    <w:rsid w:val="00A84F97"/>
    <w:rsid w:val="00A85336"/>
    <w:rsid w:val="00A855FD"/>
    <w:rsid w:val="00A85AC5"/>
    <w:rsid w:val="00A85EB8"/>
    <w:rsid w:val="00A85F19"/>
    <w:rsid w:val="00A86456"/>
    <w:rsid w:val="00A8685C"/>
    <w:rsid w:val="00A86870"/>
    <w:rsid w:val="00A86FEA"/>
    <w:rsid w:val="00A87031"/>
    <w:rsid w:val="00A87215"/>
    <w:rsid w:val="00A87379"/>
    <w:rsid w:val="00A878AF"/>
    <w:rsid w:val="00A879E3"/>
    <w:rsid w:val="00A87BE0"/>
    <w:rsid w:val="00A87FDE"/>
    <w:rsid w:val="00A90614"/>
    <w:rsid w:val="00A906A7"/>
    <w:rsid w:val="00A9089B"/>
    <w:rsid w:val="00A90B8C"/>
    <w:rsid w:val="00A90D71"/>
    <w:rsid w:val="00A90E9E"/>
    <w:rsid w:val="00A91198"/>
    <w:rsid w:val="00A91323"/>
    <w:rsid w:val="00A914E6"/>
    <w:rsid w:val="00A92AEF"/>
    <w:rsid w:val="00A930FF"/>
    <w:rsid w:val="00A93316"/>
    <w:rsid w:val="00A937D8"/>
    <w:rsid w:val="00A93C8A"/>
    <w:rsid w:val="00A93CE2"/>
    <w:rsid w:val="00A93F7A"/>
    <w:rsid w:val="00A946DB"/>
    <w:rsid w:val="00A947AB"/>
    <w:rsid w:val="00A94CF9"/>
    <w:rsid w:val="00A94E37"/>
    <w:rsid w:val="00A94FB9"/>
    <w:rsid w:val="00A950E5"/>
    <w:rsid w:val="00A95B73"/>
    <w:rsid w:val="00A9607B"/>
    <w:rsid w:val="00A96299"/>
    <w:rsid w:val="00A96C35"/>
    <w:rsid w:val="00A97080"/>
    <w:rsid w:val="00A970E6"/>
    <w:rsid w:val="00A97248"/>
    <w:rsid w:val="00A97410"/>
    <w:rsid w:val="00A97850"/>
    <w:rsid w:val="00A97CB0"/>
    <w:rsid w:val="00A97FC9"/>
    <w:rsid w:val="00AA04F7"/>
    <w:rsid w:val="00AA0588"/>
    <w:rsid w:val="00AA066E"/>
    <w:rsid w:val="00AA0967"/>
    <w:rsid w:val="00AA0F2B"/>
    <w:rsid w:val="00AA0F63"/>
    <w:rsid w:val="00AA1455"/>
    <w:rsid w:val="00AA17C3"/>
    <w:rsid w:val="00AA1C78"/>
    <w:rsid w:val="00AA1FBC"/>
    <w:rsid w:val="00AA20EE"/>
    <w:rsid w:val="00AA21A5"/>
    <w:rsid w:val="00AA2282"/>
    <w:rsid w:val="00AA2323"/>
    <w:rsid w:val="00AA2673"/>
    <w:rsid w:val="00AA2ABF"/>
    <w:rsid w:val="00AA2EF8"/>
    <w:rsid w:val="00AA34C4"/>
    <w:rsid w:val="00AA3626"/>
    <w:rsid w:val="00AA3967"/>
    <w:rsid w:val="00AA3E4A"/>
    <w:rsid w:val="00AA4025"/>
    <w:rsid w:val="00AA41BF"/>
    <w:rsid w:val="00AA436E"/>
    <w:rsid w:val="00AA472E"/>
    <w:rsid w:val="00AA499B"/>
    <w:rsid w:val="00AA4B77"/>
    <w:rsid w:val="00AA4E4A"/>
    <w:rsid w:val="00AA4ED4"/>
    <w:rsid w:val="00AA50DF"/>
    <w:rsid w:val="00AA5952"/>
    <w:rsid w:val="00AA5D13"/>
    <w:rsid w:val="00AA5E20"/>
    <w:rsid w:val="00AA601A"/>
    <w:rsid w:val="00AA631F"/>
    <w:rsid w:val="00AA63D9"/>
    <w:rsid w:val="00AA642C"/>
    <w:rsid w:val="00AA6681"/>
    <w:rsid w:val="00AA6719"/>
    <w:rsid w:val="00AA682F"/>
    <w:rsid w:val="00AA6C3D"/>
    <w:rsid w:val="00AA71FF"/>
    <w:rsid w:val="00AA74BF"/>
    <w:rsid w:val="00AA7537"/>
    <w:rsid w:val="00AA7DE1"/>
    <w:rsid w:val="00AA7E5E"/>
    <w:rsid w:val="00AA7EF9"/>
    <w:rsid w:val="00AA7FA2"/>
    <w:rsid w:val="00AB0334"/>
    <w:rsid w:val="00AB0495"/>
    <w:rsid w:val="00AB04D9"/>
    <w:rsid w:val="00AB0559"/>
    <w:rsid w:val="00AB06A9"/>
    <w:rsid w:val="00AB09FF"/>
    <w:rsid w:val="00AB0C5A"/>
    <w:rsid w:val="00AB1241"/>
    <w:rsid w:val="00AB12E8"/>
    <w:rsid w:val="00AB137F"/>
    <w:rsid w:val="00AB14F4"/>
    <w:rsid w:val="00AB164E"/>
    <w:rsid w:val="00AB1BAA"/>
    <w:rsid w:val="00AB1FF5"/>
    <w:rsid w:val="00AB22E1"/>
    <w:rsid w:val="00AB231C"/>
    <w:rsid w:val="00AB23E8"/>
    <w:rsid w:val="00AB2572"/>
    <w:rsid w:val="00AB2A87"/>
    <w:rsid w:val="00AB2C33"/>
    <w:rsid w:val="00AB2DB6"/>
    <w:rsid w:val="00AB2EAF"/>
    <w:rsid w:val="00AB316E"/>
    <w:rsid w:val="00AB34DE"/>
    <w:rsid w:val="00AB3ACD"/>
    <w:rsid w:val="00AB3B82"/>
    <w:rsid w:val="00AB3D78"/>
    <w:rsid w:val="00AB4012"/>
    <w:rsid w:val="00AB40F5"/>
    <w:rsid w:val="00AB42D1"/>
    <w:rsid w:val="00AB46BA"/>
    <w:rsid w:val="00AB4F3C"/>
    <w:rsid w:val="00AB5006"/>
    <w:rsid w:val="00AB5086"/>
    <w:rsid w:val="00AB5238"/>
    <w:rsid w:val="00AB52EF"/>
    <w:rsid w:val="00AB54F3"/>
    <w:rsid w:val="00AB5616"/>
    <w:rsid w:val="00AB566D"/>
    <w:rsid w:val="00AB5715"/>
    <w:rsid w:val="00AB5A4C"/>
    <w:rsid w:val="00AB5B39"/>
    <w:rsid w:val="00AB5D57"/>
    <w:rsid w:val="00AB5E0A"/>
    <w:rsid w:val="00AB5E42"/>
    <w:rsid w:val="00AB637D"/>
    <w:rsid w:val="00AB63A7"/>
    <w:rsid w:val="00AB6B9F"/>
    <w:rsid w:val="00AB6C58"/>
    <w:rsid w:val="00AB7332"/>
    <w:rsid w:val="00AB7403"/>
    <w:rsid w:val="00AB74E6"/>
    <w:rsid w:val="00AB752A"/>
    <w:rsid w:val="00AB7679"/>
    <w:rsid w:val="00AC0227"/>
    <w:rsid w:val="00AC0248"/>
    <w:rsid w:val="00AC056E"/>
    <w:rsid w:val="00AC0791"/>
    <w:rsid w:val="00AC16DC"/>
    <w:rsid w:val="00AC17E0"/>
    <w:rsid w:val="00AC1965"/>
    <w:rsid w:val="00AC1BC0"/>
    <w:rsid w:val="00AC1CE9"/>
    <w:rsid w:val="00AC204B"/>
    <w:rsid w:val="00AC2249"/>
    <w:rsid w:val="00AC23C9"/>
    <w:rsid w:val="00AC2430"/>
    <w:rsid w:val="00AC27C2"/>
    <w:rsid w:val="00AC29B0"/>
    <w:rsid w:val="00AC29B9"/>
    <w:rsid w:val="00AC2BEC"/>
    <w:rsid w:val="00AC2BFC"/>
    <w:rsid w:val="00AC2C55"/>
    <w:rsid w:val="00AC2E73"/>
    <w:rsid w:val="00AC3106"/>
    <w:rsid w:val="00AC3213"/>
    <w:rsid w:val="00AC33D8"/>
    <w:rsid w:val="00AC34F4"/>
    <w:rsid w:val="00AC3A5E"/>
    <w:rsid w:val="00AC3B3F"/>
    <w:rsid w:val="00AC3BEC"/>
    <w:rsid w:val="00AC3BFE"/>
    <w:rsid w:val="00AC3C7E"/>
    <w:rsid w:val="00AC3C95"/>
    <w:rsid w:val="00AC4315"/>
    <w:rsid w:val="00AC4393"/>
    <w:rsid w:val="00AC4F6B"/>
    <w:rsid w:val="00AC5196"/>
    <w:rsid w:val="00AC56F7"/>
    <w:rsid w:val="00AC5709"/>
    <w:rsid w:val="00AC57ED"/>
    <w:rsid w:val="00AC58BB"/>
    <w:rsid w:val="00AC5F23"/>
    <w:rsid w:val="00AC656C"/>
    <w:rsid w:val="00AC66BA"/>
    <w:rsid w:val="00AC6858"/>
    <w:rsid w:val="00AC6A58"/>
    <w:rsid w:val="00AC6C80"/>
    <w:rsid w:val="00AC6CFB"/>
    <w:rsid w:val="00AC6DE7"/>
    <w:rsid w:val="00AC6E38"/>
    <w:rsid w:val="00AC6FB4"/>
    <w:rsid w:val="00AC7067"/>
    <w:rsid w:val="00AC7093"/>
    <w:rsid w:val="00AC70DB"/>
    <w:rsid w:val="00AC737C"/>
    <w:rsid w:val="00AC7484"/>
    <w:rsid w:val="00AC773E"/>
    <w:rsid w:val="00AC776C"/>
    <w:rsid w:val="00AC77B3"/>
    <w:rsid w:val="00AC7CF8"/>
    <w:rsid w:val="00AC7F47"/>
    <w:rsid w:val="00AD016E"/>
    <w:rsid w:val="00AD047D"/>
    <w:rsid w:val="00AD0574"/>
    <w:rsid w:val="00AD0C2C"/>
    <w:rsid w:val="00AD0CB9"/>
    <w:rsid w:val="00AD0FAE"/>
    <w:rsid w:val="00AD102A"/>
    <w:rsid w:val="00AD1093"/>
    <w:rsid w:val="00AD111B"/>
    <w:rsid w:val="00AD11CE"/>
    <w:rsid w:val="00AD1201"/>
    <w:rsid w:val="00AD12A5"/>
    <w:rsid w:val="00AD15AE"/>
    <w:rsid w:val="00AD1628"/>
    <w:rsid w:val="00AD193C"/>
    <w:rsid w:val="00AD1C24"/>
    <w:rsid w:val="00AD1F9A"/>
    <w:rsid w:val="00AD24BE"/>
    <w:rsid w:val="00AD2745"/>
    <w:rsid w:val="00AD29CD"/>
    <w:rsid w:val="00AD2CFA"/>
    <w:rsid w:val="00AD309A"/>
    <w:rsid w:val="00AD3113"/>
    <w:rsid w:val="00AD356B"/>
    <w:rsid w:val="00AD37CE"/>
    <w:rsid w:val="00AD381E"/>
    <w:rsid w:val="00AD38D8"/>
    <w:rsid w:val="00AD3C17"/>
    <w:rsid w:val="00AD4003"/>
    <w:rsid w:val="00AD40CA"/>
    <w:rsid w:val="00AD412A"/>
    <w:rsid w:val="00AD4356"/>
    <w:rsid w:val="00AD44CC"/>
    <w:rsid w:val="00AD47F2"/>
    <w:rsid w:val="00AD47F4"/>
    <w:rsid w:val="00AD48C6"/>
    <w:rsid w:val="00AD4E24"/>
    <w:rsid w:val="00AD4F90"/>
    <w:rsid w:val="00AD5112"/>
    <w:rsid w:val="00AD5151"/>
    <w:rsid w:val="00AD53D0"/>
    <w:rsid w:val="00AD5BFD"/>
    <w:rsid w:val="00AD5CCF"/>
    <w:rsid w:val="00AD5F15"/>
    <w:rsid w:val="00AD5FD7"/>
    <w:rsid w:val="00AD6372"/>
    <w:rsid w:val="00AD646B"/>
    <w:rsid w:val="00AD70F5"/>
    <w:rsid w:val="00AD7350"/>
    <w:rsid w:val="00AD73C7"/>
    <w:rsid w:val="00AD774B"/>
    <w:rsid w:val="00AD7786"/>
    <w:rsid w:val="00AD7CBC"/>
    <w:rsid w:val="00AD7F88"/>
    <w:rsid w:val="00AE0379"/>
    <w:rsid w:val="00AE0A80"/>
    <w:rsid w:val="00AE0A82"/>
    <w:rsid w:val="00AE0B69"/>
    <w:rsid w:val="00AE0B71"/>
    <w:rsid w:val="00AE10FD"/>
    <w:rsid w:val="00AE1271"/>
    <w:rsid w:val="00AE13C8"/>
    <w:rsid w:val="00AE17BC"/>
    <w:rsid w:val="00AE1934"/>
    <w:rsid w:val="00AE1A26"/>
    <w:rsid w:val="00AE1A39"/>
    <w:rsid w:val="00AE1AF8"/>
    <w:rsid w:val="00AE1CBB"/>
    <w:rsid w:val="00AE1F12"/>
    <w:rsid w:val="00AE2433"/>
    <w:rsid w:val="00AE27E4"/>
    <w:rsid w:val="00AE2A42"/>
    <w:rsid w:val="00AE2BEF"/>
    <w:rsid w:val="00AE2CCC"/>
    <w:rsid w:val="00AE2DE8"/>
    <w:rsid w:val="00AE2E91"/>
    <w:rsid w:val="00AE3044"/>
    <w:rsid w:val="00AE3144"/>
    <w:rsid w:val="00AE35F9"/>
    <w:rsid w:val="00AE38A3"/>
    <w:rsid w:val="00AE3B70"/>
    <w:rsid w:val="00AE3ED7"/>
    <w:rsid w:val="00AE44B7"/>
    <w:rsid w:val="00AE50D2"/>
    <w:rsid w:val="00AE5298"/>
    <w:rsid w:val="00AE5329"/>
    <w:rsid w:val="00AE53B7"/>
    <w:rsid w:val="00AE5AE6"/>
    <w:rsid w:val="00AE5D77"/>
    <w:rsid w:val="00AE6008"/>
    <w:rsid w:val="00AE63D6"/>
    <w:rsid w:val="00AE67A0"/>
    <w:rsid w:val="00AE68ED"/>
    <w:rsid w:val="00AE69B5"/>
    <w:rsid w:val="00AE6DE4"/>
    <w:rsid w:val="00AE702B"/>
    <w:rsid w:val="00AE70FD"/>
    <w:rsid w:val="00AE7344"/>
    <w:rsid w:val="00AE7764"/>
    <w:rsid w:val="00AE78D2"/>
    <w:rsid w:val="00AE7A3D"/>
    <w:rsid w:val="00AE7DEB"/>
    <w:rsid w:val="00AE7EF2"/>
    <w:rsid w:val="00AF0723"/>
    <w:rsid w:val="00AF0A8B"/>
    <w:rsid w:val="00AF0B25"/>
    <w:rsid w:val="00AF0D4A"/>
    <w:rsid w:val="00AF100E"/>
    <w:rsid w:val="00AF1325"/>
    <w:rsid w:val="00AF1622"/>
    <w:rsid w:val="00AF1684"/>
    <w:rsid w:val="00AF1E09"/>
    <w:rsid w:val="00AF2552"/>
    <w:rsid w:val="00AF2677"/>
    <w:rsid w:val="00AF2833"/>
    <w:rsid w:val="00AF2984"/>
    <w:rsid w:val="00AF2A63"/>
    <w:rsid w:val="00AF2AB1"/>
    <w:rsid w:val="00AF2C70"/>
    <w:rsid w:val="00AF2E5E"/>
    <w:rsid w:val="00AF2F5F"/>
    <w:rsid w:val="00AF37BC"/>
    <w:rsid w:val="00AF3EE4"/>
    <w:rsid w:val="00AF40B8"/>
    <w:rsid w:val="00AF44D4"/>
    <w:rsid w:val="00AF47DF"/>
    <w:rsid w:val="00AF4BAE"/>
    <w:rsid w:val="00AF4C3E"/>
    <w:rsid w:val="00AF4DF2"/>
    <w:rsid w:val="00AF4E6E"/>
    <w:rsid w:val="00AF507A"/>
    <w:rsid w:val="00AF5872"/>
    <w:rsid w:val="00AF5C33"/>
    <w:rsid w:val="00AF658B"/>
    <w:rsid w:val="00AF66AA"/>
    <w:rsid w:val="00AF6A6D"/>
    <w:rsid w:val="00AF6C8E"/>
    <w:rsid w:val="00AF7134"/>
    <w:rsid w:val="00AF716F"/>
    <w:rsid w:val="00AF72C1"/>
    <w:rsid w:val="00AF7362"/>
    <w:rsid w:val="00AF74D6"/>
    <w:rsid w:val="00AF7D5C"/>
    <w:rsid w:val="00AF7FB6"/>
    <w:rsid w:val="00B000BA"/>
    <w:rsid w:val="00B004CF"/>
    <w:rsid w:val="00B00684"/>
    <w:rsid w:val="00B00BE1"/>
    <w:rsid w:val="00B00D0D"/>
    <w:rsid w:val="00B00E31"/>
    <w:rsid w:val="00B013DD"/>
    <w:rsid w:val="00B01463"/>
    <w:rsid w:val="00B01536"/>
    <w:rsid w:val="00B01AC3"/>
    <w:rsid w:val="00B0205F"/>
    <w:rsid w:val="00B023BC"/>
    <w:rsid w:val="00B0253C"/>
    <w:rsid w:val="00B026C5"/>
    <w:rsid w:val="00B029EB"/>
    <w:rsid w:val="00B02D53"/>
    <w:rsid w:val="00B03015"/>
    <w:rsid w:val="00B03200"/>
    <w:rsid w:val="00B035DB"/>
    <w:rsid w:val="00B0360A"/>
    <w:rsid w:val="00B03D18"/>
    <w:rsid w:val="00B04353"/>
    <w:rsid w:val="00B047A8"/>
    <w:rsid w:val="00B049F4"/>
    <w:rsid w:val="00B04DC0"/>
    <w:rsid w:val="00B05000"/>
    <w:rsid w:val="00B0507B"/>
    <w:rsid w:val="00B050D2"/>
    <w:rsid w:val="00B05182"/>
    <w:rsid w:val="00B05751"/>
    <w:rsid w:val="00B05854"/>
    <w:rsid w:val="00B05A29"/>
    <w:rsid w:val="00B0624D"/>
    <w:rsid w:val="00B063BF"/>
    <w:rsid w:val="00B065D1"/>
    <w:rsid w:val="00B068B2"/>
    <w:rsid w:val="00B0695A"/>
    <w:rsid w:val="00B06EB3"/>
    <w:rsid w:val="00B07618"/>
    <w:rsid w:val="00B0787D"/>
    <w:rsid w:val="00B07983"/>
    <w:rsid w:val="00B07BA3"/>
    <w:rsid w:val="00B07D6E"/>
    <w:rsid w:val="00B102A6"/>
    <w:rsid w:val="00B10396"/>
    <w:rsid w:val="00B103E0"/>
    <w:rsid w:val="00B105D0"/>
    <w:rsid w:val="00B109CB"/>
    <w:rsid w:val="00B1119D"/>
    <w:rsid w:val="00B11526"/>
    <w:rsid w:val="00B11652"/>
    <w:rsid w:val="00B11EEB"/>
    <w:rsid w:val="00B11FCB"/>
    <w:rsid w:val="00B123BA"/>
    <w:rsid w:val="00B123DC"/>
    <w:rsid w:val="00B126DF"/>
    <w:rsid w:val="00B1289C"/>
    <w:rsid w:val="00B12A69"/>
    <w:rsid w:val="00B12C42"/>
    <w:rsid w:val="00B134E5"/>
    <w:rsid w:val="00B136CB"/>
    <w:rsid w:val="00B13A60"/>
    <w:rsid w:val="00B13D46"/>
    <w:rsid w:val="00B14149"/>
    <w:rsid w:val="00B1416C"/>
    <w:rsid w:val="00B14402"/>
    <w:rsid w:val="00B14582"/>
    <w:rsid w:val="00B1489D"/>
    <w:rsid w:val="00B152D8"/>
    <w:rsid w:val="00B15331"/>
    <w:rsid w:val="00B1549E"/>
    <w:rsid w:val="00B154AB"/>
    <w:rsid w:val="00B157D4"/>
    <w:rsid w:val="00B15920"/>
    <w:rsid w:val="00B15B6E"/>
    <w:rsid w:val="00B16411"/>
    <w:rsid w:val="00B16497"/>
    <w:rsid w:val="00B16BC6"/>
    <w:rsid w:val="00B16BFF"/>
    <w:rsid w:val="00B170D9"/>
    <w:rsid w:val="00B1741D"/>
    <w:rsid w:val="00B17881"/>
    <w:rsid w:val="00B178F5"/>
    <w:rsid w:val="00B17913"/>
    <w:rsid w:val="00B17929"/>
    <w:rsid w:val="00B17BEE"/>
    <w:rsid w:val="00B20308"/>
    <w:rsid w:val="00B20348"/>
    <w:rsid w:val="00B20633"/>
    <w:rsid w:val="00B20817"/>
    <w:rsid w:val="00B20CFF"/>
    <w:rsid w:val="00B20E7B"/>
    <w:rsid w:val="00B20EE7"/>
    <w:rsid w:val="00B210C8"/>
    <w:rsid w:val="00B2120A"/>
    <w:rsid w:val="00B2216E"/>
    <w:rsid w:val="00B2220B"/>
    <w:rsid w:val="00B22801"/>
    <w:rsid w:val="00B2293E"/>
    <w:rsid w:val="00B22A52"/>
    <w:rsid w:val="00B22A5D"/>
    <w:rsid w:val="00B22BCC"/>
    <w:rsid w:val="00B2332A"/>
    <w:rsid w:val="00B233D1"/>
    <w:rsid w:val="00B23505"/>
    <w:rsid w:val="00B236ED"/>
    <w:rsid w:val="00B23B1F"/>
    <w:rsid w:val="00B2419E"/>
    <w:rsid w:val="00B241B7"/>
    <w:rsid w:val="00B245D5"/>
    <w:rsid w:val="00B2468C"/>
    <w:rsid w:val="00B2472C"/>
    <w:rsid w:val="00B24B75"/>
    <w:rsid w:val="00B24BB8"/>
    <w:rsid w:val="00B24C2E"/>
    <w:rsid w:val="00B24C94"/>
    <w:rsid w:val="00B25052"/>
    <w:rsid w:val="00B253DC"/>
    <w:rsid w:val="00B2561D"/>
    <w:rsid w:val="00B258C1"/>
    <w:rsid w:val="00B25FB1"/>
    <w:rsid w:val="00B26056"/>
    <w:rsid w:val="00B260F3"/>
    <w:rsid w:val="00B2611D"/>
    <w:rsid w:val="00B263C5"/>
    <w:rsid w:val="00B26459"/>
    <w:rsid w:val="00B267A4"/>
    <w:rsid w:val="00B268CB"/>
    <w:rsid w:val="00B26B2A"/>
    <w:rsid w:val="00B26D88"/>
    <w:rsid w:val="00B26DC0"/>
    <w:rsid w:val="00B2702C"/>
    <w:rsid w:val="00B27137"/>
    <w:rsid w:val="00B27957"/>
    <w:rsid w:val="00B27D31"/>
    <w:rsid w:val="00B27EC8"/>
    <w:rsid w:val="00B300E9"/>
    <w:rsid w:val="00B30473"/>
    <w:rsid w:val="00B305B3"/>
    <w:rsid w:val="00B30813"/>
    <w:rsid w:val="00B308A8"/>
    <w:rsid w:val="00B30DC1"/>
    <w:rsid w:val="00B30E64"/>
    <w:rsid w:val="00B31159"/>
    <w:rsid w:val="00B3180C"/>
    <w:rsid w:val="00B31B45"/>
    <w:rsid w:val="00B31C0F"/>
    <w:rsid w:val="00B31D05"/>
    <w:rsid w:val="00B31D4E"/>
    <w:rsid w:val="00B31DB3"/>
    <w:rsid w:val="00B31E9D"/>
    <w:rsid w:val="00B32169"/>
    <w:rsid w:val="00B32238"/>
    <w:rsid w:val="00B32CA5"/>
    <w:rsid w:val="00B3330F"/>
    <w:rsid w:val="00B33A71"/>
    <w:rsid w:val="00B33AB8"/>
    <w:rsid w:val="00B33BB7"/>
    <w:rsid w:val="00B33E1F"/>
    <w:rsid w:val="00B33F32"/>
    <w:rsid w:val="00B344B2"/>
    <w:rsid w:val="00B346B5"/>
    <w:rsid w:val="00B346EF"/>
    <w:rsid w:val="00B3473C"/>
    <w:rsid w:val="00B34954"/>
    <w:rsid w:val="00B34ED7"/>
    <w:rsid w:val="00B35031"/>
    <w:rsid w:val="00B353EF"/>
    <w:rsid w:val="00B3599A"/>
    <w:rsid w:val="00B35B66"/>
    <w:rsid w:val="00B35C1F"/>
    <w:rsid w:val="00B35C5C"/>
    <w:rsid w:val="00B36553"/>
    <w:rsid w:val="00B366BA"/>
    <w:rsid w:val="00B36808"/>
    <w:rsid w:val="00B36B4C"/>
    <w:rsid w:val="00B36F85"/>
    <w:rsid w:val="00B372AF"/>
    <w:rsid w:val="00B3773E"/>
    <w:rsid w:val="00B379C7"/>
    <w:rsid w:val="00B37B97"/>
    <w:rsid w:val="00B37CB0"/>
    <w:rsid w:val="00B37F63"/>
    <w:rsid w:val="00B400F4"/>
    <w:rsid w:val="00B4025A"/>
    <w:rsid w:val="00B40629"/>
    <w:rsid w:val="00B4068E"/>
    <w:rsid w:val="00B406C2"/>
    <w:rsid w:val="00B40825"/>
    <w:rsid w:val="00B40B1C"/>
    <w:rsid w:val="00B411B3"/>
    <w:rsid w:val="00B41AB1"/>
    <w:rsid w:val="00B41BEB"/>
    <w:rsid w:val="00B4218D"/>
    <w:rsid w:val="00B4226C"/>
    <w:rsid w:val="00B42285"/>
    <w:rsid w:val="00B42345"/>
    <w:rsid w:val="00B42613"/>
    <w:rsid w:val="00B4261C"/>
    <w:rsid w:val="00B42650"/>
    <w:rsid w:val="00B427DC"/>
    <w:rsid w:val="00B429C2"/>
    <w:rsid w:val="00B42FAD"/>
    <w:rsid w:val="00B4317B"/>
    <w:rsid w:val="00B43349"/>
    <w:rsid w:val="00B434EF"/>
    <w:rsid w:val="00B4365B"/>
    <w:rsid w:val="00B437C4"/>
    <w:rsid w:val="00B43B81"/>
    <w:rsid w:val="00B43EE6"/>
    <w:rsid w:val="00B43F41"/>
    <w:rsid w:val="00B4433F"/>
    <w:rsid w:val="00B4456F"/>
    <w:rsid w:val="00B4458D"/>
    <w:rsid w:val="00B44B6F"/>
    <w:rsid w:val="00B44B78"/>
    <w:rsid w:val="00B4562F"/>
    <w:rsid w:val="00B458E6"/>
    <w:rsid w:val="00B459AC"/>
    <w:rsid w:val="00B45BE2"/>
    <w:rsid w:val="00B45DF7"/>
    <w:rsid w:val="00B45FDF"/>
    <w:rsid w:val="00B4616B"/>
    <w:rsid w:val="00B464EC"/>
    <w:rsid w:val="00B46647"/>
    <w:rsid w:val="00B4685B"/>
    <w:rsid w:val="00B46B78"/>
    <w:rsid w:val="00B46D14"/>
    <w:rsid w:val="00B46F8C"/>
    <w:rsid w:val="00B47016"/>
    <w:rsid w:val="00B4718E"/>
    <w:rsid w:val="00B47813"/>
    <w:rsid w:val="00B47B18"/>
    <w:rsid w:val="00B50028"/>
    <w:rsid w:val="00B50037"/>
    <w:rsid w:val="00B5050F"/>
    <w:rsid w:val="00B5056F"/>
    <w:rsid w:val="00B50676"/>
    <w:rsid w:val="00B50803"/>
    <w:rsid w:val="00B50E0D"/>
    <w:rsid w:val="00B516EF"/>
    <w:rsid w:val="00B518BF"/>
    <w:rsid w:val="00B51AAC"/>
    <w:rsid w:val="00B523C3"/>
    <w:rsid w:val="00B524F0"/>
    <w:rsid w:val="00B52596"/>
    <w:rsid w:val="00B52954"/>
    <w:rsid w:val="00B52AC1"/>
    <w:rsid w:val="00B52C6B"/>
    <w:rsid w:val="00B52DF4"/>
    <w:rsid w:val="00B531D2"/>
    <w:rsid w:val="00B53221"/>
    <w:rsid w:val="00B53B8D"/>
    <w:rsid w:val="00B53F6B"/>
    <w:rsid w:val="00B5400C"/>
    <w:rsid w:val="00B540CC"/>
    <w:rsid w:val="00B541AA"/>
    <w:rsid w:val="00B54653"/>
    <w:rsid w:val="00B54701"/>
    <w:rsid w:val="00B547AD"/>
    <w:rsid w:val="00B54966"/>
    <w:rsid w:val="00B54A31"/>
    <w:rsid w:val="00B54B0C"/>
    <w:rsid w:val="00B54B7D"/>
    <w:rsid w:val="00B54BC1"/>
    <w:rsid w:val="00B54CC2"/>
    <w:rsid w:val="00B54E52"/>
    <w:rsid w:val="00B54E75"/>
    <w:rsid w:val="00B550F3"/>
    <w:rsid w:val="00B5531B"/>
    <w:rsid w:val="00B55408"/>
    <w:rsid w:val="00B55459"/>
    <w:rsid w:val="00B5590A"/>
    <w:rsid w:val="00B55B61"/>
    <w:rsid w:val="00B55D29"/>
    <w:rsid w:val="00B55E23"/>
    <w:rsid w:val="00B563C5"/>
    <w:rsid w:val="00B56694"/>
    <w:rsid w:val="00B5683F"/>
    <w:rsid w:val="00B5688C"/>
    <w:rsid w:val="00B57048"/>
    <w:rsid w:val="00B57386"/>
    <w:rsid w:val="00B57455"/>
    <w:rsid w:val="00B57792"/>
    <w:rsid w:val="00B579BB"/>
    <w:rsid w:val="00B60B72"/>
    <w:rsid w:val="00B60BA0"/>
    <w:rsid w:val="00B60BC1"/>
    <w:rsid w:val="00B612F8"/>
    <w:rsid w:val="00B614D2"/>
    <w:rsid w:val="00B61571"/>
    <w:rsid w:val="00B6177C"/>
    <w:rsid w:val="00B61BBB"/>
    <w:rsid w:val="00B61C35"/>
    <w:rsid w:val="00B62041"/>
    <w:rsid w:val="00B62242"/>
    <w:rsid w:val="00B6267E"/>
    <w:rsid w:val="00B62A19"/>
    <w:rsid w:val="00B62FB2"/>
    <w:rsid w:val="00B630E2"/>
    <w:rsid w:val="00B63531"/>
    <w:rsid w:val="00B637B4"/>
    <w:rsid w:val="00B6383F"/>
    <w:rsid w:val="00B64441"/>
    <w:rsid w:val="00B64775"/>
    <w:rsid w:val="00B648A3"/>
    <w:rsid w:val="00B648E8"/>
    <w:rsid w:val="00B64EC3"/>
    <w:rsid w:val="00B64EDD"/>
    <w:rsid w:val="00B64FFE"/>
    <w:rsid w:val="00B651F5"/>
    <w:rsid w:val="00B65354"/>
    <w:rsid w:val="00B65766"/>
    <w:rsid w:val="00B65787"/>
    <w:rsid w:val="00B658E7"/>
    <w:rsid w:val="00B658E9"/>
    <w:rsid w:val="00B65BB7"/>
    <w:rsid w:val="00B6652C"/>
    <w:rsid w:val="00B667DF"/>
    <w:rsid w:val="00B66838"/>
    <w:rsid w:val="00B6704B"/>
    <w:rsid w:val="00B670BD"/>
    <w:rsid w:val="00B67217"/>
    <w:rsid w:val="00B67C66"/>
    <w:rsid w:val="00B67C7E"/>
    <w:rsid w:val="00B67E9B"/>
    <w:rsid w:val="00B700AF"/>
    <w:rsid w:val="00B70109"/>
    <w:rsid w:val="00B704BC"/>
    <w:rsid w:val="00B705B3"/>
    <w:rsid w:val="00B706EF"/>
    <w:rsid w:val="00B70940"/>
    <w:rsid w:val="00B709AB"/>
    <w:rsid w:val="00B709E7"/>
    <w:rsid w:val="00B70CC2"/>
    <w:rsid w:val="00B71159"/>
    <w:rsid w:val="00B711D4"/>
    <w:rsid w:val="00B711E9"/>
    <w:rsid w:val="00B71698"/>
    <w:rsid w:val="00B716B5"/>
    <w:rsid w:val="00B71749"/>
    <w:rsid w:val="00B71B04"/>
    <w:rsid w:val="00B72191"/>
    <w:rsid w:val="00B72372"/>
    <w:rsid w:val="00B723CA"/>
    <w:rsid w:val="00B72872"/>
    <w:rsid w:val="00B72907"/>
    <w:rsid w:val="00B72F3E"/>
    <w:rsid w:val="00B73840"/>
    <w:rsid w:val="00B73E84"/>
    <w:rsid w:val="00B74215"/>
    <w:rsid w:val="00B74521"/>
    <w:rsid w:val="00B748EB"/>
    <w:rsid w:val="00B7497D"/>
    <w:rsid w:val="00B74A77"/>
    <w:rsid w:val="00B74AEA"/>
    <w:rsid w:val="00B74CCF"/>
    <w:rsid w:val="00B74D09"/>
    <w:rsid w:val="00B74F47"/>
    <w:rsid w:val="00B74F68"/>
    <w:rsid w:val="00B750CB"/>
    <w:rsid w:val="00B7556D"/>
    <w:rsid w:val="00B75599"/>
    <w:rsid w:val="00B75752"/>
    <w:rsid w:val="00B75A9B"/>
    <w:rsid w:val="00B75C76"/>
    <w:rsid w:val="00B75CCF"/>
    <w:rsid w:val="00B75D46"/>
    <w:rsid w:val="00B7602B"/>
    <w:rsid w:val="00B7625E"/>
    <w:rsid w:val="00B765BB"/>
    <w:rsid w:val="00B766B4"/>
    <w:rsid w:val="00B76916"/>
    <w:rsid w:val="00B76BB7"/>
    <w:rsid w:val="00B770A7"/>
    <w:rsid w:val="00B77433"/>
    <w:rsid w:val="00B7743F"/>
    <w:rsid w:val="00B77732"/>
    <w:rsid w:val="00B778FE"/>
    <w:rsid w:val="00B77D82"/>
    <w:rsid w:val="00B77DF0"/>
    <w:rsid w:val="00B8019C"/>
    <w:rsid w:val="00B803D7"/>
    <w:rsid w:val="00B805EC"/>
    <w:rsid w:val="00B80755"/>
    <w:rsid w:val="00B80785"/>
    <w:rsid w:val="00B80AA2"/>
    <w:rsid w:val="00B80D5B"/>
    <w:rsid w:val="00B81513"/>
    <w:rsid w:val="00B81A50"/>
    <w:rsid w:val="00B81B7D"/>
    <w:rsid w:val="00B81DA1"/>
    <w:rsid w:val="00B821AA"/>
    <w:rsid w:val="00B82236"/>
    <w:rsid w:val="00B82887"/>
    <w:rsid w:val="00B82BD1"/>
    <w:rsid w:val="00B82BF8"/>
    <w:rsid w:val="00B83479"/>
    <w:rsid w:val="00B835EB"/>
    <w:rsid w:val="00B83F8E"/>
    <w:rsid w:val="00B84128"/>
    <w:rsid w:val="00B84787"/>
    <w:rsid w:val="00B84854"/>
    <w:rsid w:val="00B84CE9"/>
    <w:rsid w:val="00B84FC0"/>
    <w:rsid w:val="00B856A5"/>
    <w:rsid w:val="00B8576F"/>
    <w:rsid w:val="00B85CA0"/>
    <w:rsid w:val="00B85F20"/>
    <w:rsid w:val="00B85F72"/>
    <w:rsid w:val="00B8648C"/>
    <w:rsid w:val="00B866BC"/>
    <w:rsid w:val="00B866E7"/>
    <w:rsid w:val="00B86917"/>
    <w:rsid w:val="00B86A58"/>
    <w:rsid w:val="00B86B76"/>
    <w:rsid w:val="00B86BB4"/>
    <w:rsid w:val="00B86E46"/>
    <w:rsid w:val="00B86FD8"/>
    <w:rsid w:val="00B8700E"/>
    <w:rsid w:val="00B87694"/>
    <w:rsid w:val="00B87B25"/>
    <w:rsid w:val="00B87D80"/>
    <w:rsid w:val="00B9014F"/>
    <w:rsid w:val="00B901F3"/>
    <w:rsid w:val="00B9034A"/>
    <w:rsid w:val="00B9050A"/>
    <w:rsid w:val="00B906E4"/>
    <w:rsid w:val="00B90766"/>
    <w:rsid w:val="00B90B13"/>
    <w:rsid w:val="00B915D9"/>
    <w:rsid w:val="00B9173D"/>
    <w:rsid w:val="00B91AFE"/>
    <w:rsid w:val="00B91B4D"/>
    <w:rsid w:val="00B91CD8"/>
    <w:rsid w:val="00B91D23"/>
    <w:rsid w:val="00B91F57"/>
    <w:rsid w:val="00B91FCB"/>
    <w:rsid w:val="00B9214E"/>
    <w:rsid w:val="00B92153"/>
    <w:rsid w:val="00B92628"/>
    <w:rsid w:val="00B926FB"/>
    <w:rsid w:val="00B928BD"/>
    <w:rsid w:val="00B92C77"/>
    <w:rsid w:val="00B92E20"/>
    <w:rsid w:val="00B932A2"/>
    <w:rsid w:val="00B9337D"/>
    <w:rsid w:val="00B934D3"/>
    <w:rsid w:val="00B936DA"/>
    <w:rsid w:val="00B9371F"/>
    <w:rsid w:val="00B93799"/>
    <w:rsid w:val="00B93970"/>
    <w:rsid w:val="00B93FF2"/>
    <w:rsid w:val="00B94034"/>
    <w:rsid w:val="00B9422F"/>
    <w:rsid w:val="00B94505"/>
    <w:rsid w:val="00B9470C"/>
    <w:rsid w:val="00B94D03"/>
    <w:rsid w:val="00B95639"/>
    <w:rsid w:val="00B95875"/>
    <w:rsid w:val="00B959BB"/>
    <w:rsid w:val="00B95C83"/>
    <w:rsid w:val="00B960EB"/>
    <w:rsid w:val="00B96145"/>
    <w:rsid w:val="00B963F8"/>
    <w:rsid w:val="00B96417"/>
    <w:rsid w:val="00B96555"/>
    <w:rsid w:val="00B965D7"/>
    <w:rsid w:val="00B96897"/>
    <w:rsid w:val="00B96CAE"/>
    <w:rsid w:val="00B97215"/>
    <w:rsid w:val="00B97694"/>
    <w:rsid w:val="00B978E0"/>
    <w:rsid w:val="00B9793A"/>
    <w:rsid w:val="00B97CAD"/>
    <w:rsid w:val="00B97F22"/>
    <w:rsid w:val="00BA0039"/>
    <w:rsid w:val="00BA021E"/>
    <w:rsid w:val="00BA0477"/>
    <w:rsid w:val="00BA061E"/>
    <w:rsid w:val="00BA1067"/>
    <w:rsid w:val="00BA140E"/>
    <w:rsid w:val="00BA1686"/>
    <w:rsid w:val="00BA1923"/>
    <w:rsid w:val="00BA19CE"/>
    <w:rsid w:val="00BA2058"/>
    <w:rsid w:val="00BA214E"/>
    <w:rsid w:val="00BA2549"/>
    <w:rsid w:val="00BA28DB"/>
    <w:rsid w:val="00BA2C91"/>
    <w:rsid w:val="00BA2DE0"/>
    <w:rsid w:val="00BA2E36"/>
    <w:rsid w:val="00BA2EF3"/>
    <w:rsid w:val="00BA3246"/>
    <w:rsid w:val="00BA3305"/>
    <w:rsid w:val="00BA3AF7"/>
    <w:rsid w:val="00BA3B2D"/>
    <w:rsid w:val="00BA3C54"/>
    <w:rsid w:val="00BA41C5"/>
    <w:rsid w:val="00BA4320"/>
    <w:rsid w:val="00BA459E"/>
    <w:rsid w:val="00BA4DAE"/>
    <w:rsid w:val="00BA5AF0"/>
    <w:rsid w:val="00BA61EF"/>
    <w:rsid w:val="00BA6654"/>
    <w:rsid w:val="00BA6782"/>
    <w:rsid w:val="00BA67AB"/>
    <w:rsid w:val="00BA698E"/>
    <w:rsid w:val="00BA69A9"/>
    <w:rsid w:val="00BA6F3D"/>
    <w:rsid w:val="00BA73A7"/>
    <w:rsid w:val="00BA749E"/>
    <w:rsid w:val="00BA780E"/>
    <w:rsid w:val="00BA79C5"/>
    <w:rsid w:val="00BA79EB"/>
    <w:rsid w:val="00BA7B52"/>
    <w:rsid w:val="00BA7ED6"/>
    <w:rsid w:val="00BB00BA"/>
    <w:rsid w:val="00BB014C"/>
    <w:rsid w:val="00BB035B"/>
    <w:rsid w:val="00BB0731"/>
    <w:rsid w:val="00BB0C5F"/>
    <w:rsid w:val="00BB104C"/>
    <w:rsid w:val="00BB11AA"/>
    <w:rsid w:val="00BB11AD"/>
    <w:rsid w:val="00BB1496"/>
    <w:rsid w:val="00BB17C4"/>
    <w:rsid w:val="00BB1829"/>
    <w:rsid w:val="00BB1857"/>
    <w:rsid w:val="00BB194C"/>
    <w:rsid w:val="00BB1C05"/>
    <w:rsid w:val="00BB1FB3"/>
    <w:rsid w:val="00BB2397"/>
    <w:rsid w:val="00BB23E0"/>
    <w:rsid w:val="00BB240D"/>
    <w:rsid w:val="00BB2471"/>
    <w:rsid w:val="00BB2953"/>
    <w:rsid w:val="00BB2B31"/>
    <w:rsid w:val="00BB36A2"/>
    <w:rsid w:val="00BB383F"/>
    <w:rsid w:val="00BB38DF"/>
    <w:rsid w:val="00BB3DA1"/>
    <w:rsid w:val="00BB427D"/>
    <w:rsid w:val="00BB437A"/>
    <w:rsid w:val="00BB43C7"/>
    <w:rsid w:val="00BB450C"/>
    <w:rsid w:val="00BB457A"/>
    <w:rsid w:val="00BB492D"/>
    <w:rsid w:val="00BB5057"/>
    <w:rsid w:val="00BB50F3"/>
    <w:rsid w:val="00BB511B"/>
    <w:rsid w:val="00BB54C3"/>
    <w:rsid w:val="00BB5551"/>
    <w:rsid w:val="00BB5588"/>
    <w:rsid w:val="00BB55D5"/>
    <w:rsid w:val="00BB56C4"/>
    <w:rsid w:val="00BB5993"/>
    <w:rsid w:val="00BB5C32"/>
    <w:rsid w:val="00BB5D67"/>
    <w:rsid w:val="00BB5DB4"/>
    <w:rsid w:val="00BB6319"/>
    <w:rsid w:val="00BB693E"/>
    <w:rsid w:val="00BB6BDA"/>
    <w:rsid w:val="00BB6F9A"/>
    <w:rsid w:val="00BB71EB"/>
    <w:rsid w:val="00BB7313"/>
    <w:rsid w:val="00BB75B8"/>
    <w:rsid w:val="00BB75F7"/>
    <w:rsid w:val="00BB767B"/>
    <w:rsid w:val="00BB773D"/>
    <w:rsid w:val="00BB78EA"/>
    <w:rsid w:val="00BB79EB"/>
    <w:rsid w:val="00BC008A"/>
    <w:rsid w:val="00BC01A6"/>
    <w:rsid w:val="00BC032A"/>
    <w:rsid w:val="00BC071A"/>
    <w:rsid w:val="00BC0771"/>
    <w:rsid w:val="00BC0A28"/>
    <w:rsid w:val="00BC11BD"/>
    <w:rsid w:val="00BC14DD"/>
    <w:rsid w:val="00BC1655"/>
    <w:rsid w:val="00BC1672"/>
    <w:rsid w:val="00BC1747"/>
    <w:rsid w:val="00BC175D"/>
    <w:rsid w:val="00BC17FA"/>
    <w:rsid w:val="00BC1993"/>
    <w:rsid w:val="00BC19D0"/>
    <w:rsid w:val="00BC1A5D"/>
    <w:rsid w:val="00BC1AB1"/>
    <w:rsid w:val="00BC1C7A"/>
    <w:rsid w:val="00BC1D31"/>
    <w:rsid w:val="00BC1EE6"/>
    <w:rsid w:val="00BC20D3"/>
    <w:rsid w:val="00BC218A"/>
    <w:rsid w:val="00BC270F"/>
    <w:rsid w:val="00BC27A6"/>
    <w:rsid w:val="00BC2D55"/>
    <w:rsid w:val="00BC2DF5"/>
    <w:rsid w:val="00BC3643"/>
    <w:rsid w:val="00BC375D"/>
    <w:rsid w:val="00BC3C43"/>
    <w:rsid w:val="00BC401C"/>
    <w:rsid w:val="00BC4024"/>
    <w:rsid w:val="00BC4137"/>
    <w:rsid w:val="00BC46C5"/>
    <w:rsid w:val="00BC472C"/>
    <w:rsid w:val="00BC4C29"/>
    <w:rsid w:val="00BC4E9C"/>
    <w:rsid w:val="00BC4F66"/>
    <w:rsid w:val="00BC5B98"/>
    <w:rsid w:val="00BC5E06"/>
    <w:rsid w:val="00BC5EE3"/>
    <w:rsid w:val="00BC60EC"/>
    <w:rsid w:val="00BC67BC"/>
    <w:rsid w:val="00BC694A"/>
    <w:rsid w:val="00BC6B7C"/>
    <w:rsid w:val="00BC70E6"/>
    <w:rsid w:val="00BC776E"/>
    <w:rsid w:val="00BC7803"/>
    <w:rsid w:val="00BC7825"/>
    <w:rsid w:val="00BC7CA5"/>
    <w:rsid w:val="00BD02C6"/>
    <w:rsid w:val="00BD03F7"/>
    <w:rsid w:val="00BD062C"/>
    <w:rsid w:val="00BD08A7"/>
    <w:rsid w:val="00BD0CB2"/>
    <w:rsid w:val="00BD1018"/>
    <w:rsid w:val="00BD111E"/>
    <w:rsid w:val="00BD120D"/>
    <w:rsid w:val="00BD1241"/>
    <w:rsid w:val="00BD142C"/>
    <w:rsid w:val="00BD169E"/>
    <w:rsid w:val="00BD17E5"/>
    <w:rsid w:val="00BD1DF7"/>
    <w:rsid w:val="00BD2037"/>
    <w:rsid w:val="00BD209B"/>
    <w:rsid w:val="00BD2266"/>
    <w:rsid w:val="00BD2433"/>
    <w:rsid w:val="00BD29BF"/>
    <w:rsid w:val="00BD2A85"/>
    <w:rsid w:val="00BD2F18"/>
    <w:rsid w:val="00BD2FE4"/>
    <w:rsid w:val="00BD304A"/>
    <w:rsid w:val="00BD34BF"/>
    <w:rsid w:val="00BD3DBD"/>
    <w:rsid w:val="00BD3E4B"/>
    <w:rsid w:val="00BD40D8"/>
    <w:rsid w:val="00BD40E2"/>
    <w:rsid w:val="00BD45BF"/>
    <w:rsid w:val="00BD4649"/>
    <w:rsid w:val="00BD48E0"/>
    <w:rsid w:val="00BD497B"/>
    <w:rsid w:val="00BD546A"/>
    <w:rsid w:val="00BD554A"/>
    <w:rsid w:val="00BD5823"/>
    <w:rsid w:val="00BD5DB2"/>
    <w:rsid w:val="00BD5E88"/>
    <w:rsid w:val="00BD6420"/>
    <w:rsid w:val="00BD6589"/>
    <w:rsid w:val="00BD68E7"/>
    <w:rsid w:val="00BD6A5C"/>
    <w:rsid w:val="00BD707B"/>
    <w:rsid w:val="00BD7A4E"/>
    <w:rsid w:val="00BD7AAB"/>
    <w:rsid w:val="00BD7AD7"/>
    <w:rsid w:val="00BD7CE7"/>
    <w:rsid w:val="00BE04AC"/>
    <w:rsid w:val="00BE0518"/>
    <w:rsid w:val="00BE05DD"/>
    <w:rsid w:val="00BE10DE"/>
    <w:rsid w:val="00BE1345"/>
    <w:rsid w:val="00BE135A"/>
    <w:rsid w:val="00BE1451"/>
    <w:rsid w:val="00BE16C7"/>
    <w:rsid w:val="00BE16EA"/>
    <w:rsid w:val="00BE17EF"/>
    <w:rsid w:val="00BE1A86"/>
    <w:rsid w:val="00BE2057"/>
    <w:rsid w:val="00BE217E"/>
    <w:rsid w:val="00BE21B9"/>
    <w:rsid w:val="00BE2500"/>
    <w:rsid w:val="00BE2A2F"/>
    <w:rsid w:val="00BE2F1A"/>
    <w:rsid w:val="00BE310A"/>
    <w:rsid w:val="00BE31E8"/>
    <w:rsid w:val="00BE3358"/>
    <w:rsid w:val="00BE339E"/>
    <w:rsid w:val="00BE33D9"/>
    <w:rsid w:val="00BE3797"/>
    <w:rsid w:val="00BE3978"/>
    <w:rsid w:val="00BE3E2F"/>
    <w:rsid w:val="00BE422D"/>
    <w:rsid w:val="00BE4642"/>
    <w:rsid w:val="00BE4E52"/>
    <w:rsid w:val="00BE4EC4"/>
    <w:rsid w:val="00BE4EDA"/>
    <w:rsid w:val="00BE522F"/>
    <w:rsid w:val="00BE5268"/>
    <w:rsid w:val="00BE545D"/>
    <w:rsid w:val="00BE55D9"/>
    <w:rsid w:val="00BE56E6"/>
    <w:rsid w:val="00BE58A8"/>
    <w:rsid w:val="00BE5D92"/>
    <w:rsid w:val="00BE5F36"/>
    <w:rsid w:val="00BE6118"/>
    <w:rsid w:val="00BE6222"/>
    <w:rsid w:val="00BE6224"/>
    <w:rsid w:val="00BE648F"/>
    <w:rsid w:val="00BE6579"/>
    <w:rsid w:val="00BE6CBF"/>
    <w:rsid w:val="00BE6E38"/>
    <w:rsid w:val="00BE704B"/>
    <w:rsid w:val="00BE714D"/>
    <w:rsid w:val="00BE7305"/>
    <w:rsid w:val="00BE741E"/>
    <w:rsid w:val="00BE748D"/>
    <w:rsid w:val="00BE7816"/>
    <w:rsid w:val="00BF0374"/>
    <w:rsid w:val="00BF04BC"/>
    <w:rsid w:val="00BF0BBF"/>
    <w:rsid w:val="00BF10FC"/>
    <w:rsid w:val="00BF1562"/>
    <w:rsid w:val="00BF1625"/>
    <w:rsid w:val="00BF17BD"/>
    <w:rsid w:val="00BF18EA"/>
    <w:rsid w:val="00BF1B18"/>
    <w:rsid w:val="00BF1CA8"/>
    <w:rsid w:val="00BF1EA2"/>
    <w:rsid w:val="00BF21E7"/>
    <w:rsid w:val="00BF27EC"/>
    <w:rsid w:val="00BF287D"/>
    <w:rsid w:val="00BF293A"/>
    <w:rsid w:val="00BF2A39"/>
    <w:rsid w:val="00BF2DDE"/>
    <w:rsid w:val="00BF2F01"/>
    <w:rsid w:val="00BF2F87"/>
    <w:rsid w:val="00BF32DD"/>
    <w:rsid w:val="00BF33CF"/>
    <w:rsid w:val="00BF33F6"/>
    <w:rsid w:val="00BF3500"/>
    <w:rsid w:val="00BF37F9"/>
    <w:rsid w:val="00BF3808"/>
    <w:rsid w:val="00BF3CD5"/>
    <w:rsid w:val="00BF3E1E"/>
    <w:rsid w:val="00BF4032"/>
    <w:rsid w:val="00BF449F"/>
    <w:rsid w:val="00BF4AD7"/>
    <w:rsid w:val="00BF4B54"/>
    <w:rsid w:val="00BF51DE"/>
    <w:rsid w:val="00BF5228"/>
    <w:rsid w:val="00BF524F"/>
    <w:rsid w:val="00BF526E"/>
    <w:rsid w:val="00BF534F"/>
    <w:rsid w:val="00BF566F"/>
    <w:rsid w:val="00BF5673"/>
    <w:rsid w:val="00BF58D3"/>
    <w:rsid w:val="00BF5E06"/>
    <w:rsid w:val="00BF60BB"/>
    <w:rsid w:val="00BF64A1"/>
    <w:rsid w:val="00BF660A"/>
    <w:rsid w:val="00BF6746"/>
    <w:rsid w:val="00BF6877"/>
    <w:rsid w:val="00BF6A8B"/>
    <w:rsid w:val="00BF6D8A"/>
    <w:rsid w:val="00BF72B8"/>
    <w:rsid w:val="00BF7332"/>
    <w:rsid w:val="00BF736F"/>
    <w:rsid w:val="00BF74C6"/>
    <w:rsid w:val="00BF75D7"/>
    <w:rsid w:val="00C003FD"/>
    <w:rsid w:val="00C00566"/>
    <w:rsid w:val="00C006AC"/>
    <w:rsid w:val="00C007E0"/>
    <w:rsid w:val="00C008E1"/>
    <w:rsid w:val="00C00D4B"/>
    <w:rsid w:val="00C0192A"/>
    <w:rsid w:val="00C01E09"/>
    <w:rsid w:val="00C01F03"/>
    <w:rsid w:val="00C020AD"/>
    <w:rsid w:val="00C02111"/>
    <w:rsid w:val="00C025C4"/>
    <w:rsid w:val="00C02703"/>
    <w:rsid w:val="00C0276E"/>
    <w:rsid w:val="00C02C44"/>
    <w:rsid w:val="00C02DE9"/>
    <w:rsid w:val="00C0328B"/>
    <w:rsid w:val="00C03450"/>
    <w:rsid w:val="00C036B1"/>
    <w:rsid w:val="00C036C0"/>
    <w:rsid w:val="00C039B9"/>
    <w:rsid w:val="00C03B93"/>
    <w:rsid w:val="00C03C31"/>
    <w:rsid w:val="00C040C3"/>
    <w:rsid w:val="00C042C6"/>
    <w:rsid w:val="00C048E5"/>
    <w:rsid w:val="00C04B56"/>
    <w:rsid w:val="00C04C17"/>
    <w:rsid w:val="00C04CE5"/>
    <w:rsid w:val="00C04FB0"/>
    <w:rsid w:val="00C051BD"/>
    <w:rsid w:val="00C0534A"/>
    <w:rsid w:val="00C057FF"/>
    <w:rsid w:val="00C05E6B"/>
    <w:rsid w:val="00C05E7C"/>
    <w:rsid w:val="00C05F8E"/>
    <w:rsid w:val="00C06206"/>
    <w:rsid w:val="00C06221"/>
    <w:rsid w:val="00C06248"/>
    <w:rsid w:val="00C06275"/>
    <w:rsid w:val="00C065F0"/>
    <w:rsid w:val="00C06DD7"/>
    <w:rsid w:val="00C07094"/>
    <w:rsid w:val="00C070CB"/>
    <w:rsid w:val="00C0762D"/>
    <w:rsid w:val="00C07B12"/>
    <w:rsid w:val="00C07B6F"/>
    <w:rsid w:val="00C07CA4"/>
    <w:rsid w:val="00C10441"/>
    <w:rsid w:val="00C10740"/>
    <w:rsid w:val="00C10A70"/>
    <w:rsid w:val="00C10D63"/>
    <w:rsid w:val="00C11176"/>
    <w:rsid w:val="00C11876"/>
    <w:rsid w:val="00C11900"/>
    <w:rsid w:val="00C11A03"/>
    <w:rsid w:val="00C11A35"/>
    <w:rsid w:val="00C12D42"/>
    <w:rsid w:val="00C12F12"/>
    <w:rsid w:val="00C132E0"/>
    <w:rsid w:val="00C13325"/>
    <w:rsid w:val="00C1342F"/>
    <w:rsid w:val="00C1352E"/>
    <w:rsid w:val="00C13736"/>
    <w:rsid w:val="00C13979"/>
    <w:rsid w:val="00C13C9C"/>
    <w:rsid w:val="00C13CE1"/>
    <w:rsid w:val="00C13E3F"/>
    <w:rsid w:val="00C145F5"/>
    <w:rsid w:val="00C14855"/>
    <w:rsid w:val="00C14CB8"/>
    <w:rsid w:val="00C14FBB"/>
    <w:rsid w:val="00C15054"/>
    <w:rsid w:val="00C150D4"/>
    <w:rsid w:val="00C1514E"/>
    <w:rsid w:val="00C151F1"/>
    <w:rsid w:val="00C1543E"/>
    <w:rsid w:val="00C156DC"/>
    <w:rsid w:val="00C15BD2"/>
    <w:rsid w:val="00C15CA3"/>
    <w:rsid w:val="00C1608C"/>
    <w:rsid w:val="00C16491"/>
    <w:rsid w:val="00C16609"/>
    <w:rsid w:val="00C16743"/>
    <w:rsid w:val="00C16750"/>
    <w:rsid w:val="00C16A41"/>
    <w:rsid w:val="00C16BA9"/>
    <w:rsid w:val="00C16CEB"/>
    <w:rsid w:val="00C16EFC"/>
    <w:rsid w:val="00C1721F"/>
    <w:rsid w:val="00C17412"/>
    <w:rsid w:val="00C1747E"/>
    <w:rsid w:val="00C178F0"/>
    <w:rsid w:val="00C17A79"/>
    <w:rsid w:val="00C17E37"/>
    <w:rsid w:val="00C20042"/>
    <w:rsid w:val="00C20273"/>
    <w:rsid w:val="00C20A84"/>
    <w:rsid w:val="00C20C73"/>
    <w:rsid w:val="00C20CD3"/>
    <w:rsid w:val="00C215B9"/>
    <w:rsid w:val="00C217D3"/>
    <w:rsid w:val="00C22014"/>
    <w:rsid w:val="00C221BD"/>
    <w:rsid w:val="00C2230A"/>
    <w:rsid w:val="00C2235D"/>
    <w:rsid w:val="00C22488"/>
    <w:rsid w:val="00C2267E"/>
    <w:rsid w:val="00C22780"/>
    <w:rsid w:val="00C22BE9"/>
    <w:rsid w:val="00C22BF0"/>
    <w:rsid w:val="00C230B1"/>
    <w:rsid w:val="00C237F3"/>
    <w:rsid w:val="00C239DF"/>
    <w:rsid w:val="00C23CFD"/>
    <w:rsid w:val="00C23D2C"/>
    <w:rsid w:val="00C240F4"/>
    <w:rsid w:val="00C2418C"/>
    <w:rsid w:val="00C2447C"/>
    <w:rsid w:val="00C246E5"/>
    <w:rsid w:val="00C247CA"/>
    <w:rsid w:val="00C24D4F"/>
    <w:rsid w:val="00C24F9E"/>
    <w:rsid w:val="00C252B5"/>
    <w:rsid w:val="00C253D1"/>
    <w:rsid w:val="00C2595B"/>
    <w:rsid w:val="00C25D0D"/>
    <w:rsid w:val="00C26056"/>
    <w:rsid w:val="00C262C8"/>
    <w:rsid w:val="00C266DC"/>
    <w:rsid w:val="00C26740"/>
    <w:rsid w:val="00C267F4"/>
    <w:rsid w:val="00C26BF6"/>
    <w:rsid w:val="00C271B8"/>
    <w:rsid w:val="00C27482"/>
    <w:rsid w:val="00C27489"/>
    <w:rsid w:val="00C27509"/>
    <w:rsid w:val="00C27629"/>
    <w:rsid w:val="00C2763F"/>
    <w:rsid w:val="00C27A89"/>
    <w:rsid w:val="00C27B17"/>
    <w:rsid w:val="00C27D78"/>
    <w:rsid w:val="00C301AB"/>
    <w:rsid w:val="00C3058F"/>
    <w:rsid w:val="00C307AA"/>
    <w:rsid w:val="00C30A9F"/>
    <w:rsid w:val="00C30C13"/>
    <w:rsid w:val="00C30E61"/>
    <w:rsid w:val="00C310E9"/>
    <w:rsid w:val="00C3117C"/>
    <w:rsid w:val="00C316A9"/>
    <w:rsid w:val="00C3187F"/>
    <w:rsid w:val="00C319B7"/>
    <w:rsid w:val="00C31C0E"/>
    <w:rsid w:val="00C31F1E"/>
    <w:rsid w:val="00C32374"/>
    <w:rsid w:val="00C32417"/>
    <w:rsid w:val="00C32633"/>
    <w:rsid w:val="00C32A69"/>
    <w:rsid w:val="00C32A74"/>
    <w:rsid w:val="00C32BBD"/>
    <w:rsid w:val="00C32D11"/>
    <w:rsid w:val="00C32D99"/>
    <w:rsid w:val="00C33588"/>
    <w:rsid w:val="00C33757"/>
    <w:rsid w:val="00C33FED"/>
    <w:rsid w:val="00C34281"/>
    <w:rsid w:val="00C342D2"/>
    <w:rsid w:val="00C3451F"/>
    <w:rsid w:val="00C34521"/>
    <w:rsid w:val="00C34796"/>
    <w:rsid w:val="00C34A32"/>
    <w:rsid w:val="00C352F7"/>
    <w:rsid w:val="00C35425"/>
    <w:rsid w:val="00C35C98"/>
    <w:rsid w:val="00C35F0F"/>
    <w:rsid w:val="00C35FBA"/>
    <w:rsid w:val="00C3612A"/>
    <w:rsid w:val="00C362DE"/>
    <w:rsid w:val="00C362FB"/>
    <w:rsid w:val="00C365C9"/>
    <w:rsid w:val="00C36B16"/>
    <w:rsid w:val="00C36B57"/>
    <w:rsid w:val="00C36BEB"/>
    <w:rsid w:val="00C36E8F"/>
    <w:rsid w:val="00C36F64"/>
    <w:rsid w:val="00C371FD"/>
    <w:rsid w:val="00C3748C"/>
    <w:rsid w:val="00C37789"/>
    <w:rsid w:val="00C378B6"/>
    <w:rsid w:val="00C37CC8"/>
    <w:rsid w:val="00C37CE6"/>
    <w:rsid w:val="00C37DEE"/>
    <w:rsid w:val="00C40132"/>
    <w:rsid w:val="00C40348"/>
    <w:rsid w:val="00C404A4"/>
    <w:rsid w:val="00C409BE"/>
    <w:rsid w:val="00C40AC4"/>
    <w:rsid w:val="00C40C29"/>
    <w:rsid w:val="00C414E0"/>
    <w:rsid w:val="00C41787"/>
    <w:rsid w:val="00C41B7B"/>
    <w:rsid w:val="00C41EA1"/>
    <w:rsid w:val="00C42101"/>
    <w:rsid w:val="00C422E6"/>
    <w:rsid w:val="00C42539"/>
    <w:rsid w:val="00C42679"/>
    <w:rsid w:val="00C4272C"/>
    <w:rsid w:val="00C42EC3"/>
    <w:rsid w:val="00C430BD"/>
    <w:rsid w:val="00C437D0"/>
    <w:rsid w:val="00C43D03"/>
    <w:rsid w:val="00C43E3C"/>
    <w:rsid w:val="00C43E4A"/>
    <w:rsid w:val="00C43F54"/>
    <w:rsid w:val="00C4468D"/>
    <w:rsid w:val="00C446A7"/>
    <w:rsid w:val="00C44982"/>
    <w:rsid w:val="00C44E3C"/>
    <w:rsid w:val="00C4552C"/>
    <w:rsid w:val="00C45630"/>
    <w:rsid w:val="00C4587C"/>
    <w:rsid w:val="00C45FB8"/>
    <w:rsid w:val="00C461AC"/>
    <w:rsid w:val="00C4663A"/>
    <w:rsid w:val="00C46890"/>
    <w:rsid w:val="00C46E4F"/>
    <w:rsid w:val="00C46F11"/>
    <w:rsid w:val="00C475AE"/>
    <w:rsid w:val="00C47AFB"/>
    <w:rsid w:val="00C47D38"/>
    <w:rsid w:val="00C50097"/>
    <w:rsid w:val="00C500E9"/>
    <w:rsid w:val="00C5016B"/>
    <w:rsid w:val="00C5043A"/>
    <w:rsid w:val="00C5098B"/>
    <w:rsid w:val="00C50A20"/>
    <w:rsid w:val="00C50AA2"/>
    <w:rsid w:val="00C50C81"/>
    <w:rsid w:val="00C50D88"/>
    <w:rsid w:val="00C51413"/>
    <w:rsid w:val="00C51701"/>
    <w:rsid w:val="00C51781"/>
    <w:rsid w:val="00C51A09"/>
    <w:rsid w:val="00C51C1F"/>
    <w:rsid w:val="00C51D6C"/>
    <w:rsid w:val="00C522D6"/>
    <w:rsid w:val="00C524CB"/>
    <w:rsid w:val="00C52622"/>
    <w:rsid w:val="00C528BA"/>
    <w:rsid w:val="00C52938"/>
    <w:rsid w:val="00C5293C"/>
    <w:rsid w:val="00C52A2B"/>
    <w:rsid w:val="00C52A32"/>
    <w:rsid w:val="00C5312A"/>
    <w:rsid w:val="00C535FA"/>
    <w:rsid w:val="00C536C6"/>
    <w:rsid w:val="00C537C4"/>
    <w:rsid w:val="00C53A2E"/>
    <w:rsid w:val="00C53C3F"/>
    <w:rsid w:val="00C540A3"/>
    <w:rsid w:val="00C541C7"/>
    <w:rsid w:val="00C54249"/>
    <w:rsid w:val="00C54895"/>
    <w:rsid w:val="00C548BE"/>
    <w:rsid w:val="00C549AE"/>
    <w:rsid w:val="00C54A85"/>
    <w:rsid w:val="00C54DD2"/>
    <w:rsid w:val="00C54E11"/>
    <w:rsid w:val="00C54E81"/>
    <w:rsid w:val="00C54EF2"/>
    <w:rsid w:val="00C55172"/>
    <w:rsid w:val="00C55502"/>
    <w:rsid w:val="00C5554D"/>
    <w:rsid w:val="00C5629E"/>
    <w:rsid w:val="00C562A0"/>
    <w:rsid w:val="00C56556"/>
    <w:rsid w:val="00C56589"/>
    <w:rsid w:val="00C57906"/>
    <w:rsid w:val="00C57B8A"/>
    <w:rsid w:val="00C57BD8"/>
    <w:rsid w:val="00C57BF9"/>
    <w:rsid w:val="00C57DD1"/>
    <w:rsid w:val="00C601F0"/>
    <w:rsid w:val="00C60234"/>
    <w:rsid w:val="00C602BD"/>
    <w:rsid w:val="00C60544"/>
    <w:rsid w:val="00C6084B"/>
    <w:rsid w:val="00C60AE7"/>
    <w:rsid w:val="00C61023"/>
    <w:rsid w:val="00C610D4"/>
    <w:rsid w:val="00C614DF"/>
    <w:rsid w:val="00C6178D"/>
    <w:rsid w:val="00C617B5"/>
    <w:rsid w:val="00C617C7"/>
    <w:rsid w:val="00C619AB"/>
    <w:rsid w:val="00C619CE"/>
    <w:rsid w:val="00C61BD8"/>
    <w:rsid w:val="00C61CBD"/>
    <w:rsid w:val="00C62170"/>
    <w:rsid w:val="00C6223A"/>
    <w:rsid w:val="00C62309"/>
    <w:rsid w:val="00C62514"/>
    <w:rsid w:val="00C6285C"/>
    <w:rsid w:val="00C62AB4"/>
    <w:rsid w:val="00C62DB8"/>
    <w:rsid w:val="00C62EED"/>
    <w:rsid w:val="00C634A1"/>
    <w:rsid w:val="00C634DE"/>
    <w:rsid w:val="00C63625"/>
    <w:rsid w:val="00C638A8"/>
    <w:rsid w:val="00C63B06"/>
    <w:rsid w:val="00C63D4A"/>
    <w:rsid w:val="00C640D5"/>
    <w:rsid w:val="00C640E0"/>
    <w:rsid w:val="00C64616"/>
    <w:rsid w:val="00C64876"/>
    <w:rsid w:val="00C649B1"/>
    <w:rsid w:val="00C649CF"/>
    <w:rsid w:val="00C64A9A"/>
    <w:rsid w:val="00C64BA9"/>
    <w:rsid w:val="00C64BAA"/>
    <w:rsid w:val="00C64E9B"/>
    <w:rsid w:val="00C65292"/>
    <w:rsid w:val="00C6576D"/>
    <w:rsid w:val="00C659E5"/>
    <w:rsid w:val="00C65BB4"/>
    <w:rsid w:val="00C66007"/>
    <w:rsid w:val="00C66686"/>
    <w:rsid w:val="00C66776"/>
    <w:rsid w:val="00C66879"/>
    <w:rsid w:val="00C6710F"/>
    <w:rsid w:val="00C671A4"/>
    <w:rsid w:val="00C67229"/>
    <w:rsid w:val="00C6753C"/>
    <w:rsid w:val="00C67565"/>
    <w:rsid w:val="00C677A0"/>
    <w:rsid w:val="00C67C24"/>
    <w:rsid w:val="00C67CE4"/>
    <w:rsid w:val="00C7044D"/>
    <w:rsid w:val="00C70DD9"/>
    <w:rsid w:val="00C70FC3"/>
    <w:rsid w:val="00C7103C"/>
    <w:rsid w:val="00C7110E"/>
    <w:rsid w:val="00C7134F"/>
    <w:rsid w:val="00C714F3"/>
    <w:rsid w:val="00C715D6"/>
    <w:rsid w:val="00C71882"/>
    <w:rsid w:val="00C719E9"/>
    <w:rsid w:val="00C71C17"/>
    <w:rsid w:val="00C7242B"/>
    <w:rsid w:val="00C7282E"/>
    <w:rsid w:val="00C7311D"/>
    <w:rsid w:val="00C73BE7"/>
    <w:rsid w:val="00C73C4A"/>
    <w:rsid w:val="00C73E02"/>
    <w:rsid w:val="00C73F08"/>
    <w:rsid w:val="00C74063"/>
    <w:rsid w:val="00C741A0"/>
    <w:rsid w:val="00C7438B"/>
    <w:rsid w:val="00C7463B"/>
    <w:rsid w:val="00C74D2B"/>
    <w:rsid w:val="00C74E0C"/>
    <w:rsid w:val="00C74E58"/>
    <w:rsid w:val="00C75192"/>
    <w:rsid w:val="00C758C3"/>
    <w:rsid w:val="00C75DB5"/>
    <w:rsid w:val="00C75F6A"/>
    <w:rsid w:val="00C75FC3"/>
    <w:rsid w:val="00C761EC"/>
    <w:rsid w:val="00C762CD"/>
    <w:rsid w:val="00C76567"/>
    <w:rsid w:val="00C76931"/>
    <w:rsid w:val="00C769FA"/>
    <w:rsid w:val="00C76A05"/>
    <w:rsid w:val="00C76ACE"/>
    <w:rsid w:val="00C76B05"/>
    <w:rsid w:val="00C76C04"/>
    <w:rsid w:val="00C76D5E"/>
    <w:rsid w:val="00C76ECF"/>
    <w:rsid w:val="00C77394"/>
    <w:rsid w:val="00C773D9"/>
    <w:rsid w:val="00C7744C"/>
    <w:rsid w:val="00C77507"/>
    <w:rsid w:val="00C77918"/>
    <w:rsid w:val="00C779C9"/>
    <w:rsid w:val="00C80270"/>
    <w:rsid w:val="00C806CE"/>
    <w:rsid w:val="00C80C79"/>
    <w:rsid w:val="00C80CA8"/>
    <w:rsid w:val="00C811E0"/>
    <w:rsid w:val="00C813DE"/>
    <w:rsid w:val="00C817D5"/>
    <w:rsid w:val="00C81804"/>
    <w:rsid w:val="00C8188A"/>
    <w:rsid w:val="00C8189B"/>
    <w:rsid w:val="00C8196E"/>
    <w:rsid w:val="00C81DD7"/>
    <w:rsid w:val="00C82179"/>
    <w:rsid w:val="00C822B6"/>
    <w:rsid w:val="00C82563"/>
    <w:rsid w:val="00C82914"/>
    <w:rsid w:val="00C82A9E"/>
    <w:rsid w:val="00C82C74"/>
    <w:rsid w:val="00C82E2F"/>
    <w:rsid w:val="00C830EA"/>
    <w:rsid w:val="00C835A9"/>
    <w:rsid w:val="00C83616"/>
    <w:rsid w:val="00C83D12"/>
    <w:rsid w:val="00C83DE8"/>
    <w:rsid w:val="00C83DEB"/>
    <w:rsid w:val="00C83E20"/>
    <w:rsid w:val="00C84459"/>
    <w:rsid w:val="00C845B0"/>
    <w:rsid w:val="00C845FA"/>
    <w:rsid w:val="00C847D1"/>
    <w:rsid w:val="00C84ACC"/>
    <w:rsid w:val="00C85039"/>
    <w:rsid w:val="00C8520F"/>
    <w:rsid w:val="00C85246"/>
    <w:rsid w:val="00C8524E"/>
    <w:rsid w:val="00C8526B"/>
    <w:rsid w:val="00C85322"/>
    <w:rsid w:val="00C8542F"/>
    <w:rsid w:val="00C8548D"/>
    <w:rsid w:val="00C854F6"/>
    <w:rsid w:val="00C85794"/>
    <w:rsid w:val="00C859CD"/>
    <w:rsid w:val="00C85AF6"/>
    <w:rsid w:val="00C85B9A"/>
    <w:rsid w:val="00C85D4D"/>
    <w:rsid w:val="00C85E29"/>
    <w:rsid w:val="00C863E9"/>
    <w:rsid w:val="00C8666D"/>
    <w:rsid w:val="00C871B3"/>
    <w:rsid w:val="00C877BE"/>
    <w:rsid w:val="00C879B2"/>
    <w:rsid w:val="00C879C5"/>
    <w:rsid w:val="00C87C6B"/>
    <w:rsid w:val="00C87E89"/>
    <w:rsid w:val="00C9014F"/>
    <w:rsid w:val="00C90592"/>
    <w:rsid w:val="00C90741"/>
    <w:rsid w:val="00C90D59"/>
    <w:rsid w:val="00C91063"/>
    <w:rsid w:val="00C91200"/>
    <w:rsid w:val="00C91612"/>
    <w:rsid w:val="00C916C1"/>
    <w:rsid w:val="00C91BE2"/>
    <w:rsid w:val="00C925B0"/>
    <w:rsid w:val="00C92AF2"/>
    <w:rsid w:val="00C92C8C"/>
    <w:rsid w:val="00C92D4E"/>
    <w:rsid w:val="00C930A9"/>
    <w:rsid w:val="00C93351"/>
    <w:rsid w:val="00C933FA"/>
    <w:rsid w:val="00C934F3"/>
    <w:rsid w:val="00C9356D"/>
    <w:rsid w:val="00C93833"/>
    <w:rsid w:val="00C93E57"/>
    <w:rsid w:val="00C93F34"/>
    <w:rsid w:val="00C942FE"/>
    <w:rsid w:val="00C94495"/>
    <w:rsid w:val="00C944FA"/>
    <w:rsid w:val="00C9451B"/>
    <w:rsid w:val="00C94568"/>
    <w:rsid w:val="00C94947"/>
    <w:rsid w:val="00C94C08"/>
    <w:rsid w:val="00C95CAB"/>
    <w:rsid w:val="00C95FC1"/>
    <w:rsid w:val="00C96156"/>
    <w:rsid w:val="00C964D4"/>
    <w:rsid w:val="00C9654D"/>
    <w:rsid w:val="00C965BC"/>
    <w:rsid w:val="00C968E1"/>
    <w:rsid w:val="00C96900"/>
    <w:rsid w:val="00C96BEE"/>
    <w:rsid w:val="00C96E3E"/>
    <w:rsid w:val="00C96EAA"/>
    <w:rsid w:val="00C972C0"/>
    <w:rsid w:val="00C97544"/>
    <w:rsid w:val="00C975A1"/>
    <w:rsid w:val="00C97736"/>
    <w:rsid w:val="00C97881"/>
    <w:rsid w:val="00CA0225"/>
    <w:rsid w:val="00CA052D"/>
    <w:rsid w:val="00CA0BEA"/>
    <w:rsid w:val="00CA0CA6"/>
    <w:rsid w:val="00CA1FCD"/>
    <w:rsid w:val="00CA227D"/>
    <w:rsid w:val="00CA246B"/>
    <w:rsid w:val="00CA2C70"/>
    <w:rsid w:val="00CA3037"/>
    <w:rsid w:val="00CA3369"/>
    <w:rsid w:val="00CA34EB"/>
    <w:rsid w:val="00CA35C9"/>
    <w:rsid w:val="00CA384A"/>
    <w:rsid w:val="00CA389B"/>
    <w:rsid w:val="00CA38CF"/>
    <w:rsid w:val="00CA3BFD"/>
    <w:rsid w:val="00CA3F15"/>
    <w:rsid w:val="00CA4014"/>
    <w:rsid w:val="00CA410E"/>
    <w:rsid w:val="00CA449D"/>
    <w:rsid w:val="00CA4A9A"/>
    <w:rsid w:val="00CA4A9C"/>
    <w:rsid w:val="00CA4ADC"/>
    <w:rsid w:val="00CA4BE8"/>
    <w:rsid w:val="00CA544E"/>
    <w:rsid w:val="00CA54F8"/>
    <w:rsid w:val="00CA56F5"/>
    <w:rsid w:val="00CA5CA7"/>
    <w:rsid w:val="00CA5D4C"/>
    <w:rsid w:val="00CA6035"/>
    <w:rsid w:val="00CA608C"/>
    <w:rsid w:val="00CA60F2"/>
    <w:rsid w:val="00CA62CE"/>
    <w:rsid w:val="00CA6475"/>
    <w:rsid w:val="00CA6489"/>
    <w:rsid w:val="00CA6793"/>
    <w:rsid w:val="00CA684C"/>
    <w:rsid w:val="00CA6E06"/>
    <w:rsid w:val="00CA7851"/>
    <w:rsid w:val="00CA7CC7"/>
    <w:rsid w:val="00CA7D42"/>
    <w:rsid w:val="00CA7DA3"/>
    <w:rsid w:val="00CB035A"/>
    <w:rsid w:val="00CB0FED"/>
    <w:rsid w:val="00CB119E"/>
    <w:rsid w:val="00CB137F"/>
    <w:rsid w:val="00CB13AE"/>
    <w:rsid w:val="00CB1678"/>
    <w:rsid w:val="00CB1E23"/>
    <w:rsid w:val="00CB1E53"/>
    <w:rsid w:val="00CB23E8"/>
    <w:rsid w:val="00CB2770"/>
    <w:rsid w:val="00CB2958"/>
    <w:rsid w:val="00CB2B83"/>
    <w:rsid w:val="00CB30EB"/>
    <w:rsid w:val="00CB3413"/>
    <w:rsid w:val="00CB35DA"/>
    <w:rsid w:val="00CB3B80"/>
    <w:rsid w:val="00CB417B"/>
    <w:rsid w:val="00CB4292"/>
    <w:rsid w:val="00CB44C2"/>
    <w:rsid w:val="00CB4747"/>
    <w:rsid w:val="00CB499A"/>
    <w:rsid w:val="00CB4B4F"/>
    <w:rsid w:val="00CB4E5A"/>
    <w:rsid w:val="00CB5189"/>
    <w:rsid w:val="00CB5983"/>
    <w:rsid w:val="00CB5B75"/>
    <w:rsid w:val="00CB5D84"/>
    <w:rsid w:val="00CB5DEA"/>
    <w:rsid w:val="00CB6234"/>
    <w:rsid w:val="00CB650D"/>
    <w:rsid w:val="00CB68C3"/>
    <w:rsid w:val="00CB6A2B"/>
    <w:rsid w:val="00CB6CCB"/>
    <w:rsid w:val="00CB705C"/>
    <w:rsid w:val="00CB712A"/>
    <w:rsid w:val="00CB78BB"/>
    <w:rsid w:val="00CB7A71"/>
    <w:rsid w:val="00CB7BF9"/>
    <w:rsid w:val="00CB7D42"/>
    <w:rsid w:val="00CC006C"/>
    <w:rsid w:val="00CC013A"/>
    <w:rsid w:val="00CC029A"/>
    <w:rsid w:val="00CC02A0"/>
    <w:rsid w:val="00CC0310"/>
    <w:rsid w:val="00CC03B9"/>
    <w:rsid w:val="00CC0520"/>
    <w:rsid w:val="00CC0A69"/>
    <w:rsid w:val="00CC0AA2"/>
    <w:rsid w:val="00CC0BB1"/>
    <w:rsid w:val="00CC0D57"/>
    <w:rsid w:val="00CC1035"/>
    <w:rsid w:val="00CC11DA"/>
    <w:rsid w:val="00CC1283"/>
    <w:rsid w:val="00CC1415"/>
    <w:rsid w:val="00CC1743"/>
    <w:rsid w:val="00CC187F"/>
    <w:rsid w:val="00CC1918"/>
    <w:rsid w:val="00CC1A84"/>
    <w:rsid w:val="00CC1B40"/>
    <w:rsid w:val="00CC1D12"/>
    <w:rsid w:val="00CC1F5F"/>
    <w:rsid w:val="00CC2658"/>
    <w:rsid w:val="00CC276E"/>
    <w:rsid w:val="00CC292E"/>
    <w:rsid w:val="00CC2CF5"/>
    <w:rsid w:val="00CC2FB7"/>
    <w:rsid w:val="00CC328C"/>
    <w:rsid w:val="00CC34C7"/>
    <w:rsid w:val="00CC34C8"/>
    <w:rsid w:val="00CC3653"/>
    <w:rsid w:val="00CC3A21"/>
    <w:rsid w:val="00CC430D"/>
    <w:rsid w:val="00CC44B8"/>
    <w:rsid w:val="00CC4662"/>
    <w:rsid w:val="00CC48A0"/>
    <w:rsid w:val="00CC4C84"/>
    <w:rsid w:val="00CC4F43"/>
    <w:rsid w:val="00CC5026"/>
    <w:rsid w:val="00CC55A4"/>
    <w:rsid w:val="00CC5969"/>
    <w:rsid w:val="00CC5B1A"/>
    <w:rsid w:val="00CC5B3D"/>
    <w:rsid w:val="00CC5CDE"/>
    <w:rsid w:val="00CC6018"/>
    <w:rsid w:val="00CC6117"/>
    <w:rsid w:val="00CC61B0"/>
    <w:rsid w:val="00CC68DF"/>
    <w:rsid w:val="00CC6FB9"/>
    <w:rsid w:val="00CC72D8"/>
    <w:rsid w:val="00CC7307"/>
    <w:rsid w:val="00CC783C"/>
    <w:rsid w:val="00CC7A0A"/>
    <w:rsid w:val="00CC7B1A"/>
    <w:rsid w:val="00CD03A4"/>
    <w:rsid w:val="00CD06D3"/>
    <w:rsid w:val="00CD06F5"/>
    <w:rsid w:val="00CD07A6"/>
    <w:rsid w:val="00CD08B6"/>
    <w:rsid w:val="00CD0B90"/>
    <w:rsid w:val="00CD0FEB"/>
    <w:rsid w:val="00CD12F7"/>
    <w:rsid w:val="00CD1408"/>
    <w:rsid w:val="00CD15DA"/>
    <w:rsid w:val="00CD1606"/>
    <w:rsid w:val="00CD1748"/>
    <w:rsid w:val="00CD1AF6"/>
    <w:rsid w:val="00CD1BD9"/>
    <w:rsid w:val="00CD1CDD"/>
    <w:rsid w:val="00CD1ECD"/>
    <w:rsid w:val="00CD1F61"/>
    <w:rsid w:val="00CD21A1"/>
    <w:rsid w:val="00CD21B4"/>
    <w:rsid w:val="00CD23FA"/>
    <w:rsid w:val="00CD2546"/>
    <w:rsid w:val="00CD2684"/>
    <w:rsid w:val="00CD2EEA"/>
    <w:rsid w:val="00CD3119"/>
    <w:rsid w:val="00CD3516"/>
    <w:rsid w:val="00CD351F"/>
    <w:rsid w:val="00CD368E"/>
    <w:rsid w:val="00CD3DBB"/>
    <w:rsid w:val="00CD3EAA"/>
    <w:rsid w:val="00CD4326"/>
    <w:rsid w:val="00CD469A"/>
    <w:rsid w:val="00CD4874"/>
    <w:rsid w:val="00CD4C7D"/>
    <w:rsid w:val="00CD4F1D"/>
    <w:rsid w:val="00CD5176"/>
    <w:rsid w:val="00CD518F"/>
    <w:rsid w:val="00CD53C7"/>
    <w:rsid w:val="00CD55DE"/>
    <w:rsid w:val="00CD574A"/>
    <w:rsid w:val="00CD5975"/>
    <w:rsid w:val="00CD5AFB"/>
    <w:rsid w:val="00CD5F31"/>
    <w:rsid w:val="00CD5FC8"/>
    <w:rsid w:val="00CD6054"/>
    <w:rsid w:val="00CD6287"/>
    <w:rsid w:val="00CD64CC"/>
    <w:rsid w:val="00CD6656"/>
    <w:rsid w:val="00CD6905"/>
    <w:rsid w:val="00CD6AE1"/>
    <w:rsid w:val="00CD6B7C"/>
    <w:rsid w:val="00CD6C42"/>
    <w:rsid w:val="00CD71C2"/>
    <w:rsid w:val="00CD7203"/>
    <w:rsid w:val="00CD72D3"/>
    <w:rsid w:val="00CD76CE"/>
    <w:rsid w:val="00CD7986"/>
    <w:rsid w:val="00CD7A19"/>
    <w:rsid w:val="00CD7B84"/>
    <w:rsid w:val="00CD7C7E"/>
    <w:rsid w:val="00CD7CB6"/>
    <w:rsid w:val="00CD7E75"/>
    <w:rsid w:val="00CD7E7E"/>
    <w:rsid w:val="00CE0208"/>
    <w:rsid w:val="00CE0242"/>
    <w:rsid w:val="00CE0419"/>
    <w:rsid w:val="00CE06DD"/>
    <w:rsid w:val="00CE08C1"/>
    <w:rsid w:val="00CE08FC"/>
    <w:rsid w:val="00CE0936"/>
    <w:rsid w:val="00CE0A86"/>
    <w:rsid w:val="00CE0C76"/>
    <w:rsid w:val="00CE0D0E"/>
    <w:rsid w:val="00CE0F5B"/>
    <w:rsid w:val="00CE149F"/>
    <w:rsid w:val="00CE1761"/>
    <w:rsid w:val="00CE18FE"/>
    <w:rsid w:val="00CE19BA"/>
    <w:rsid w:val="00CE1AAA"/>
    <w:rsid w:val="00CE1F9C"/>
    <w:rsid w:val="00CE21A1"/>
    <w:rsid w:val="00CE26EC"/>
    <w:rsid w:val="00CE2AFD"/>
    <w:rsid w:val="00CE3163"/>
    <w:rsid w:val="00CE34FF"/>
    <w:rsid w:val="00CE3704"/>
    <w:rsid w:val="00CE37EE"/>
    <w:rsid w:val="00CE3862"/>
    <w:rsid w:val="00CE3870"/>
    <w:rsid w:val="00CE3C25"/>
    <w:rsid w:val="00CE3D52"/>
    <w:rsid w:val="00CE42B0"/>
    <w:rsid w:val="00CE43E6"/>
    <w:rsid w:val="00CE4511"/>
    <w:rsid w:val="00CE4526"/>
    <w:rsid w:val="00CE4764"/>
    <w:rsid w:val="00CE4A08"/>
    <w:rsid w:val="00CE5398"/>
    <w:rsid w:val="00CE5778"/>
    <w:rsid w:val="00CE5E6F"/>
    <w:rsid w:val="00CE5EA7"/>
    <w:rsid w:val="00CE5EC5"/>
    <w:rsid w:val="00CE5EDD"/>
    <w:rsid w:val="00CE5F97"/>
    <w:rsid w:val="00CE64D2"/>
    <w:rsid w:val="00CE6655"/>
    <w:rsid w:val="00CE69B8"/>
    <w:rsid w:val="00CE6C00"/>
    <w:rsid w:val="00CE72FB"/>
    <w:rsid w:val="00CE7347"/>
    <w:rsid w:val="00CE7542"/>
    <w:rsid w:val="00CE75C5"/>
    <w:rsid w:val="00CE7B74"/>
    <w:rsid w:val="00CE7EE0"/>
    <w:rsid w:val="00CE7F37"/>
    <w:rsid w:val="00CF0211"/>
    <w:rsid w:val="00CF083E"/>
    <w:rsid w:val="00CF0FC0"/>
    <w:rsid w:val="00CF1320"/>
    <w:rsid w:val="00CF1479"/>
    <w:rsid w:val="00CF1492"/>
    <w:rsid w:val="00CF19F5"/>
    <w:rsid w:val="00CF1D32"/>
    <w:rsid w:val="00CF207A"/>
    <w:rsid w:val="00CF207D"/>
    <w:rsid w:val="00CF226D"/>
    <w:rsid w:val="00CF234F"/>
    <w:rsid w:val="00CF250B"/>
    <w:rsid w:val="00CF25EB"/>
    <w:rsid w:val="00CF274E"/>
    <w:rsid w:val="00CF2A08"/>
    <w:rsid w:val="00CF2A72"/>
    <w:rsid w:val="00CF2BDB"/>
    <w:rsid w:val="00CF2D4D"/>
    <w:rsid w:val="00CF2FE4"/>
    <w:rsid w:val="00CF32E6"/>
    <w:rsid w:val="00CF3422"/>
    <w:rsid w:val="00CF38B0"/>
    <w:rsid w:val="00CF399D"/>
    <w:rsid w:val="00CF3B2D"/>
    <w:rsid w:val="00CF3CD5"/>
    <w:rsid w:val="00CF3DBF"/>
    <w:rsid w:val="00CF4390"/>
    <w:rsid w:val="00CF485C"/>
    <w:rsid w:val="00CF4AC4"/>
    <w:rsid w:val="00CF4C3A"/>
    <w:rsid w:val="00CF4C53"/>
    <w:rsid w:val="00CF4D3C"/>
    <w:rsid w:val="00CF4E91"/>
    <w:rsid w:val="00CF5258"/>
    <w:rsid w:val="00CF529C"/>
    <w:rsid w:val="00CF531F"/>
    <w:rsid w:val="00CF537B"/>
    <w:rsid w:val="00CF59B1"/>
    <w:rsid w:val="00CF60FF"/>
    <w:rsid w:val="00CF6113"/>
    <w:rsid w:val="00CF62F9"/>
    <w:rsid w:val="00CF67A4"/>
    <w:rsid w:val="00CF6AF4"/>
    <w:rsid w:val="00CF6E15"/>
    <w:rsid w:val="00CF6E63"/>
    <w:rsid w:val="00CF7186"/>
    <w:rsid w:val="00CF7691"/>
    <w:rsid w:val="00CF7753"/>
    <w:rsid w:val="00CF7D19"/>
    <w:rsid w:val="00CF7D2E"/>
    <w:rsid w:val="00D004CF"/>
    <w:rsid w:val="00D008A1"/>
    <w:rsid w:val="00D008C6"/>
    <w:rsid w:val="00D010F6"/>
    <w:rsid w:val="00D013CD"/>
    <w:rsid w:val="00D01B81"/>
    <w:rsid w:val="00D02025"/>
    <w:rsid w:val="00D02361"/>
    <w:rsid w:val="00D028ED"/>
    <w:rsid w:val="00D02C6B"/>
    <w:rsid w:val="00D02FE5"/>
    <w:rsid w:val="00D03281"/>
    <w:rsid w:val="00D03359"/>
    <w:rsid w:val="00D034EE"/>
    <w:rsid w:val="00D0358C"/>
    <w:rsid w:val="00D03653"/>
    <w:rsid w:val="00D03C16"/>
    <w:rsid w:val="00D03D28"/>
    <w:rsid w:val="00D03E3F"/>
    <w:rsid w:val="00D04501"/>
    <w:rsid w:val="00D045BD"/>
    <w:rsid w:val="00D046E3"/>
    <w:rsid w:val="00D0494A"/>
    <w:rsid w:val="00D04987"/>
    <w:rsid w:val="00D04AEC"/>
    <w:rsid w:val="00D04ED4"/>
    <w:rsid w:val="00D053B7"/>
    <w:rsid w:val="00D053DB"/>
    <w:rsid w:val="00D05AF8"/>
    <w:rsid w:val="00D05B77"/>
    <w:rsid w:val="00D062D7"/>
    <w:rsid w:val="00D06426"/>
    <w:rsid w:val="00D065B4"/>
    <w:rsid w:val="00D0668D"/>
    <w:rsid w:val="00D06734"/>
    <w:rsid w:val="00D069B9"/>
    <w:rsid w:val="00D06B84"/>
    <w:rsid w:val="00D06D7C"/>
    <w:rsid w:val="00D0740A"/>
    <w:rsid w:val="00D07435"/>
    <w:rsid w:val="00D0797D"/>
    <w:rsid w:val="00D07992"/>
    <w:rsid w:val="00D079E7"/>
    <w:rsid w:val="00D07A2B"/>
    <w:rsid w:val="00D10157"/>
    <w:rsid w:val="00D1048C"/>
    <w:rsid w:val="00D106A5"/>
    <w:rsid w:val="00D10901"/>
    <w:rsid w:val="00D10A31"/>
    <w:rsid w:val="00D10C87"/>
    <w:rsid w:val="00D10CB0"/>
    <w:rsid w:val="00D10F41"/>
    <w:rsid w:val="00D11255"/>
    <w:rsid w:val="00D11290"/>
    <w:rsid w:val="00D11916"/>
    <w:rsid w:val="00D121C5"/>
    <w:rsid w:val="00D12748"/>
    <w:rsid w:val="00D12972"/>
    <w:rsid w:val="00D13561"/>
    <w:rsid w:val="00D13606"/>
    <w:rsid w:val="00D1399D"/>
    <w:rsid w:val="00D13C45"/>
    <w:rsid w:val="00D13C89"/>
    <w:rsid w:val="00D13F77"/>
    <w:rsid w:val="00D1408D"/>
    <w:rsid w:val="00D14094"/>
    <w:rsid w:val="00D140A0"/>
    <w:rsid w:val="00D146D6"/>
    <w:rsid w:val="00D14736"/>
    <w:rsid w:val="00D14A5E"/>
    <w:rsid w:val="00D14DDC"/>
    <w:rsid w:val="00D1538A"/>
    <w:rsid w:val="00D153D3"/>
    <w:rsid w:val="00D15715"/>
    <w:rsid w:val="00D16243"/>
    <w:rsid w:val="00D1648D"/>
    <w:rsid w:val="00D167CF"/>
    <w:rsid w:val="00D1680F"/>
    <w:rsid w:val="00D16B69"/>
    <w:rsid w:val="00D16CFA"/>
    <w:rsid w:val="00D16E65"/>
    <w:rsid w:val="00D1704D"/>
    <w:rsid w:val="00D171CF"/>
    <w:rsid w:val="00D17557"/>
    <w:rsid w:val="00D17981"/>
    <w:rsid w:val="00D17B3E"/>
    <w:rsid w:val="00D17C25"/>
    <w:rsid w:val="00D17CEF"/>
    <w:rsid w:val="00D201C0"/>
    <w:rsid w:val="00D202F5"/>
    <w:rsid w:val="00D203B5"/>
    <w:rsid w:val="00D20407"/>
    <w:rsid w:val="00D20720"/>
    <w:rsid w:val="00D20D46"/>
    <w:rsid w:val="00D20D69"/>
    <w:rsid w:val="00D218A2"/>
    <w:rsid w:val="00D21960"/>
    <w:rsid w:val="00D22A3F"/>
    <w:rsid w:val="00D234E8"/>
    <w:rsid w:val="00D23786"/>
    <w:rsid w:val="00D23994"/>
    <w:rsid w:val="00D239A0"/>
    <w:rsid w:val="00D24145"/>
    <w:rsid w:val="00D2418D"/>
    <w:rsid w:val="00D241EB"/>
    <w:rsid w:val="00D2475D"/>
    <w:rsid w:val="00D24B56"/>
    <w:rsid w:val="00D24F8F"/>
    <w:rsid w:val="00D2510D"/>
    <w:rsid w:val="00D251BB"/>
    <w:rsid w:val="00D25290"/>
    <w:rsid w:val="00D2606E"/>
    <w:rsid w:val="00D267E1"/>
    <w:rsid w:val="00D26B9B"/>
    <w:rsid w:val="00D26D25"/>
    <w:rsid w:val="00D26D31"/>
    <w:rsid w:val="00D270CD"/>
    <w:rsid w:val="00D27246"/>
    <w:rsid w:val="00D2734D"/>
    <w:rsid w:val="00D2736A"/>
    <w:rsid w:val="00D2744A"/>
    <w:rsid w:val="00D27F8D"/>
    <w:rsid w:val="00D300CD"/>
    <w:rsid w:val="00D303BE"/>
    <w:rsid w:val="00D30C6E"/>
    <w:rsid w:val="00D30D8D"/>
    <w:rsid w:val="00D3160E"/>
    <w:rsid w:val="00D31654"/>
    <w:rsid w:val="00D31721"/>
    <w:rsid w:val="00D318D2"/>
    <w:rsid w:val="00D31AD2"/>
    <w:rsid w:val="00D31D46"/>
    <w:rsid w:val="00D31DFE"/>
    <w:rsid w:val="00D31FE2"/>
    <w:rsid w:val="00D322D1"/>
    <w:rsid w:val="00D3272E"/>
    <w:rsid w:val="00D32DA4"/>
    <w:rsid w:val="00D32ED1"/>
    <w:rsid w:val="00D33003"/>
    <w:rsid w:val="00D33298"/>
    <w:rsid w:val="00D3380F"/>
    <w:rsid w:val="00D339FF"/>
    <w:rsid w:val="00D33A8D"/>
    <w:rsid w:val="00D33C05"/>
    <w:rsid w:val="00D34320"/>
    <w:rsid w:val="00D343FF"/>
    <w:rsid w:val="00D348AA"/>
    <w:rsid w:val="00D34ADB"/>
    <w:rsid w:val="00D34F80"/>
    <w:rsid w:val="00D34F84"/>
    <w:rsid w:val="00D35069"/>
    <w:rsid w:val="00D352A4"/>
    <w:rsid w:val="00D35C3B"/>
    <w:rsid w:val="00D35FD2"/>
    <w:rsid w:val="00D361E8"/>
    <w:rsid w:val="00D364C5"/>
    <w:rsid w:val="00D36516"/>
    <w:rsid w:val="00D36573"/>
    <w:rsid w:val="00D36818"/>
    <w:rsid w:val="00D36824"/>
    <w:rsid w:val="00D36A4D"/>
    <w:rsid w:val="00D36F51"/>
    <w:rsid w:val="00D37154"/>
    <w:rsid w:val="00D37270"/>
    <w:rsid w:val="00D37352"/>
    <w:rsid w:val="00D37A04"/>
    <w:rsid w:val="00D37B4E"/>
    <w:rsid w:val="00D37B6C"/>
    <w:rsid w:val="00D37E9A"/>
    <w:rsid w:val="00D37EA5"/>
    <w:rsid w:val="00D4003C"/>
    <w:rsid w:val="00D40541"/>
    <w:rsid w:val="00D409AB"/>
    <w:rsid w:val="00D40AE9"/>
    <w:rsid w:val="00D41105"/>
    <w:rsid w:val="00D414BF"/>
    <w:rsid w:val="00D4189E"/>
    <w:rsid w:val="00D419BC"/>
    <w:rsid w:val="00D41D4B"/>
    <w:rsid w:val="00D41F2D"/>
    <w:rsid w:val="00D42250"/>
    <w:rsid w:val="00D42504"/>
    <w:rsid w:val="00D42921"/>
    <w:rsid w:val="00D429D4"/>
    <w:rsid w:val="00D42B05"/>
    <w:rsid w:val="00D43111"/>
    <w:rsid w:val="00D4330B"/>
    <w:rsid w:val="00D437C2"/>
    <w:rsid w:val="00D43A93"/>
    <w:rsid w:val="00D43D09"/>
    <w:rsid w:val="00D44267"/>
    <w:rsid w:val="00D44281"/>
    <w:rsid w:val="00D4428F"/>
    <w:rsid w:val="00D44605"/>
    <w:rsid w:val="00D44640"/>
    <w:rsid w:val="00D447E5"/>
    <w:rsid w:val="00D44A8B"/>
    <w:rsid w:val="00D44B33"/>
    <w:rsid w:val="00D44B54"/>
    <w:rsid w:val="00D44CD1"/>
    <w:rsid w:val="00D44CDA"/>
    <w:rsid w:val="00D44F06"/>
    <w:rsid w:val="00D45719"/>
    <w:rsid w:val="00D45C1D"/>
    <w:rsid w:val="00D46379"/>
    <w:rsid w:val="00D463B8"/>
    <w:rsid w:val="00D467DF"/>
    <w:rsid w:val="00D4686A"/>
    <w:rsid w:val="00D46AD9"/>
    <w:rsid w:val="00D46D8C"/>
    <w:rsid w:val="00D4744E"/>
    <w:rsid w:val="00D47656"/>
    <w:rsid w:val="00D477DF"/>
    <w:rsid w:val="00D4786F"/>
    <w:rsid w:val="00D47914"/>
    <w:rsid w:val="00D47AB7"/>
    <w:rsid w:val="00D47C65"/>
    <w:rsid w:val="00D502D2"/>
    <w:rsid w:val="00D502EC"/>
    <w:rsid w:val="00D50587"/>
    <w:rsid w:val="00D505F2"/>
    <w:rsid w:val="00D5078B"/>
    <w:rsid w:val="00D5099B"/>
    <w:rsid w:val="00D50B97"/>
    <w:rsid w:val="00D50ECC"/>
    <w:rsid w:val="00D50EFE"/>
    <w:rsid w:val="00D5101A"/>
    <w:rsid w:val="00D51209"/>
    <w:rsid w:val="00D51257"/>
    <w:rsid w:val="00D5132E"/>
    <w:rsid w:val="00D517DB"/>
    <w:rsid w:val="00D51BA7"/>
    <w:rsid w:val="00D52166"/>
    <w:rsid w:val="00D521C1"/>
    <w:rsid w:val="00D522FC"/>
    <w:rsid w:val="00D52612"/>
    <w:rsid w:val="00D52892"/>
    <w:rsid w:val="00D528EA"/>
    <w:rsid w:val="00D532E9"/>
    <w:rsid w:val="00D53947"/>
    <w:rsid w:val="00D539D4"/>
    <w:rsid w:val="00D53C68"/>
    <w:rsid w:val="00D53E33"/>
    <w:rsid w:val="00D53F05"/>
    <w:rsid w:val="00D543F2"/>
    <w:rsid w:val="00D54645"/>
    <w:rsid w:val="00D54B9F"/>
    <w:rsid w:val="00D54E6A"/>
    <w:rsid w:val="00D54FDE"/>
    <w:rsid w:val="00D552FB"/>
    <w:rsid w:val="00D55349"/>
    <w:rsid w:val="00D555E4"/>
    <w:rsid w:val="00D556DC"/>
    <w:rsid w:val="00D5588B"/>
    <w:rsid w:val="00D55951"/>
    <w:rsid w:val="00D55B94"/>
    <w:rsid w:val="00D55D25"/>
    <w:rsid w:val="00D56226"/>
    <w:rsid w:val="00D56396"/>
    <w:rsid w:val="00D56417"/>
    <w:rsid w:val="00D5666D"/>
    <w:rsid w:val="00D566B2"/>
    <w:rsid w:val="00D56D5B"/>
    <w:rsid w:val="00D56E10"/>
    <w:rsid w:val="00D56F9F"/>
    <w:rsid w:val="00D56FA8"/>
    <w:rsid w:val="00D57264"/>
    <w:rsid w:val="00D57400"/>
    <w:rsid w:val="00D57512"/>
    <w:rsid w:val="00D57816"/>
    <w:rsid w:val="00D57A7C"/>
    <w:rsid w:val="00D57C2B"/>
    <w:rsid w:val="00D57D28"/>
    <w:rsid w:val="00D57E4A"/>
    <w:rsid w:val="00D607A2"/>
    <w:rsid w:val="00D60AE4"/>
    <w:rsid w:val="00D60C45"/>
    <w:rsid w:val="00D60E87"/>
    <w:rsid w:val="00D60F2D"/>
    <w:rsid w:val="00D61740"/>
    <w:rsid w:val="00D617C2"/>
    <w:rsid w:val="00D617CC"/>
    <w:rsid w:val="00D61FD2"/>
    <w:rsid w:val="00D62271"/>
    <w:rsid w:val="00D625DF"/>
    <w:rsid w:val="00D62728"/>
    <w:rsid w:val="00D633B1"/>
    <w:rsid w:val="00D63B4D"/>
    <w:rsid w:val="00D63C5F"/>
    <w:rsid w:val="00D63EB8"/>
    <w:rsid w:val="00D63FC5"/>
    <w:rsid w:val="00D64307"/>
    <w:rsid w:val="00D64676"/>
    <w:rsid w:val="00D649F5"/>
    <w:rsid w:val="00D64A3B"/>
    <w:rsid w:val="00D64BB5"/>
    <w:rsid w:val="00D64BE3"/>
    <w:rsid w:val="00D64C8C"/>
    <w:rsid w:val="00D65035"/>
    <w:rsid w:val="00D65214"/>
    <w:rsid w:val="00D65293"/>
    <w:rsid w:val="00D654B1"/>
    <w:rsid w:val="00D659A7"/>
    <w:rsid w:val="00D6614E"/>
    <w:rsid w:val="00D66A13"/>
    <w:rsid w:val="00D66BB3"/>
    <w:rsid w:val="00D66DCD"/>
    <w:rsid w:val="00D6728B"/>
    <w:rsid w:val="00D6774A"/>
    <w:rsid w:val="00D67C8E"/>
    <w:rsid w:val="00D67E4F"/>
    <w:rsid w:val="00D67FFD"/>
    <w:rsid w:val="00D70125"/>
    <w:rsid w:val="00D7015A"/>
    <w:rsid w:val="00D70539"/>
    <w:rsid w:val="00D70729"/>
    <w:rsid w:val="00D70751"/>
    <w:rsid w:val="00D707FD"/>
    <w:rsid w:val="00D708B3"/>
    <w:rsid w:val="00D709E4"/>
    <w:rsid w:val="00D70A41"/>
    <w:rsid w:val="00D70B69"/>
    <w:rsid w:val="00D71191"/>
    <w:rsid w:val="00D7182E"/>
    <w:rsid w:val="00D71AA3"/>
    <w:rsid w:val="00D71C83"/>
    <w:rsid w:val="00D721B1"/>
    <w:rsid w:val="00D7226F"/>
    <w:rsid w:val="00D723D4"/>
    <w:rsid w:val="00D72C49"/>
    <w:rsid w:val="00D72C8B"/>
    <w:rsid w:val="00D7313E"/>
    <w:rsid w:val="00D736F9"/>
    <w:rsid w:val="00D73D92"/>
    <w:rsid w:val="00D73E88"/>
    <w:rsid w:val="00D74648"/>
    <w:rsid w:val="00D746E9"/>
    <w:rsid w:val="00D7478B"/>
    <w:rsid w:val="00D74A38"/>
    <w:rsid w:val="00D74F89"/>
    <w:rsid w:val="00D75099"/>
    <w:rsid w:val="00D7537F"/>
    <w:rsid w:val="00D75A8C"/>
    <w:rsid w:val="00D764E6"/>
    <w:rsid w:val="00D76679"/>
    <w:rsid w:val="00D7667E"/>
    <w:rsid w:val="00D768B4"/>
    <w:rsid w:val="00D77447"/>
    <w:rsid w:val="00D77A7D"/>
    <w:rsid w:val="00D77D40"/>
    <w:rsid w:val="00D80123"/>
    <w:rsid w:val="00D80379"/>
    <w:rsid w:val="00D80534"/>
    <w:rsid w:val="00D8054D"/>
    <w:rsid w:val="00D8057F"/>
    <w:rsid w:val="00D80A62"/>
    <w:rsid w:val="00D80C24"/>
    <w:rsid w:val="00D80D0B"/>
    <w:rsid w:val="00D80E4D"/>
    <w:rsid w:val="00D80E59"/>
    <w:rsid w:val="00D813FA"/>
    <w:rsid w:val="00D818A4"/>
    <w:rsid w:val="00D81945"/>
    <w:rsid w:val="00D81EF6"/>
    <w:rsid w:val="00D8207B"/>
    <w:rsid w:val="00D824C3"/>
    <w:rsid w:val="00D826BD"/>
    <w:rsid w:val="00D827D3"/>
    <w:rsid w:val="00D828BB"/>
    <w:rsid w:val="00D82E10"/>
    <w:rsid w:val="00D836D2"/>
    <w:rsid w:val="00D838B1"/>
    <w:rsid w:val="00D838F3"/>
    <w:rsid w:val="00D838FF"/>
    <w:rsid w:val="00D844B0"/>
    <w:rsid w:val="00D847C1"/>
    <w:rsid w:val="00D8494E"/>
    <w:rsid w:val="00D84AB9"/>
    <w:rsid w:val="00D84DB4"/>
    <w:rsid w:val="00D84ED4"/>
    <w:rsid w:val="00D85291"/>
    <w:rsid w:val="00D8547F"/>
    <w:rsid w:val="00D8573F"/>
    <w:rsid w:val="00D861CD"/>
    <w:rsid w:val="00D86507"/>
    <w:rsid w:val="00D86534"/>
    <w:rsid w:val="00D865D0"/>
    <w:rsid w:val="00D86702"/>
    <w:rsid w:val="00D867C0"/>
    <w:rsid w:val="00D867FF"/>
    <w:rsid w:val="00D86A0A"/>
    <w:rsid w:val="00D86E13"/>
    <w:rsid w:val="00D86EC9"/>
    <w:rsid w:val="00D872AD"/>
    <w:rsid w:val="00D8736B"/>
    <w:rsid w:val="00D87FCB"/>
    <w:rsid w:val="00D9004E"/>
    <w:rsid w:val="00D902AC"/>
    <w:rsid w:val="00D9082D"/>
    <w:rsid w:val="00D908A0"/>
    <w:rsid w:val="00D90957"/>
    <w:rsid w:val="00D90C58"/>
    <w:rsid w:val="00D91040"/>
    <w:rsid w:val="00D91132"/>
    <w:rsid w:val="00D913F9"/>
    <w:rsid w:val="00D918F1"/>
    <w:rsid w:val="00D91A27"/>
    <w:rsid w:val="00D91A9D"/>
    <w:rsid w:val="00D91BE9"/>
    <w:rsid w:val="00D91CDB"/>
    <w:rsid w:val="00D91DE6"/>
    <w:rsid w:val="00D9213E"/>
    <w:rsid w:val="00D92252"/>
    <w:rsid w:val="00D922DA"/>
    <w:rsid w:val="00D92569"/>
    <w:rsid w:val="00D92E77"/>
    <w:rsid w:val="00D9303B"/>
    <w:rsid w:val="00D931E8"/>
    <w:rsid w:val="00D932FC"/>
    <w:rsid w:val="00D9365F"/>
    <w:rsid w:val="00D93731"/>
    <w:rsid w:val="00D93903"/>
    <w:rsid w:val="00D939D6"/>
    <w:rsid w:val="00D93DC4"/>
    <w:rsid w:val="00D94257"/>
    <w:rsid w:val="00D94753"/>
    <w:rsid w:val="00D94839"/>
    <w:rsid w:val="00D94A2E"/>
    <w:rsid w:val="00D94AD9"/>
    <w:rsid w:val="00D94DAF"/>
    <w:rsid w:val="00D94E1D"/>
    <w:rsid w:val="00D94E5A"/>
    <w:rsid w:val="00D95188"/>
    <w:rsid w:val="00D9532D"/>
    <w:rsid w:val="00D95764"/>
    <w:rsid w:val="00D959DF"/>
    <w:rsid w:val="00D95C8D"/>
    <w:rsid w:val="00D9610B"/>
    <w:rsid w:val="00D96365"/>
    <w:rsid w:val="00D968F4"/>
    <w:rsid w:val="00D96B81"/>
    <w:rsid w:val="00D96BCC"/>
    <w:rsid w:val="00D96EBA"/>
    <w:rsid w:val="00D973F2"/>
    <w:rsid w:val="00D97403"/>
    <w:rsid w:val="00D9772E"/>
    <w:rsid w:val="00D97B51"/>
    <w:rsid w:val="00DA00C8"/>
    <w:rsid w:val="00DA0267"/>
    <w:rsid w:val="00DA0342"/>
    <w:rsid w:val="00DA0956"/>
    <w:rsid w:val="00DA0CCF"/>
    <w:rsid w:val="00DA0E53"/>
    <w:rsid w:val="00DA108F"/>
    <w:rsid w:val="00DA12A4"/>
    <w:rsid w:val="00DA185E"/>
    <w:rsid w:val="00DA1A6A"/>
    <w:rsid w:val="00DA1AED"/>
    <w:rsid w:val="00DA1E2C"/>
    <w:rsid w:val="00DA1FDF"/>
    <w:rsid w:val="00DA2190"/>
    <w:rsid w:val="00DA21D2"/>
    <w:rsid w:val="00DA223D"/>
    <w:rsid w:val="00DA22E9"/>
    <w:rsid w:val="00DA239D"/>
    <w:rsid w:val="00DA23AD"/>
    <w:rsid w:val="00DA27F0"/>
    <w:rsid w:val="00DA2B5B"/>
    <w:rsid w:val="00DA2F0D"/>
    <w:rsid w:val="00DA2FA9"/>
    <w:rsid w:val="00DA31D3"/>
    <w:rsid w:val="00DA3402"/>
    <w:rsid w:val="00DA353D"/>
    <w:rsid w:val="00DA38D4"/>
    <w:rsid w:val="00DA398A"/>
    <w:rsid w:val="00DA3D0B"/>
    <w:rsid w:val="00DA3DF3"/>
    <w:rsid w:val="00DA4420"/>
    <w:rsid w:val="00DA48F1"/>
    <w:rsid w:val="00DA496A"/>
    <w:rsid w:val="00DA4A8E"/>
    <w:rsid w:val="00DA4D67"/>
    <w:rsid w:val="00DA4F5D"/>
    <w:rsid w:val="00DA4FFE"/>
    <w:rsid w:val="00DA5247"/>
    <w:rsid w:val="00DA53A5"/>
    <w:rsid w:val="00DA53BF"/>
    <w:rsid w:val="00DA53DF"/>
    <w:rsid w:val="00DA54AD"/>
    <w:rsid w:val="00DA571B"/>
    <w:rsid w:val="00DA57EC"/>
    <w:rsid w:val="00DA57F5"/>
    <w:rsid w:val="00DA58CF"/>
    <w:rsid w:val="00DA5A66"/>
    <w:rsid w:val="00DA5B0B"/>
    <w:rsid w:val="00DA5FA7"/>
    <w:rsid w:val="00DA5FDF"/>
    <w:rsid w:val="00DA63B4"/>
    <w:rsid w:val="00DA64D2"/>
    <w:rsid w:val="00DA679D"/>
    <w:rsid w:val="00DA6C26"/>
    <w:rsid w:val="00DA6C2D"/>
    <w:rsid w:val="00DA71AD"/>
    <w:rsid w:val="00DA7264"/>
    <w:rsid w:val="00DA73BA"/>
    <w:rsid w:val="00DA755B"/>
    <w:rsid w:val="00DA78DA"/>
    <w:rsid w:val="00DA7ADA"/>
    <w:rsid w:val="00DB0403"/>
    <w:rsid w:val="00DB0AD2"/>
    <w:rsid w:val="00DB0C5A"/>
    <w:rsid w:val="00DB0EB5"/>
    <w:rsid w:val="00DB100C"/>
    <w:rsid w:val="00DB13E2"/>
    <w:rsid w:val="00DB1456"/>
    <w:rsid w:val="00DB19C1"/>
    <w:rsid w:val="00DB1AC2"/>
    <w:rsid w:val="00DB1F15"/>
    <w:rsid w:val="00DB20FC"/>
    <w:rsid w:val="00DB2343"/>
    <w:rsid w:val="00DB23D8"/>
    <w:rsid w:val="00DB2861"/>
    <w:rsid w:val="00DB2B49"/>
    <w:rsid w:val="00DB2D8F"/>
    <w:rsid w:val="00DB3371"/>
    <w:rsid w:val="00DB3907"/>
    <w:rsid w:val="00DB3CCD"/>
    <w:rsid w:val="00DB3DAB"/>
    <w:rsid w:val="00DB3ED9"/>
    <w:rsid w:val="00DB41B0"/>
    <w:rsid w:val="00DB41F9"/>
    <w:rsid w:val="00DB4CA5"/>
    <w:rsid w:val="00DB4DCB"/>
    <w:rsid w:val="00DB503C"/>
    <w:rsid w:val="00DB50FE"/>
    <w:rsid w:val="00DB53AD"/>
    <w:rsid w:val="00DB5447"/>
    <w:rsid w:val="00DB5DC2"/>
    <w:rsid w:val="00DB5F96"/>
    <w:rsid w:val="00DB6AF7"/>
    <w:rsid w:val="00DB6B76"/>
    <w:rsid w:val="00DB74C0"/>
    <w:rsid w:val="00DB74E3"/>
    <w:rsid w:val="00DB7632"/>
    <w:rsid w:val="00DB77A7"/>
    <w:rsid w:val="00DB77DA"/>
    <w:rsid w:val="00DB7AE8"/>
    <w:rsid w:val="00DB7C04"/>
    <w:rsid w:val="00DB7E88"/>
    <w:rsid w:val="00DC0272"/>
    <w:rsid w:val="00DC03AB"/>
    <w:rsid w:val="00DC04E3"/>
    <w:rsid w:val="00DC0569"/>
    <w:rsid w:val="00DC0E39"/>
    <w:rsid w:val="00DC105C"/>
    <w:rsid w:val="00DC11E9"/>
    <w:rsid w:val="00DC11F3"/>
    <w:rsid w:val="00DC164A"/>
    <w:rsid w:val="00DC18B0"/>
    <w:rsid w:val="00DC18D3"/>
    <w:rsid w:val="00DC1BBD"/>
    <w:rsid w:val="00DC1C8D"/>
    <w:rsid w:val="00DC2628"/>
    <w:rsid w:val="00DC26AA"/>
    <w:rsid w:val="00DC2A96"/>
    <w:rsid w:val="00DC2B66"/>
    <w:rsid w:val="00DC2DED"/>
    <w:rsid w:val="00DC2EAA"/>
    <w:rsid w:val="00DC31E9"/>
    <w:rsid w:val="00DC36B7"/>
    <w:rsid w:val="00DC3A4E"/>
    <w:rsid w:val="00DC3BA9"/>
    <w:rsid w:val="00DC3C0A"/>
    <w:rsid w:val="00DC3C0C"/>
    <w:rsid w:val="00DC3DF5"/>
    <w:rsid w:val="00DC3EE3"/>
    <w:rsid w:val="00DC40A8"/>
    <w:rsid w:val="00DC41C5"/>
    <w:rsid w:val="00DC4251"/>
    <w:rsid w:val="00DC4313"/>
    <w:rsid w:val="00DC43F8"/>
    <w:rsid w:val="00DC48BC"/>
    <w:rsid w:val="00DC4AA7"/>
    <w:rsid w:val="00DC4EC7"/>
    <w:rsid w:val="00DC5306"/>
    <w:rsid w:val="00DC581F"/>
    <w:rsid w:val="00DC5872"/>
    <w:rsid w:val="00DC5B1B"/>
    <w:rsid w:val="00DC5C9E"/>
    <w:rsid w:val="00DC5D89"/>
    <w:rsid w:val="00DC6008"/>
    <w:rsid w:val="00DC6212"/>
    <w:rsid w:val="00DC6569"/>
    <w:rsid w:val="00DC6590"/>
    <w:rsid w:val="00DC6658"/>
    <w:rsid w:val="00DC66DA"/>
    <w:rsid w:val="00DC69F5"/>
    <w:rsid w:val="00DC6F7E"/>
    <w:rsid w:val="00DC7316"/>
    <w:rsid w:val="00DC7335"/>
    <w:rsid w:val="00DC7828"/>
    <w:rsid w:val="00DC79EB"/>
    <w:rsid w:val="00DC7B65"/>
    <w:rsid w:val="00DC7D1B"/>
    <w:rsid w:val="00DD0371"/>
    <w:rsid w:val="00DD07BA"/>
    <w:rsid w:val="00DD087D"/>
    <w:rsid w:val="00DD08C9"/>
    <w:rsid w:val="00DD0914"/>
    <w:rsid w:val="00DD0948"/>
    <w:rsid w:val="00DD0AD2"/>
    <w:rsid w:val="00DD0D51"/>
    <w:rsid w:val="00DD0E83"/>
    <w:rsid w:val="00DD0ED3"/>
    <w:rsid w:val="00DD1262"/>
    <w:rsid w:val="00DD127D"/>
    <w:rsid w:val="00DD12A1"/>
    <w:rsid w:val="00DD13B2"/>
    <w:rsid w:val="00DD1580"/>
    <w:rsid w:val="00DD1674"/>
    <w:rsid w:val="00DD1788"/>
    <w:rsid w:val="00DD17F7"/>
    <w:rsid w:val="00DD1BCB"/>
    <w:rsid w:val="00DD1C5D"/>
    <w:rsid w:val="00DD1E47"/>
    <w:rsid w:val="00DD1EB4"/>
    <w:rsid w:val="00DD2428"/>
    <w:rsid w:val="00DD2501"/>
    <w:rsid w:val="00DD26FF"/>
    <w:rsid w:val="00DD298B"/>
    <w:rsid w:val="00DD2ACD"/>
    <w:rsid w:val="00DD2B5D"/>
    <w:rsid w:val="00DD2B83"/>
    <w:rsid w:val="00DD2F34"/>
    <w:rsid w:val="00DD3074"/>
    <w:rsid w:val="00DD317C"/>
    <w:rsid w:val="00DD321C"/>
    <w:rsid w:val="00DD36DE"/>
    <w:rsid w:val="00DD396F"/>
    <w:rsid w:val="00DD3BE9"/>
    <w:rsid w:val="00DD3BEE"/>
    <w:rsid w:val="00DD41DB"/>
    <w:rsid w:val="00DD4523"/>
    <w:rsid w:val="00DD465E"/>
    <w:rsid w:val="00DD4E34"/>
    <w:rsid w:val="00DD4E6D"/>
    <w:rsid w:val="00DD5130"/>
    <w:rsid w:val="00DD525B"/>
    <w:rsid w:val="00DD526B"/>
    <w:rsid w:val="00DD5335"/>
    <w:rsid w:val="00DD5351"/>
    <w:rsid w:val="00DD55EE"/>
    <w:rsid w:val="00DD5612"/>
    <w:rsid w:val="00DD5662"/>
    <w:rsid w:val="00DD5686"/>
    <w:rsid w:val="00DD571B"/>
    <w:rsid w:val="00DD596E"/>
    <w:rsid w:val="00DD5B35"/>
    <w:rsid w:val="00DD5C16"/>
    <w:rsid w:val="00DD609E"/>
    <w:rsid w:val="00DD60B9"/>
    <w:rsid w:val="00DD6394"/>
    <w:rsid w:val="00DD64E7"/>
    <w:rsid w:val="00DD6619"/>
    <w:rsid w:val="00DD692B"/>
    <w:rsid w:val="00DD7037"/>
    <w:rsid w:val="00DD745F"/>
    <w:rsid w:val="00DD746B"/>
    <w:rsid w:val="00DD74C6"/>
    <w:rsid w:val="00DD7BC1"/>
    <w:rsid w:val="00DD7BE1"/>
    <w:rsid w:val="00DE07EC"/>
    <w:rsid w:val="00DE08A8"/>
    <w:rsid w:val="00DE0A41"/>
    <w:rsid w:val="00DE0AD7"/>
    <w:rsid w:val="00DE0C1C"/>
    <w:rsid w:val="00DE0D88"/>
    <w:rsid w:val="00DE1104"/>
    <w:rsid w:val="00DE1291"/>
    <w:rsid w:val="00DE12A4"/>
    <w:rsid w:val="00DE1B6D"/>
    <w:rsid w:val="00DE1EB8"/>
    <w:rsid w:val="00DE1FCE"/>
    <w:rsid w:val="00DE22EF"/>
    <w:rsid w:val="00DE24B2"/>
    <w:rsid w:val="00DE2713"/>
    <w:rsid w:val="00DE2A20"/>
    <w:rsid w:val="00DE2B32"/>
    <w:rsid w:val="00DE2EEE"/>
    <w:rsid w:val="00DE3203"/>
    <w:rsid w:val="00DE3320"/>
    <w:rsid w:val="00DE3500"/>
    <w:rsid w:val="00DE37FF"/>
    <w:rsid w:val="00DE3AE7"/>
    <w:rsid w:val="00DE3B50"/>
    <w:rsid w:val="00DE3D0F"/>
    <w:rsid w:val="00DE43EE"/>
    <w:rsid w:val="00DE47A2"/>
    <w:rsid w:val="00DE484B"/>
    <w:rsid w:val="00DE49FD"/>
    <w:rsid w:val="00DE4A6C"/>
    <w:rsid w:val="00DE4A83"/>
    <w:rsid w:val="00DE4E18"/>
    <w:rsid w:val="00DE4F6A"/>
    <w:rsid w:val="00DE524F"/>
    <w:rsid w:val="00DE5280"/>
    <w:rsid w:val="00DE53EA"/>
    <w:rsid w:val="00DE5534"/>
    <w:rsid w:val="00DE5A22"/>
    <w:rsid w:val="00DE5A73"/>
    <w:rsid w:val="00DE5CA4"/>
    <w:rsid w:val="00DE63E8"/>
    <w:rsid w:val="00DE6588"/>
    <w:rsid w:val="00DE711B"/>
    <w:rsid w:val="00DE7139"/>
    <w:rsid w:val="00DE7ABB"/>
    <w:rsid w:val="00DE7B0B"/>
    <w:rsid w:val="00DF01DF"/>
    <w:rsid w:val="00DF0322"/>
    <w:rsid w:val="00DF08E1"/>
    <w:rsid w:val="00DF0F71"/>
    <w:rsid w:val="00DF11B7"/>
    <w:rsid w:val="00DF1647"/>
    <w:rsid w:val="00DF1657"/>
    <w:rsid w:val="00DF175A"/>
    <w:rsid w:val="00DF17C2"/>
    <w:rsid w:val="00DF196E"/>
    <w:rsid w:val="00DF1A3A"/>
    <w:rsid w:val="00DF1ACE"/>
    <w:rsid w:val="00DF1BD7"/>
    <w:rsid w:val="00DF1E30"/>
    <w:rsid w:val="00DF1EE4"/>
    <w:rsid w:val="00DF2357"/>
    <w:rsid w:val="00DF23E2"/>
    <w:rsid w:val="00DF2450"/>
    <w:rsid w:val="00DF24D4"/>
    <w:rsid w:val="00DF29EE"/>
    <w:rsid w:val="00DF2C44"/>
    <w:rsid w:val="00DF2E5C"/>
    <w:rsid w:val="00DF31CE"/>
    <w:rsid w:val="00DF35EF"/>
    <w:rsid w:val="00DF35FC"/>
    <w:rsid w:val="00DF3B03"/>
    <w:rsid w:val="00DF3FF4"/>
    <w:rsid w:val="00DF42B4"/>
    <w:rsid w:val="00DF42FB"/>
    <w:rsid w:val="00DF4765"/>
    <w:rsid w:val="00DF478C"/>
    <w:rsid w:val="00DF4C76"/>
    <w:rsid w:val="00DF4FFA"/>
    <w:rsid w:val="00DF545F"/>
    <w:rsid w:val="00DF5920"/>
    <w:rsid w:val="00DF5AFA"/>
    <w:rsid w:val="00DF5DA8"/>
    <w:rsid w:val="00DF64F7"/>
    <w:rsid w:val="00DF6764"/>
    <w:rsid w:val="00DF6839"/>
    <w:rsid w:val="00DF69DE"/>
    <w:rsid w:val="00DF755B"/>
    <w:rsid w:val="00DF78CE"/>
    <w:rsid w:val="00DF7933"/>
    <w:rsid w:val="00DF7EF6"/>
    <w:rsid w:val="00DF7F13"/>
    <w:rsid w:val="00E00069"/>
    <w:rsid w:val="00E00782"/>
    <w:rsid w:val="00E00999"/>
    <w:rsid w:val="00E00C0A"/>
    <w:rsid w:val="00E00D05"/>
    <w:rsid w:val="00E00F6D"/>
    <w:rsid w:val="00E01327"/>
    <w:rsid w:val="00E01407"/>
    <w:rsid w:val="00E01417"/>
    <w:rsid w:val="00E017F9"/>
    <w:rsid w:val="00E01A56"/>
    <w:rsid w:val="00E01BDC"/>
    <w:rsid w:val="00E01C49"/>
    <w:rsid w:val="00E01E5A"/>
    <w:rsid w:val="00E01EFF"/>
    <w:rsid w:val="00E01F19"/>
    <w:rsid w:val="00E024FA"/>
    <w:rsid w:val="00E024FF"/>
    <w:rsid w:val="00E02507"/>
    <w:rsid w:val="00E025BA"/>
    <w:rsid w:val="00E027BB"/>
    <w:rsid w:val="00E02E6A"/>
    <w:rsid w:val="00E03375"/>
    <w:rsid w:val="00E03881"/>
    <w:rsid w:val="00E03A5B"/>
    <w:rsid w:val="00E03AF2"/>
    <w:rsid w:val="00E03B9F"/>
    <w:rsid w:val="00E03BF0"/>
    <w:rsid w:val="00E04918"/>
    <w:rsid w:val="00E049F0"/>
    <w:rsid w:val="00E04C89"/>
    <w:rsid w:val="00E04C95"/>
    <w:rsid w:val="00E04D56"/>
    <w:rsid w:val="00E04F56"/>
    <w:rsid w:val="00E04F79"/>
    <w:rsid w:val="00E0575F"/>
    <w:rsid w:val="00E057AC"/>
    <w:rsid w:val="00E057CC"/>
    <w:rsid w:val="00E059E5"/>
    <w:rsid w:val="00E05B4A"/>
    <w:rsid w:val="00E05C48"/>
    <w:rsid w:val="00E05E85"/>
    <w:rsid w:val="00E064C6"/>
    <w:rsid w:val="00E06B11"/>
    <w:rsid w:val="00E06C67"/>
    <w:rsid w:val="00E06E5B"/>
    <w:rsid w:val="00E06EFC"/>
    <w:rsid w:val="00E07990"/>
    <w:rsid w:val="00E079A1"/>
    <w:rsid w:val="00E10197"/>
    <w:rsid w:val="00E10684"/>
    <w:rsid w:val="00E10833"/>
    <w:rsid w:val="00E10C97"/>
    <w:rsid w:val="00E10CF5"/>
    <w:rsid w:val="00E11098"/>
    <w:rsid w:val="00E110F2"/>
    <w:rsid w:val="00E1166B"/>
    <w:rsid w:val="00E11734"/>
    <w:rsid w:val="00E11861"/>
    <w:rsid w:val="00E119CD"/>
    <w:rsid w:val="00E11D71"/>
    <w:rsid w:val="00E11F3E"/>
    <w:rsid w:val="00E121DC"/>
    <w:rsid w:val="00E128AD"/>
    <w:rsid w:val="00E1320E"/>
    <w:rsid w:val="00E13420"/>
    <w:rsid w:val="00E134B2"/>
    <w:rsid w:val="00E1351D"/>
    <w:rsid w:val="00E13540"/>
    <w:rsid w:val="00E13CFD"/>
    <w:rsid w:val="00E1421E"/>
    <w:rsid w:val="00E14318"/>
    <w:rsid w:val="00E14771"/>
    <w:rsid w:val="00E147C0"/>
    <w:rsid w:val="00E14888"/>
    <w:rsid w:val="00E1488D"/>
    <w:rsid w:val="00E14E53"/>
    <w:rsid w:val="00E14E75"/>
    <w:rsid w:val="00E14FD5"/>
    <w:rsid w:val="00E151FF"/>
    <w:rsid w:val="00E15620"/>
    <w:rsid w:val="00E160AC"/>
    <w:rsid w:val="00E16500"/>
    <w:rsid w:val="00E16529"/>
    <w:rsid w:val="00E16596"/>
    <w:rsid w:val="00E16D71"/>
    <w:rsid w:val="00E16DBD"/>
    <w:rsid w:val="00E17026"/>
    <w:rsid w:val="00E1719D"/>
    <w:rsid w:val="00E17312"/>
    <w:rsid w:val="00E17B1F"/>
    <w:rsid w:val="00E17E6D"/>
    <w:rsid w:val="00E200E1"/>
    <w:rsid w:val="00E2044F"/>
    <w:rsid w:val="00E2069E"/>
    <w:rsid w:val="00E206A9"/>
    <w:rsid w:val="00E20D5C"/>
    <w:rsid w:val="00E20DC1"/>
    <w:rsid w:val="00E20FFF"/>
    <w:rsid w:val="00E212A7"/>
    <w:rsid w:val="00E2169E"/>
    <w:rsid w:val="00E217AF"/>
    <w:rsid w:val="00E21C83"/>
    <w:rsid w:val="00E21C98"/>
    <w:rsid w:val="00E22562"/>
    <w:rsid w:val="00E2272F"/>
    <w:rsid w:val="00E227D8"/>
    <w:rsid w:val="00E22A2E"/>
    <w:rsid w:val="00E22AC7"/>
    <w:rsid w:val="00E22C7D"/>
    <w:rsid w:val="00E22F71"/>
    <w:rsid w:val="00E22F91"/>
    <w:rsid w:val="00E2353B"/>
    <w:rsid w:val="00E2361C"/>
    <w:rsid w:val="00E2394E"/>
    <w:rsid w:val="00E23A4E"/>
    <w:rsid w:val="00E23A72"/>
    <w:rsid w:val="00E23AE4"/>
    <w:rsid w:val="00E23CDC"/>
    <w:rsid w:val="00E24041"/>
    <w:rsid w:val="00E24065"/>
    <w:rsid w:val="00E2406E"/>
    <w:rsid w:val="00E24858"/>
    <w:rsid w:val="00E24989"/>
    <w:rsid w:val="00E24D49"/>
    <w:rsid w:val="00E25E1E"/>
    <w:rsid w:val="00E25F27"/>
    <w:rsid w:val="00E2624A"/>
    <w:rsid w:val="00E26AFD"/>
    <w:rsid w:val="00E26ECE"/>
    <w:rsid w:val="00E2711F"/>
    <w:rsid w:val="00E27188"/>
    <w:rsid w:val="00E2763C"/>
    <w:rsid w:val="00E278DA"/>
    <w:rsid w:val="00E279F7"/>
    <w:rsid w:val="00E300C4"/>
    <w:rsid w:val="00E3086A"/>
    <w:rsid w:val="00E30B43"/>
    <w:rsid w:val="00E30F2D"/>
    <w:rsid w:val="00E30FBE"/>
    <w:rsid w:val="00E310E0"/>
    <w:rsid w:val="00E317AB"/>
    <w:rsid w:val="00E31C4C"/>
    <w:rsid w:val="00E31DE5"/>
    <w:rsid w:val="00E31EF5"/>
    <w:rsid w:val="00E3256F"/>
    <w:rsid w:val="00E327CA"/>
    <w:rsid w:val="00E32E8E"/>
    <w:rsid w:val="00E32F74"/>
    <w:rsid w:val="00E331C3"/>
    <w:rsid w:val="00E3328F"/>
    <w:rsid w:val="00E33933"/>
    <w:rsid w:val="00E33C6A"/>
    <w:rsid w:val="00E33D44"/>
    <w:rsid w:val="00E34248"/>
    <w:rsid w:val="00E3453A"/>
    <w:rsid w:val="00E3460B"/>
    <w:rsid w:val="00E3468C"/>
    <w:rsid w:val="00E34A91"/>
    <w:rsid w:val="00E34AA5"/>
    <w:rsid w:val="00E34B2B"/>
    <w:rsid w:val="00E34B58"/>
    <w:rsid w:val="00E34B6E"/>
    <w:rsid w:val="00E34C44"/>
    <w:rsid w:val="00E34CEB"/>
    <w:rsid w:val="00E34D62"/>
    <w:rsid w:val="00E34EDF"/>
    <w:rsid w:val="00E3534A"/>
    <w:rsid w:val="00E3542D"/>
    <w:rsid w:val="00E354FF"/>
    <w:rsid w:val="00E3594D"/>
    <w:rsid w:val="00E36215"/>
    <w:rsid w:val="00E362A3"/>
    <w:rsid w:val="00E36593"/>
    <w:rsid w:val="00E367D7"/>
    <w:rsid w:val="00E36A6B"/>
    <w:rsid w:val="00E36D13"/>
    <w:rsid w:val="00E36E82"/>
    <w:rsid w:val="00E36EA3"/>
    <w:rsid w:val="00E37136"/>
    <w:rsid w:val="00E3765F"/>
    <w:rsid w:val="00E3782B"/>
    <w:rsid w:val="00E37993"/>
    <w:rsid w:val="00E37BBE"/>
    <w:rsid w:val="00E4007A"/>
    <w:rsid w:val="00E403AB"/>
    <w:rsid w:val="00E408D5"/>
    <w:rsid w:val="00E40CC5"/>
    <w:rsid w:val="00E40E46"/>
    <w:rsid w:val="00E40EA2"/>
    <w:rsid w:val="00E411EC"/>
    <w:rsid w:val="00E41373"/>
    <w:rsid w:val="00E4154D"/>
    <w:rsid w:val="00E416B2"/>
    <w:rsid w:val="00E416F4"/>
    <w:rsid w:val="00E4198E"/>
    <w:rsid w:val="00E41A3D"/>
    <w:rsid w:val="00E41B5C"/>
    <w:rsid w:val="00E42305"/>
    <w:rsid w:val="00E427BA"/>
    <w:rsid w:val="00E427C0"/>
    <w:rsid w:val="00E431BC"/>
    <w:rsid w:val="00E43218"/>
    <w:rsid w:val="00E433A8"/>
    <w:rsid w:val="00E436AA"/>
    <w:rsid w:val="00E436EC"/>
    <w:rsid w:val="00E43932"/>
    <w:rsid w:val="00E43A01"/>
    <w:rsid w:val="00E43A64"/>
    <w:rsid w:val="00E44200"/>
    <w:rsid w:val="00E443B4"/>
    <w:rsid w:val="00E44612"/>
    <w:rsid w:val="00E4477C"/>
    <w:rsid w:val="00E44F07"/>
    <w:rsid w:val="00E44FE8"/>
    <w:rsid w:val="00E4501A"/>
    <w:rsid w:val="00E45625"/>
    <w:rsid w:val="00E456A0"/>
    <w:rsid w:val="00E45957"/>
    <w:rsid w:val="00E45A4A"/>
    <w:rsid w:val="00E45F5F"/>
    <w:rsid w:val="00E46158"/>
    <w:rsid w:val="00E46263"/>
    <w:rsid w:val="00E466B2"/>
    <w:rsid w:val="00E46821"/>
    <w:rsid w:val="00E46995"/>
    <w:rsid w:val="00E46D45"/>
    <w:rsid w:val="00E46D89"/>
    <w:rsid w:val="00E46F5E"/>
    <w:rsid w:val="00E4738A"/>
    <w:rsid w:val="00E47476"/>
    <w:rsid w:val="00E4783D"/>
    <w:rsid w:val="00E4798D"/>
    <w:rsid w:val="00E5029E"/>
    <w:rsid w:val="00E5042E"/>
    <w:rsid w:val="00E5043A"/>
    <w:rsid w:val="00E50ACD"/>
    <w:rsid w:val="00E50BA9"/>
    <w:rsid w:val="00E50C6E"/>
    <w:rsid w:val="00E51075"/>
    <w:rsid w:val="00E512F8"/>
    <w:rsid w:val="00E518DB"/>
    <w:rsid w:val="00E51910"/>
    <w:rsid w:val="00E519A0"/>
    <w:rsid w:val="00E51B58"/>
    <w:rsid w:val="00E51D9A"/>
    <w:rsid w:val="00E52000"/>
    <w:rsid w:val="00E52147"/>
    <w:rsid w:val="00E5240F"/>
    <w:rsid w:val="00E53117"/>
    <w:rsid w:val="00E53231"/>
    <w:rsid w:val="00E53368"/>
    <w:rsid w:val="00E5373E"/>
    <w:rsid w:val="00E53B32"/>
    <w:rsid w:val="00E53D95"/>
    <w:rsid w:val="00E53FD2"/>
    <w:rsid w:val="00E543B3"/>
    <w:rsid w:val="00E546C3"/>
    <w:rsid w:val="00E5480A"/>
    <w:rsid w:val="00E54F0D"/>
    <w:rsid w:val="00E54F82"/>
    <w:rsid w:val="00E55200"/>
    <w:rsid w:val="00E55260"/>
    <w:rsid w:val="00E552DB"/>
    <w:rsid w:val="00E55498"/>
    <w:rsid w:val="00E5550B"/>
    <w:rsid w:val="00E55816"/>
    <w:rsid w:val="00E559B9"/>
    <w:rsid w:val="00E559D8"/>
    <w:rsid w:val="00E55BA6"/>
    <w:rsid w:val="00E55C28"/>
    <w:rsid w:val="00E55D53"/>
    <w:rsid w:val="00E55EF6"/>
    <w:rsid w:val="00E56237"/>
    <w:rsid w:val="00E56584"/>
    <w:rsid w:val="00E565CE"/>
    <w:rsid w:val="00E566C9"/>
    <w:rsid w:val="00E567AB"/>
    <w:rsid w:val="00E5682D"/>
    <w:rsid w:val="00E56A10"/>
    <w:rsid w:val="00E57389"/>
    <w:rsid w:val="00E57601"/>
    <w:rsid w:val="00E5799D"/>
    <w:rsid w:val="00E579A3"/>
    <w:rsid w:val="00E57C15"/>
    <w:rsid w:val="00E57D28"/>
    <w:rsid w:val="00E57DE5"/>
    <w:rsid w:val="00E57E5D"/>
    <w:rsid w:val="00E57E8E"/>
    <w:rsid w:val="00E57FA9"/>
    <w:rsid w:val="00E6018C"/>
    <w:rsid w:val="00E608D0"/>
    <w:rsid w:val="00E60B01"/>
    <w:rsid w:val="00E61299"/>
    <w:rsid w:val="00E61320"/>
    <w:rsid w:val="00E617C7"/>
    <w:rsid w:val="00E61AB5"/>
    <w:rsid w:val="00E61E0C"/>
    <w:rsid w:val="00E6201A"/>
    <w:rsid w:val="00E6232F"/>
    <w:rsid w:val="00E626AD"/>
    <w:rsid w:val="00E628FB"/>
    <w:rsid w:val="00E62B7E"/>
    <w:rsid w:val="00E62EE9"/>
    <w:rsid w:val="00E63153"/>
    <w:rsid w:val="00E631BE"/>
    <w:rsid w:val="00E63443"/>
    <w:rsid w:val="00E63542"/>
    <w:rsid w:val="00E638E8"/>
    <w:rsid w:val="00E63F55"/>
    <w:rsid w:val="00E63F66"/>
    <w:rsid w:val="00E64002"/>
    <w:rsid w:val="00E64119"/>
    <w:rsid w:val="00E64441"/>
    <w:rsid w:val="00E64623"/>
    <w:rsid w:val="00E648CF"/>
    <w:rsid w:val="00E649FF"/>
    <w:rsid w:val="00E64B73"/>
    <w:rsid w:val="00E64B7F"/>
    <w:rsid w:val="00E64C4C"/>
    <w:rsid w:val="00E65158"/>
    <w:rsid w:val="00E6534A"/>
    <w:rsid w:val="00E65644"/>
    <w:rsid w:val="00E65750"/>
    <w:rsid w:val="00E659C2"/>
    <w:rsid w:val="00E65DCE"/>
    <w:rsid w:val="00E66551"/>
    <w:rsid w:val="00E66585"/>
    <w:rsid w:val="00E665E3"/>
    <w:rsid w:val="00E66A33"/>
    <w:rsid w:val="00E66E1D"/>
    <w:rsid w:val="00E66EC4"/>
    <w:rsid w:val="00E66FA3"/>
    <w:rsid w:val="00E66FD9"/>
    <w:rsid w:val="00E673F0"/>
    <w:rsid w:val="00E677AA"/>
    <w:rsid w:val="00E67ABD"/>
    <w:rsid w:val="00E67CCB"/>
    <w:rsid w:val="00E7009B"/>
    <w:rsid w:val="00E705F4"/>
    <w:rsid w:val="00E7073D"/>
    <w:rsid w:val="00E7077E"/>
    <w:rsid w:val="00E7083D"/>
    <w:rsid w:val="00E70D58"/>
    <w:rsid w:val="00E70DAA"/>
    <w:rsid w:val="00E71185"/>
    <w:rsid w:val="00E71913"/>
    <w:rsid w:val="00E71C96"/>
    <w:rsid w:val="00E71D06"/>
    <w:rsid w:val="00E71F25"/>
    <w:rsid w:val="00E71FD4"/>
    <w:rsid w:val="00E72094"/>
    <w:rsid w:val="00E72197"/>
    <w:rsid w:val="00E72342"/>
    <w:rsid w:val="00E723C0"/>
    <w:rsid w:val="00E729F6"/>
    <w:rsid w:val="00E72A5E"/>
    <w:rsid w:val="00E72C4B"/>
    <w:rsid w:val="00E72FF5"/>
    <w:rsid w:val="00E7305E"/>
    <w:rsid w:val="00E731EA"/>
    <w:rsid w:val="00E733A9"/>
    <w:rsid w:val="00E73A3A"/>
    <w:rsid w:val="00E73BFF"/>
    <w:rsid w:val="00E73E1E"/>
    <w:rsid w:val="00E73FB7"/>
    <w:rsid w:val="00E74275"/>
    <w:rsid w:val="00E742B8"/>
    <w:rsid w:val="00E7481E"/>
    <w:rsid w:val="00E74E01"/>
    <w:rsid w:val="00E74E0D"/>
    <w:rsid w:val="00E751BD"/>
    <w:rsid w:val="00E75490"/>
    <w:rsid w:val="00E754C0"/>
    <w:rsid w:val="00E7559E"/>
    <w:rsid w:val="00E75B51"/>
    <w:rsid w:val="00E75C84"/>
    <w:rsid w:val="00E75E6B"/>
    <w:rsid w:val="00E75F8F"/>
    <w:rsid w:val="00E761CB"/>
    <w:rsid w:val="00E768D3"/>
    <w:rsid w:val="00E76AA9"/>
    <w:rsid w:val="00E76D50"/>
    <w:rsid w:val="00E76F17"/>
    <w:rsid w:val="00E7743E"/>
    <w:rsid w:val="00E77458"/>
    <w:rsid w:val="00E77BBF"/>
    <w:rsid w:val="00E77F10"/>
    <w:rsid w:val="00E80107"/>
    <w:rsid w:val="00E80153"/>
    <w:rsid w:val="00E80459"/>
    <w:rsid w:val="00E80477"/>
    <w:rsid w:val="00E804EF"/>
    <w:rsid w:val="00E805D5"/>
    <w:rsid w:val="00E807B4"/>
    <w:rsid w:val="00E80862"/>
    <w:rsid w:val="00E80ACA"/>
    <w:rsid w:val="00E80BAC"/>
    <w:rsid w:val="00E80D08"/>
    <w:rsid w:val="00E80E5B"/>
    <w:rsid w:val="00E80EFB"/>
    <w:rsid w:val="00E80F07"/>
    <w:rsid w:val="00E81203"/>
    <w:rsid w:val="00E81272"/>
    <w:rsid w:val="00E812F3"/>
    <w:rsid w:val="00E81407"/>
    <w:rsid w:val="00E8164D"/>
    <w:rsid w:val="00E81662"/>
    <w:rsid w:val="00E817E9"/>
    <w:rsid w:val="00E81E8F"/>
    <w:rsid w:val="00E820E6"/>
    <w:rsid w:val="00E8260E"/>
    <w:rsid w:val="00E82803"/>
    <w:rsid w:val="00E82C5A"/>
    <w:rsid w:val="00E82D0C"/>
    <w:rsid w:val="00E8329B"/>
    <w:rsid w:val="00E8370A"/>
    <w:rsid w:val="00E83856"/>
    <w:rsid w:val="00E83A1E"/>
    <w:rsid w:val="00E83CD1"/>
    <w:rsid w:val="00E83D1E"/>
    <w:rsid w:val="00E83DE8"/>
    <w:rsid w:val="00E83EFE"/>
    <w:rsid w:val="00E83FD3"/>
    <w:rsid w:val="00E84079"/>
    <w:rsid w:val="00E8407D"/>
    <w:rsid w:val="00E8470B"/>
    <w:rsid w:val="00E84D54"/>
    <w:rsid w:val="00E84FC9"/>
    <w:rsid w:val="00E85020"/>
    <w:rsid w:val="00E85597"/>
    <w:rsid w:val="00E8570E"/>
    <w:rsid w:val="00E859FE"/>
    <w:rsid w:val="00E85A6E"/>
    <w:rsid w:val="00E85C10"/>
    <w:rsid w:val="00E85D38"/>
    <w:rsid w:val="00E85D44"/>
    <w:rsid w:val="00E861B6"/>
    <w:rsid w:val="00E868B9"/>
    <w:rsid w:val="00E868F2"/>
    <w:rsid w:val="00E869AE"/>
    <w:rsid w:val="00E86A23"/>
    <w:rsid w:val="00E86A60"/>
    <w:rsid w:val="00E871F4"/>
    <w:rsid w:val="00E874F0"/>
    <w:rsid w:val="00E874F1"/>
    <w:rsid w:val="00E87810"/>
    <w:rsid w:val="00E878A0"/>
    <w:rsid w:val="00E9012C"/>
    <w:rsid w:val="00E90403"/>
    <w:rsid w:val="00E906CC"/>
    <w:rsid w:val="00E907D3"/>
    <w:rsid w:val="00E912D0"/>
    <w:rsid w:val="00E91839"/>
    <w:rsid w:val="00E91D72"/>
    <w:rsid w:val="00E92119"/>
    <w:rsid w:val="00E9278D"/>
    <w:rsid w:val="00E928D7"/>
    <w:rsid w:val="00E92BB4"/>
    <w:rsid w:val="00E92CBB"/>
    <w:rsid w:val="00E932AC"/>
    <w:rsid w:val="00E93978"/>
    <w:rsid w:val="00E93A28"/>
    <w:rsid w:val="00E93B58"/>
    <w:rsid w:val="00E93C0E"/>
    <w:rsid w:val="00E93E77"/>
    <w:rsid w:val="00E94843"/>
    <w:rsid w:val="00E948F8"/>
    <w:rsid w:val="00E94CEB"/>
    <w:rsid w:val="00E94D23"/>
    <w:rsid w:val="00E94F29"/>
    <w:rsid w:val="00E94FD4"/>
    <w:rsid w:val="00E952B3"/>
    <w:rsid w:val="00E9539D"/>
    <w:rsid w:val="00E95D59"/>
    <w:rsid w:val="00E961D2"/>
    <w:rsid w:val="00E96409"/>
    <w:rsid w:val="00E96417"/>
    <w:rsid w:val="00E96918"/>
    <w:rsid w:val="00E969D5"/>
    <w:rsid w:val="00E97329"/>
    <w:rsid w:val="00E974D9"/>
    <w:rsid w:val="00E97AC8"/>
    <w:rsid w:val="00E97B90"/>
    <w:rsid w:val="00E97EA0"/>
    <w:rsid w:val="00EA04A4"/>
    <w:rsid w:val="00EA072B"/>
    <w:rsid w:val="00EA0ED8"/>
    <w:rsid w:val="00EA1230"/>
    <w:rsid w:val="00EA17A2"/>
    <w:rsid w:val="00EA1A78"/>
    <w:rsid w:val="00EA1BA1"/>
    <w:rsid w:val="00EA1BB6"/>
    <w:rsid w:val="00EA1BE6"/>
    <w:rsid w:val="00EA1C4E"/>
    <w:rsid w:val="00EA2487"/>
    <w:rsid w:val="00EA25DB"/>
    <w:rsid w:val="00EA2A4D"/>
    <w:rsid w:val="00EA2A7A"/>
    <w:rsid w:val="00EA2D57"/>
    <w:rsid w:val="00EA2D68"/>
    <w:rsid w:val="00EA2EB2"/>
    <w:rsid w:val="00EA3385"/>
    <w:rsid w:val="00EA3931"/>
    <w:rsid w:val="00EA3B79"/>
    <w:rsid w:val="00EA3BAB"/>
    <w:rsid w:val="00EA3DF0"/>
    <w:rsid w:val="00EA3E19"/>
    <w:rsid w:val="00EA3EB8"/>
    <w:rsid w:val="00EA4021"/>
    <w:rsid w:val="00EA4B44"/>
    <w:rsid w:val="00EA4CC2"/>
    <w:rsid w:val="00EA4EF1"/>
    <w:rsid w:val="00EA5011"/>
    <w:rsid w:val="00EA5230"/>
    <w:rsid w:val="00EA54B8"/>
    <w:rsid w:val="00EA59EF"/>
    <w:rsid w:val="00EA5B81"/>
    <w:rsid w:val="00EA5D80"/>
    <w:rsid w:val="00EA6310"/>
    <w:rsid w:val="00EA696E"/>
    <w:rsid w:val="00EA69D1"/>
    <w:rsid w:val="00EA69F0"/>
    <w:rsid w:val="00EA6DA9"/>
    <w:rsid w:val="00EA70A0"/>
    <w:rsid w:val="00EA70CD"/>
    <w:rsid w:val="00EA735F"/>
    <w:rsid w:val="00EA7D4B"/>
    <w:rsid w:val="00EA7E53"/>
    <w:rsid w:val="00EA7F00"/>
    <w:rsid w:val="00EB0176"/>
    <w:rsid w:val="00EB0180"/>
    <w:rsid w:val="00EB04F9"/>
    <w:rsid w:val="00EB06CA"/>
    <w:rsid w:val="00EB07E4"/>
    <w:rsid w:val="00EB07FD"/>
    <w:rsid w:val="00EB105B"/>
    <w:rsid w:val="00EB13CF"/>
    <w:rsid w:val="00EB1419"/>
    <w:rsid w:val="00EB14DA"/>
    <w:rsid w:val="00EB1528"/>
    <w:rsid w:val="00EB158E"/>
    <w:rsid w:val="00EB179E"/>
    <w:rsid w:val="00EB1AC3"/>
    <w:rsid w:val="00EB1B59"/>
    <w:rsid w:val="00EB1FEC"/>
    <w:rsid w:val="00EB2201"/>
    <w:rsid w:val="00EB2B68"/>
    <w:rsid w:val="00EB2BEB"/>
    <w:rsid w:val="00EB2C2E"/>
    <w:rsid w:val="00EB2CC6"/>
    <w:rsid w:val="00EB388C"/>
    <w:rsid w:val="00EB3AA5"/>
    <w:rsid w:val="00EB3EBC"/>
    <w:rsid w:val="00EB451A"/>
    <w:rsid w:val="00EB45B9"/>
    <w:rsid w:val="00EB4784"/>
    <w:rsid w:val="00EB47D0"/>
    <w:rsid w:val="00EB49A6"/>
    <w:rsid w:val="00EB4B69"/>
    <w:rsid w:val="00EB4CFE"/>
    <w:rsid w:val="00EB4E3A"/>
    <w:rsid w:val="00EB4F32"/>
    <w:rsid w:val="00EB5346"/>
    <w:rsid w:val="00EB58A8"/>
    <w:rsid w:val="00EB5906"/>
    <w:rsid w:val="00EB5984"/>
    <w:rsid w:val="00EB5A0F"/>
    <w:rsid w:val="00EB60F3"/>
    <w:rsid w:val="00EB644E"/>
    <w:rsid w:val="00EB6478"/>
    <w:rsid w:val="00EB653C"/>
    <w:rsid w:val="00EB6638"/>
    <w:rsid w:val="00EB6A15"/>
    <w:rsid w:val="00EB6A7D"/>
    <w:rsid w:val="00EB6F00"/>
    <w:rsid w:val="00EB7556"/>
    <w:rsid w:val="00EB76E3"/>
    <w:rsid w:val="00EB7745"/>
    <w:rsid w:val="00EB7C99"/>
    <w:rsid w:val="00EB7D7B"/>
    <w:rsid w:val="00EB7DAB"/>
    <w:rsid w:val="00EC04C4"/>
    <w:rsid w:val="00EC062E"/>
    <w:rsid w:val="00EC0FD8"/>
    <w:rsid w:val="00EC1030"/>
    <w:rsid w:val="00EC1160"/>
    <w:rsid w:val="00EC119C"/>
    <w:rsid w:val="00EC11AF"/>
    <w:rsid w:val="00EC1243"/>
    <w:rsid w:val="00EC12D6"/>
    <w:rsid w:val="00EC136E"/>
    <w:rsid w:val="00EC147B"/>
    <w:rsid w:val="00EC1B79"/>
    <w:rsid w:val="00EC1BEC"/>
    <w:rsid w:val="00EC1BEF"/>
    <w:rsid w:val="00EC1C46"/>
    <w:rsid w:val="00EC1E46"/>
    <w:rsid w:val="00EC2081"/>
    <w:rsid w:val="00EC211D"/>
    <w:rsid w:val="00EC2487"/>
    <w:rsid w:val="00EC27DD"/>
    <w:rsid w:val="00EC2BF1"/>
    <w:rsid w:val="00EC2E9E"/>
    <w:rsid w:val="00EC35D5"/>
    <w:rsid w:val="00EC3BB4"/>
    <w:rsid w:val="00EC3E03"/>
    <w:rsid w:val="00EC444A"/>
    <w:rsid w:val="00EC48A7"/>
    <w:rsid w:val="00EC4B5C"/>
    <w:rsid w:val="00EC4EAF"/>
    <w:rsid w:val="00EC4FF2"/>
    <w:rsid w:val="00EC5350"/>
    <w:rsid w:val="00EC549A"/>
    <w:rsid w:val="00EC55DC"/>
    <w:rsid w:val="00EC5AED"/>
    <w:rsid w:val="00EC5B3A"/>
    <w:rsid w:val="00EC5DF8"/>
    <w:rsid w:val="00EC61CA"/>
    <w:rsid w:val="00EC6729"/>
    <w:rsid w:val="00EC696A"/>
    <w:rsid w:val="00EC70EC"/>
    <w:rsid w:val="00EC7539"/>
    <w:rsid w:val="00EC7FA1"/>
    <w:rsid w:val="00ED0289"/>
    <w:rsid w:val="00ED05F8"/>
    <w:rsid w:val="00ED06C9"/>
    <w:rsid w:val="00ED08D5"/>
    <w:rsid w:val="00ED0E3E"/>
    <w:rsid w:val="00ED14B5"/>
    <w:rsid w:val="00ED15D3"/>
    <w:rsid w:val="00ED1A4C"/>
    <w:rsid w:val="00ED2129"/>
    <w:rsid w:val="00ED217C"/>
    <w:rsid w:val="00ED229A"/>
    <w:rsid w:val="00ED229B"/>
    <w:rsid w:val="00ED238A"/>
    <w:rsid w:val="00ED256C"/>
    <w:rsid w:val="00ED2F1D"/>
    <w:rsid w:val="00ED31E0"/>
    <w:rsid w:val="00ED34D9"/>
    <w:rsid w:val="00ED358F"/>
    <w:rsid w:val="00ED3B83"/>
    <w:rsid w:val="00ED3E08"/>
    <w:rsid w:val="00ED42B6"/>
    <w:rsid w:val="00ED45A1"/>
    <w:rsid w:val="00ED45FF"/>
    <w:rsid w:val="00ED47EE"/>
    <w:rsid w:val="00ED4A13"/>
    <w:rsid w:val="00ED4A94"/>
    <w:rsid w:val="00ED4CA5"/>
    <w:rsid w:val="00ED4CB0"/>
    <w:rsid w:val="00ED4D07"/>
    <w:rsid w:val="00ED4D41"/>
    <w:rsid w:val="00ED4D55"/>
    <w:rsid w:val="00ED4DCB"/>
    <w:rsid w:val="00ED4F46"/>
    <w:rsid w:val="00ED52DB"/>
    <w:rsid w:val="00ED531E"/>
    <w:rsid w:val="00ED556F"/>
    <w:rsid w:val="00ED55AF"/>
    <w:rsid w:val="00ED57FE"/>
    <w:rsid w:val="00ED5A9D"/>
    <w:rsid w:val="00ED5BDA"/>
    <w:rsid w:val="00ED5BFC"/>
    <w:rsid w:val="00ED60C8"/>
    <w:rsid w:val="00ED63B6"/>
    <w:rsid w:val="00ED64E7"/>
    <w:rsid w:val="00ED69C6"/>
    <w:rsid w:val="00ED6B9E"/>
    <w:rsid w:val="00ED6CDC"/>
    <w:rsid w:val="00ED77DA"/>
    <w:rsid w:val="00ED798D"/>
    <w:rsid w:val="00ED7B3F"/>
    <w:rsid w:val="00ED7C32"/>
    <w:rsid w:val="00ED7C90"/>
    <w:rsid w:val="00ED7FEE"/>
    <w:rsid w:val="00EE0088"/>
    <w:rsid w:val="00EE080B"/>
    <w:rsid w:val="00EE0953"/>
    <w:rsid w:val="00EE0A2F"/>
    <w:rsid w:val="00EE0AD5"/>
    <w:rsid w:val="00EE0B36"/>
    <w:rsid w:val="00EE0D72"/>
    <w:rsid w:val="00EE13C4"/>
    <w:rsid w:val="00EE18E4"/>
    <w:rsid w:val="00EE1B05"/>
    <w:rsid w:val="00EE1C7C"/>
    <w:rsid w:val="00EE1C83"/>
    <w:rsid w:val="00EE1C8A"/>
    <w:rsid w:val="00EE1D92"/>
    <w:rsid w:val="00EE240B"/>
    <w:rsid w:val="00EE2487"/>
    <w:rsid w:val="00EE27D2"/>
    <w:rsid w:val="00EE2FB9"/>
    <w:rsid w:val="00EE33E3"/>
    <w:rsid w:val="00EE3491"/>
    <w:rsid w:val="00EE356D"/>
    <w:rsid w:val="00EE35D8"/>
    <w:rsid w:val="00EE4202"/>
    <w:rsid w:val="00EE444B"/>
    <w:rsid w:val="00EE4645"/>
    <w:rsid w:val="00EE46B9"/>
    <w:rsid w:val="00EE47CA"/>
    <w:rsid w:val="00EE5453"/>
    <w:rsid w:val="00EE5993"/>
    <w:rsid w:val="00EE63C1"/>
    <w:rsid w:val="00EE650F"/>
    <w:rsid w:val="00EE655D"/>
    <w:rsid w:val="00EE6636"/>
    <w:rsid w:val="00EE68CB"/>
    <w:rsid w:val="00EE6A76"/>
    <w:rsid w:val="00EE6B97"/>
    <w:rsid w:val="00EE6BFD"/>
    <w:rsid w:val="00EE6DD0"/>
    <w:rsid w:val="00EE7024"/>
    <w:rsid w:val="00EE70D7"/>
    <w:rsid w:val="00EE7A55"/>
    <w:rsid w:val="00EE7AD6"/>
    <w:rsid w:val="00EF01D9"/>
    <w:rsid w:val="00EF02E7"/>
    <w:rsid w:val="00EF0310"/>
    <w:rsid w:val="00EF059C"/>
    <w:rsid w:val="00EF087A"/>
    <w:rsid w:val="00EF0F3B"/>
    <w:rsid w:val="00EF10A2"/>
    <w:rsid w:val="00EF1109"/>
    <w:rsid w:val="00EF1418"/>
    <w:rsid w:val="00EF14BA"/>
    <w:rsid w:val="00EF1931"/>
    <w:rsid w:val="00EF1B52"/>
    <w:rsid w:val="00EF1CA6"/>
    <w:rsid w:val="00EF1CF1"/>
    <w:rsid w:val="00EF1DF7"/>
    <w:rsid w:val="00EF248F"/>
    <w:rsid w:val="00EF2878"/>
    <w:rsid w:val="00EF2AD1"/>
    <w:rsid w:val="00EF2C6B"/>
    <w:rsid w:val="00EF2CCE"/>
    <w:rsid w:val="00EF2F08"/>
    <w:rsid w:val="00EF329E"/>
    <w:rsid w:val="00EF32C3"/>
    <w:rsid w:val="00EF3BA9"/>
    <w:rsid w:val="00EF3BBC"/>
    <w:rsid w:val="00EF3D81"/>
    <w:rsid w:val="00EF4367"/>
    <w:rsid w:val="00EF4AEF"/>
    <w:rsid w:val="00EF4BAC"/>
    <w:rsid w:val="00EF4C89"/>
    <w:rsid w:val="00EF5252"/>
    <w:rsid w:val="00EF5332"/>
    <w:rsid w:val="00EF5842"/>
    <w:rsid w:val="00EF59BF"/>
    <w:rsid w:val="00EF5AC5"/>
    <w:rsid w:val="00EF5DE9"/>
    <w:rsid w:val="00EF63F3"/>
    <w:rsid w:val="00EF6607"/>
    <w:rsid w:val="00EF68E7"/>
    <w:rsid w:val="00EF699C"/>
    <w:rsid w:val="00EF69E4"/>
    <w:rsid w:val="00EF6B2E"/>
    <w:rsid w:val="00EF6B6D"/>
    <w:rsid w:val="00EF732F"/>
    <w:rsid w:val="00EF7371"/>
    <w:rsid w:val="00EF757D"/>
    <w:rsid w:val="00EF77C1"/>
    <w:rsid w:val="00EF781F"/>
    <w:rsid w:val="00EF7A4B"/>
    <w:rsid w:val="00F003D0"/>
    <w:rsid w:val="00F00A1E"/>
    <w:rsid w:val="00F00AC5"/>
    <w:rsid w:val="00F00AEB"/>
    <w:rsid w:val="00F016EE"/>
    <w:rsid w:val="00F0180C"/>
    <w:rsid w:val="00F0202C"/>
    <w:rsid w:val="00F02618"/>
    <w:rsid w:val="00F02B8A"/>
    <w:rsid w:val="00F02BC5"/>
    <w:rsid w:val="00F02CFE"/>
    <w:rsid w:val="00F02D00"/>
    <w:rsid w:val="00F033CE"/>
    <w:rsid w:val="00F034DD"/>
    <w:rsid w:val="00F035B9"/>
    <w:rsid w:val="00F03900"/>
    <w:rsid w:val="00F0392C"/>
    <w:rsid w:val="00F03B95"/>
    <w:rsid w:val="00F04048"/>
    <w:rsid w:val="00F0456E"/>
    <w:rsid w:val="00F047A1"/>
    <w:rsid w:val="00F04DCA"/>
    <w:rsid w:val="00F04F7D"/>
    <w:rsid w:val="00F05407"/>
    <w:rsid w:val="00F054A1"/>
    <w:rsid w:val="00F05758"/>
    <w:rsid w:val="00F059BD"/>
    <w:rsid w:val="00F05AB6"/>
    <w:rsid w:val="00F05C5A"/>
    <w:rsid w:val="00F05DB1"/>
    <w:rsid w:val="00F05E1E"/>
    <w:rsid w:val="00F05E5C"/>
    <w:rsid w:val="00F060DB"/>
    <w:rsid w:val="00F062F1"/>
    <w:rsid w:val="00F0630A"/>
    <w:rsid w:val="00F06353"/>
    <w:rsid w:val="00F066F9"/>
    <w:rsid w:val="00F068C5"/>
    <w:rsid w:val="00F06CBC"/>
    <w:rsid w:val="00F06CF8"/>
    <w:rsid w:val="00F06EA1"/>
    <w:rsid w:val="00F06F4E"/>
    <w:rsid w:val="00F074FC"/>
    <w:rsid w:val="00F0757F"/>
    <w:rsid w:val="00F07B8A"/>
    <w:rsid w:val="00F07F26"/>
    <w:rsid w:val="00F10089"/>
    <w:rsid w:val="00F103E8"/>
    <w:rsid w:val="00F105F7"/>
    <w:rsid w:val="00F106E4"/>
    <w:rsid w:val="00F10A31"/>
    <w:rsid w:val="00F10A47"/>
    <w:rsid w:val="00F10AA1"/>
    <w:rsid w:val="00F10EB6"/>
    <w:rsid w:val="00F110EF"/>
    <w:rsid w:val="00F1153F"/>
    <w:rsid w:val="00F11627"/>
    <w:rsid w:val="00F1179A"/>
    <w:rsid w:val="00F11E56"/>
    <w:rsid w:val="00F122CE"/>
    <w:rsid w:val="00F122D2"/>
    <w:rsid w:val="00F1294C"/>
    <w:rsid w:val="00F12C81"/>
    <w:rsid w:val="00F12E9C"/>
    <w:rsid w:val="00F12F73"/>
    <w:rsid w:val="00F1388A"/>
    <w:rsid w:val="00F13930"/>
    <w:rsid w:val="00F1393A"/>
    <w:rsid w:val="00F13CBE"/>
    <w:rsid w:val="00F13E05"/>
    <w:rsid w:val="00F13FAB"/>
    <w:rsid w:val="00F14224"/>
    <w:rsid w:val="00F14225"/>
    <w:rsid w:val="00F143B1"/>
    <w:rsid w:val="00F14846"/>
    <w:rsid w:val="00F148F7"/>
    <w:rsid w:val="00F14A4B"/>
    <w:rsid w:val="00F14AA7"/>
    <w:rsid w:val="00F14E02"/>
    <w:rsid w:val="00F154D2"/>
    <w:rsid w:val="00F15A61"/>
    <w:rsid w:val="00F15E16"/>
    <w:rsid w:val="00F1634F"/>
    <w:rsid w:val="00F163CA"/>
    <w:rsid w:val="00F1683F"/>
    <w:rsid w:val="00F16B0C"/>
    <w:rsid w:val="00F16E7E"/>
    <w:rsid w:val="00F170D5"/>
    <w:rsid w:val="00F170E3"/>
    <w:rsid w:val="00F17768"/>
    <w:rsid w:val="00F17847"/>
    <w:rsid w:val="00F17952"/>
    <w:rsid w:val="00F179DD"/>
    <w:rsid w:val="00F17A40"/>
    <w:rsid w:val="00F17F1E"/>
    <w:rsid w:val="00F17FB6"/>
    <w:rsid w:val="00F209F0"/>
    <w:rsid w:val="00F20A68"/>
    <w:rsid w:val="00F20A78"/>
    <w:rsid w:val="00F20DBA"/>
    <w:rsid w:val="00F21257"/>
    <w:rsid w:val="00F21886"/>
    <w:rsid w:val="00F219E2"/>
    <w:rsid w:val="00F21B3E"/>
    <w:rsid w:val="00F21D1F"/>
    <w:rsid w:val="00F222C0"/>
    <w:rsid w:val="00F22880"/>
    <w:rsid w:val="00F228A9"/>
    <w:rsid w:val="00F22922"/>
    <w:rsid w:val="00F22A79"/>
    <w:rsid w:val="00F22D7B"/>
    <w:rsid w:val="00F23054"/>
    <w:rsid w:val="00F2306C"/>
    <w:rsid w:val="00F23264"/>
    <w:rsid w:val="00F232EC"/>
    <w:rsid w:val="00F2333F"/>
    <w:rsid w:val="00F233B8"/>
    <w:rsid w:val="00F234CF"/>
    <w:rsid w:val="00F23594"/>
    <w:rsid w:val="00F2379B"/>
    <w:rsid w:val="00F23973"/>
    <w:rsid w:val="00F23C9F"/>
    <w:rsid w:val="00F23E96"/>
    <w:rsid w:val="00F24450"/>
    <w:rsid w:val="00F2464A"/>
    <w:rsid w:val="00F2489F"/>
    <w:rsid w:val="00F24D3F"/>
    <w:rsid w:val="00F252EB"/>
    <w:rsid w:val="00F25305"/>
    <w:rsid w:val="00F2573D"/>
    <w:rsid w:val="00F25957"/>
    <w:rsid w:val="00F25DB8"/>
    <w:rsid w:val="00F2640A"/>
    <w:rsid w:val="00F264D3"/>
    <w:rsid w:val="00F2697E"/>
    <w:rsid w:val="00F26C79"/>
    <w:rsid w:val="00F26FDC"/>
    <w:rsid w:val="00F27309"/>
    <w:rsid w:val="00F277F9"/>
    <w:rsid w:val="00F2788A"/>
    <w:rsid w:val="00F278FB"/>
    <w:rsid w:val="00F27AFD"/>
    <w:rsid w:val="00F27C88"/>
    <w:rsid w:val="00F27D5F"/>
    <w:rsid w:val="00F30A09"/>
    <w:rsid w:val="00F30E90"/>
    <w:rsid w:val="00F3157D"/>
    <w:rsid w:val="00F319DC"/>
    <w:rsid w:val="00F31A27"/>
    <w:rsid w:val="00F31FF4"/>
    <w:rsid w:val="00F321E9"/>
    <w:rsid w:val="00F32282"/>
    <w:rsid w:val="00F324C4"/>
    <w:rsid w:val="00F3253C"/>
    <w:rsid w:val="00F325CA"/>
    <w:rsid w:val="00F3260E"/>
    <w:rsid w:val="00F32787"/>
    <w:rsid w:val="00F328D5"/>
    <w:rsid w:val="00F333C5"/>
    <w:rsid w:val="00F335E1"/>
    <w:rsid w:val="00F3371A"/>
    <w:rsid w:val="00F33B33"/>
    <w:rsid w:val="00F33FC5"/>
    <w:rsid w:val="00F34273"/>
    <w:rsid w:val="00F346B4"/>
    <w:rsid w:val="00F34771"/>
    <w:rsid w:val="00F34A91"/>
    <w:rsid w:val="00F34BD9"/>
    <w:rsid w:val="00F35A1C"/>
    <w:rsid w:val="00F35C20"/>
    <w:rsid w:val="00F35F17"/>
    <w:rsid w:val="00F3630C"/>
    <w:rsid w:val="00F365A3"/>
    <w:rsid w:val="00F365D9"/>
    <w:rsid w:val="00F3689E"/>
    <w:rsid w:val="00F36A2D"/>
    <w:rsid w:val="00F36DEA"/>
    <w:rsid w:val="00F36E12"/>
    <w:rsid w:val="00F376F9"/>
    <w:rsid w:val="00F376FE"/>
    <w:rsid w:val="00F37827"/>
    <w:rsid w:val="00F379AC"/>
    <w:rsid w:val="00F40048"/>
    <w:rsid w:val="00F403AB"/>
    <w:rsid w:val="00F40887"/>
    <w:rsid w:val="00F40C79"/>
    <w:rsid w:val="00F40CC4"/>
    <w:rsid w:val="00F4113F"/>
    <w:rsid w:val="00F412A4"/>
    <w:rsid w:val="00F413B4"/>
    <w:rsid w:val="00F413BC"/>
    <w:rsid w:val="00F416F7"/>
    <w:rsid w:val="00F41866"/>
    <w:rsid w:val="00F418B8"/>
    <w:rsid w:val="00F41954"/>
    <w:rsid w:val="00F41AC9"/>
    <w:rsid w:val="00F41C0B"/>
    <w:rsid w:val="00F41C67"/>
    <w:rsid w:val="00F41C93"/>
    <w:rsid w:val="00F4265E"/>
    <w:rsid w:val="00F426C7"/>
    <w:rsid w:val="00F42A4A"/>
    <w:rsid w:val="00F431BC"/>
    <w:rsid w:val="00F4339F"/>
    <w:rsid w:val="00F438EF"/>
    <w:rsid w:val="00F43A96"/>
    <w:rsid w:val="00F43C20"/>
    <w:rsid w:val="00F43C7E"/>
    <w:rsid w:val="00F43F7B"/>
    <w:rsid w:val="00F44007"/>
    <w:rsid w:val="00F441A9"/>
    <w:rsid w:val="00F44767"/>
    <w:rsid w:val="00F44778"/>
    <w:rsid w:val="00F4486D"/>
    <w:rsid w:val="00F44C1A"/>
    <w:rsid w:val="00F44D89"/>
    <w:rsid w:val="00F44E64"/>
    <w:rsid w:val="00F44E6B"/>
    <w:rsid w:val="00F44E6E"/>
    <w:rsid w:val="00F44F52"/>
    <w:rsid w:val="00F458D5"/>
    <w:rsid w:val="00F45BD9"/>
    <w:rsid w:val="00F45E9C"/>
    <w:rsid w:val="00F4631A"/>
    <w:rsid w:val="00F4641E"/>
    <w:rsid w:val="00F465BA"/>
    <w:rsid w:val="00F46855"/>
    <w:rsid w:val="00F46AFD"/>
    <w:rsid w:val="00F47009"/>
    <w:rsid w:val="00F478B4"/>
    <w:rsid w:val="00F505A1"/>
    <w:rsid w:val="00F505BE"/>
    <w:rsid w:val="00F50A5C"/>
    <w:rsid w:val="00F50A84"/>
    <w:rsid w:val="00F50E06"/>
    <w:rsid w:val="00F50EED"/>
    <w:rsid w:val="00F511AF"/>
    <w:rsid w:val="00F51519"/>
    <w:rsid w:val="00F51694"/>
    <w:rsid w:val="00F51809"/>
    <w:rsid w:val="00F51894"/>
    <w:rsid w:val="00F51A10"/>
    <w:rsid w:val="00F51BAC"/>
    <w:rsid w:val="00F51C2F"/>
    <w:rsid w:val="00F522AD"/>
    <w:rsid w:val="00F52402"/>
    <w:rsid w:val="00F52451"/>
    <w:rsid w:val="00F52494"/>
    <w:rsid w:val="00F52C6B"/>
    <w:rsid w:val="00F52DF0"/>
    <w:rsid w:val="00F535A1"/>
    <w:rsid w:val="00F537BA"/>
    <w:rsid w:val="00F5385C"/>
    <w:rsid w:val="00F53ACD"/>
    <w:rsid w:val="00F53BAF"/>
    <w:rsid w:val="00F542C3"/>
    <w:rsid w:val="00F5434A"/>
    <w:rsid w:val="00F5488E"/>
    <w:rsid w:val="00F54931"/>
    <w:rsid w:val="00F551EC"/>
    <w:rsid w:val="00F5521E"/>
    <w:rsid w:val="00F55273"/>
    <w:rsid w:val="00F55BEC"/>
    <w:rsid w:val="00F55E2D"/>
    <w:rsid w:val="00F560CA"/>
    <w:rsid w:val="00F56336"/>
    <w:rsid w:val="00F56446"/>
    <w:rsid w:val="00F568D0"/>
    <w:rsid w:val="00F56B8C"/>
    <w:rsid w:val="00F56C0B"/>
    <w:rsid w:val="00F56D40"/>
    <w:rsid w:val="00F56E7C"/>
    <w:rsid w:val="00F56EA1"/>
    <w:rsid w:val="00F57039"/>
    <w:rsid w:val="00F57093"/>
    <w:rsid w:val="00F57429"/>
    <w:rsid w:val="00F5743A"/>
    <w:rsid w:val="00F57A03"/>
    <w:rsid w:val="00F57A23"/>
    <w:rsid w:val="00F57DA2"/>
    <w:rsid w:val="00F57E93"/>
    <w:rsid w:val="00F57F6E"/>
    <w:rsid w:val="00F6015D"/>
    <w:rsid w:val="00F60525"/>
    <w:rsid w:val="00F6063E"/>
    <w:rsid w:val="00F6077D"/>
    <w:rsid w:val="00F609EA"/>
    <w:rsid w:val="00F60A2B"/>
    <w:rsid w:val="00F60B8E"/>
    <w:rsid w:val="00F60F5F"/>
    <w:rsid w:val="00F61260"/>
    <w:rsid w:val="00F614A2"/>
    <w:rsid w:val="00F61735"/>
    <w:rsid w:val="00F617C8"/>
    <w:rsid w:val="00F61A0A"/>
    <w:rsid w:val="00F62417"/>
    <w:rsid w:val="00F6270B"/>
    <w:rsid w:val="00F628A3"/>
    <w:rsid w:val="00F62D6D"/>
    <w:rsid w:val="00F62ED6"/>
    <w:rsid w:val="00F63421"/>
    <w:rsid w:val="00F63514"/>
    <w:rsid w:val="00F638FA"/>
    <w:rsid w:val="00F63D01"/>
    <w:rsid w:val="00F64349"/>
    <w:rsid w:val="00F643D2"/>
    <w:rsid w:val="00F6463E"/>
    <w:rsid w:val="00F646AF"/>
    <w:rsid w:val="00F648C8"/>
    <w:rsid w:val="00F64A28"/>
    <w:rsid w:val="00F64B8A"/>
    <w:rsid w:val="00F64EBC"/>
    <w:rsid w:val="00F6518B"/>
    <w:rsid w:val="00F65424"/>
    <w:rsid w:val="00F6556E"/>
    <w:rsid w:val="00F655DF"/>
    <w:rsid w:val="00F6561E"/>
    <w:rsid w:val="00F65837"/>
    <w:rsid w:val="00F65933"/>
    <w:rsid w:val="00F659B3"/>
    <w:rsid w:val="00F659C2"/>
    <w:rsid w:val="00F65A81"/>
    <w:rsid w:val="00F65D87"/>
    <w:rsid w:val="00F66B1D"/>
    <w:rsid w:val="00F66E03"/>
    <w:rsid w:val="00F66F30"/>
    <w:rsid w:val="00F67189"/>
    <w:rsid w:val="00F67302"/>
    <w:rsid w:val="00F6731C"/>
    <w:rsid w:val="00F6742C"/>
    <w:rsid w:val="00F6745B"/>
    <w:rsid w:val="00F67A40"/>
    <w:rsid w:val="00F70004"/>
    <w:rsid w:val="00F702AD"/>
    <w:rsid w:val="00F7048C"/>
    <w:rsid w:val="00F70581"/>
    <w:rsid w:val="00F7085A"/>
    <w:rsid w:val="00F70DB2"/>
    <w:rsid w:val="00F70E7B"/>
    <w:rsid w:val="00F7138A"/>
    <w:rsid w:val="00F714B8"/>
    <w:rsid w:val="00F714DC"/>
    <w:rsid w:val="00F7150C"/>
    <w:rsid w:val="00F71B14"/>
    <w:rsid w:val="00F71EA8"/>
    <w:rsid w:val="00F72055"/>
    <w:rsid w:val="00F722E8"/>
    <w:rsid w:val="00F724E8"/>
    <w:rsid w:val="00F7253B"/>
    <w:rsid w:val="00F7298E"/>
    <w:rsid w:val="00F72A4A"/>
    <w:rsid w:val="00F72B39"/>
    <w:rsid w:val="00F72BD9"/>
    <w:rsid w:val="00F72FB2"/>
    <w:rsid w:val="00F731BB"/>
    <w:rsid w:val="00F7341F"/>
    <w:rsid w:val="00F73648"/>
    <w:rsid w:val="00F73720"/>
    <w:rsid w:val="00F7377E"/>
    <w:rsid w:val="00F7397D"/>
    <w:rsid w:val="00F739CF"/>
    <w:rsid w:val="00F7402E"/>
    <w:rsid w:val="00F741C5"/>
    <w:rsid w:val="00F742F7"/>
    <w:rsid w:val="00F744FF"/>
    <w:rsid w:val="00F7474B"/>
    <w:rsid w:val="00F75104"/>
    <w:rsid w:val="00F75747"/>
    <w:rsid w:val="00F7599D"/>
    <w:rsid w:val="00F759C8"/>
    <w:rsid w:val="00F75DA7"/>
    <w:rsid w:val="00F76050"/>
    <w:rsid w:val="00F76318"/>
    <w:rsid w:val="00F766B6"/>
    <w:rsid w:val="00F767B5"/>
    <w:rsid w:val="00F767CD"/>
    <w:rsid w:val="00F7687F"/>
    <w:rsid w:val="00F76D43"/>
    <w:rsid w:val="00F771B3"/>
    <w:rsid w:val="00F77917"/>
    <w:rsid w:val="00F80004"/>
    <w:rsid w:val="00F803E6"/>
    <w:rsid w:val="00F80B16"/>
    <w:rsid w:val="00F80B7A"/>
    <w:rsid w:val="00F80E21"/>
    <w:rsid w:val="00F811AA"/>
    <w:rsid w:val="00F81684"/>
    <w:rsid w:val="00F8174F"/>
    <w:rsid w:val="00F817D2"/>
    <w:rsid w:val="00F81C06"/>
    <w:rsid w:val="00F82196"/>
    <w:rsid w:val="00F82209"/>
    <w:rsid w:val="00F823FE"/>
    <w:rsid w:val="00F82698"/>
    <w:rsid w:val="00F82A7A"/>
    <w:rsid w:val="00F82ADD"/>
    <w:rsid w:val="00F82B5D"/>
    <w:rsid w:val="00F835B1"/>
    <w:rsid w:val="00F83614"/>
    <w:rsid w:val="00F8371A"/>
    <w:rsid w:val="00F83EF0"/>
    <w:rsid w:val="00F840BE"/>
    <w:rsid w:val="00F849E5"/>
    <w:rsid w:val="00F84ACE"/>
    <w:rsid w:val="00F84D02"/>
    <w:rsid w:val="00F850EB"/>
    <w:rsid w:val="00F85415"/>
    <w:rsid w:val="00F854B4"/>
    <w:rsid w:val="00F85659"/>
    <w:rsid w:val="00F856D1"/>
    <w:rsid w:val="00F85CC4"/>
    <w:rsid w:val="00F85E28"/>
    <w:rsid w:val="00F8609E"/>
    <w:rsid w:val="00F864B8"/>
    <w:rsid w:val="00F86E7E"/>
    <w:rsid w:val="00F87549"/>
    <w:rsid w:val="00F876B2"/>
    <w:rsid w:val="00F876F0"/>
    <w:rsid w:val="00F8777F"/>
    <w:rsid w:val="00F87A78"/>
    <w:rsid w:val="00F87C18"/>
    <w:rsid w:val="00F87F8F"/>
    <w:rsid w:val="00F904ED"/>
    <w:rsid w:val="00F90A85"/>
    <w:rsid w:val="00F91110"/>
    <w:rsid w:val="00F915D1"/>
    <w:rsid w:val="00F91843"/>
    <w:rsid w:val="00F918C0"/>
    <w:rsid w:val="00F91AF4"/>
    <w:rsid w:val="00F91B65"/>
    <w:rsid w:val="00F91BAC"/>
    <w:rsid w:val="00F91C57"/>
    <w:rsid w:val="00F91CA0"/>
    <w:rsid w:val="00F91FED"/>
    <w:rsid w:val="00F9206F"/>
    <w:rsid w:val="00F921CB"/>
    <w:rsid w:val="00F922F9"/>
    <w:rsid w:val="00F929DD"/>
    <w:rsid w:val="00F92E51"/>
    <w:rsid w:val="00F92E94"/>
    <w:rsid w:val="00F92EEF"/>
    <w:rsid w:val="00F93572"/>
    <w:rsid w:val="00F9375F"/>
    <w:rsid w:val="00F93911"/>
    <w:rsid w:val="00F93D29"/>
    <w:rsid w:val="00F9420E"/>
    <w:rsid w:val="00F94450"/>
    <w:rsid w:val="00F94A59"/>
    <w:rsid w:val="00F94C29"/>
    <w:rsid w:val="00F94EAA"/>
    <w:rsid w:val="00F95509"/>
    <w:rsid w:val="00F957F5"/>
    <w:rsid w:val="00F95A11"/>
    <w:rsid w:val="00F95BC9"/>
    <w:rsid w:val="00F9628A"/>
    <w:rsid w:val="00F963A4"/>
    <w:rsid w:val="00F963F6"/>
    <w:rsid w:val="00F96BC2"/>
    <w:rsid w:val="00F96E07"/>
    <w:rsid w:val="00F971E6"/>
    <w:rsid w:val="00F9746D"/>
    <w:rsid w:val="00F97498"/>
    <w:rsid w:val="00F97AC5"/>
    <w:rsid w:val="00F97B00"/>
    <w:rsid w:val="00FA0722"/>
    <w:rsid w:val="00FA09DA"/>
    <w:rsid w:val="00FA0D20"/>
    <w:rsid w:val="00FA0E32"/>
    <w:rsid w:val="00FA1502"/>
    <w:rsid w:val="00FA15D1"/>
    <w:rsid w:val="00FA161A"/>
    <w:rsid w:val="00FA16ED"/>
    <w:rsid w:val="00FA1A0E"/>
    <w:rsid w:val="00FA1BB9"/>
    <w:rsid w:val="00FA1D4D"/>
    <w:rsid w:val="00FA1DAD"/>
    <w:rsid w:val="00FA2257"/>
    <w:rsid w:val="00FA22C8"/>
    <w:rsid w:val="00FA22DD"/>
    <w:rsid w:val="00FA251C"/>
    <w:rsid w:val="00FA2530"/>
    <w:rsid w:val="00FA2541"/>
    <w:rsid w:val="00FA261F"/>
    <w:rsid w:val="00FA2766"/>
    <w:rsid w:val="00FA2927"/>
    <w:rsid w:val="00FA29E9"/>
    <w:rsid w:val="00FA32F6"/>
    <w:rsid w:val="00FA3E51"/>
    <w:rsid w:val="00FA4629"/>
    <w:rsid w:val="00FA4A94"/>
    <w:rsid w:val="00FA4EC3"/>
    <w:rsid w:val="00FA4FE3"/>
    <w:rsid w:val="00FA51B1"/>
    <w:rsid w:val="00FA568B"/>
    <w:rsid w:val="00FA56AC"/>
    <w:rsid w:val="00FA576A"/>
    <w:rsid w:val="00FA5789"/>
    <w:rsid w:val="00FA57CB"/>
    <w:rsid w:val="00FA5808"/>
    <w:rsid w:val="00FA5AA2"/>
    <w:rsid w:val="00FA5ACF"/>
    <w:rsid w:val="00FA5BD9"/>
    <w:rsid w:val="00FA5D93"/>
    <w:rsid w:val="00FA5DC8"/>
    <w:rsid w:val="00FA5DDA"/>
    <w:rsid w:val="00FA6361"/>
    <w:rsid w:val="00FA643B"/>
    <w:rsid w:val="00FA6644"/>
    <w:rsid w:val="00FA674B"/>
    <w:rsid w:val="00FA68B1"/>
    <w:rsid w:val="00FA68C2"/>
    <w:rsid w:val="00FA6C39"/>
    <w:rsid w:val="00FA713E"/>
    <w:rsid w:val="00FA74F5"/>
    <w:rsid w:val="00FA7825"/>
    <w:rsid w:val="00FA78EB"/>
    <w:rsid w:val="00FA7A2A"/>
    <w:rsid w:val="00FA7A39"/>
    <w:rsid w:val="00FA7C31"/>
    <w:rsid w:val="00FA7CFB"/>
    <w:rsid w:val="00FA7CFD"/>
    <w:rsid w:val="00FA7E53"/>
    <w:rsid w:val="00FB00C2"/>
    <w:rsid w:val="00FB06C4"/>
    <w:rsid w:val="00FB06D3"/>
    <w:rsid w:val="00FB070A"/>
    <w:rsid w:val="00FB0843"/>
    <w:rsid w:val="00FB0B7B"/>
    <w:rsid w:val="00FB0D72"/>
    <w:rsid w:val="00FB11BB"/>
    <w:rsid w:val="00FB14C2"/>
    <w:rsid w:val="00FB1F04"/>
    <w:rsid w:val="00FB2275"/>
    <w:rsid w:val="00FB2667"/>
    <w:rsid w:val="00FB26C1"/>
    <w:rsid w:val="00FB2840"/>
    <w:rsid w:val="00FB2CAE"/>
    <w:rsid w:val="00FB2CC6"/>
    <w:rsid w:val="00FB3027"/>
    <w:rsid w:val="00FB32C0"/>
    <w:rsid w:val="00FB3399"/>
    <w:rsid w:val="00FB33A2"/>
    <w:rsid w:val="00FB373C"/>
    <w:rsid w:val="00FB394C"/>
    <w:rsid w:val="00FB39E7"/>
    <w:rsid w:val="00FB3B88"/>
    <w:rsid w:val="00FB3CEA"/>
    <w:rsid w:val="00FB3D0C"/>
    <w:rsid w:val="00FB3F6D"/>
    <w:rsid w:val="00FB4250"/>
    <w:rsid w:val="00FB499E"/>
    <w:rsid w:val="00FB4AE3"/>
    <w:rsid w:val="00FB4E8B"/>
    <w:rsid w:val="00FB4EFF"/>
    <w:rsid w:val="00FB524F"/>
    <w:rsid w:val="00FB578E"/>
    <w:rsid w:val="00FB585B"/>
    <w:rsid w:val="00FB5B26"/>
    <w:rsid w:val="00FB5D35"/>
    <w:rsid w:val="00FB617A"/>
    <w:rsid w:val="00FB61CD"/>
    <w:rsid w:val="00FB620A"/>
    <w:rsid w:val="00FB65EC"/>
    <w:rsid w:val="00FB6675"/>
    <w:rsid w:val="00FB6697"/>
    <w:rsid w:val="00FB669A"/>
    <w:rsid w:val="00FB66B9"/>
    <w:rsid w:val="00FB69AF"/>
    <w:rsid w:val="00FB6F06"/>
    <w:rsid w:val="00FB6F17"/>
    <w:rsid w:val="00FB6F37"/>
    <w:rsid w:val="00FB78AD"/>
    <w:rsid w:val="00FB7A2B"/>
    <w:rsid w:val="00FB7A98"/>
    <w:rsid w:val="00FC0066"/>
    <w:rsid w:val="00FC08AA"/>
    <w:rsid w:val="00FC1277"/>
    <w:rsid w:val="00FC12F5"/>
    <w:rsid w:val="00FC1361"/>
    <w:rsid w:val="00FC1697"/>
    <w:rsid w:val="00FC1775"/>
    <w:rsid w:val="00FC1A28"/>
    <w:rsid w:val="00FC1AEA"/>
    <w:rsid w:val="00FC2324"/>
    <w:rsid w:val="00FC28D9"/>
    <w:rsid w:val="00FC2913"/>
    <w:rsid w:val="00FC2AF8"/>
    <w:rsid w:val="00FC2F39"/>
    <w:rsid w:val="00FC2FF5"/>
    <w:rsid w:val="00FC300D"/>
    <w:rsid w:val="00FC31FD"/>
    <w:rsid w:val="00FC32A8"/>
    <w:rsid w:val="00FC33A4"/>
    <w:rsid w:val="00FC3506"/>
    <w:rsid w:val="00FC3A84"/>
    <w:rsid w:val="00FC4349"/>
    <w:rsid w:val="00FC46B1"/>
    <w:rsid w:val="00FC4CC6"/>
    <w:rsid w:val="00FC4DBC"/>
    <w:rsid w:val="00FC4EDA"/>
    <w:rsid w:val="00FC54A2"/>
    <w:rsid w:val="00FC584D"/>
    <w:rsid w:val="00FC58CD"/>
    <w:rsid w:val="00FC5F53"/>
    <w:rsid w:val="00FC5FC4"/>
    <w:rsid w:val="00FC6222"/>
    <w:rsid w:val="00FC64CB"/>
    <w:rsid w:val="00FC64DA"/>
    <w:rsid w:val="00FC6752"/>
    <w:rsid w:val="00FC68A6"/>
    <w:rsid w:val="00FC6CBB"/>
    <w:rsid w:val="00FC6EFC"/>
    <w:rsid w:val="00FC7848"/>
    <w:rsid w:val="00FC7CB8"/>
    <w:rsid w:val="00FC7D13"/>
    <w:rsid w:val="00FC7DD3"/>
    <w:rsid w:val="00FD0112"/>
    <w:rsid w:val="00FD037B"/>
    <w:rsid w:val="00FD0849"/>
    <w:rsid w:val="00FD0E58"/>
    <w:rsid w:val="00FD1114"/>
    <w:rsid w:val="00FD18D2"/>
    <w:rsid w:val="00FD1B8E"/>
    <w:rsid w:val="00FD2070"/>
    <w:rsid w:val="00FD2383"/>
    <w:rsid w:val="00FD284D"/>
    <w:rsid w:val="00FD2B64"/>
    <w:rsid w:val="00FD2DF9"/>
    <w:rsid w:val="00FD324D"/>
    <w:rsid w:val="00FD3457"/>
    <w:rsid w:val="00FD349E"/>
    <w:rsid w:val="00FD3AC3"/>
    <w:rsid w:val="00FD3D9A"/>
    <w:rsid w:val="00FD3DB8"/>
    <w:rsid w:val="00FD42AE"/>
    <w:rsid w:val="00FD4571"/>
    <w:rsid w:val="00FD4F55"/>
    <w:rsid w:val="00FD51A0"/>
    <w:rsid w:val="00FD5269"/>
    <w:rsid w:val="00FD555E"/>
    <w:rsid w:val="00FD5707"/>
    <w:rsid w:val="00FD5E06"/>
    <w:rsid w:val="00FD61DE"/>
    <w:rsid w:val="00FD6448"/>
    <w:rsid w:val="00FD6740"/>
    <w:rsid w:val="00FD6A42"/>
    <w:rsid w:val="00FD6DE9"/>
    <w:rsid w:val="00FD6E72"/>
    <w:rsid w:val="00FD6FCE"/>
    <w:rsid w:val="00FD72E4"/>
    <w:rsid w:val="00FD7B2B"/>
    <w:rsid w:val="00FE0306"/>
    <w:rsid w:val="00FE043B"/>
    <w:rsid w:val="00FE077F"/>
    <w:rsid w:val="00FE0B1C"/>
    <w:rsid w:val="00FE0DD9"/>
    <w:rsid w:val="00FE0DE8"/>
    <w:rsid w:val="00FE0FD2"/>
    <w:rsid w:val="00FE1027"/>
    <w:rsid w:val="00FE10F1"/>
    <w:rsid w:val="00FE1174"/>
    <w:rsid w:val="00FE117F"/>
    <w:rsid w:val="00FE11A5"/>
    <w:rsid w:val="00FE121F"/>
    <w:rsid w:val="00FE13F4"/>
    <w:rsid w:val="00FE1418"/>
    <w:rsid w:val="00FE161C"/>
    <w:rsid w:val="00FE18C2"/>
    <w:rsid w:val="00FE1C7E"/>
    <w:rsid w:val="00FE1E91"/>
    <w:rsid w:val="00FE1EBC"/>
    <w:rsid w:val="00FE1F12"/>
    <w:rsid w:val="00FE1F91"/>
    <w:rsid w:val="00FE21E3"/>
    <w:rsid w:val="00FE243C"/>
    <w:rsid w:val="00FE24F5"/>
    <w:rsid w:val="00FE292D"/>
    <w:rsid w:val="00FE2A95"/>
    <w:rsid w:val="00FE2AA1"/>
    <w:rsid w:val="00FE2B94"/>
    <w:rsid w:val="00FE2CA8"/>
    <w:rsid w:val="00FE2F25"/>
    <w:rsid w:val="00FE3099"/>
    <w:rsid w:val="00FE318C"/>
    <w:rsid w:val="00FE3576"/>
    <w:rsid w:val="00FE3AC1"/>
    <w:rsid w:val="00FE3ED7"/>
    <w:rsid w:val="00FE3EE9"/>
    <w:rsid w:val="00FE3EED"/>
    <w:rsid w:val="00FE3FC1"/>
    <w:rsid w:val="00FE4F5E"/>
    <w:rsid w:val="00FE52A0"/>
    <w:rsid w:val="00FE540F"/>
    <w:rsid w:val="00FE599C"/>
    <w:rsid w:val="00FE59B5"/>
    <w:rsid w:val="00FE5A72"/>
    <w:rsid w:val="00FE5B35"/>
    <w:rsid w:val="00FE5BF4"/>
    <w:rsid w:val="00FE5C77"/>
    <w:rsid w:val="00FE5CDF"/>
    <w:rsid w:val="00FE5F3E"/>
    <w:rsid w:val="00FE5F40"/>
    <w:rsid w:val="00FE623C"/>
    <w:rsid w:val="00FE6901"/>
    <w:rsid w:val="00FE6C68"/>
    <w:rsid w:val="00FE724F"/>
    <w:rsid w:val="00FE7288"/>
    <w:rsid w:val="00FE7574"/>
    <w:rsid w:val="00FE77C3"/>
    <w:rsid w:val="00FE79AB"/>
    <w:rsid w:val="00FF0229"/>
    <w:rsid w:val="00FF0416"/>
    <w:rsid w:val="00FF0985"/>
    <w:rsid w:val="00FF0D46"/>
    <w:rsid w:val="00FF0F55"/>
    <w:rsid w:val="00FF1565"/>
    <w:rsid w:val="00FF1679"/>
    <w:rsid w:val="00FF189C"/>
    <w:rsid w:val="00FF19A6"/>
    <w:rsid w:val="00FF19B7"/>
    <w:rsid w:val="00FF1DF9"/>
    <w:rsid w:val="00FF1FBE"/>
    <w:rsid w:val="00FF2031"/>
    <w:rsid w:val="00FF2228"/>
    <w:rsid w:val="00FF2803"/>
    <w:rsid w:val="00FF2C75"/>
    <w:rsid w:val="00FF2D7E"/>
    <w:rsid w:val="00FF3E7C"/>
    <w:rsid w:val="00FF3FFA"/>
    <w:rsid w:val="00FF43AA"/>
    <w:rsid w:val="00FF43B2"/>
    <w:rsid w:val="00FF466A"/>
    <w:rsid w:val="00FF498F"/>
    <w:rsid w:val="00FF4A22"/>
    <w:rsid w:val="00FF4BF2"/>
    <w:rsid w:val="00FF4C8D"/>
    <w:rsid w:val="00FF4DBA"/>
    <w:rsid w:val="00FF4DE7"/>
    <w:rsid w:val="00FF4E2A"/>
    <w:rsid w:val="00FF4E77"/>
    <w:rsid w:val="00FF50D0"/>
    <w:rsid w:val="00FF5480"/>
    <w:rsid w:val="00FF54A4"/>
    <w:rsid w:val="00FF54EF"/>
    <w:rsid w:val="00FF57E0"/>
    <w:rsid w:val="00FF5C7D"/>
    <w:rsid w:val="00FF5C9F"/>
    <w:rsid w:val="00FF5F39"/>
    <w:rsid w:val="00FF6015"/>
    <w:rsid w:val="00FF605C"/>
    <w:rsid w:val="00FF697F"/>
    <w:rsid w:val="00FF6A38"/>
    <w:rsid w:val="00FF6A8C"/>
    <w:rsid w:val="00FF6A9B"/>
    <w:rsid w:val="00FF6AE3"/>
    <w:rsid w:val="00FF6C96"/>
    <w:rsid w:val="00FF711C"/>
    <w:rsid w:val="00FF7368"/>
    <w:rsid w:val="00FF76C5"/>
    <w:rsid w:val="00FF7A01"/>
    <w:rsid w:val="00FF7ABB"/>
    <w:rsid w:val="00FF7BB5"/>
    <w:rsid w:val="00FF7D3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EA9F9"/>
  <w15:chartTrackingRefBased/>
  <w15:docId w15:val="{FC515060-5F30-4A43-8FD1-52316CDB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99E"/>
    <w:rPr>
      <w:sz w:val="24"/>
      <w:szCs w:val="24"/>
    </w:rPr>
  </w:style>
  <w:style w:type="paragraph" w:styleId="Heading1">
    <w:name w:val="heading 1"/>
    <w:basedOn w:val="Normal"/>
    <w:next w:val="Normal"/>
    <w:link w:val="Heading1Char"/>
    <w:autoRedefine/>
    <w:qFormat/>
    <w:rsid w:val="00FE5CDF"/>
    <w:pPr>
      <w:keepNext/>
      <w:widowControl w:val="0"/>
      <w:shd w:val="clear" w:color="auto" w:fill="DAE9F7" w:themeFill="text2" w:themeFillTint="1A"/>
      <w:spacing w:before="240" w:after="120" w:line="280" w:lineRule="atLeast"/>
      <w:jc w:val="both"/>
      <w:outlineLvl w:val="0"/>
    </w:pPr>
    <w:rPr>
      <w:b/>
      <w:bCs/>
      <w:i/>
      <w:iCs/>
      <w:color w:val="215E99" w:themeColor="text2" w:themeTint="BF"/>
      <w:sz w:val="32"/>
      <w:szCs w:val="32"/>
      <w:lang w:eastAsia="en-US"/>
    </w:rPr>
  </w:style>
  <w:style w:type="paragraph" w:styleId="Heading2">
    <w:name w:val="heading 2"/>
    <w:aliases w:val="Heading 2 Char"/>
    <w:basedOn w:val="Normal"/>
    <w:next w:val="Normal"/>
    <w:qFormat/>
    <w:rsid w:val="00CB5DEA"/>
    <w:pPr>
      <w:keepNext/>
      <w:spacing w:after="280" w:line="280" w:lineRule="atLeast"/>
      <w:outlineLvl w:val="1"/>
    </w:pPr>
    <w:rPr>
      <w:rFonts w:cs="Arial"/>
      <w:bCs/>
      <w:iCs/>
      <w:color w:val="0A55A3"/>
      <w:sz w:val="28"/>
      <w:szCs w:val="28"/>
      <w:lang w:eastAsia="en-US"/>
    </w:rPr>
  </w:style>
  <w:style w:type="paragraph" w:styleId="Heading3">
    <w:name w:val="heading 3"/>
    <w:basedOn w:val="Normal"/>
    <w:next w:val="Normal"/>
    <w:link w:val="Heading3Char"/>
    <w:qFormat/>
    <w:rsid w:val="00CB5DEA"/>
    <w:pPr>
      <w:keepNext/>
      <w:spacing w:after="280" w:line="280" w:lineRule="atLeast"/>
      <w:outlineLvl w:val="2"/>
    </w:pPr>
    <w:rPr>
      <w:bCs/>
      <w:color w:val="0A55A3"/>
      <w:sz w:val="22"/>
      <w:szCs w:val="26"/>
      <w:lang w:val="x-none" w:eastAsia="en-US"/>
    </w:rPr>
  </w:style>
  <w:style w:type="paragraph" w:styleId="Heading4">
    <w:name w:val="heading 4"/>
    <w:basedOn w:val="Normal"/>
    <w:next w:val="Normal"/>
    <w:link w:val="Heading4Char"/>
    <w:qFormat/>
    <w:rsid w:val="00CB5DEA"/>
    <w:pPr>
      <w:keepNext/>
      <w:spacing w:line="280" w:lineRule="atLeast"/>
      <w:outlineLvl w:val="3"/>
    </w:pPr>
    <w:rPr>
      <w:bCs/>
      <w:i/>
      <w:color w:val="0A55A3"/>
      <w:sz w:val="22"/>
      <w:szCs w:val="28"/>
      <w:lang w:val="x-none" w:eastAsia="en-US"/>
    </w:rPr>
  </w:style>
  <w:style w:type="paragraph" w:styleId="Heading5">
    <w:name w:val="heading 5"/>
    <w:basedOn w:val="Normal"/>
    <w:next w:val="Normal"/>
    <w:link w:val="Heading5Char"/>
    <w:qFormat/>
    <w:rsid w:val="00CB5DEA"/>
    <w:pPr>
      <w:keepNext/>
      <w:spacing w:line="280" w:lineRule="atLeast"/>
      <w:jc w:val="both"/>
      <w:outlineLvl w:val="4"/>
    </w:pPr>
    <w:rPr>
      <w:i/>
      <w:sz w:val="22"/>
      <w:lang w:val="en-US" w:eastAsia="en-US"/>
    </w:rPr>
  </w:style>
  <w:style w:type="paragraph" w:styleId="Heading6">
    <w:name w:val="heading 6"/>
    <w:basedOn w:val="Normal"/>
    <w:next w:val="Normal"/>
    <w:link w:val="Heading6Char"/>
    <w:qFormat/>
    <w:rsid w:val="00CB5DEA"/>
    <w:pPr>
      <w:keepNext/>
      <w:jc w:val="both"/>
      <w:outlineLvl w:val="5"/>
    </w:pPr>
    <w:rPr>
      <w:i/>
      <w:lang w:val="en-US" w:eastAsia="en-US"/>
    </w:rPr>
  </w:style>
  <w:style w:type="paragraph" w:styleId="Heading7">
    <w:name w:val="heading 7"/>
    <w:basedOn w:val="Normal"/>
    <w:next w:val="Normal"/>
    <w:link w:val="Heading7Char"/>
    <w:qFormat/>
    <w:rsid w:val="00CB5DEA"/>
    <w:pPr>
      <w:keepNext/>
      <w:spacing w:line="280" w:lineRule="atLeast"/>
      <w:outlineLvl w:val="6"/>
    </w:pPr>
    <w:rPr>
      <w:i/>
      <w:sz w:val="22"/>
      <w:lang w:val="x-none" w:eastAsia="en-US"/>
    </w:rPr>
  </w:style>
  <w:style w:type="paragraph" w:styleId="Heading8">
    <w:name w:val="heading 8"/>
    <w:basedOn w:val="Normal"/>
    <w:next w:val="Normal"/>
    <w:link w:val="Heading8Char"/>
    <w:qFormat/>
    <w:rsid w:val="00CB5DEA"/>
    <w:pPr>
      <w:keepNext/>
      <w:spacing w:line="280" w:lineRule="atLeast"/>
      <w:jc w:val="both"/>
      <w:outlineLvl w:val="7"/>
    </w:pPr>
    <w:rPr>
      <w:b/>
      <w:snapToGrid w:val="0"/>
      <w:color w:val="000000"/>
      <w:sz w:val="22"/>
      <w:lang w:val="x-none" w:eastAsia="en-US"/>
    </w:rPr>
  </w:style>
  <w:style w:type="paragraph" w:styleId="Heading9">
    <w:name w:val="heading 9"/>
    <w:basedOn w:val="Normal"/>
    <w:next w:val="Normal"/>
    <w:link w:val="Heading9Char"/>
    <w:qFormat/>
    <w:rsid w:val="00CB5DEA"/>
    <w:pPr>
      <w:keepNext/>
      <w:jc w:val="both"/>
      <w:outlineLvl w:val="8"/>
    </w:pPr>
    <w:rPr>
      <w:b/>
      <w:bCs/>
      <w:i/>
      <w:i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E5CDF"/>
    <w:rPr>
      <w:b/>
      <w:bCs/>
      <w:i/>
      <w:iCs/>
      <w:color w:val="215E99" w:themeColor="text2" w:themeTint="BF"/>
      <w:sz w:val="32"/>
      <w:szCs w:val="32"/>
      <w:shd w:val="clear" w:color="auto" w:fill="DAE9F7" w:themeFill="text2" w:themeFillTint="1A"/>
      <w:lang w:eastAsia="en-US"/>
    </w:rPr>
  </w:style>
  <w:style w:type="paragraph" w:customStyle="1" w:styleId="Char">
    <w:name w:val="Char"/>
    <w:basedOn w:val="Normal"/>
    <w:rsid w:val="00BD17E5"/>
    <w:pPr>
      <w:tabs>
        <w:tab w:val="left" w:pos="709"/>
      </w:tabs>
    </w:pPr>
    <w:rPr>
      <w:rFonts w:ascii="Tahoma" w:hAnsi="Tahoma"/>
      <w:lang w:val="pl-PL" w:eastAsia="pl-PL"/>
    </w:rPr>
  </w:style>
  <w:style w:type="character" w:customStyle="1" w:styleId="Heading3Char">
    <w:name w:val="Heading 3 Char"/>
    <w:link w:val="Heading3"/>
    <w:rsid w:val="0013105E"/>
    <w:rPr>
      <w:rFonts w:cs="Arial"/>
      <w:bCs/>
      <w:color w:val="0A55A3"/>
      <w:sz w:val="22"/>
      <w:szCs w:val="26"/>
      <w:lang w:eastAsia="en-US"/>
    </w:rPr>
  </w:style>
  <w:style w:type="character" w:customStyle="1" w:styleId="Heading4Char">
    <w:name w:val="Heading 4 Char"/>
    <w:link w:val="Heading4"/>
    <w:rsid w:val="0013105E"/>
    <w:rPr>
      <w:bCs/>
      <w:i/>
      <w:color w:val="0A55A3"/>
      <w:sz w:val="22"/>
      <w:szCs w:val="28"/>
      <w:lang w:eastAsia="en-US"/>
    </w:rPr>
  </w:style>
  <w:style w:type="paragraph" w:styleId="Header">
    <w:name w:val="header"/>
    <w:basedOn w:val="Normal"/>
    <w:link w:val="HeaderChar"/>
    <w:uiPriority w:val="99"/>
    <w:rsid w:val="00CB5DEA"/>
    <w:pPr>
      <w:tabs>
        <w:tab w:val="center" w:pos="4536"/>
        <w:tab w:val="right" w:pos="9072"/>
      </w:tabs>
    </w:pPr>
  </w:style>
  <w:style w:type="character" w:customStyle="1" w:styleId="HeaderChar">
    <w:name w:val="Header Char"/>
    <w:link w:val="Header"/>
    <w:uiPriority w:val="99"/>
    <w:rsid w:val="0013105E"/>
    <w:rPr>
      <w:sz w:val="24"/>
      <w:szCs w:val="24"/>
      <w:lang w:val="bg-BG" w:eastAsia="bg-BG" w:bidi="ar-SA"/>
    </w:rPr>
  </w:style>
  <w:style w:type="paragraph" w:styleId="Footer">
    <w:name w:val="footer"/>
    <w:basedOn w:val="Normal"/>
    <w:link w:val="FooterChar"/>
    <w:uiPriority w:val="99"/>
    <w:rsid w:val="00CB5DEA"/>
    <w:pPr>
      <w:tabs>
        <w:tab w:val="center" w:pos="4536"/>
        <w:tab w:val="right" w:pos="9072"/>
      </w:tabs>
    </w:pPr>
    <w:rPr>
      <w:lang w:val="x-none" w:eastAsia="x-none"/>
    </w:rPr>
  </w:style>
  <w:style w:type="character" w:styleId="PageNumber">
    <w:name w:val="page number"/>
    <w:basedOn w:val="DefaultParagraphFont"/>
    <w:rsid w:val="00CB5DEA"/>
  </w:style>
  <w:style w:type="paragraph" w:styleId="Title">
    <w:name w:val="Title"/>
    <w:basedOn w:val="Normal"/>
    <w:link w:val="TitleChar"/>
    <w:qFormat/>
    <w:rsid w:val="00CB5DEA"/>
    <w:pPr>
      <w:spacing w:after="280" w:line="280" w:lineRule="atLeast"/>
    </w:pPr>
    <w:rPr>
      <w:rFonts w:cs="Arial"/>
      <w:bCs/>
      <w:color w:val="0A55A3"/>
      <w:sz w:val="42"/>
      <w:szCs w:val="32"/>
      <w:lang w:eastAsia="en-US"/>
    </w:rPr>
  </w:style>
  <w:style w:type="character" w:customStyle="1" w:styleId="TitleChar">
    <w:name w:val="Title Char"/>
    <w:link w:val="Title"/>
    <w:rsid w:val="0013105E"/>
    <w:rPr>
      <w:rFonts w:cs="Arial"/>
      <w:bCs/>
      <w:color w:val="0A55A3"/>
      <w:sz w:val="42"/>
      <w:szCs w:val="32"/>
      <w:lang w:val="bg-BG" w:eastAsia="en-US" w:bidi="ar-SA"/>
    </w:rPr>
  </w:style>
  <w:style w:type="paragraph" w:styleId="TOC4">
    <w:name w:val="toc 4"/>
    <w:basedOn w:val="Normal"/>
    <w:next w:val="Normal"/>
    <w:autoRedefine/>
    <w:semiHidden/>
    <w:rsid w:val="00CB5DEA"/>
    <w:pPr>
      <w:tabs>
        <w:tab w:val="left" w:pos="1680"/>
        <w:tab w:val="left" w:pos="2217"/>
        <w:tab w:val="right" w:pos="9178"/>
      </w:tabs>
      <w:spacing w:before="120"/>
      <w:ind w:left="2217" w:right="-753" w:hanging="970"/>
    </w:pPr>
    <w:rPr>
      <w:rFonts w:ascii="Arial" w:hAnsi="Arial" w:cs="Arial"/>
      <w:b/>
      <w:noProof/>
      <w:sz w:val="18"/>
      <w:szCs w:val="18"/>
      <w:lang w:val="en-US" w:eastAsia="en-US"/>
    </w:rPr>
  </w:style>
  <w:style w:type="paragraph" w:styleId="BodyText">
    <w:name w:val="Body Text"/>
    <w:basedOn w:val="Normal"/>
    <w:link w:val="BodyTextChar"/>
    <w:rsid w:val="00CB5DEA"/>
    <w:pPr>
      <w:spacing w:line="280" w:lineRule="atLeast"/>
      <w:jc w:val="both"/>
    </w:pPr>
    <w:rPr>
      <w:sz w:val="22"/>
      <w:lang w:val="en-US" w:eastAsia="en-US"/>
    </w:rPr>
  </w:style>
  <w:style w:type="character" w:customStyle="1" w:styleId="BodyTextChar">
    <w:name w:val="Body Text Char"/>
    <w:link w:val="BodyText"/>
    <w:rsid w:val="00F413BC"/>
    <w:rPr>
      <w:sz w:val="22"/>
      <w:szCs w:val="24"/>
      <w:lang w:val="en-US" w:eastAsia="en-US" w:bidi="ar-SA"/>
    </w:rPr>
  </w:style>
  <w:style w:type="table" w:styleId="TableGrid">
    <w:name w:val="Table Grid"/>
    <w:basedOn w:val="TableNormal"/>
    <w:uiPriority w:val="39"/>
    <w:rsid w:val="0054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B6697"/>
    <w:pPr>
      <w:spacing w:after="120" w:line="480" w:lineRule="auto"/>
    </w:pPr>
  </w:style>
  <w:style w:type="paragraph" w:customStyle="1" w:styleId="Style">
    <w:name w:val="Style"/>
    <w:rsid w:val="005B6697"/>
    <w:pPr>
      <w:widowControl w:val="0"/>
      <w:autoSpaceDE w:val="0"/>
      <w:autoSpaceDN w:val="0"/>
      <w:adjustRightInd w:val="0"/>
      <w:ind w:left="140" w:right="140" w:firstLine="840"/>
      <w:jc w:val="both"/>
    </w:pPr>
    <w:rPr>
      <w:sz w:val="24"/>
      <w:szCs w:val="24"/>
    </w:rPr>
  </w:style>
  <w:style w:type="paragraph" w:styleId="BodyTextIndent">
    <w:name w:val="Body Text Indent"/>
    <w:basedOn w:val="Normal"/>
    <w:link w:val="BodyTextIndentChar"/>
    <w:rsid w:val="00E41B5C"/>
    <w:pPr>
      <w:spacing w:after="120"/>
      <w:ind w:left="283"/>
    </w:pPr>
  </w:style>
  <w:style w:type="character" w:customStyle="1" w:styleId="BodyTextIndentChar">
    <w:name w:val="Body Text Indent Char"/>
    <w:link w:val="BodyTextIndent"/>
    <w:rsid w:val="0013105E"/>
    <w:rPr>
      <w:sz w:val="24"/>
      <w:szCs w:val="24"/>
      <w:lang w:val="bg-BG" w:eastAsia="bg-BG" w:bidi="ar-SA"/>
    </w:rPr>
  </w:style>
  <w:style w:type="paragraph" w:customStyle="1" w:styleId="Dany">
    <w:name w:val="Dany"/>
    <w:basedOn w:val="Normal"/>
    <w:rsid w:val="00E41B5C"/>
    <w:pPr>
      <w:autoSpaceDE w:val="0"/>
      <w:autoSpaceDN w:val="0"/>
      <w:adjustRightInd w:val="0"/>
      <w:spacing w:before="60"/>
      <w:jc w:val="both"/>
    </w:pPr>
    <w:rPr>
      <w:rFonts w:ascii="Georgia" w:hAnsi="Georgia"/>
      <w:lang w:val="en-US" w:eastAsia="en-US"/>
    </w:rPr>
  </w:style>
  <w:style w:type="paragraph" w:styleId="BalloonText">
    <w:name w:val="Balloon Text"/>
    <w:basedOn w:val="Normal"/>
    <w:link w:val="BalloonTextChar"/>
    <w:uiPriority w:val="99"/>
    <w:semiHidden/>
    <w:rsid w:val="00E41B5C"/>
    <w:rPr>
      <w:rFonts w:ascii="Tahoma" w:hAnsi="Tahoma"/>
      <w:sz w:val="16"/>
      <w:szCs w:val="16"/>
      <w:lang w:val="x-none" w:eastAsia="x-none"/>
    </w:rPr>
  </w:style>
  <w:style w:type="paragraph" w:customStyle="1" w:styleId="Char0">
    <w:name w:val="Char"/>
    <w:basedOn w:val="Normal"/>
    <w:rsid w:val="00F413BC"/>
    <w:pPr>
      <w:tabs>
        <w:tab w:val="left" w:pos="709"/>
      </w:tabs>
    </w:pPr>
    <w:rPr>
      <w:rFonts w:ascii="Tahoma" w:hAnsi="Tahoma"/>
      <w:lang w:val="pl-PL" w:eastAsia="pl-PL"/>
    </w:rPr>
  </w:style>
  <w:style w:type="paragraph" w:styleId="NormalWeb">
    <w:name w:val="Normal (Web)"/>
    <w:basedOn w:val="Normal"/>
    <w:uiPriority w:val="99"/>
    <w:rsid w:val="00F413BC"/>
    <w:pPr>
      <w:spacing w:before="100" w:beforeAutospacing="1" w:after="100" w:afterAutospacing="1"/>
    </w:pPr>
  </w:style>
  <w:style w:type="paragraph" w:styleId="HTMLPreformatted">
    <w:name w:val="HTML Preformatted"/>
    <w:basedOn w:val="Normal"/>
    <w:rsid w:val="00F41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F413BC"/>
    <w:rPr>
      <w:i/>
      <w:iCs/>
    </w:rPr>
  </w:style>
  <w:style w:type="character" w:styleId="Hyperlink">
    <w:name w:val="Hyperlink"/>
    <w:uiPriority w:val="99"/>
    <w:rsid w:val="00F413BC"/>
    <w:rPr>
      <w:color w:val="0000FF"/>
      <w:u w:val="single"/>
    </w:rPr>
  </w:style>
  <w:style w:type="paragraph" w:customStyle="1" w:styleId="CharCharCharCharChar5CharCharCharCharCharCharCharCharCharCharCharChar1CharChar">
    <w:name w:val="Char Char Char Char Char5 Char Char Char Char Char Char Char Char Char Char Char Char1 Char Char"/>
    <w:basedOn w:val="Normal"/>
    <w:rsid w:val="00963010"/>
    <w:pPr>
      <w:spacing w:before="120" w:after="160" w:line="240" w:lineRule="exact"/>
    </w:pPr>
    <w:rPr>
      <w:rFonts w:ascii="Tahoma" w:hAnsi="Tahoma"/>
      <w:sz w:val="20"/>
      <w:szCs w:val="20"/>
      <w:lang w:val="en-US" w:eastAsia="en-US"/>
    </w:rPr>
  </w:style>
  <w:style w:type="paragraph" w:styleId="BodyTextIndent2">
    <w:name w:val="Body Text Indent 2"/>
    <w:basedOn w:val="Normal"/>
    <w:rsid w:val="00A51178"/>
    <w:pPr>
      <w:spacing w:after="120" w:line="480" w:lineRule="auto"/>
      <w:ind w:left="283"/>
    </w:pPr>
  </w:style>
  <w:style w:type="paragraph" w:styleId="BodyTextIndent3">
    <w:name w:val="Body Text Indent 3"/>
    <w:basedOn w:val="Normal"/>
    <w:rsid w:val="00A51178"/>
    <w:pPr>
      <w:spacing w:after="120"/>
      <w:ind w:left="283"/>
    </w:pPr>
    <w:rPr>
      <w:sz w:val="16"/>
      <w:szCs w:val="16"/>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n,Fußnotentext arial"/>
    <w:basedOn w:val="Normal"/>
    <w:link w:val="FootnoteTextChar"/>
    <w:qFormat/>
    <w:rsid w:val="00A51178"/>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n Char"/>
    <w:link w:val="FootnoteText"/>
    <w:uiPriority w:val="99"/>
    <w:rsid w:val="008652B0"/>
    <w:rPr>
      <w:lang w:val="bg-BG" w:eastAsia="bg-BG" w:bidi="ar-SA"/>
    </w:rPr>
  </w:style>
  <w:style w:type="character" w:styleId="FootnoteReference">
    <w:name w:val="footnote reference"/>
    <w:aliases w:val="ftref, BVI fnr,BVI fnr,Footnote symbol,SUPERS,EN Footnote Reference,Footnote number,de nota al pie,Ref,Voetnootmarkering,Char1,Nota,fr,o,(NECG) Footnote Reference,Signature Char,Zchn Zchn Char Char,SUPERS Car,Ref Car,Nota Car,callout"/>
    <w:link w:val="CharCharCharCharCarChar"/>
    <w:uiPriority w:val="99"/>
    <w:qFormat/>
    <w:rsid w:val="00A51178"/>
    <w:rPr>
      <w:vertAlign w:val="superscript"/>
    </w:rPr>
  </w:style>
  <w:style w:type="character" w:customStyle="1" w:styleId="CharChar1">
    <w:name w:val="Char Char1"/>
    <w:rsid w:val="000A11BA"/>
    <w:rPr>
      <w:sz w:val="22"/>
      <w:szCs w:val="24"/>
      <w:lang w:val="en-US" w:eastAsia="en-US" w:bidi="ar-SA"/>
    </w:rPr>
  </w:style>
  <w:style w:type="paragraph" w:customStyle="1" w:styleId="CharChar1CharCharCharChar">
    <w:name w:val="Char Char1 Char Char Char Char"/>
    <w:basedOn w:val="Normal"/>
    <w:rsid w:val="008E7256"/>
    <w:pPr>
      <w:tabs>
        <w:tab w:val="left" w:pos="709"/>
      </w:tabs>
    </w:pPr>
    <w:rPr>
      <w:rFonts w:ascii="Tahoma" w:hAnsi="Tahoma"/>
      <w:lang w:val="pl-PL" w:eastAsia="pl-PL"/>
    </w:rPr>
  </w:style>
  <w:style w:type="paragraph" w:customStyle="1" w:styleId="CharCharCharCharCharChar">
    <w:name w:val="Char Char Char Char Char Char"/>
    <w:basedOn w:val="Normal"/>
    <w:rsid w:val="00D56417"/>
    <w:pPr>
      <w:spacing w:before="120" w:after="160" w:line="240" w:lineRule="exact"/>
    </w:pPr>
    <w:rPr>
      <w:rFonts w:ascii="Tahoma" w:hAnsi="Tahoma"/>
      <w:sz w:val="20"/>
      <w:szCs w:val="20"/>
      <w:lang w:val="en-US" w:eastAsia="en-US"/>
    </w:rPr>
  </w:style>
  <w:style w:type="paragraph" w:customStyle="1" w:styleId="Char1">
    <w:name w:val="Char1"/>
    <w:basedOn w:val="Normal"/>
    <w:rsid w:val="008652B0"/>
    <w:pPr>
      <w:tabs>
        <w:tab w:val="left" w:pos="709"/>
      </w:tabs>
    </w:pPr>
    <w:rPr>
      <w:rFonts w:ascii="Tahoma" w:hAnsi="Tahoma"/>
      <w:lang w:val="pl-PL" w:eastAsia="pl-PL"/>
    </w:rPr>
  </w:style>
  <w:style w:type="paragraph" w:customStyle="1" w:styleId="firstline">
    <w:name w:val="firstline"/>
    <w:basedOn w:val="Normal"/>
    <w:rsid w:val="008652B0"/>
    <w:pPr>
      <w:spacing w:before="100" w:beforeAutospacing="1" w:after="100" w:afterAutospacing="1"/>
    </w:pPr>
  </w:style>
  <w:style w:type="paragraph" w:styleId="ListParagraph">
    <w:name w:val="List Paragraph"/>
    <w:aliases w:val="bullet2,Гл точки,Style 1,C 1,Normal List,Endnote,Indent,ПАРАГРАФ,List Paragraph1,List1,Colorful List - Accent 11,List Paragraph11,List Paragraph111,List Paragraph1111,Списък на абзаци,List Paragraph compact,Normal bullet 2,Reference list"/>
    <w:basedOn w:val="Normal"/>
    <w:link w:val="ListParagraphChar"/>
    <w:uiPriority w:val="34"/>
    <w:qFormat/>
    <w:rsid w:val="008652B0"/>
    <w:pPr>
      <w:ind w:left="708"/>
    </w:pPr>
    <w:rPr>
      <w:rFonts w:eastAsia="Batang"/>
      <w:lang w:val="x-none" w:eastAsia="ko-KR"/>
    </w:rPr>
  </w:style>
  <w:style w:type="paragraph" w:styleId="PlainText">
    <w:name w:val="Plain Text"/>
    <w:basedOn w:val="Normal"/>
    <w:link w:val="PlainTextChar"/>
    <w:uiPriority w:val="99"/>
    <w:rsid w:val="00AC2BFC"/>
    <w:rPr>
      <w:rFonts w:ascii="Courier New" w:hAnsi="Courier New"/>
      <w:sz w:val="20"/>
      <w:szCs w:val="20"/>
      <w:lang w:val="en-GB"/>
    </w:rPr>
  </w:style>
  <w:style w:type="character" w:customStyle="1" w:styleId="PlainTextChar">
    <w:name w:val="Plain Text Char"/>
    <w:link w:val="PlainText"/>
    <w:uiPriority w:val="99"/>
    <w:rsid w:val="00AC2BFC"/>
    <w:rPr>
      <w:rFonts w:ascii="Courier New" w:hAnsi="Courier New"/>
      <w:lang w:val="en-GB" w:eastAsia="bg-BG" w:bidi="ar-SA"/>
    </w:rPr>
  </w:style>
  <w:style w:type="character" w:styleId="FollowedHyperlink">
    <w:name w:val="FollowedHyperlink"/>
    <w:rsid w:val="00AC2BFC"/>
    <w:rPr>
      <w:color w:val="800080"/>
      <w:u w:val="single"/>
    </w:rPr>
  </w:style>
  <w:style w:type="paragraph" w:customStyle="1" w:styleId="CharChar">
    <w:name w:val="Char Char"/>
    <w:basedOn w:val="Normal"/>
    <w:rsid w:val="006D3B34"/>
    <w:pPr>
      <w:tabs>
        <w:tab w:val="left" w:pos="709"/>
      </w:tabs>
    </w:pPr>
    <w:rPr>
      <w:rFonts w:ascii="Tahoma" w:hAnsi="Tahoma"/>
      <w:lang w:val="pl-PL" w:eastAsia="pl-PL"/>
    </w:rPr>
  </w:style>
  <w:style w:type="paragraph" w:customStyle="1" w:styleId="CharCharChar">
    <w:name w:val="Char Char Char"/>
    <w:basedOn w:val="Normal"/>
    <w:rsid w:val="006D3B34"/>
    <w:pPr>
      <w:tabs>
        <w:tab w:val="left" w:pos="709"/>
      </w:tabs>
      <w:spacing w:before="240" w:after="240"/>
      <w:ind w:left="709"/>
      <w:jc w:val="both"/>
    </w:pPr>
    <w:rPr>
      <w:rFonts w:ascii="Arial" w:hAnsi="Arial"/>
      <w:lang w:val="pl-PL" w:eastAsia="pl-PL"/>
    </w:rPr>
  </w:style>
  <w:style w:type="character" w:customStyle="1" w:styleId="FontStyle11">
    <w:name w:val="Font Style11"/>
    <w:rsid w:val="007F45AE"/>
    <w:rPr>
      <w:rFonts w:ascii="Times New Roman" w:hAnsi="Times New Roman" w:cs="Times New Roman" w:hint="default"/>
      <w:b/>
      <w:bCs/>
      <w:i/>
      <w:iCs/>
      <w:sz w:val="58"/>
      <w:szCs w:val="58"/>
    </w:rPr>
  </w:style>
  <w:style w:type="paragraph" w:customStyle="1" w:styleId="CharChar1CharCharChar1">
    <w:name w:val="Char Char1 Char Char Char1"/>
    <w:basedOn w:val="Normal"/>
    <w:rsid w:val="00955F05"/>
    <w:pPr>
      <w:spacing w:after="160" w:line="240" w:lineRule="exact"/>
    </w:pPr>
    <w:rPr>
      <w:rFonts w:ascii="Tahoma" w:hAnsi="Tahoma"/>
      <w:sz w:val="20"/>
      <w:szCs w:val="20"/>
      <w:lang w:val="en-US" w:eastAsia="en-US"/>
    </w:rPr>
  </w:style>
  <w:style w:type="paragraph" w:customStyle="1" w:styleId="Char1CharChar1CharCharChar">
    <w:name w:val="Char1 Char Char1 Char Char Char"/>
    <w:basedOn w:val="Normal"/>
    <w:rsid w:val="0013105E"/>
    <w:pPr>
      <w:tabs>
        <w:tab w:val="left" w:pos="709"/>
      </w:tabs>
    </w:pPr>
    <w:rPr>
      <w:rFonts w:ascii="Tahoma" w:hAnsi="Tahoma"/>
      <w:lang w:val="pl-PL" w:eastAsia="pl-PL"/>
    </w:rPr>
  </w:style>
  <w:style w:type="character" w:styleId="Strong">
    <w:name w:val="Strong"/>
    <w:uiPriority w:val="22"/>
    <w:qFormat/>
    <w:rsid w:val="0013105E"/>
    <w:rPr>
      <w:b/>
      <w:bCs/>
    </w:rPr>
  </w:style>
  <w:style w:type="paragraph" w:customStyle="1" w:styleId="CharCharCharCharCharCharCharCharCharCharChar">
    <w:name w:val="Char Char Char Char Char Char Char Char Char Знак Char Знак Char"/>
    <w:basedOn w:val="Normal"/>
    <w:rsid w:val="0013105E"/>
    <w:pPr>
      <w:tabs>
        <w:tab w:val="left" w:pos="709"/>
      </w:tabs>
    </w:pPr>
    <w:rPr>
      <w:rFonts w:ascii="Tahoma" w:hAnsi="Tahoma"/>
      <w:lang w:val="pl-PL" w:eastAsia="pl-PL"/>
    </w:rPr>
  </w:style>
  <w:style w:type="paragraph" w:styleId="TOCHeading">
    <w:name w:val="TOC Heading"/>
    <w:basedOn w:val="Heading1"/>
    <w:next w:val="Normal"/>
    <w:qFormat/>
    <w:rsid w:val="0013105E"/>
    <w:pPr>
      <w:keepLines/>
      <w:widowControl/>
      <w:shd w:val="clear" w:color="auto" w:fill="auto"/>
      <w:spacing w:before="480" w:after="0" w:line="276" w:lineRule="auto"/>
      <w:jc w:val="left"/>
      <w:outlineLvl w:val="9"/>
    </w:pPr>
    <w:rPr>
      <w:rFonts w:ascii="Cambria" w:hAnsi="Cambria"/>
      <w:bCs w:val="0"/>
      <w:i w:val="0"/>
      <w:color w:val="365F91"/>
      <w:sz w:val="28"/>
      <w:szCs w:val="28"/>
      <w:lang w:val="en-US"/>
      <w14:textFill>
        <w14:solidFill>
          <w14:srgbClr w14:val="365F91">
            <w14:lumMod w14:val="75000"/>
          </w14:srgbClr>
        </w14:solidFill>
      </w14:textFill>
    </w:rPr>
  </w:style>
  <w:style w:type="paragraph" w:styleId="TOC3">
    <w:name w:val="toc 3"/>
    <w:basedOn w:val="Normal"/>
    <w:next w:val="Normal"/>
    <w:autoRedefine/>
    <w:rsid w:val="0013105E"/>
    <w:pPr>
      <w:ind w:left="480"/>
    </w:pPr>
    <w:rPr>
      <w:rFonts w:eastAsia="Batang"/>
      <w:lang w:eastAsia="ko-KR"/>
    </w:rPr>
  </w:style>
  <w:style w:type="paragraph" w:styleId="TOC2">
    <w:name w:val="toc 2"/>
    <w:basedOn w:val="Normal"/>
    <w:next w:val="Normal"/>
    <w:autoRedefine/>
    <w:rsid w:val="0013105E"/>
    <w:pPr>
      <w:ind w:left="240"/>
    </w:pPr>
    <w:rPr>
      <w:rFonts w:eastAsia="Batang"/>
      <w:lang w:eastAsia="ko-KR"/>
    </w:rPr>
  </w:style>
  <w:style w:type="paragraph" w:styleId="TOC1">
    <w:name w:val="toc 1"/>
    <w:basedOn w:val="Normal"/>
    <w:next w:val="Normal"/>
    <w:autoRedefine/>
    <w:rsid w:val="0013105E"/>
    <w:pPr>
      <w:tabs>
        <w:tab w:val="left" w:pos="480"/>
        <w:tab w:val="right" w:leader="dot" w:pos="9062"/>
      </w:tabs>
      <w:spacing w:after="120" w:line="288" w:lineRule="auto"/>
    </w:pPr>
    <w:rPr>
      <w:rFonts w:ascii="Garamond" w:eastAsia="Batang" w:hAnsi="Garamond"/>
      <w:b/>
      <w:noProof/>
      <w:color w:val="000000"/>
      <w:lang w:eastAsia="ko-KR"/>
    </w:rPr>
  </w:style>
  <w:style w:type="paragraph" w:customStyle="1" w:styleId="DefaultParagraphFont1CharCharChar">
    <w:name w:val="Default Paragraph Font1 Char Char Char"/>
    <w:basedOn w:val="Normal"/>
    <w:rsid w:val="0013105E"/>
    <w:pPr>
      <w:tabs>
        <w:tab w:val="left" w:pos="709"/>
      </w:tabs>
    </w:pPr>
    <w:rPr>
      <w:rFonts w:ascii="Tahoma" w:hAnsi="Tahoma"/>
      <w:lang w:val="pl-PL" w:eastAsia="pl-PL"/>
    </w:rPr>
  </w:style>
  <w:style w:type="character" w:customStyle="1" w:styleId="Tableofcontents2">
    <w:name w:val="Table of contents (2)"/>
    <w:rsid w:val="0013105E"/>
    <w:rPr>
      <w:rFonts w:ascii="Times New Roman" w:hAnsi="Times New Roman" w:cs="Times New Roman"/>
      <w:b/>
      <w:bCs/>
      <w:spacing w:val="0"/>
      <w:sz w:val="23"/>
      <w:szCs w:val="23"/>
    </w:rPr>
  </w:style>
  <w:style w:type="character" w:customStyle="1" w:styleId="Tableofcontents2NotBold">
    <w:name w:val="Table of contents (2) + Not Bold"/>
    <w:rsid w:val="0013105E"/>
    <w:rPr>
      <w:rFonts w:ascii="Times New Roman" w:hAnsi="Times New Roman" w:cs="Times New Roman"/>
      <w:spacing w:val="0"/>
      <w:sz w:val="23"/>
      <w:szCs w:val="23"/>
    </w:rPr>
  </w:style>
  <w:style w:type="character" w:customStyle="1" w:styleId="Heading10">
    <w:name w:val="Heading #1"/>
    <w:rsid w:val="0013105E"/>
    <w:rPr>
      <w:rFonts w:ascii="Times New Roman" w:hAnsi="Times New Roman" w:cs="Times New Roman"/>
      <w:b/>
      <w:bCs/>
      <w:spacing w:val="0"/>
      <w:sz w:val="23"/>
      <w:szCs w:val="23"/>
    </w:rPr>
  </w:style>
  <w:style w:type="character" w:customStyle="1" w:styleId="BodytextBold">
    <w:name w:val="Body text + Bold"/>
    <w:rsid w:val="0013105E"/>
    <w:rPr>
      <w:rFonts w:ascii="Times New Roman" w:hAnsi="Times New Roman" w:cs="Times New Roman"/>
      <w:b/>
      <w:bCs/>
      <w:spacing w:val="0"/>
      <w:sz w:val="23"/>
      <w:szCs w:val="23"/>
    </w:rPr>
  </w:style>
  <w:style w:type="character" w:customStyle="1" w:styleId="Bodytext6NotBold">
    <w:name w:val="Body text (6) + Not Bold"/>
    <w:rsid w:val="0013105E"/>
    <w:rPr>
      <w:rFonts w:ascii="Times New Roman" w:hAnsi="Times New Roman" w:cs="Times New Roman"/>
      <w:spacing w:val="0"/>
      <w:sz w:val="23"/>
      <w:szCs w:val="23"/>
    </w:rPr>
  </w:style>
  <w:style w:type="character" w:customStyle="1" w:styleId="BodytextSpacing1pt">
    <w:name w:val="Body text + Spacing 1 pt"/>
    <w:rsid w:val="0013105E"/>
    <w:rPr>
      <w:rFonts w:ascii="Times New Roman" w:hAnsi="Times New Roman" w:cs="Times New Roman"/>
      <w:spacing w:val="30"/>
      <w:sz w:val="23"/>
      <w:szCs w:val="23"/>
    </w:rPr>
  </w:style>
  <w:style w:type="character" w:customStyle="1" w:styleId="newdocreference1">
    <w:name w:val="newdocreference1"/>
    <w:rsid w:val="0013105E"/>
    <w:rPr>
      <w:i w:val="0"/>
      <w:iCs w:val="0"/>
      <w:color w:val="0000FF"/>
      <w:u w:val="single"/>
    </w:rPr>
  </w:style>
  <w:style w:type="paragraph" w:customStyle="1" w:styleId="Char2">
    <w:name w:val="Знак Char"/>
    <w:basedOn w:val="Normal"/>
    <w:semiHidden/>
    <w:rsid w:val="00FB5D35"/>
    <w:pPr>
      <w:tabs>
        <w:tab w:val="left" w:pos="709"/>
      </w:tabs>
    </w:pPr>
    <w:rPr>
      <w:rFonts w:ascii="Futura Bk" w:hAnsi="Futura Bk"/>
      <w:lang w:val="pl-PL" w:eastAsia="pl-PL"/>
    </w:rPr>
  </w:style>
  <w:style w:type="paragraph" w:styleId="Subtitle">
    <w:name w:val="Subtitle"/>
    <w:basedOn w:val="Normal"/>
    <w:next w:val="Normal"/>
    <w:link w:val="SubtitleChar"/>
    <w:qFormat/>
    <w:rsid w:val="00FB5D35"/>
    <w:pPr>
      <w:spacing w:after="60"/>
      <w:jc w:val="center"/>
      <w:outlineLvl w:val="1"/>
    </w:pPr>
    <w:rPr>
      <w:rFonts w:ascii="Cambria" w:hAnsi="Cambria"/>
      <w:lang w:val="x-none" w:eastAsia="x-none"/>
    </w:rPr>
  </w:style>
  <w:style w:type="paragraph" w:styleId="CommentText">
    <w:name w:val="annotation text"/>
    <w:basedOn w:val="Normal"/>
    <w:link w:val="CommentTextChar"/>
    <w:uiPriority w:val="99"/>
    <w:semiHidden/>
    <w:rsid w:val="00FB5D35"/>
    <w:rPr>
      <w:sz w:val="20"/>
      <w:szCs w:val="20"/>
    </w:rPr>
  </w:style>
  <w:style w:type="character" w:styleId="CommentReference">
    <w:name w:val="annotation reference"/>
    <w:semiHidden/>
    <w:rsid w:val="00EF4C89"/>
    <w:rPr>
      <w:sz w:val="16"/>
      <w:szCs w:val="16"/>
    </w:rPr>
  </w:style>
  <w:style w:type="character" w:customStyle="1" w:styleId="apple-style-span">
    <w:name w:val="apple-style-span"/>
    <w:basedOn w:val="DefaultParagraphFont"/>
    <w:rsid w:val="00EF4C89"/>
  </w:style>
  <w:style w:type="character" w:customStyle="1" w:styleId="apple-converted-space">
    <w:name w:val="apple-converted-space"/>
    <w:basedOn w:val="DefaultParagraphFont"/>
    <w:rsid w:val="00EF4C89"/>
  </w:style>
  <w:style w:type="paragraph" w:customStyle="1" w:styleId="CharCharChar0">
    <w:name w:val="Char Char Char"/>
    <w:basedOn w:val="Normal"/>
    <w:link w:val="CharCharCharChar"/>
    <w:rsid w:val="003606AF"/>
    <w:pPr>
      <w:tabs>
        <w:tab w:val="left" w:pos="709"/>
      </w:tabs>
    </w:pPr>
    <w:rPr>
      <w:rFonts w:ascii="Tahoma" w:hAnsi="Tahoma"/>
      <w:lang w:val="pl-PL" w:eastAsia="pl-PL"/>
    </w:rPr>
  </w:style>
  <w:style w:type="character" w:customStyle="1" w:styleId="CharCharCharChar">
    <w:name w:val="Char Char Char Char"/>
    <w:link w:val="CharCharChar0"/>
    <w:rsid w:val="003606AF"/>
    <w:rPr>
      <w:rFonts w:ascii="Tahoma" w:hAnsi="Tahoma"/>
      <w:sz w:val="24"/>
      <w:szCs w:val="24"/>
      <w:lang w:val="pl-PL" w:eastAsia="pl-PL" w:bidi="ar-SA"/>
    </w:rPr>
  </w:style>
  <w:style w:type="paragraph" w:styleId="Caption">
    <w:name w:val="caption"/>
    <w:basedOn w:val="Normal"/>
    <w:next w:val="Normal"/>
    <w:qFormat/>
    <w:rsid w:val="00693EA5"/>
    <w:rPr>
      <w:rFonts w:ascii="TimokU" w:hAnsi="TimokU"/>
      <w:b/>
      <w:caps/>
      <w:sz w:val="22"/>
      <w:szCs w:val="20"/>
      <w:lang w:eastAsia="en-US"/>
    </w:rPr>
  </w:style>
  <w:style w:type="paragraph" w:customStyle="1" w:styleId="htright">
    <w:name w:val="htright"/>
    <w:basedOn w:val="Normal"/>
    <w:rsid w:val="00693EA5"/>
    <w:pPr>
      <w:spacing w:before="100" w:beforeAutospacing="1" w:after="100" w:afterAutospacing="1"/>
      <w:jc w:val="right"/>
    </w:pPr>
  </w:style>
  <w:style w:type="paragraph" w:customStyle="1" w:styleId="1">
    <w:name w:val="Знак Знак1"/>
    <w:basedOn w:val="Normal"/>
    <w:semiHidden/>
    <w:rsid w:val="00823C35"/>
    <w:pPr>
      <w:tabs>
        <w:tab w:val="left" w:pos="709"/>
      </w:tabs>
    </w:pPr>
    <w:rPr>
      <w:rFonts w:ascii="Futura Bk" w:hAnsi="Futura Bk"/>
      <w:lang w:val="pl-PL" w:eastAsia="pl-PL"/>
    </w:rPr>
  </w:style>
  <w:style w:type="character" w:customStyle="1" w:styleId="merkiChar">
    <w:name w:val="merki Char"/>
    <w:link w:val="merki"/>
    <w:locked/>
    <w:rsid w:val="009A792B"/>
    <w:rPr>
      <w:rFonts w:ascii="Calibri" w:hAnsi="Calibri"/>
      <w:i/>
      <w:iCs/>
      <w:sz w:val="24"/>
      <w:lang w:val="bg-BG" w:eastAsia="en-US" w:bidi="en-US"/>
    </w:rPr>
  </w:style>
  <w:style w:type="paragraph" w:customStyle="1" w:styleId="merki">
    <w:name w:val="merki"/>
    <w:basedOn w:val="Normal"/>
    <w:link w:val="merkiChar"/>
    <w:semiHidden/>
    <w:rsid w:val="009A792B"/>
    <w:pPr>
      <w:spacing w:before="80" w:after="80"/>
    </w:pPr>
    <w:rPr>
      <w:rFonts w:ascii="Calibri" w:hAnsi="Calibri"/>
      <w:i/>
      <w:iCs/>
      <w:szCs w:val="20"/>
      <w:lang w:eastAsia="en-US" w:bidi="en-US"/>
    </w:rPr>
  </w:style>
  <w:style w:type="numbering" w:customStyle="1" w:styleId="StyleStyleOutlinenumberedWebdingssymbolLeft19cmHangin14">
    <w:name w:val="Style Style Outline numbered Webdings (symbol) Left:  1.9 cm Hangin...14"/>
    <w:rsid w:val="009A792B"/>
    <w:pPr>
      <w:numPr>
        <w:numId w:val="4"/>
      </w:numPr>
    </w:pPr>
  </w:style>
  <w:style w:type="paragraph" w:customStyle="1" w:styleId="CharCharCharCharCharCharCharCharCharCharCharCharCharCharCharCharCharCharCharChar">
    <w:name w:val="Знак Char Знак Char Char Char Char Char Char Знак Char Char Char Char Знак Char Char Char Char Char Char Char Char Char"/>
    <w:basedOn w:val="Normal"/>
    <w:semiHidden/>
    <w:rsid w:val="008B2201"/>
    <w:pPr>
      <w:tabs>
        <w:tab w:val="left" w:pos="709"/>
      </w:tabs>
    </w:pPr>
    <w:rPr>
      <w:rFonts w:ascii="Futura Bk" w:hAnsi="Futura Bk"/>
      <w:lang w:val="pl-PL" w:eastAsia="pl-PL"/>
    </w:rPr>
  </w:style>
  <w:style w:type="character" w:customStyle="1" w:styleId="postbody">
    <w:name w:val="postbody"/>
    <w:basedOn w:val="DefaultParagraphFont"/>
    <w:rsid w:val="008B2201"/>
  </w:style>
  <w:style w:type="paragraph" w:customStyle="1" w:styleId="TabText">
    <w:name w:val="TabText"/>
    <w:basedOn w:val="Normal"/>
    <w:rsid w:val="008B2201"/>
    <w:rPr>
      <w:sz w:val="16"/>
      <w:szCs w:val="16"/>
      <w:lang w:eastAsia="en-US"/>
    </w:rPr>
  </w:style>
  <w:style w:type="character" w:customStyle="1" w:styleId="newstext">
    <w:name w:val="news_text"/>
    <w:basedOn w:val="DefaultParagraphFont"/>
    <w:rsid w:val="008B2201"/>
  </w:style>
  <w:style w:type="paragraph" w:styleId="DocumentMap">
    <w:name w:val="Document Map"/>
    <w:basedOn w:val="Normal"/>
    <w:semiHidden/>
    <w:rsid w:val="008B2201"/>
    <w:pPr>
      <w:shd w:val="clear" w:color="auto" w:fill="000080"/>
      <w:spacing w:line="280" w:lineRule="atLeast"/>
    </w:pPr>
    <w:rPr>
      <w:rFonts w:ascii="Tahoma" w:hAnsi="Tahoma" w:cs="Tahoma"/>
      <w:sz w:val="20"/>
      <w:szCs w:val="20"/>
      <w:lang w:eastAsia="en-US"/>
    </w:rPr>
  </w:style>
  <w:style w:type="paragraph" w:styleId="CommentSubject">
    <w:name w:val="annotation subject"/>
    <w:basedOn w:val="CommentText"/>
    <w:next w:val="CommentText"/>
    <w:semiHidden/>
    <w:rsid w:val="008B2201"/>
    <w:pPr>
      <w:spacing w:line="280" w:lineRule="atLeast"/>
    </w:pPr>
    <w:rPr>
      <w:b/>
      <w:bCs/>
      <w:lang w:eastAsia="en-US"/>
    </w:rPr>
  </w:style>
  <w:style w:type="paragraph" w:customStyle="1" w:styleId="preamble-appendix">
    <w:name w:val="preamble-appendix"/>
    <w:basedOn w:val="Normal"/>
    <w:rsid w:val="008B2201"/>
    <w:pPr>
      <w:spacing w:before="100" w:beforeAutospacing="1" w:after="100" w:afterAutospacing="1"/>
    </w:pPr>
    <w:rPr>
      <w:rFonts w:eastAsia="Calibri"/>
      <w:color w:val="000000"/>
    </w:rPr>
  </w:style>
  <w:style w:type="paragraph" w:styleId="NoSpacing">
    <w:name w:val="No Spacing"/>
    <w:uiPriority w:val="1"/>
    <w:qFormat/>
    <w:rsid w:val="008B2201"/>
    <w:rPr>
      <w:sz w:val="22"/>
      <w:szCs w:val="24"/>
      <w:lang w:eastAsia="en-US"/>
    </w:rPr>
  </w:style>
  <w:style w:type="paragraph" w:customStyle="1" w:styleId="CharCharCharCharCharCharCharCharChar">
    <w:name w:val="Char Char Char Char Char Char Char Char Char"/>
    <w:basedOn w:val="Normal"/>
    <w:rsid w:val="00E21C83"/>
    <w:pPr>
      <w:tabs>
        <w:tab w:val="left" w:pos="709"/>
      </w:tabs>
      <w:spacing w:before="240" w:after="240"/>
      <w:ind w:left="709"/>
      <w:jc w:val="both"/>
    </w:pPr>
    <w:rPr>
      <w:rFonts w:ascii="Arial" w:hAnsi="Arial"/>
      <w:lang w:val="pl-PL" w:eastAsia="pl-PL"/>
    </w:rPr>
  </w:style>
  <w:style w:type="paragraph" w:customStyle="1" w:styleId="CharCharCharCharCharChar0">
    <w:name w:val="Char Char Char Char Char Char"/>
    <w:basedOn w:val="Normal"/>
    <w:uiPriority w:val="99"/>
    <w:rsid w:val="00C57906"/>
    <w:pPr>
      <w:spacing w:before="120" w:after="160" w:line="240" w:lineRule="exact"/>
    </w:pPr>
    <w:rPr>
      <w:rFonts w:ascii="Tahoma" w:hAnsi="Tahoma"/>
      <w:sz w:val="20"/>
      <w:szCs w:val="20"/>
      <w:lang w:val="en-US" w:eastAsia="en-US"/>
    </w:rPr>
  </w:style>
  <w:style w:type="table" w:customStyle="1" w:styleId="TableGrid1">
    <w:name w:val="Table Grid1"/>
    <w:uiPriority w:val="39"/>
    <w:rsid w:val="00C579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1">
    <w:name w:val="Body Text Indent Char1"/>
    <w:uiPriority w:val="99"/>
    <w:locked/>
    <w:rsid w:val="00C57906"/>
    <w:rPr>
      <w:sz w:val="24"/>
      <w:lang w:val="bg-BG" w:eastAsia="bg-BG"/>
    </w:rPr>
  </w:style>
  <w:style w:type="character" w:customStyle="1" w:styleId="CommentTextChar">
    <w:name w:val="Comment Text Char"/>
    <w:link w:val="CommentText"/>
    <w:uiPriority w:val="99"/>
    <w:semiHidden/>
    <w:rsid w:val="00C57906"/>
  </w:style>
  <w:style w:type="character" w:customStyle="1" w:styleId="BalloonTextChar">
    <w:name w:val="Balloon Text Char"/>
    <w:link w:val="BalloonText"/>
    <w:uiPriority w:val="99"/>
    <w:semiHidden/>
    <w:rsid w:val="00C57906"/>
    <w:rPr>
      <w:rFonts w:ascii="Tahoma" w:hAnsi="Tahoma" w:cs="Tahoma"/>
      <w:sz w:val="16"/>
      <w:szCs w:val="16"/>
    </w:rPr>
  </w:style>
  <w:style w:type="paragraph" w:customStyle="1" w:styleId="CharCharCharCharCharCharCharCharCharCharChar0">
    <w:name w:val="Char Char Char Char Char Char Char Char Char Char Char"/>
    <w:basedOn w:val="Normal"/>
    <w:rsid w:val="00AD4003"/>
    <w:pPr>
      <w:tabs>
        <w:tab w:val="left" w:pos="709"/>
      </w:tabs>
      <w:spacing w:before="240" w:after="240"/>
      <w:ind w:left="709"/>
      <w:jc w:val="both"/>
    </w:pPr>
    <w:rPr>
      <w:rFonts w:ascii="Arial" w:hAnsi="Arial"/>
      <w:lang w:val="pl-PL" w:eastAsia="pl-PL"/>
    </w:rPr>
  </w:style>
  <w:style w:type="numbering" w:customStyle="1" w:styleId="NoList1">
    <w:name w:val="No List1"/>
    <w:next w:val="NoList"/>
    <w:semiHidden/>
    <w:rsid w:val="008D7451"/>
  </w:style>
  <w:style w:type="character" w:customStyle="1" w:styleId="FooterChar">
    <w:name w:val="Footer Char"/>
    <w:link w:val="Footer"/>
    <w:uiPriority w:val="99"/>
    <w:rsid w:val="008D7451"/>
    <w:rPr>
      <w:sz w:val="24"/>
      <w:szCs w:val="24"/>
    </w:rPr>
  </w:style>
  <w:style w:type="character" w:customStyle="1" w:styleId="SubtitleChar">
    <w:name w:val="Subtitle Char"/>
    <w:link w:val="Subtitle"/>
    <w:rsid w:val="00C75FC3"/>
    <w:rPr>
      <w:rFonts w:ascii="Cambria" w:hAnsi="Cambria"/>
      <w:sz w:val="24"/>
      <w:szCs w:val="24"/>
    </w:rPr>
  </w:style>
  <w:style w:type="paragraph" w:customStyle="1" w:styleId="CharCharCharCaracterCaracterCharCharCaracterCaracter">
    <w:name w:val="Char Char Char Caracter Caracter Char Char Caracter Caracter"/>
    <w:basedOn w:val="Normal"/>
    <w:rsid w:val="00864909"/>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864909"/>
    <w:pPr>
      <w:tabs>
        <w:tab w:val="left" w:pos="709"/>
      </w:tabs>
    </w:pPr>
    <w:rPr>
      <w:rFonts w:ascii="Tahoma" w:hAnsi="Tahoma"/>
      <w:lang w:val="pl-PL" w:eastAsia="pl-PL"/>
    </w:rPr>
  </w:style>
  <w:style w:type="paragraph" w:customStyle="1" w:styleId="CharCharCharCharCharCharCharCharCharCharCharCharCharCharCharChar">
    <w:name w:val="Знак Char Char Char Знак Char Char Char Знак Char Char Char Char Char Char Char Char Char Char Знак"/>
    <w:basedOn w:val="Normal"/>
    <w:rsid w:val="00864909"/>
    <w:pPr>
      <w:tabs>
        <w:tab w:val="left" w:pos="709"/>
      </w:tabs>
    </w:pPr>
    <w:rPr>
      <w:rFonts w:ascii="Tahoma" w:hAnsi="Tahoma"/>
      <w:lang w:val="pl-PL" w:eastAsia="pl-PL"/>
    </w:rPr>
  </w:style>
  <w:style w:type="paragraph" w:customStyle="1" w:styleId="CharCharCharCharCharCharChar0">
    <w:name w:val="Char Char Знак Знак Char Знак Знак Char Char Char Знак Знак Char"/>
    <w:basedOn w:val="Normal"/>
    <w:rsid w:val="00864909"/>
    <w:pPr>
      <w:tabs>
        <w:tab w:val="left" w:pos="709"/>
      </w:tabs>
    </w:pPr>
    <w:rPr>
      <w:rFonts w:ascii="Tahoma" w:hAnsi="Tahoma"/>
      <w:lang w:val="pl-PL" w:eastAsia="pl-PL"/>
    </w:rPr>
  </w:style>
  <w:style w:type="paragraph" w:styleId="EndnoteText">
    <w:name w:val="endnote text"/>
    <w:basedOn w:val="Normal"/>
    <w:link w:val="EndnoteTextChar"/>
    <w:rsid w:val="00864909"/>
    <w:rPr>
      <w:sz w:val="20"/>
      <w:szCs w:val="20"/>
    </w:rPr>
  </w:style>
  <w:style w:type="character" w:customStyle="1" w:styleId="EndnoteTextChar">
    <w:name w:val="Endnote Text Char"/>
    <w:basedOn w:val="DefaultParagraphFont"/>
    <w:link w:val="EndnoteText"/>
    <w:rsid w:val="00864909"/>
  </w:style>
  <w:style w:type="character" w:styleId="EndnoteReference">
    <w:name w:val="endnote reference"/>
    <w:rsid w:val="00864909"/>
    <w:rPr>
      <w:vertAlign w:val="superscript"/>
    </w:rPr>
  </w:style>
  <w:style w:type="paragraph" w:styleId="Revision">
    <w:name w:val="Revision"/>
    <w:hidden/>
    <w:uiPriority w:val="99"/>
    <w:semiHidden/>
    <w:rsid w:val="00864909"/>
    <w:rPr>
      <w:sz w:val="24"/>
      <w:szCs w:val="24"/>
    </w:rPr>
  </w:style>
  <w:style w:type="paragraph" w:customStyle="1" w:styleId="CharCharChar1">
    <w:name w:val="Char Знак Char Char"/>
    <w:basedOn w:val="Normal"/>
    <w:rsid w:val="002F6570"/>
    <w:pPr>
      <w:tabs>
        <w:tab w:val="left" w:pos="709"/>
      </w:tabs>
    </w:pPr>
    <w:rPr>
      <w:rFonts w:ascii="Tahoma" w:hAnsi="Tahoma"/>
      <w:lang w:val="pl-PL" w:eastAsia="pl-PL"/>
    </w:rPr>
  </w:style>
  <w:style w:type="paragraph" w:customStyle="1" w:styleId="CharCharCharCharChar">
    <w:name w:val="Char Char Char Char Char"/>
    <w:basedOn w:val="Normal"/>
    <w:rsid w:val="00476DF7"/>
    <w:pPr>
      <w:tabs>
        <w:tab w:val="left" w:pos="709"/>
      </w:tabs>
    </w:pPr>
    <w:rPr>
      <w:rFonts w:ascii="Tahoma" w:hAnsi="Tahoma"/>
      <w:lang w:val="pl-PL" w:eastAsia="pl-PL"/>
    </w:rPr>
  </w:style>
  <w:style w:type="paragraph" w:customStyle="1" w:styleId="CharCharChar2">
    <w:name w:val="Char Знак Char Char Знак"/>
    <w:basedOn w:val="Normal"/>
    <w:rsid w:val="00D64C8C"/>
    <w:pPr>
      <w:tabs>
        <w:tab w:val="left" w:pos="709"/>
      </w:tabs>
    </w:pPr>
    <w:rPr>
      <w:rFonts w:ascii="Tahoma" w:hAnsi="Tahoma"/>
      <w:lang w:val="pl-PL" w:eastAsia="pl-PL"/>
    </w:rPr>
  </w:style>
  <w:style w:type="numbering" w:customStyle="1" w:styleId="NoList2">
    <w:name w:val="No List2"/>
    <w:next w:val="NoList"/>
    <w:semiHidden/>
    <w:rsid w:val="00D11255"/>
  </w:style>
  <w:style w:type="paragraph" w:customStyle="1" w:styleId="CharChar2">
    <w:name w:val="Char Char2"/>
    <w:basedOn w:val="Normal"/>
    <w:rsid w:val="00D11255"/>
    <w:pPr>
      <w:spacing w:before="120" w:after="160" w:line="240" w:lineRule="exact"/>
    </w:pPr>
    <w:rPr>
      <w:rFonts w:ascii="Tahoma" w:hAnsi="Tahoma"/>
      <w:sz w:val="20"/>
      <w:szCs w:val="20"/>
      <w:lang w:val="en-US" w:eastAsia="en-US"/>
    </w:rPr>
  </w:style>
  <w:style w:type="character" w:customStyle="1" w:styleId="CharChar4">
    <w:name w:val="Char Char4"/>
    <w:rsid w:val="00D11255"/>
    <w:rPr>
      <w:rFonts w:ascii="Cambria" w:hAnsi="Cambria"/>
      <w:sz w:val="24"/>
      <w:szCs w:val="24"/>
      <w:lang w:val="bg-BG" w:eastAsia="bg-BG" w:bidi="ar-SA"/>
    </w:rPr>
  </w:style>
  <w:style w:type="character" w:customStyle="1" w:styleId="Heading5Char">
    <w:name w:val="Heading 5 Char"/>
    <w:link w:val="Heading5"/>
    <w:rsid w:val="00D11255"/>
    <w:rPr>
      <w:i/>
      <w:sz w:val="22"/>
      <w:szCs w:val="24"/>
      <w:lang w:val="en-US" w:eastAsia="en-US"/>
    </w:rPr>
  </w:style>
  <w:style w:type="character" w:customStyle="1" w:styleId="Heading6Char">
    <w:name w:val="Heading 6 Char"/>
    <w:link w:val="Heading6"/>
    <w:rsid w:val="00D11255"/>
    <w:rPr>
      <w:i/>
      <w:sz w:val="24"/>
      <w:szCs w:val="24"/>
      <w:lang w:val="en-US" w:eastAsia="en-US"/>
    </w:rPr>
  </w:style>
  <w:style w:type="character" w:customStyle="1" w:styleId="Heading7Char">
    <w:name w:val="Heading 7 Char"/>
    <w:link w:val="Heading7"/>
    <w:rsid w:val="00D11255"/>
    <w:rPr>
      <w:i/>
      <w:sz w:val="22"/>
      <w:szCs w:val="24"/>
      <w:lang w:eastAsia="en-US"/>
    </w:rPr>
  </w:style>
  <w:style w:type="character" w:customStyle="1" w:styleId="Heading8Char">
    <w:name w:val="Heading 8 Char"/>
    <w:link w:val="Heading8"/>
    <w:rsid w:val="00D11255"/>
    <w:rPr>
      <w:b/>
      <w:snapToGrid w:val="0"/>
      <w:color w:val="000000"/>
      <w:sz w:val="22"/>
      <w:szCs w:val="24"/>
      <w:lang w:eastAsia="en-US"/>
    </w:rPr>
  </w:style>
  <w:style w:type="character" w:customStyle="1" w:styleId="Heading9Char">
    <w:name w:val="Heading 9 Char"/>
    <w:link w:val="Heading9"/>
    <w:rsid w:val="00D11255"/>
    <w:rPr>
      <w:b/>
      <w:bCs/>
      <w:i/>
      <w:iCs/>
      <w:lang w:val="en-US" w:eastAsia="en-US"/>
    </w:rPr>
  </w:style>
  <w:style w:type="character" w:customStyle="1" w:styleId="svstoyanova">
    <w:name w:val="svstoyanova"/>
    <w:semiHidden/>
    <w:rsid w:val="00516DD0"/>
    <w:rPr>
      <w:rFonts w:ascii="Arial" w:hAnsi="Arial" w:cs="Arial"/>
      <w:color w:val="000080"/>
      <w:sz w:val="20"/>
      <w:szCs w:val="20"/>
    </w:rPr>
  </w:style>
  <w:style w:type="table" w:customStyle="1" w:styleId="TableGrid2">
    <w:name w:val="Table Grid2"/>
    <w:basedOn w:val="TableNormal"/>
    <w:next w:val="TableGrid"/>
    <w:uiPriority w:val="59"/>
    <w:rsid w:val="004954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
    <w:name w:val="Знак Знак2 Char Char"/>
    <w:basedOn w:val="Normal"/>
    <w:semiHidden/>
    <w:rsid w:val="00B90766"/>
    <w:pPr>
      <w:tabs>
        <w:tab w:val="left" w:pos="709"/>
      </w:tabs>
    </w:pPr>
    <w:rPr>
      <w:rFonts w:ascii="Futura Bk" w:hAnsi="Futura Bk"/>
      <w:sz w:val="20"/>
      <w:lang w:val="pl-PL" w:eastAsia="pl-PL"/>
    </w:rPr>
  </w:style>
  <w:style w:type="paragraph" w:customStyle="1" w:styleId="Normal1">
    <w:name w:val="Normal1"/>
    <w:basedOn w:val="Normal"/>
    <w:rsid w:val="006E12F1"/>
    <w:pPr>
      <w:spacing w:before="100" w:beforeAutospacing="1" w:after="100" w:afterAutospacing="1"/>
    </w:pPr>
  </w:style>
  <w:style w:type="character" w:customStyle="1" w:styleId="normalchar">
    <w:name w:val="normal__char"/>
    <w:rsid w:val="006E12F1"/>
  </w:style>
  <w:style w:type="table" w:customStyle="1" w:styleId="TableGrid3">
    <w:name w:val="Table Grid3"/>
    <w:basedOn w:val="TableNormal"/>
    <w:next w:val="TableGrid"/>
    <w:uiPriority w:val="39"/>
    <w:rsid w:val="00B54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A32A4"/>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3">
    <w:name w:val="No List3"/>
    <w:next w:val="NoList"/>
    <w:uiPriority w:val="99"/>
    <w:semiHidden/>
    <w:unhideWhenUsed/>
    <w:rsid w:val="00B14402"/>
  </w:style>
  <w:style w:type="table" w:customStyle="1" w:styleId="LightList-Accent11">
    <w:name w:val="Light List - Accent 11"/>
    <w:basedOn w:val="TableNormal"/>
    <w:next w:val="LightList-Accent1"/>
    <w:uiPriority w:val="61"/>
    <w:rsid w:val="004904E9"/>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har3">
    <w:name w:val="Char Знак Знак"/>
    <w:basedOn w:val="Normal"/>
    <w:rsid w:val="00216500"/>
    <w:pPr>
      <w:tabs>
        <w:tab w:val="left" w:pos="709"/>
      </w:tabs>
    </w:pPr>
    <w:rPr>
      <w:rFonts w:ascii="Tahoma" w:hAnsi="Tahoma"/>
      <w:lang w:val="pl-PL" w:eastAsia="pl-PL"/>
    </w:rPr>
  </w:style>
  <w:style w:type="table" w:customStyle="1" w:styleId="TableGrid11">
    <w:name w:val="Table Grid11"/>
    <w:basedOn w:val="TableNormal"/>
    <w:next w:val="TableGrid"/>
    <w:uiPriority w:val="39"/>
    <w:rsid w:val="00981E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E13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E13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34A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E34A91"/>
  </w:style>
  <w:style w:type="character" w:customStyle="1" w:styleId="alt2">
    <w:name w:val="al_t2"/>
    <w:rsid w:val="00E34A91"/>
    <w:rPr>
      <w:vanish w:val="0"/>
      <w:webHidden w:val="0"/>
      <w:specVanish w:val="0"/>
    </w:rPr>
  </w:style>
  <w:style w:type="table" w:customStyle="1" w:styleId="TableGrid7">
    <w:name w:val="Table Grid7"/>
    <w:basedOn w:val="TableNormal"/>
    <w:next w:val="TableGrid"/>
    <w:uiPriority w:val="59"/>
    <w:rsid w:val="00EC4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A1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A1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562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CharCharCharCharCharCharChar">
    <w:name w:val="Char Char Char Char1 Char Char Char Char Char Char Char Char Char"/>
    <w:basedOn w:val="Normal"/>
    <w:rsid w:val="00DD526B"/>
    <w:pPr>
      <w:spacing w:after="160" w:line="240" w:lineRule="exact"/>
    </w:pPr>
    <w:rPr>
      <w:rFonts w:ascii="Tahoma" w:hAnsi="Tahoma"/>
      <w:sz w:val="20"/>
      <w:szCs w:val="20"/>
      <w:lang w:val="en-US" w:eastAsia="en-US"/>
    </w:rPr>
  </w:style>
  <w:style w:type="table" w:customStyle="1" w:styleId="TableGrid12">
    <w:name w:val="Table Grid12"/>
    <w:basedOn w:val="TableNormal"/>
    <w:next w:val="TableGrid"/>
    <w:uiPriority w:val="39"/>
    <w:rsid w:val="00250F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31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328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328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328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FA78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443B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60C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4673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F6A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085B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2726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2726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F963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0F52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C70F0"/>
  </w:style>
  <w:style w:type="table" w:customStyle="1" w:styleId="TableGrid26">
    <w:name w:val="Table Grid26"/>
    <w:basedOn w:val="TableNormal"/>
    <w:next w:val="TableGrid"/>
    <w:uiPriority w:val="39"/>
    <w:rsid w:val="00F14A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0B7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6F26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6B40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6B40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CC50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426C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3D5F"/>
    <w:pPr>
      <w:autoSpaceDE w:val="0"/>
      <w:autoSpaceDN w:val="0"/>
      <w:adjustRightInd w:val="0"/>
    </w:pPr>
    <w:rPr>
      <w:rFonts w:ascii="Arial" w:hAnsi="Arial" w:cs="Arial"/>
      <w:color w:val="000000"/>
      <w:sz w:val="24"/>
      <w:szCs w:val="24"/>
    </w:rPr>
  </w:style>
  <w:style w:type="table" w:customStyle="1" w:styleId="TableGrid34">
    <w:name w:val="Table Grid34"/>
    <w:basedOn w:val="TableNormal"/>
    <w:next w:val="TableGrid"/>
    <w:uiPriority w:val="39"/>
    <w:rsid w:val="009E59F4"/>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3A14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1F72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C31C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3F61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1405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B77D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936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F635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8D0B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FE0D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8258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4905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6852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6852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link w:val="Bodytext21"/>
    <w:locked/>
    <w:rsid w:val="00B670BD"/>
    <w:rPr>
      <w:rFonts w:ascii="Segoe UI" w:eastAsia="Segoe UI" w:hAnsi="Segoe UI" w:cs="Segoe UI"/>
      <w:sz w:val="21"/>
      <w:szCs w:val="21"/>
      <w:shd w:val="clear" w:color="auto" w:fill="FFFFFF"/>
    </w:rPr>
  </w:style>
  <w:style w:type="paragraph" w:customStyle="1" w:styleId="Bodytext21">
    <w:name w:val="Body text (2)"/>
    <w:basedOn w:val="Normal"/>
    <w:link w:val="Bodytext20"/>
    <w:rsid w:val="00B670BD"/>
    <w:pPr>
      <w:shd w:val="clear" w:color="auto" w:fill="FFFFFF"/>
      <w:spacing w:after="1140" w:line="0" w:lineRule="atLeast"/>
    </w:pPr>
    <w:rPr>
      <w:rFonts w:ascii="Segoe UI" w:eastAsia="Segoe UI" w:hAnsi="Segoe UI"/>
      <w:sz w:val="21"/>
      <w:szCs w:val="21"/>
      <w:lang w:val="x-none" w:eastAsia="x-none"/>
    </w:rPr>
  </w:style>
  <w:style w:type="table" w:customStyle="1" w:styleId="TableGrid49">
    <w:name w:val="Table Grid49"/>
    <w:basedOn w:val="TableNormal"/>
    <w:next w:val="TableGrid"/>
    <w:uiPriority w:val="39"/>
    <w:rsid w:val="004412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932B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9558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AE3E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AE3E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2 Char,Гл точки Char,Style 1 Char,C 1 Char,Normal List Char,Endnote Char,Indent Char,ПАРАГРАФ Char,List Paragraph1 Char,List1 Char,Colorful List - Accent 11 Char,List Paragraph11 Char,List Paragraph111 Char,Normal bullet 2 Char"/>
    <w:link w:val="ListParagraph"/>
    <w:uiPriority w:val="34"/>
    <w:qFormat/>
    <w:rsid w:val="00581628"/>
    <w:rPr>
      <w:rFonts w:eastAsia="Batang"/>
      <w:sz w:val="24"/>
      <w:szCs w:val="24"/>
      <w:lang w:eastAsia="ko-KR"/>
    </w:rPr>
  </w:style>
  <w:style w:type="table" w:customStyle="1" w:styleId="TableGrid211">
    <w:name w:val="Table Grid211"/>
    <w:basedOn w:val="TableNormal"/>
    <w:next w:val="TableGrid"/>
    <w:uiPriority w:val="39"/>
    <w:rsid w:val="00ED14B5"/>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441D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441D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8408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CB7B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CB7B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9E11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rsid w:val="00AD4E24"/>
    <w:rPr>
      <w:rFonts w:ascii="Times New Roman" w:hAnsi="Times New Roman" w:cs="Times New Roman"/>
      <w:sz w:val="22"/>
      <w:szCs w:val="22"/>
    </w:rPr>
  </w:style>
  <w:style w:type="character" w:customStyle="1" w:styleId="2">
    <w:name w:val="Основен текст (2)_"/>
    <w:link w:val="20"/>
    <w:rsid w:val="00066651"/>
    <w:rPr>
      <w:rFonts w:ascii="Calibri" w:hAnsi="Calibri"/>
      <w:shd w:val="clear" w:color="auto" w:fill="FFFFFF"/>
    </w:rPr>
  </w:style>
  <w:style w:type="paragraph" w:customStyle="1" w:styleId="20">
    <w:name w:val="Основен текст (2)"/>
    <w:basedOn w:val="Normal"/>
    <w:link w:val="2"/>
    <w:rsid w:val="00066651"/>
    <w:pPr>
      <w:widowControl w:val="0"/>
      <w:shd w:val="clear" w:color="auto" w:fill="FFFFFF"/>
      <w:spacing w:line="293" w:lineRule="exact"/>
      <w:jc w:val="both"/>
    </w:pPr>
    <w:rPr>
      <w:rFonts w:ascii="Calibri" w:hAnsi="Calibri"/>
      <w:sz w:val="20"/>
      <w:szCs w:val="20"/>
      <w:lang w:val="x-none" w:eastAsia="x-none"/>
    </w:rPr>
  </w:style>
  <w:style w:type="character" w:customStyle="1" w:styleId="4">
    <w:name w:val="Основен текст (4)_"/>
    <w:link w:val="40"/>
    <w:rsid w:val="00066651"/>
    <w:rPr>
      <w:rFonts w:ascii="Calibri" w:hAnsi="Calibri"/>
      <w:i/>
      <w:iCs/>
      <w:shd w:val="clear" w:color="auto" w:fill="FFFFFF"/>
    </w:rPr>
  </w:style>
  <w:style w:type="paragraph" w:customStyle="1" w:styleId="40">
    <w:name w:val="Основен текст (4)"/>
    <w:basedOn w:val="Normal"/>
    <w:link w:val="4"/>
    <w:rsid w:val="00066651"/>
    <w:pPr>
      <w:widowControl w:val="0"/>
      <w:shd w:val="clear" w:color="auto" w:fill="FFFFFF"/>
      <w:spacing w:line="293" w:lineRule="exact"/>
      <w:jc w:val="both"/>
    </w:pPr>
    <w:rPr>
      <w:rFonts w:ascii="Calibri" w:hAnsi="Calibri"/>
      <w:i/>
      <w:iCs/>
      <w:sz w:val="20"/>
      <w:szCs w:val="20"/>
      <w:lang w:val="x-none" w:eastAsia="x-none"/>
    </w:rPr>
  </w:style>
  <w:style w:type="character" w:customStyle="1" w:styleId="cursorpointer">
    <w:name w:val="cursorpointer"/>
    <w:basedOn w:val="DefaultParagraphFont"/>
    <w:rsid w:val="00F7474B"/>
  </w:style>
  <w:style w:type="paragraph" w:customStyle="1" w:styleId="a">
    <w:name w:val="Основен текст"/>
    <w:basedOn w:val="Normal"/>
    <w:rsid w:val="00A14160"/>
    <w:pPr>
      <w:widowControl w:val="0"/>
      <w:spacing w:line="252" w:lineRule="auto"/>
      <w:ind w:firstLine="400"/>
    </w:pPr>
    <w:rPr>
      <w:sz w:val="22"/>
      <w:szCs w:val="22"/>
      <w:lang w:eastAsia="en-US"/>
    </w:rPr>
  </w:style>
  <w:style w:type="character" w:customStyle="1" w:styleId="Heading11">
    <w:name w:val="Heading #1_"/>
    <w:locked/>
    <w:rsid w:val="00320800"/>
    <w:rPr>
      <w:b/>
      <w:bCs/>
      <w:sz w:val="32"/>
      <w:szCs w:val="32"/>
      <w:shd w:val="clear" w:color="auto" w:fill="FFFFFF"/>
    </w:rPr>
  </w:style>
  <w:style w:type="table" w:customStyle="1" w:styleId="TableGrid221">
    <w:name w:val="Table Grid221"/>
    <w:basedOn w:val="TableNormal"/>
    <w:uiPriority w:val="39"/>
    <w:rsid w:val="00043934"/>
    <w:rPr>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arChar">
    <w:name w:val="Char Char Char Char Car Char"/>
    <w:aliases w:val="Char Char,Char Char Char Char Car Char Char1,Char Char Char1,16 Point Char1,Superscript 6 Point Char1,ftref Char1,Char Char Char1 Char Char Char"/>
    <w:basedOn w:val="Normal"/>
    <w:next w:val="Normal"/>
    <w:link w:val="FootnoteReference"/>
    <w:uiPriority w:val="99"/>
    <w:rsid w:val="003B49F0"/>
    <w:pPr>
      <w:spacing w:line="240" w:lineRule="exact"/>
    </w:pPr>
    <w:rPr>
      <w:sz w:val="20"/>
      <w:szCs w:val="20"/>
      <w:vertAlign w:val="superscript"/>
      <w:lang w:val="x-none" w:eastAsia="x-none"/>
    </w:rPr>
  </w:style>
  <w:style w:type="paragraph" w:customStyle="1" w:styleId="BodyText1">
    <w:name w:val="Body Text1"/>
    <w:basedOn w:val="Normal"/>
    <w:rsid w:val="00863E3B"/>
    <w:pPr>
      <w:shd w:val="clear" w:color="auto" w:fill="FFFFFF"/>
      <w:spacing w:line="288" w:lineRule="exact"/>
      <w:jc w:val="both"/>
    </w:pPr>
    <w:rPr>
      <w:sz w:val="23"/>
      <w:szCs w:val="23"/>
    </w:rPr>
  </w:style>
  <w:style w:type="character" w:customStyle="1" w:styleId="Footnote">
    <w:name w:val="Footnote_"/>
    <w:locked/>
    <w:rsid w:val="00863E3B"/>
    <w:rPr>
      <w:sz w:val="24"/>
      <w:szCs w:val="24"/>
      <w:shd w:val="clear" w:color="auto" w:fill="FFFFFF"/>
    </w:rPr>
  </w:style>
  <w:style w:type="table" w:customStyle="1" w:styleId="TableGrid59">
    <w:name w:val="Table Grid59"/>
    <w:basedOn w:val="TableNormal"/>
    <w:next w:val="TableGrid"/>
    <w:uiPriority w:val="39"/>
    <w:rsid w:val="00FF49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AD05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rsid w:val="001E6976"/>
    <w:rPr>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E22A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E22A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E22A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E22A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rsid w:val="001A01D1"/>
    <w:rPr>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AC56F7"/>
    <w:rPr>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367A2"/>
    <w:rPr>
      <w:color w:val="605E5C"/>
      <w:shd w:val="clear" w:color="auto" w:fill="E1DFDD"/>
    </w:rPr>
  </w:style>
  <w:style w:type="table" w:customStyle="1" w:styleId="TableGrid3112">
    <w:name w:val="Table Grid3112"/>
    <w:basedOn w:val="TableNormal"/>
    <w:next w:val="TableGrid"/>
    <w:uiPriority w:val="39"/>
    <w:rsid w:val="0036413D"/>
    <w:rPr>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2">
    <w:name w:val="Table Grid221112"/>
    <w:basedOn w:val="TableNormal"/>
    <w:uiPriority w:val="39"/>
    <w:rsid w:val="0036413D"/>
    <w:rPr>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956AA"/>
    <w:rPr>
      <w:color w:val="605E5C"/>
      <w:shd w:val="clear" w:color="auto" w:fill="E1DFDD"/>
    </w:rPr>
  </w:style>
  <w:style w:type="character" w:customStyle="1" w:styleId="infolabel1">
    <w:name w:val="infolabel1"/>
    <w:rsid w:val="00DB77DA"/>
    <w:rPr>
      <w:color w:val="333399"/>
      <w:sz w:val="16"/>
      <w:szCs w:val="16"/>
    </w:rPr>
  </w:style>
  <w:style w:type="character" w:customStyle="1" w:styleId="UnresolvedMention3">
    <w:name w:val="Unresolved Mention3"/>
    <w:basedOn w:val="DefaultParagraphFont"/>
    <w:uiPriority w:val="99"/>
    <w:semiHidden/>
    <w:unhideWhenUsed/>
    <w:rsid w:val="00455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710">
      <w:bodyDiv w:val="1"/>
      <w:marLeft w:val="0"/>
      <w:marRight w:val="0"/>
      <w:marTop w:val="0"/>
      <w:marBottom w:val="0"/>
      <w:divBdr>
        <w:top w:val="none" w:sz="0" w:space="0" w:color="auto"/>
        <w:left w:val="none" w:sz="0" w:space="0" w:color="auto"/>
        <w:bottom w:val="none" w:sz="0" w:space="0" w:color="auto"/>
        <w:right w:val="none" w:sz="0" w:space="0" w:color="auto"/>
      </w:divBdr>
    </w:div>
    <w:div w:id="6761063">
      <w:bodyDiv w:val="1"/>
      <w:marLeft w:val="0"/>
      <w:marRight w:val="0"/>
      <w:marTop w:val="0"/>
      <w:marBottom w:val="0"/>
      <w:divBdr>
        <w:top w:val="none" w:sz="0" w:space="0" w:color="auto"/>
        <w:left w:val="none" w:sz="0" w:space="0" w:color="auto"/>
        <w:bottom w:val="none" w:sz="0" w:space="0" w:color="auto"/>
        <w:right w:val="none" w:sz="0" w:space="0" w:color="auto"/>
      </w:divBdr>
    </w:div>
    <w:div w:id="15693420">
      <w:bodyDiv w:val="1"/>
      <w:marLeft w:val="0"/>
      <w:marRight w:val="0"/>
      <w:marTop w:val="0"/>
      <w:marBottom w:val="0"/>
      <w:divBdr>
        <w:top w:val="none" w:sz="0" w:space="0" w:color="auto"/>
        <w:left w:val="none" w:sz="0" w:space="0" w:color="auto"/>
        <w:bottom w:val="none" w:sz="0" w:space="0" w:color="auto"/>
        <w:right w:val="none" w:sz="0" w:space="0" w:color="auto"/>
      </w:divBdr>
    </w:div>
    <w:div w:id="21982998">
      <w:bodyDiv w:val="1"/>
      <w:marLeft w:val="0"/>
      <w:marRight w:val="0"/>
      <w:marTop w:val="0"/>
      <w:marBottom w:val="0"/>
      <w:divBdr>
        <w:top w:val="none" w:sz="0" w:space="0" w:color="auto"/>
        <w:left w:val="none" w:sz="0" w:space="0" w:color="auto"/>
        <w:bottom w:val="none" w:sz="0" w:space="0" w:color="auto"/>
        <w:right w:val="none" w:sz="0" w:space="0" w:color="auto"/>
      </w:divBdr>
    </w:div>
    <w:div w:id="24409961">
      <w:bodyDiv w:val="1"/>
      <w:marLeft w:val="0"/>
      <w:marRight w:val="0"/>
      <w:marTop w:val="0"/>
      <w:marBottom w:val="0"/>
      <w:divBdr>
        <w:top w:val="none" w:sz="0" w:space="0" w:color="auto"/>
        <w:left w:val="none" w:sz="0" w:space="0" w:color="auto"/>
        <w:bottom w:val="none" w:sz="0" w:space="0" w:color="auto"/>
        <w:right w:val="none" w:sz="0" w:space="0" w:color="auto"/>
      </w:divBdr>
    </w:div>
    <w:div w:id="28655254">
      <w:bodyDiv w:val="1"/>
      <w:marLeft w:val="0"/>
      <w:marRight w:val="0"/>
      <w:marTop w:val="0"/>
      <w:marBottom w:val="0"/>
      <w:divBdr>
        <w:top w:val="none" w:sz="0" w:space="0" w:color="auto"/>
        <w:left w:val="none" w:sz="0" w:space="0" w:color="auto"/>
        <w:bottom w:val="none" w:sz="0" w:space="0" w:color="auto"/>
        <w:right w:val="none" w:sz="0" w:space="0" w:color="auto"/>
      </w:divBdr>
    </w:div>
    <w:div w:id="39477665">
      <w:bodyDiv w:val="1"/>
      <w:marLeft w:val="0"/>
      <w:marRight w:val="0"/>
      <w:marTop w:val="0"/>
      <w:marBottom w:val="0"/>
      <w:divBdr>
        <w:top w:val="none" w:sz="0" w:space="0" w:color="auto"/>
        <w:left w:val="none" w:sz="0" w:space="0" w:color="auto"/>
        <w:bottom w:val="none" w:sz="0" w:space="0" w:color="auto"/>
        <w:right w:val="none" w:sz="0" w:space="0" w:color="auto"/>
      </w:divBdr>
    </w:div>
    <w:div w:id="47726221">
      <w:bodyDiv w:val="1"/>
      <w:marLeft w:val="0"/>
      <w:marRight w:val="0"/>
      <w:marTop w:val="0"/>
      <w:marBottom w:val="0"/>
      <w:divBdr>
        <w:top w:val="none" w:sz="0" w:space="0" w:color="auto"/>
        <w:left w:val="none" w:sz="0" w:space="0" w:color="auto"/>
        <w:bottom w:val="none" w:sz="0" w:space="0" w:color="auto"/>
        <w:right w:val="none" w:sz="0" w:space="0" w:color="auto"/>
      </w:divBdr>
    </w:div>
    <w:div w:id="49035438">
      <w:bodyDiv w:val="1"/>
      <w:marLeft w:val="0"/>
      <w:marRight w:val="0"/>
      <w:marTop w:val="0"/>
      <w:marBottom w:val="0"/>
      <w:divBdr>
        <w:top w:val="none" w:sz="0" w:space="0" w:color="auto"/>
        <w:left w:val="none" w:sz="0" w:space="0" w:color="auto"/>
        <w:bottom w:val="none" w:sz="0" w:space="0" w:color="auto"/>
        <w:right w:val="none" w:sz="0" w:space="0" w:color="auto"/>
      </w:divBdr>
    </w:div>
    <w:div w:id="54857578">
      <w:bodyDiv w:val="1"/>
      <w:marLeft w:val="0"/>
      <w:marRight w:val="0"/>
      <w:marTop w:val="0"/>
      <w:marBottom w:val="0"/>
      <w:divBdr>
        <w:top w:val="none" w:sz="0" w:space="0" w:color="auto"/>
        <w:left w:val="none" w:sz="0" w:space="0" w:color="auto"/>
        <w:bottom w:val="none" w:sz="0" w:space="0" w:color="auto"/>
        <w:right w:val="none" w:sz="0" w:space="0" w:color="auto"/>
      </w:divBdr>
    </w:div>
    <w:div w:id="65686933">
      <w:bodyDiv w:val="1"/>
      <w:marLeft w:val="0"/>
      <w:marRight w:val="0"/>
      <w:marTop w:val="0"/>
      <w:marBottom w:val="0"/>
      <w:divBdr>
        <w:top w:val="none" w:sz="0" w:space="0" w:color="auto"/>
        <w:left w:val="none" w:sz="0" w:space="0" w:color="auto"/>
        <w:bottom w:val="none" w:sz="0" w:space="0" w:color="auto"/>
        <w:right w:val="none" w:sz="0" w:space="0" w:color="auto"/>
      </w:divBdr>
    </w:div>
    <w:div w:id="69432227">
      <w:bodyDiv w:val="1"/>
      <w:marLeft w:val="0"/>
      <w:marRight w:val="0"/>
      <w:marTop w:val="0"/>
      <w:marBottom w:val="0"/>
      <w:divBdr>
        <w:top w:val="none" w:sz="0" w:space="0" w:color="auto"/>
        <w:left w:val="none" w:sz="0" w:space="0" w:color="auto"/>
        <w:bottom w:val="none" w:sz="0" w:space="0" w:color="auto"/>
        <w:right w:val="none" w:sz="0" w:space="0" w:color="auto"/>
      </w:divBdr>
    </w:div>
    <w:div w:id="76174821">
      <w:bodyDiv w:val="1"/>
      <w:marLeft w:val="0"/>
      <w:marRight w:val="0"/>
      <w:marTop w:val="0"/>
      <w:marBottom w:val="0"/>
      <w:divBdr>
        <w:top w:val="none" w:sz="0" w:space="0" w:color="auto"/>
        <w:left w:val="none" w:sz="0" w:space="0" w:color="auto"/>
        <w:bottom w:val="none" w:sz="0" w:space="0" w:color="auto"/>
        <w:right w:val="none" w:sz="0" w:space="0" w:color="auto"/>
      </w:divBdr>
    </w:div>
    <w:div w:id="85468450">
      <w:bodyDiv w:val="1"/>
      <w:marLeft w:val="0"/>
      <w:marRight w:val="0"/>
      <w:marTop w:val="0"/>
      <w:marBottom w:val="0"/>
      <w:divBdr>
        <w:top w:val="none" w:sz="0" w:space="0" w:color="auto"/>
        <w:left w:val="none" w:sz="0" w:space="0" w:color="auto"/>
        <w:bottom w:val="none" w:sz="0" w:space="0" w:color="auto"/>
        <w:right w:val="none" w:sz="0" w:space="0" w:color="auto"/>
      </w:divBdr>
    </w:div>
    <w:div w:id="89129827">
      <w:bodyDiv w:val="1"/>
      <w:marLeft w:val="0"/>
      <w:marRight w:val="0"/>
      <w:marTop w:val="0"/>
      <w:marBottom w:val="0"/>
      <w:divBdr>
        <w:top w:val="none" w:sz="0" w:space="0" w:color="auto"/>
        <w:left w:val="none" w:sz="0" w:space="0" w:color="auto"/>
        <w:bottom w:val="none" w:sz="0" w:space="0" w:color="auto"/>
        <w:right w:val="none" w:sz="0" w:space="0" w:color="auto"/>
      </w:divBdr>
    </w:div>
    <w:div w:id="102459737">
      <w:bodyDiv w:val="1"/>
      <w:marLeft w:val="0"/>
      <w:marRight w:val="0"/>
      <w:marTop w:val="0"/>
      <w:marBottom w:val="0"/>
      <w:divBdr>
        <w:top w:val="none" w:sz="0" w:space="0" w:color="auto"/>
        <w:left w:val="none" w:sz="0" w:space="0" w:color="auto"/>
        <w:bottom w:val="none" w:sz="0" w:space="0" w:color="auto"/>
        <w:right w:val="none" w:sz="0" w:space="0" w:color="auto"/>
      </w:divBdr>
    </w:div>
    <w:div w:id="108939512">
      <w:bodyDiv w:val="1"/>
      <w:marLeft w:val="0"/>
      <w:marRight w:val="0"/>
      <w:marTop w:val="0"/>
      <w:marBottom w:val="0"/>
      <w:divBdr>
        <w:top w:val="none" w:sz="0" w:space="0" w:color="auto"/>
        <w:left w:val="none" w:sz="0" w:space="0" w:color="auto"/>
        <w:bottom w:val="none" w:sz="0" w:space="0" w:color="auto"/>
        <w:right w:val="none" w:sz="0" w:space="0" w:color="auto"/>
      </w:divBdr>
    </w:div>
    <w:div w:id="109981495">
      <w:bodyDiv w:val="1"/>
      <w:marLeft w:val="0"/>
      <w:marRight w:val="0"/>
      <w:marTop w:val="0"/>
      <w:marBottom w:val="0"/>
      <w:divBdr>
        <w:top w:val="none" w:sz="0" w:space="0" w:color="auto"/>
        <w:left w:val="none" w:sz="0" w:space="0" w:color="auto"/>
        <w:bottom w:val="none" w:sz="0" w:space="0" w:color="auto"/>
        <w:right w:val="none" w:sz="0" w:space="0" w:color="auto"/>
      </w:divBdr>
    </w:div>
    <w:div w:id="111095684">
      <w:bodyDiv w:val="1"/>
      <w:marLeft w:val="0"/>
      <w:marRight w:val="0"/>
      <w:marTop w:val="0"/>
      <w:marBottom w:val="0"/>
      <w:divBdr>
        <w:top w:val="none" w:sz="0" w:space="0" w:color="auto"/>
        <w:left w:val="none" w:sz="0" w:space="0" w:color="auto"/>
        <w:bottom w:val="none" w:sz="0" w:space="0" w:color="auto"/>
        <w:right w:val="none" w:sz="0" w:space="0" w:color="auto"/>
      </w:divBdr>
    </w:div>
    <w:div w:id="116994424">
      <w:bodyDiv w:val="1"/>
      <w:marLeft w:val="0"/>
      <w:marRight w:val="0"/>
      <w:marTop w:val="0"/>
      <w:marBottom w:val="0"/>
      <w:divBdr>
        <w:top w:val="none" w:sz="0" w:space="0" w:color="auto"/>
        <w:left w:val="none" w:sz="0" w:space="0" w:color="auto"/>
        <w:bottom w:val="none" w:sz="0" w:space="0" w:color="auto"/>
        <w:right w:val="none" w:sz="0" w:space="0" w:color="auto"/>
      </w:divBdr>
    </w:div>
    <w:div w:id="122500931">
      <w:bodyDiv w:val="1"/>
      <w:marLeft w:val="0"/>
      <w:marRight w:val="0"/>
      <w:marTop w:val="0"/>
      <w:marBottom w:val="0"/>
      <w:divBdr>
        <w:top w:val="none" w:sz="0" w:space="0" w:color="auto"/>
        <w:left w:val="none" w:sz="0" w:space="0" w:color="auto"/>
        <w:bottom w:val="none" w:sz="0" w:space="0" w:color="auto"/>
        <w:right w:val="none" w:sz="0" w:space="0" w:color="auto"/>
      </w:divBdr>
    </w:div>
    <w:div w:id="125660910">
      <w:bodyDiv w:val="1"/>
      <w:marLeft w:val="0"/>
      <w:marRight w:val="0"/>
      <w:marTop w:val="0"/>
      <w:marBottom w:val="0"/>
      <w:divBdr>
        <w:top w:val="none" w:sz="0" w:space="0" w:color="auto"/>
        <w:left w:val="none" w:sz="0" w:space="0" w:color="auto"/>
        <w:bottom w:val="none" w:sz="0" w:space="0" w:color="auto"/>
        <w:right w:val="none" w:sz="0" w:space="0" w:color="auto"/>
      </w:divBdr>
    </w:div>
    <w:div w:id="128477072">
      <w:bodyDiv w:val="1"/>
      <w:marLeft w:val="0"/>
      <w:marRight w:val="0"/>
      <w:marTop w:val="0"/>
      <w:marBottom w:val="0"/>
      <w:divBdr>
        <w:top w:val="none" w:sz="0" w:space="0" w:color="auto"/>
        <w:left w:val="none" w:sz="0" w:space="0" w:color="auto"/>
        <w:bottom w:val="none" w:sz="0" w:space="0" w:color="auto"/>
        <w:right w:val="none" w:sz="0" w:space="0" w:color="auto"/>
      </w:divBdr>
    </w:div>
    <w:div w:id="132136253">
      <w:bodyDiv w:val="1"/>
      <w:marLeft w:val="0"/>
      <w:marRight w:val="0"/>
      <w:marTop w:val="0"/>
      <w:marBottom w:val="0"/>
      <w:divBdr>
        <w:top w:val="none" w:sz="0" w:space="0" w:color="auto"/>
        <w:left w:val="none" w:sz="0" w:space="0" w:color="auto"/>
        <w:bottom w:val="none" w:sz="0" w:space="0" w:color="auto"/>
        <w:right w:val="none" w:sz="0" w:space="0" w:color="auto"/>
      </w:divBdr>
    </w:div>
    <w:div w:id="132448633">
      <w:bodyDiv w:val="1"/>
      <w:marLeft w:val="0"/>
      <w:marRight w:val="0"/>
      <w:marTop w:val="0"/>
      <w:marBottom w:val="0"/>
      <w:divBdr>
        <w:top w:val="none" w:sz="0" w:space="0" w:color="auto"/>
        <w:left w:val="none" w:sz="0" w:space="0" w:color="auto"/>
        <w:bottom w:val="none" w:sz="0" w:space="0" w:color="auto"/>
        <w:right w:val="none" w:sz="0" w:space="0" w:color="auto"/>
      </w:divBdr>
    </w:div>
    <w:div w:id="133908812">
      <w:bodyDiv w:val="1"/>
      <w:marLeft w:val="0"/>
      <w:marRight w:val="0"/>
      <w:marTop w:val="0"/>
      <w:marBottom w:val="0"/>
      <w:divBdr>
        <w:top w:val="none" w:sz="0" w:space="0" w:color="auto"/>
        <w:left w:val="none" w:sz="0" w:space="0" w:color="auto"/>
        <w:bottom w:val="none" w:sz="0" w:space="0" w:color="auto"/>
        <w:right w:val="none" w:sz="0" w:space="0" w:color="auto"/>
      </w:divBdr>
    </w:div>
    <w:div w:id="139150656">
      <w:bodyDiv w:val="1"/>
      <w:marLeft w:val="0"/>
      <w:marRight w:val="0"/>
      <w:marTop w:val="0"/>
      <w:marBottom w:val="0"/>
      <w:divBdr>
        <w:top w:val="none" w:sz="0" w:space="0" w:color="auto"/>
        <w:left w:val="none" w:sz="0" w:space="0" w:color="auto"/>
        <w:bottom w:val="none" w:sz="0" w:space="0" w:color="auto"/>
        <w:right w:val="none" w:sz="0" w:space="0" w:color="auto"/>
      </w:divBdr>
    </w:div>
    <w:div w:id="140777087">
      <w:bodyDiv w:val="1"/>
      <w:marLeft w:val="0"/>
      <w:marRight w:val="0"/>
      <w:marTop w:val="0"/>
      <w:marBottom w:val="0"/>
      <w:divBdr>
        <w:top w:val="none" w:sz="0" w:space="0" w:color="auto"/>
        <w:left w:val="none" w:sz="0" w:space="0" w:color="auto"/>
        <w:bottom w:val="none" w:sz="0" w:space="0" w:color="auto"/>
        <w:right w:val="none" w:sz="0" w:space="0" w:color="auto"/>
      </w:divBdr>
    </w:div>
    <w:div w:id="159858037">
      <w:bodyDiv w:val="1"/>
      <w:marLeft w:val="0"/>
      <w:marRight w:val="0"/>
      <w:marTop w:val="0"/>
      <w:marBottom w:val="0"/>
      <w:divBdr>
        <w:top w:val="none" w:sz="0" w:space="0" w:color="auto"/>
        <w:left w:val="none" w:sz="0" w:space="0" w:color="auto"/>
        <w:bottom w:val="none" w:sz="0" w:space="0" w:color="auto"/>
        <w:right w:val="none" w:sz="0" w:space="0" w:color="auto"/>
      </w:divBdr>
    </w:div>
    <w:div w:id="165369384">
      <w:bodyDiv w:val="1"/>
      <w:marLeft w:val="0"/>
      <w:marRight w:val="0"/>
      <w:marTop w:val="0"/>
      <w:marBottom w:val="0"/>
      <w:divBdr>
        <w:top w:val="none" w:sz="0" w:space="0" w:color="auto"/>
        <w:left w:val="none" w:sz="0" w:space="0" w:color="auto"/>
        <w:bottom w:val="none" w:sz="0" w:space="0" w:color="auto"/>
        <w:right w:val="none" w:sz="0" w:space="0" w:color="auto"/>
      </w:divBdr>
    </w:div>
    <w:div w:id="172493723">
      <w:bodyDiv w:val="1"/>
      <w:marLeft w:val="0"/>
      <w:marRight w:val="0"/>
      <w:marTop w:val="0"/>
      <w:marBottom w:val="0"/>
      <w:divBdr>
        <w:top w:val="none" w:sz="0" w:space="0" w:color="auto"/>
        <w:left w:val="none" w:sz="0" w:space="0" w:color="auto"/>
        <w:bottom w:val="none" w:sz="0" w:space="0" w:color="auto"/>
        <w:right w:val="none" w:sz="0" w:space="0" w:color="auto"/>
      </w:divBdr>
    </w:div>
    <w:div w:id="174003622">
      <w:bodyDiv w:val="1"/>
      <w:marLeft w:val="0"/>
      <w:marRight w:val="0"/>
      <w:marTop w:val="0"/>
      <w:marBottom w:val="0"/>
      <w:divBdr>
        <w:top w:val="none" w:sz="0" w:space="0" w:color="auto"/>
        <w:left w:val="none" w:sz="0" w:space="0" w:color="auto"/>
        <w:bottom w:val="none" w:sz="0" w:space="0" w:color="auto"/>
        <w:right w:val="none" w:sz="0" w:space="0" w:color="auto"/>
      </w:divBdr>
    </w:div>
    <w:div w:id="183447479">
      <w:bodyDiv w:val="1"/>
      <w:marLeft w:val="0"/>
      <w:marRight w:val="0"/>
      <w:marTop w:val="0"/>
      <w:marBottom w:val="0"/>
      <w:divBdr>
        <w:top w:val="none" w:sz="0" w:space="0" w:color="auto"/>
        <w:left w:val="none" w:sz="0" w:space="0" w:color="auto"/>
        <w:bottom w:val="none" w:sz="0" w:space="0" w:color="auto"/>
        <w:right w:val="none" w:sz="0" w:space="0" w:color="auto"/>
      </w:divBdr>
    </w:div>
    <w:div w:id="191845797">
      <w:bodyDiv w:val="1"/>
      <w:marLeft w:val="0"/>
      <w:marRight w:val="0"/>
      <w:marTop w:val="0"/>
      <w:marBottom w:val="0"/>
      <w:divBdr>
        <w:top w:val="none" w:sz="0" w:space="0" w:color="auto"/>
        <w:left w:val="none" w:sz="0" w:space="0" w:color="auto"/>
        <w:bottom w:val="none" w:sz="0" w:space="0" w:color="auto"/>
        <w:right w:val="none" w:sz="0" w:space="0" w:color="auto"/>
      </w:divBdr>
    </w:div>
    <w:div w:id="194271336">
      <w:bodyDiv w:val="1"/>
      <w:marLeft w:val="0"/>
      <w:marRight w:val="0"/>
      <w:marTop w:val="0"/>
      <w:marBottom w:val="0"/>
      <w:divBdr>
        <w:top w:val="none" w:sz="0" w:space="0" w:color="auto"/>
        <w:left w:val="none" w:sz="0" w:space="0" w:color="auto"/>
        <w:bottom w:val="none" w:sz="0" w:space="0" w:color="auto"/>
        <w:right w:val="none" w:sz="0" w:space="0" w:color="auto"/>
      </w:divBdr>
    </w:div>
    <w:div w:id="203490609">
      <w:bodyDiv w:val="1"/>
      <w:marLeft w:val="0"/>
      <w:marRight w:val="0"/>
      <w:marTop w:val="0"/>
      <w:marBottom w:val="0"/>
      <w:divBdr>
        <w:top w:val="none" w:sz="0" w:space="0" w:color="auto"/>
        <w:left w:val="none" w:sz="0" w:space="0" w:color="auto"/>
        <w:bottom w:val="none" w:sz="0" w:space="0" w:color="auto"/>
        <w:right w:val="none" w:sz="0" w:space="0" w:color="auto"/>
      </w:divBdr>
    </w:div>
    <w:div w:id="205994285">
      <w:bodyDiv w:val="1"/>
      <w:marLeft w:val="0"/>
      <w:marRight w:val="0"/>
      <w:marTop w:val="0"/>
      <w:marBottom w:val="0"/>
      <w:divBdr>
        <w:top w:val="none" w:sz="0" w:space="0" w:color="auto"/>
        <w:left w:val="none" w:sz="0" w:space="0" w:color="auto"/>
        <w:bottom w:val="none" w:sz="0" w:space="0" w:color="auto"/>
        <w:right w:val="none" w:sz="0" w:space="0" w:color="auto"/>
      </w:divBdr>
    </w:div>
    <w:div w:id="219287107">
      <w:bodyDiv w:val="1"/>
      <w:marLeft w:val="0"/>
      <w:marRight w:val="0"/>
      <w:marTop w:val="0"/>
      <w:marBottom w:val="0"/>
      <w:divBdr>
        <w:top w:val="none" w:sz="0" w:space="0" w:color="auto"/>
        <w:left w:val="none" w:sz="0" w:space="0" w:color="auto"/>
        <w:bottom w:val="none" w:sz="0" w:space="0" w:color="auto"/>
        <w:right w:val="none" w:sz="0" w:space="0" w:color="auto"/>
      </w:divBdr>
    </w:div>
    <w:div w:id="233860846">
      <w:bodyDiv w:val="1"/>
      <w:marLeft w:val="0"/>
      <w:marRight w:val="0"/>
      <w:marTop w:val="0"/>
      <w:marBottom w:val="0"/>
      <w:divBdr>
        <w:top w:val="none" w:sz="0" w:space="0" w:color="auto"/>
        <w:left w:val="none" w:sz="0" w:space="0" w:color="auto"/>
        <w:bottom w:val="none" w:sz="0" w:space="0" w:color="auto"/>
        <w:right w:val="none" w:sz="0" w:space="0" w:color="auto"/>
      </w:divBdr>
    </w:div>
    <w:div w:id="239876191">
      <w:bodyDiv w:val="1"/>
      <w:marLeft w:val="0"/>
      <w:marRight w:val="0"/>
      <w:marTop w:val="0"/>
      <w:marBottom w:val="0"/>
      <w:divBdr>
        <w:top w:val="none" w:sz="0" w:space="0" w:color="auto"/>
        <w:left w:val="none" w:sz="0" w:space="0" w:color="auto"/>
        <w:bottom w:val="none" w:sz="0" w:space="0" w:color="auto"/>
        <w:right w:val="none" w:sz="0" w:space="0" w:color="auto"/>
      </w:divBdr>
    </w:div>
    <w:div w:id="242296278">
      <w:bodyDiv w:val="1"/>
      <w:marLeft w:val="0"/>
      <w:marRight w:val="0"/>
      <w:marTop w:val="0"/>
      <w:marBottom w:val="0"/>
      <w:divBdr>
        <w:top w:val="none" w:sz="0" w:space="0" w:color="auto"/>
        <w:left w:val="none" w:sz="0" w:space="0" w:color="auto"/>
        <w:bottom w:val="none" w:sz="0" w:space="0" w:color="auto"/>
        <w:right w:val="none" w:sz="0" w:space="0" w:color="auto"/>
      </w:divBdr>
    </w:div>
    <w:div w:id="244414512">
      <w:bodyDiv w:val="1"/>
      <w:marLeft w:val="0"/>
      <w:marRight w:val="0"/>
      <w:marTop w:val="0"/>
      <w:marBottom w:val="0"/>
      <w:divBdr>
        <w:top w:val="none" w:sz="0" w:space="0" w:color="auto"/>
        <w:left w:val="none" w:sz="0" w:space="0" w:color="auto"/>
        <w:bottom w:val="none" w:sz="0" w:space="0" w:color="auto"/>
        <w:right w:val="none" w:sz="0" w:space="0" w:color="auto"/>
      </w:divBdr>
    </w:div>
    <w:div w:id="263152145">
      <w:bodyDiv w:val="1"/>
      <w:marLeft w:val="0"/>
      <w:marRight w:val="0"/>
      <w:marTop w:val="0"/>
      <w:marBottom w:val="0"/>
      <w:divBdr>
        <w:top w:val="none" w:sz="0" w:space="0" w:color="auto"/>
        <w:left w:val="none" w:sz="0" w:space="0" w:color="auto"/>
        <w:bottom w:val="none" w:sz="0" w:space="0" w:color="auto"/>
        <w:right w:val="none" w:sz="0" w:space="0" w:color="auto"/>
      </w:divBdr>
    </w:div>
    <w:div w:id="276839678">
      <w:bodyDiv w:val="1"/>
      <w:marLeft w:val="0"/>
      <w:marRight w:val="0"/>
      <w:marTop w:val="0"/>
      <w:marBottom w:val="0"/>
      <w:divBdr>
        <w:top w:val="none" w:sz="0" w:space="0" w:color="auto"/>
        <w:left w:val="none" w:sz="0" w:space="0" w:color="auto"/>
        <w:bottom w:val="none" w:sz="0" w:space="0" w:color="auto"/>
        <w:right w:val="none" w:sz="0" w:space="0" w:color="auto"/>
      </w:divBdr>
    </w:div>
    <w:div w:id="282612960">
      <w:bodyDiv w:val="1"/>
      <w:marLeft w:val="0"/>
      <w:marRight w:val="0"/>
      <w:marTop w:val="0"/>
      <w:marBottom w:val="0"/>
      <w:divBdr>
        <w:top w:val="none" w:sz="0" w:space="0" w:color="auto"/>
        <w:left w:val="none" w:sz="0" w:space="0" w:color="auto"/>
        <w:bottom w:val="none" w:sz="0" w:space="0" w:color="auto"/>
        <w:right w:val="none" w:sz="0" w:space="0" w:color="auto"/>
      </w:divBdr>
    </w:div>
    <w:div w:id="283658352">
      <w:bodyDiv w:val="1"/>
      <w:marLeft w:val="0"/>
      <w:marRight w:val="0"/>
      <w:marTop w:val="0"/>
      <w:marBottom w:val="0"/>
      <w:divBdr>
        <w:top w:val="none" w:sz="0" w:space="0" w:color="auto"/>
        <w:left w:val="none" w:sz="0" w:space="0" w:color="auto"/>
        <w:bottom w:val="none" w:sz="0" w:space="0" w:color="auto"/>
        <w:right w:val="none" w:sz="0" w:space="0" w:color="auto"/>
      </w:divBdr>
    </w:div>
    <w:div w:id="294526039">
      <w:bodyDiv w:val="1"/>
      <w:marLeft w:val="0"/>
      <w:marRight w:val="0"/>
      <w:marTop w:val="0"/>
      <w:marBottom w:val="0"/>
      <w:divBdr>
        <w:top w:val="none" w:sz="0" w:space="0" w:color="auto"/>
        <w:left w:val="none" w:sz="0" w:space="0" w:color="auto"/>
        <w:bottom w:val="none" w:sz="0" w:space="0" w:color="auto"/>
        <w:right w:val="none" w:sz="0" w:space="0" w:color="auto"/>
      </w:divBdr>
    </w:div>
    <w:div w:id="297035126">
      <w:bodyDiv w:val="1"/>
      <w:marLeft w:val="0"/>
      <w:marRight w:val="0"/>
      <w:marTop w:val="0"/>
      <w:marBottom w:val="0"/>
      <w:divBdr>
        <w:top w:val="none" w:sz="0" w:space="0" w:color="auto"/>
        <w:left w:val="none" w:sz="0" w:space="0" w:color="auto"/>
        <w:bottom w:val="none" w:sz="0" w:space="0" w:color="auto"/>
        <w:right w:val="none" w:sz="0" w:space="0" w:color="auto"/>
      </w:divBdr>
    </w:div>
    <w:div w:id="318731218">
      <w:bodyDiv w:val="1"/>
      <w:marLeft w:val="0"/>
      <w:marRight w:val="0"/>
      <w:marTop w:val="0"/>
      <w:marBottom w:val="0"/>
      <w:divBdr>
        <w:top w:val="none" w:sz="0" w:space="0" w:color="auto"/>
        <w:left w:val="none" w:sz="0" w:space="0" w:color="auto"/>
        <w:bottom w:val="none" w:sz="0" w:space="0" w:color="auto"/>
        <w:right w:val="none" w:sz="0" w:space="0" w:color="auto"/>
      </w:divBdr>
    </w:div>
    <w:div w:id="328871412">
      <w:bodyDiv w:val="1"/>
      <w:marLeft w:val="0"/>
      <w:marRight w:val="0"/>
      <w:marTop w:val="0"/>
      <w:marBottom w:val="0"/>
      <w:divBdr>
        <w:top w:val="none" w:sz="0" w:space="0" w:color="auto"/>
        <w:left w:val="none" w:sz="0" w:space="0" w:color="auto"/>
        <w:bottom w:val="none" w:sz="0" w:space="0" w:color="auto"/>
        <w:right w:val="none" w:sz="0" w:space="0" w:color="auto"/>
      </w:divBdr>
    </w:div>
    <w:div w:id="333188855">
      <w:bodyDiv w:val="1"/>
      <w:marLeft w:val="0"/>
      <w:marRight w:val="0"/>
      <w:marTop w:val="0"/>
      <w:marBottom w:val="0"/>
      <w:divBdr>
        <w:top w:val="none" w:sz="0" w:space="0" w:color="auto"/>
        <w:left w:val="none" w:sz="0" w:space="0" w:color="auto"/>
        <w:bottom w:val="none" w:sz="0" w:space="0" w:color="auto"/>
        <w:right w:val="none" w:sz="0" w:space="0" w:color="auto"/>
      </w:divBdr>
    </w:div>
    <w:div w:id="333388026">
      <w:bodyDiv w:val="1"/>
      <w:marLeft w:val="0"/>
      <w:marRight w:val="0"/>
      <w:marTop w:val="0"/>
      <w:marBottom w:val="0"/>
      <w:divBdr>
        <w:top w:val="none" w:sz="0" w:space="0" w:color="auto"/>
        <w:left w:val="none" w:sz="0" w:space="0" w:color="auto"/>
        <w:bottom w:val="none" w:sz="0" w:space="0" w:color="auto"/>
        <w:right w:val="none" w:sz="0" w:space="0" w:color="auto"/>
      </w:divBdr>
    </w:div>
    <w:div w:id="344020124">
      <w:bodyDiv w:val="1"/>
      <w:marLeft w:val="0"/>
      <w:marRight w:val="0"/>
      <w:marTop w:val="0"/>
      <w:marBottom w:val="0"/>
      <w:divBdr>
        <w:top w:val="none" w:sz="0" w:space="0" w:color="auto"/>
        <w:left w:val="none" w:sz="0" w:space="0" w:color="auto"/>
        <w:bottom w:val="none" w:sz="0" w:space="0" w:color="auto"/>
        <w:right w:val="none" w:sz="0" w:space="0" w:color="auto"/>
      </w:divBdr>
    </w:div>
    <w:div w:id="349529733">
      <w:bodyDiv w:val="1"/>
      <w:marLeft w:val="0"/>
      <w:marRight w:val="0"/>
      <w:marTop w:val="0"/>
      <w:marBottom w:val="0"/>
      <w:divBdr>
        <w:top w:val="none" w:sz="0" w:space="0" w:color="auto"/>
        <w:left w:val="none" w:sz="0" w:space="0" w:color="auto"/>
        <w:bottom w:val="none" w:sz="0" w:space="0" w:color="auto"/>
        <w:right w:val="none" w:sz="0" w:space="0" w:color="auto"/>
      </w:divBdr>
    </w:div>
    <w:div w:id="354891861">
      <w:bodyDiv w:val="1"/>
      <w:marLeft w:val="0"/>
      <w:marRight w:val="0"/>
      <w:marTop w:val="0"/>
      <w:marBottom w:val="0"/>
      <w:divBdr>
        <w:top w:val="none" w:sz="0" w:space="0" w:color="auto"/>
        <w:left w:val="none" w:sz="0" w:space="0" w:color="auto"/>
        <w:bottom w:val="none" w:sz="0" w:space="0" w:color="auto"/>
        <w:right w:val="none" w:sz="0" w:space="0" w:color="auto"/>
      </w:divBdr>
    </w:div>
    <w:div w:id="355354243">
      <w:bodyDiv w:val="1"/>
      <w:marLeft w:val="0"/>
      <w:marRight w:val="0"/>
      <w:marTop w:val="0"/>
      <w:marBottom w:val="0"/>
      <w:divBdr>
        <w:top w:val="none" w:sz="0" w:space="0" w:color="auto"/>
        <w:left w:val="none" w:sz="0" w:space="0" w:color="auto"/>
        <w:bottom w:val="none" w:sz="0" w:space="0" w:color="auto"/>
        <w:right w:val="none" w:sz="0" w:space="0" w:color="auto"/>
      </w:divBdr>
    </w:div>
    <w:div w:id="355665871">
      <w:bodyDiv w:val="1"/>
      <w:marLeft w:val="0"/>
      <w:marRight w:val="0"/>
      <w:marTop w:val="0"/>
      <w:marBottom w:val="0"/>
      <w:divBdr>
        <w:top w:val="none" w:sz="0" w:space="0" w:color="auto"/>
        <w:left w:val="none" w:sz="0" w:space="0" w:color="auto"/>
        <w:bottom w:val="none" w:sz="0" w:space="0" w:color="auto"/>
        <w:right w:val="none" w:sz="0" w:space="0" w:color="auto"/>
      </w:divBdr>
    </w:div>
    <w:div w:id="356080014">
      <w:bodyDiv w:val="1"/>
      <w:marLeft w:val="0"/>
      <w:marRight w:val="0"/>
      <w:marTop w:val="0"/>
      <w:marBottom w:val="0"/>
      <w:divBdr>
        <w:top w:val="none" w:sz="0" w:space="0" w:color="auto"/>
        <w:left w:val="none" w:sz="0" w:space="0" w:color="auto"/>
        <w:bottom w:val="none" w:sz="0" w:space="0" w:color="auto"/>
        <w:right w:val="none" w:sz="0" w:space="0" w:color="auto"/>
      </w:divBdr>
    </w:div>
    <w:div w:id="356784294">
      <w:bodyDiv w:val="1"/>
      <w:marLeft w:val="0"/>
      <w:marRight w:val="0"/>
      <w:marTop w:val="0"/>
      <w:marBottom w:val="0"/>
      <w:divBdr>
        <w:top w:val="none" w:sz="0" w:space="0" w:color="auto"/>
        <w:left w:val="none" w:sz="0" w:space="0" w:color="auto"/>
        <w:bottom w:val="none" w:sz="0" w:space="0" w:color="auto"/>
        <w:right w:val="none" w:sz="0" w:space="0" w:color="auto"/>
      </w:divBdr>
    </w:div>
    <w:div w:id="369767747">
      <w:bodyDiv w:val="1"/>
      <w:marLeft w:val="0"/>
      <w:marRight w:val="0"/>
      <w:marTop w:val="0"/>
      <w:marBottom w:val="0"/>
      <w:divBdr>
        <w:top w:val="none" w:sz="0" w:space="0" w:color="auto"/>
        <w:left w:val="none" w:sz="0" w:space="0" w:color="auto"/>
        <w:bottom w:val="none" w:sz="0" w:space="0" w:color="auto"/>
        <w:right w:val="none" w:sz="0" w:space="0" w:color="auto"/>
      </w:divBdr>
    </w:div>
    <w:div w:id="370768753">
      <w:bodyDiv w:val="1"/>
      <w:marLeft w:val="0"/>
      <w:marRight w:val="0"/>
      <w:marTop w:val="0"/>
      <w:marBottom w:val="0"/>
      <w:divBdr>
        <w:top w:val="none" w:sz="0" w:space="0" w:color="auto"/>
        <w:left w:val="none" w:sz="0" w:space="0" w:color="auto"/>
        <w:bottom w:val="none" w:sz="0" w:space="0" w:color="auto"/>
        <w:right w:val="none" w:sz="0" w:space="0" w:color="auto"/>
      </w:divBdr>
      <w:divsChild>
        <w:div w:id="1183010878">
          <w:marLeft w:val="0"/>
          <w:marRight w:val="0"/>
          <w:marTop w:val="0"/>
          <w:marBottom w:val="0"/>
          <w:divBdr>
            <w:top w:val="none" w:sz="0" w:space="0" w:color="auto"/>
            <w:left w:val="none" w:sz="0" w:space="0" w:color="auto"/>
            <w:bottom w:val="none" w:sz="0" w:space="0" w:color="auto"/>
            <w:right w:val="none" w:sz="0" w:space="0" w:color="auto"/>
          </w:divBdr>
        </w:div>
        <w:div w:id="228345591">
          <w:marLeft w:val="0"/>
          <w:marRight w:val="0"/>
          <w:marTop w:val="0"/>
          <w:marBottom w:val="0"/>
          <w:divBdr>
            <w:top w:val="none" w:sz="0" w:space="0" w:color="auto"/>
            <w:left w:val="none" w:sz="0" w:space="0" w:color="auto"/>
            <w:bottom w:val="none" w:sz="0" w:space="0" w:color="auto"/>
            <w:right w:val="none" w:sz="0" w:space="0" w:color="auto"/>
          </w:divBdr>
        </w:div>
      </w:divsChild>
    </w:div>
    <w:div w:id="385568391">
      <w:bodyDiv w:val="1"/>
      <w:marLeft w:val="0"/>
      <w:marRight w:val="0"/>
      <w:marTop w:val="0"/>
      <w:marBottom w:val="0"/>
      <w:divBdr>
        <w:top w:val="none" w:sz="0" w:space="0" w:color="auto"/>
        <w:left w:val="none" w:sz="0" w:space="0" w:color="auto"/>
        <w:bottom w:val="none" w:sz="0" w:space="0" w:color="auto"/>
        <w:right w:val="none" w:sz="0" w:space="0" w:color="auto"/>
      </w:divBdr>
    </w:div>
    <w:div w:id="393509865">
      <w:bodyDiv w:val="1"/>
      <w:marLeft w:val="0"/>
      <w:marRight w:val="0"/>
      <w:marTop w:val="0"/>
      <w:marBottom w:val="0"/>
      <w:divBdr>
        <w:top w:val="none" w:sz="0" w:space="0" w:color="auto"/>
        <w:left w:val="none" w:sz="0" w:space="0" w:color="auto"/>
        <w:bottom w:val="none" w:sz="0" w:space="0" w:color="auto"/>
        <w:right w:val="none" w:sz="0" w:space="0" w:color="auto"/>
      </w:divBdr>
    </w:div>
    <w:div w:id="404566746">
      <w:bodyDiv w:val="1"/>
      <w:marLeft w:val="0"/>
      <w:marRight w:val="0"/>
      <w:marTop w:val="0"/>
      <w:marBottom w:val="0"/>
      <w:divBdr>
        <w:top w:val="none" w:sz="0" w:space="0" w:color="auto"/>
        <w:left w:val="none" w:sz="0" w:space="0" w:color="auto"/>
        <w:bottom w:val="none" w:sz="0" w:space="0" w:color="auto"/>
        <w:right w:val="none" w:sz="0" w:space="0" w:color="auto"/>
      </w:divBdr>
    </w:div>
    <w:div w:id="408425896">
      <w:bodyDiv w:val="1"/>
      <w:marLeft w:val="0"/>
      <w:marRight w:val="0"/>
      <w:marTop w:val="0"/>
      <w:marBottom w:val="0"/>
      <w:divBdr>
        <w:top w:val="none" w:sz="0" w:space="0" w:color="auto"/>
        <w:left w:val="none" w:sz="0" w:space="0" w:color="auto"/>
        <w:bottom w:val="none" w:sz="0" w:space="0" w:color="auto"/>
        <w:right w:val="none" w:sz="0" w:space="0" w:color="auto"/>
      </w:divBdr>
    </w:div>
    <w:div w:id="411708723">
      <w:bodyDiv w:val="1"/>
      <w:marLeft w:val="0"/>
      <w:marRight w:val="0"/>
      <w:marTop w:val="0"/>
      <w:marBottom w:val="0"/>
      <w:divBdr>
        <w:top w:val="none" w:sz="0" w:space="0" w:color="auto"/>
        <w:left w:val="none" w:sz="0" w:space="0" w:color="auto"/>
        <w:bottom w:val="none" w:sz="0" w:space="0" w:color="auto"/>
        <w:right w:val="none" w:sz="0" w:space="0" w:color="auto"/>
      </w:divBdr>
    </w:div>
    <w:div w:id="411975309">
      <w:bodyDiv w:val="1"/>
      <w:marLeft w:val="0"/>
      <w:marRight w:val="0"/>
      <w:marTop w:val="0"/>
      <w:marBottom w:val="0"/>
      <w:divBdr>
        <w:top w:val="none" w:sz="0" w:space="0" w:color="auto"/>
        <w:left w:val="none" w:sz="0" w:space="0" w:color="auto"/>
        <w:bottom w:val="none" w:sz="0" w:space="0" w:color="auto"/>
        <w:right w:val="none" w:sz="0" w:space="0" w:color="auto"/>
      </w:divBdr>
    </w:div>
    <w:div w:id="415252928">
      <w:bodyDiv w:val="1"/>
      <w:marLeft w:val="0"/>
      <w:marRight w:val="0"/>
      <w:marTop w:val="0"/>
      <w:marBottom w:val="0"/>
      <w:divBdr>
        <w:top w:val="none" w:sz="0" w:space="0" w:color="auto"/>
        <w:left w:val="none" w:sz="0" w:space="0" w:color="auto"/>
        <w:bottom w:val="none" w:sz="0" w:space="0" w:color="auto"/>
        <w:right w:val="none" w:sz="0" w:space="0" w:color="auto"/>
      </w:divBdr>
    </w:div>
    <w:div w:id="416219631">
      <w:bodyDiv w:val="1"/>
      <w:marLeft w:val="0"/>
      <w:marRight w:val="0"/>
      <w:marTop w:val="0"/>
      <w:marBottom w:val="0"/>
      <w:divBdr>
        <w:top w:val="none" w:sz="0" w:space="0" w:color="auto"/>
        <w:left w:val="none" w:sz="0" w:space="0" w:color="auto"/>
        <w:bottom w:val="none" w:sz="0" w:space="0" w:color="auto"/>
        <w:right w:val="none" w:sz="0" w:space="0" w:color="auto"/>
      </w:divBdr>
    </w:div>
    <w:div w:id="419832006">
      <w:bodyDiv w:val="1"/>
      <w:marLeft w:val="0"/>
      <w:marRight w:val="0"/>
      <w:marTop w:val="0"/>
      <w:marBottom w:val="0"/>
      <w:divBdr>
        <w:top w:val="none" w:sz="0" w:space="0" w:color="auto"/>
        <w:left w:val="none" w:sz="0" w:space="0" w:color="auto"/>
        <w:bottom w:val="none" w:sz="0" w:space="0" w:color="auto"/>
        <w:right w:val="none" w:sz="0" w:space="0" w:color="auto"/>
      </w:divBdr>
    </w:div>
    <w:div w:id="419984618">
      <w:bodyDiv w:val="1"/>
      <w:marLeft w:val="0"/>
      <w:marRight w:val="0"/>
      <w:marTop w:val="0"/>
      <w:marBottom w:val="0"/>
      <w:divBdr>
        <w:top w:val="none" w:sz="0" w:space="0" w:color="auto"/>
        <w:left w:val="none" w:sz="0" w:space="0" w:color="auto"/>
        <w:bottom w:val="none" w:sz="0" w:space="0" w:color="auto"/>
        <w:right w:val="none" w:sz="0" w:space="0" w:color="auto"/>
      </w:divBdr>
    </w:div>
    <w:div w:id="423495340">
      <w:bodyDiv w:val="1"/>
      <w:marLeft w:val="0"/>
      <w:marRight w:val="0"/>
      <w:marTop w:val="0"/>
      <w:marBottom w:val="0"/>
      <w:divBdr>
        <w:top w:val="none" w:sz="0" w:space="0" w:color="auto"/>
        <w:left w:val="none" w:sz="0" w:space="0" w:color="auto"/>
        <w:bottom w:val="none" w:sz="0" w:space="0" w:color="auto"/>
        <w:right w:val="none" w:sz="0" w:space="0" w:color="auto"/>
      </w:divBdr>
    </w:div>
    <w:div w:id="424152083">
      <w:bodyDiv w:val="1"/>
      <w:marLeft w:val="0"/>
      <w:marRight w:val="0"/>
      <w:marTop w:val="0"/>
      <w:marBottom w:val="0"/>
      <w:divBdr>
        <w:top w:val="none" w:sz="0" w:space="0" w:color="auto"/>
        <w:left w:val="none" w:sz="0" w:space="0" w:color="auto"/>
        <w:bottom w:val="none" w:sz="0" w:space="0" w:color="auto"/>
        <w:right w:val="none" w:sz="0" w:space="0" w:color="auto"/>
      </w:divBdr>
    </w:div>
    <w:div w:id="431633183">
      <w:bodyDiv w:val="1"/>
      <w:marLeft w:val="0"/>
      <w:marRight w:val="0"/>
      <w:marTop w:val="0"/>
      <w:marBottom w:val="0"/>
      <w:divBdr>
        <w:top w:val="none" w:sz="0" w:space="0" w:color="auto"/>
        <w:left w:val="none" w:sz="0" w:space="0" w:color="auto"/>
        <w:bottom w:val="none" w:sz="0" w:space="0" w:color="auto"/>
        <w:right w:val="none" w:sz="0" w:space="0" w:color="auto"/>
      </w:divBdr>
    </w:div>
    <w:div w:id="442110962">
      <w:bodyDiv w:val="1"/>
      <w:marLeft w:val="0"/>
      <w:marRight w:val="0"/>
      <w:marTop w:val="0"/>
      <w:marBottom w:val="0"/>
      <w:divBdr>
        <w:top w:val="none" w:sz="0" w:space="0" w:color="auto"/>
        <w:left w:val="none" w:sz="0" w:space="0" w:color="auto"/>
        <w:bottom w:val="none" w:sz="0" w:space="0" w:color="auto"/>
        <w:right w:val="none" w:sz="0" w:space="0" w:color="auto"/>
      </w:divBdr>
    </w:div>
    <w:div w:id="448820926">
      <w:bodyDiv w:val="1"/>
      <w:marLeft w:val="0"/>
      <w:marRight w:val="0"/>
      <w:marTop w:val="0"/>
      <w:marBottom w:val="0"/>
      <w:divBdr>
        <w:top w:val="none" w:sz="0" w:space="0" w:color="auto"/>
        <w:left w:val="none" w:sz="0" w:space="0" w:color="auto"/>
        <w:bottom w:val="none" w:sz="0" w:space="0" w:color="auto"/>
        <w:right w:val="none" w:sz="0" w:space="0" w:color="auto"/>
      </w:divBdr>
    </w:div>
    <w:div w:id="461387710">
      <w:bodyDiv w:val="1"/>
      <w:marLeft w:val="0"/>
      <w:marRight w:val="0"/>
      <w:marTop w:val="0"/>
      <w:marBottom w:val="0"/>
      <w:divBdr>
        <w:top w:val="none" w:sz="0" w:space="0" w:color="auto"/>
        <w:left w:val="none" w:sz="0" w:space="0" w:color="auto"/>
        <w:bottom w:val="none" w:sz="0" w:space="0" w:color="auto"/>
        <w:right w:val="none" w:sz="0" w:space="0" w:color="auto"/>
      </w:divBdr>
    </w:div>
    <w:div w:id="467942376">
      <w:bodyDiv w:val="1"/>
      <w:marLeft w:val="0"/>
      <w:marRight w:val="0"/>
      <w:marTop w:val="0"/>
      <w:marBottom w:val="0"/>
      <w:divBdr>
        <w:top w:val="none" w:sz="0" w:space="0" w:color="auto"/>
        <w:left w:val="none" w:sz="0" w:space="0" w:color="auto"/>
        <w:bottom w:val="none" w:sz="0" w:space="0" w:color="auto"/>
        <w:right w:val="none" w:sz="0" w:space="0" w:color="auto"/>
      </w:divBdr>
    </w:div>
    <w:div w:id="468716155">
      <w:bodyDiv w:val="1"/>
      <w:marLeft w:val="0"/>
      <w:marRight w:val="0"/>
      <w:marTop w:val="0"/>
      <w:marBottom w:val="0"/>
      <w:divBdr>
        <w:top w:val="none" w:sz="0" w:space="0" w:color="auto"/>
        <w:left w:val="none" w:sz="0" w:space="0" w:color="auto"/>
        <w:bottom w:val="none" w:sz="0" w:space="0" w:color="auto"/>
        <w:right w:val="none" w:sz="0" w:space="0" w:color="auto"/>
      </w:divBdr>
    </w:div>
    <w:div w:id="470632796">
      <w:bodyDiv w:val="1"/>
      <w:marLeft w:val="0"/>
      <w:marRight w:val="0"/>
      <w:marTop w:val="0"/>
      <w:marBottom w:val="0"/>
      <w:divBdr>
        <w:top w:val="none" w:sz="0" w:space="0" w:color="auto"/>
        <w:left w:val="none" w:sz="0" w:space="0" w:color="auto"/>
        <w:bottom w:val="none" w:sz="0" w:space="0" w:color="auto"/>
        <w:right w:val="none" w:sz="0" w:space="0" w:color="auto"/>
      </w:divBdr>
    </w:div>
    <w:div w:id="475226311">
      <w:bodyDiv w:val="1"/>
      <w:marLeft w:val="0"/>
      <w:marRight w:val="0"/>
      <w:marTop w:val="0"/>
      <w:marBottom w:val="0"/>
      <w:divBdr>
        <w:top w:val="none" w:sz="0" w:space="0" w:color="auto"/>
        <w:left w:val="none" w:sz="0" w:space="0" w:color="auto"/>
        <w:bottom w:val="none" w:sz="0" w:space="0" w:color="auto"/>
        <w:right w:val="none" w:sz="0" w:space="0" w:color="auto"/>
      </w:divBdr>
    </w:div>
    <w:div w:id="481391475">
      <w:bodyDiv w:val="1"/>
      <w:marLeft w:val="0"/>
      <w:marRight w:val="0"/>
      <w:marTop w:val="0"/>
      <w:marBottom w:val="0"/>
      <w:divBdr>
        <w:top w:val="none" w:sz="0" w:space="0" w:color="auto"/>
        <w:left w:val="none" w:sz="0" w:space="0" w:color="auto"/>
        <w:bottom w:val="none" w:sz="0" w:space="0" w:color="auto"/>
        <w:right w:val="none" w:sz="0" w:space="0" w:color="auto"/>
      </w:divBdr>
    </w:div>
    <w:div w:id="484401137">
      <w:bodyDiv w:val="1"/>
      <w:marLeft w:val="0"/>
      <w:marRight w:val="0"/>
      <w:marTop w:val="0"/>
      <w:marBottom w:val="0"/>
      <w:divBdr>
        <w:top w:val="none" w:sz="0" w:space="0" w:color="auto"/>
        <w:left w:val="none" w:sz="0" w:space="0" w:color="auto"/>
        <w:bottom w:val="none" w:sz="0" w:space="0" w:color="auto"/>
        <w:right w:val="none" w:sz="0" w:space="0" w:color="auto"/>
      </w:divBdr>
    </w:div>
    <w:div w:id="496386665">
      <w:bodyDiv w:val="1"/>
      <w:marLeft w:val="0"/>
      <w:marRight w:val="0"/>
      <w:marTop w:val="0"/>
      <w:marBottom w:val="0"/>
      <w:divBdr>
        <w:top w:val="none" w:sz="0" w:space="0" w:color="auto"/>
        <w:left w:val="none" w:sz="0" w:space="0" w:color="auto"/>
        <w:bottom w:val="none" w:sz="0" w:space="0" w:color="auto"/>
        <w:right w:val="none" w:sz="0" w:space="0" w:color="auto"/>
      </w:divBdr>
    </w:div>
    <w:div w:id="497112827">
      <w:bodyDiv w:val="1"/>
      <w:marLeft w:val="0"/>
      <w:marRight w:val="0"/>
      <w:marTop w:val="0"/>
      <w:marBottom w:val="0"/>
      <w:divBdr>
        <w:top w:val="none" w:sz="0" w:space="0" w:color="auto"/>
        <w:left w:val="none" w:sz="0" w:space="0" w:color="auto"/>
        <w:bottom w:val="none" w:sz="0" w:space="0" w:color="auto"/>
        <w:right w:val="none" w:sz="0" w:space="0" w:color="auto"/>
      </w:divBdr>
    </w:div>
    <w:div w:id="499000899">
      <w:bodyDiv w:val="1"/>
      <w:marLeft w:val="0"/>
      <w:marRight w:val="0"/>
      <w:marTop w:val="0"/>
      <w:marBottom w:val="0"/>
      <w:divBdr>
        <w:top w:val="none" w:sz="0" w:space="0" w:color="auto"/>
        <w:left w:val="none" w:sz="0" w:space="0" w:color="auto"/>
        <w:bottom w:val="none" w:sz="0" w:space="0" w:color="auto"/>
        <w:right w:val="none" w:sz="0" w:space="0" w:color="auto"/>
      </w:divBdr>
    </w:div>
    <w:div w:id="500511946">
      <w:bodyDiv w:val="1"/>
      <w:marLeft w:val="0"/>
      <w:marRight w:val="0"/>
      <w:marTop w:val="0"/>
      <w:marBottom w:val="0"/>
      <w:divBdr>
        <w:top w:val="none" w:sz="0" w:space="0" w:color="auto"/>
        <w:left w:val="none" w:sz="0" w:space="0" w:color="auto"/>
        <w:bottom w:val="none" w:sz="0" w:space="0" w:color="auto"/>
        <w:right w:val="none" w:sz="0" w:space="0" w:color="auto"/>
      </w:divBdr>
    </w:div>
    <w:div w:id="505092722">
      <w:bodyDiv w:val="1"/>
      <w:marLeft w:val="0"/>
      <w:marRight w:val="0"/>
      <w:marTop w:val="0"/>
      <w:marBottom w:val="0"/>
      <w:divBdr>
        <w:top w:val="none" w:sz="0" w:space="0" w:color="auto"/>
        <w:left w:val="none" w:sz="0" w:space="0" w:color="auto"/>
        <w:bottom w:val="none" w:sz="0" w:space="0" w:color="auto"/>
        <w:right w:val="none" w:sz="0" w:space="0" w:color="auto"/>
      </w:divBdr>
    </w:div>
    <w:div w:id="510754792">
      <w:bodyDiv w:val="1"/>
      <w:marLeft w:val="0"/>
      <w:marRight w:val="0"/>
      <w:marTop w:val="0"/>
      <w:marBottom w:val="0"/>
      <w:divBdr>
        <w:top w:val="none" w:sz="0" w:space="0" w:color="auto"/>
        <w:left w:val="none" w:sz="0" w:space="0" w:color="auto"/>
        <w:bottom w:val="none" w:sz="0" w:space="0" w:color="auto"/>
        <w:right w:val="none" w:sz="0" w:space="0" w:color="auto"/>
      </w:divBdr>
    </w:div>
    <w:div w:id="513692978">
      <w:bodyDiv w:val="1"/>
      <w:marLeft w:val="0"/>
      <w:marRight w:val="0"/>
      <w:marTop w:val="0"/>
      <w:marBottom w:val="0"/>
      <w:divBdr>
        <w:top w:val="none" w:sz="0" w:space="0" w:color="auto"/>
        <w:left w:val="none" w:sz="0" w:space="0" w:color="auto"/>
        <w:bottom w:val="none" w:sz="0" w:space="0" w:color="auto"/>
        <w:right w:val="none" w:sz="0" w:space="0" w:color="auto"/>
      </w:divBdr>
    </w:div>
    <w:div w:id="521165189">
      <w:bodyDiv w:val="1"/>
      <w:marLeft w:val="0"/>
      <w:marRight w:val="0"/>
      <w:marTop w:val="0"/>
      <w:marBottom w:val="0"/>
      <w:divBdr>
        <w:top w:val="none" w:sz="0" w:space="0" w:color="auto"/>
        <w:left w:val="none" w:sz="0" w:space="0" w:color="auto"/>
        <w:bottom w:val="none" w:sz="0" w:space="0" w:color="auto"/>
        <w:right w:val="none" w:sz="0" w:space="0" w:color="auto"/>
      </w:divBdr>
    </w:div>
    <w:div w:id="535236383">
      <w:bodyDiv w:val="1"/>
      <w:marLeft w:val="0"/>
      <w:marRight w:val="0"/>
      <w:marTop w:val="0"/>
      <w:marBottom w:val="0"/>
      <w:divBdr>
        <w:top w:val="none" w:sz="0" w:space="0" w:color="auto"/>
        <w:left w:val="none" w:sz="0" w:space="0" w:color="auto"/>
        <w:bottom w:val="none" w:sz="0" w:space="0" w:color="auto"/>
        <w:right w:val="none" w:sz="0" w:space="0" w:color="auto"/>
      </w:divBdr>
    </w:div>
    <w:div w:id="541983759">
      <w:bodyDiv w:val="1"/>
      <w:marLeft w:val="0"/>
      <w:marRight w:val="0"/>
      <w:marTop w:val="0"/>
      <w:marBottom w:val="0"/>
      <w:divBdr>
        <w:top w:val="none" w:sz="0" w:space="0" w:color="auto"/>
        <w:left w:val="none" w:sz="0" w:space="0" w:color="auto"/>
        <w:bottom w:val="none" w:sz="0" w:space="0" w:color="auto"/>
        <w:right w:val="none" w:sz="0" w:space="0" w:color="auto"/>
      </w:divBdr>
    </w:div>
    <w:div w:id="549420240">
      <w:bodyDiv w:val="1"/>
      <w:marLeft w:val="0"/>
      <w:marRight w:val="0"/>
      <w:marTop w:val="0"/>
      <w:marBottom w:val="0"/>
      <w:divBdr>
        <w:top w:val="none" w:sz="0" w:space="0" w:color="auto"/>
        <w:left w:val="none" w:sz="0" w:space="0" w:color="auto"/>
        <w:bottom w:val="none" w:sz="0" w:space="0" w:color="auto"/>
        <w:right w:val="none" w:sz="0" w:space="0" w:color="auto"/>
      </w:divBdr>
    </w:div>
    <w:div w:id="549876044">
      <w:bodyDiv w:val="1"/>
      <w:marLeft w:val="0"/>
      <w:marRight w:val="0"/>
      <w:marTop w:val="0"/>
      <w:marBottom w:val="0"/>
      <w:divBdr>
        <w:top w:val="none" w:sz="0" w:space="0" w:color="auto"/>
        <w:left w:val="none" w:sz="0" w:space="0" w:color="auto"/>
        <w:bottom w:val="none" w:sz="0" w:space="0" w:color="auto"/>
        <w:right w:val="none" w:sz="0" w:space="0" w:color="auto"/>
      </w:divBdr>
    </w:div>
    <w:div w:id="550115162">
      <w:bodyDiv w:val="1"/>
      <w:marLeft w:val="0"/>
      <w:marRight w:val="0"/>
      <w:marTop w:val="0"/>
      <w:marBottom w:val="0"/>
      <w:divBdr>
        <w:top w:val="none" w:sz="0" w:space="0" w:color="auto"/>
        <w:left w:val="none" w:sz="0" w:space="0" w:color="auto"/>
        <w:bottom w:val="none" w:sz="0" w:space="0" w:color="auto"/>
        <w:right w:val="none" w:sz="0" w:space="0" w:color="auto"/>
      </w:divBdr>
    </w:div>
    <w:div w:id="551112551">
      <w:bodyDiv w:val="1"/>
      <w:marLeft w:val="0"/>
      <w:marRight w:val="0"/>
      <w:marTop w:val="0"/>
      <w:marBottom w:val="0"/>
      <w:divBdr>
        <w:top w:val="none" w:sz="0" w:space="0" w:color="auto"/>
        <w:left w:val="none" w:sz="0" w:space="0" w:color="auto"/>
        <w:bottom w:val="none" w:sz="0" w:space="0" w:color="auto"/>
        <w:right w:val="none" w:sz="0" w:space="0" w:color="auto"/>
      </w:divBdr>
    </w:div>
    <w:div w:id="552929374">
      <w:bodyDiv w:val="1"/>
      <w:marLeft w:val="0"/>
      <w:marRight w:val="0"/>
      <w:marTop w:val="0"/>
      <w:marBottom w:val="0"/>
      <w:divBdr>
        <w:top w:val="none" w:sz="0" w:space="0" w:color="auto"/>
        <w:left w:val="none" w:sz="0" w:space="0" w:color="auto"/>
        <w:bottom w:val="none" w:sz="0" w:space="0" w:color="auto"/>
        <w:right w:val="none" w:sz="0" w:space="0" w:color="auto"/>
      </w:divBdr>
    </w:div>
    <w:div w:id="570653961">
      <w:bodyDiv w:val="1"/>
      <w:marLeft w:val="0"/>
      <w:marRight w:val="0"/>
      <w:marTop w:val="0"/>
      <w:marBottom w:val="0"/>
      <w:divBdr>
        <w:top w:val="none" w:sz="0" w:space="0" w:color="auto"/>
        <w:left w:val="none" w:sz="0" w:space="0" w:color="auto"/>
        <w:bottom w:val="none" w:sz="0" w:space="0" w:color="auto"/>
        <w:right w:val="none" w:sz="0" w:space="0" w:color="auto"/>
      </w:divBdr>
    </w:div>
    <w:div w:id="581988603">
      <w:bodyDiv w:val="1"/>
      <w:marLeft w:val="0"/>
      <w:marRight w:val="0"/>
      <w:marTop w:val="0"/>
      <w:marBottom w:val="0"/>
      <w:divBdr>
        <w:top w:val="none" w:sz="0" w:space="0" w:color="auto"/>
        <w:left w:val="none" w:sz="0" w:space="0" w:color="auto"/>
        <w:bottom w:val="none" w:sz="0" w:space="0" w:color="auto"/>
        <w:right w:val="none" w:sz="0" w:space="0" w:color="auto"/>
      </w:divBdr>
    </w:div>
    <w:div w:id="582372809">
      <w:bodyDiv w:val="1"/>
      <w:marLeft w:val="0"/>
      <w:marRight w:val="0"/>
      <w:marTop w:val="0"/>
      <w:marBottom w:val="0"/>
      <w:divBdr>
        <w:top w:val="none" w:sz="0" w:space="0" w:color="auto"/>
        <w:left w:val="none" w:sz="0" w:space="0" w:color="auto"/>
        <w:bottom w:val="none" w:sz="0" w:space="0" w:color="auto"/>
        <w:right w:val="none" w:sz="0" w:space="0" w:color="auto"/>
      </w:divBdr>
    </w:div>
    <w:div w:id="584145292">
      <w:bodyDiv w:val="1"/>
      <w:marLeft w:val="0"/>
      <w:marRight w:val="0"/>
      <w:marTop w:val="0"/>
      <w:marBottom w:val="0"/>
      <w:divBdr>
        <w:top w:val="none" w:sz="0" w:space="0" w:color="auto"/>
        <w:left w:val="none" w:sz="0" w:space="0" w:color="auto"/>
        <w:bottom w:val="none" w:sz="0" w:space="0" w:color="auto"/>
        <w:right w:val="none" w:sz="0" w:space="0" w:color="auto"/>
      </w:divBdr>
    </w:div>
    <w:div w:id="586813941">
      <w:bodyDiv w:val="1"/>
      <w:marLeft w:val="0"/>
      <w:marRight w:val="0"/>
      <w:marTop w:val="0"/>
      <w:marBottom w:val="0"/>
      <w:divBdr>
        <w:top w:val="none" w:sz="0" w:space="0" w:color="auto"/>
        <w:left w:val="none" w:sz="0" w:space="0" w:color="auto"/>
        <w:bottom w:val="none" w:sz="0" w:space="0" w:color="auto"/>
        <w:right w:val="none" w:sz="0" w:space="0" w:color="auto"/>
      </w:divBdr>
    </w:div>
    <w:div w:id="599796189">
      <w:bodyDiv w:val="1"/>
      <w:marLeft w:val="0"/>
      <w:marRight w:val="0"/>
      <w:marTop w:val="0"/>
      <w:marBottom w:val="0"/>
      <w:divBdr>
        <w:top w:val="none" w:sz="0" w:space="0" w:color="auto"/>
        <w:left w:val="none" w:sz="0" w:space="0" w:color="auto"/>
        <w:bottom w:val="none" w:sz="0" w:space="0" w:color="auto"/>
        <w:right w:val="none" w:sz="0" w:space="0" w:color="auto"/>
      </w:divBdr>
    </w:div>
    <w:div w:id="600576389">
      <w:bodyDiv w:val="1"/>
      <w:marLeft w:val="0"/>
      <w:marRight w:val="0"/>
      <w:marTop w:val="0"/>
      <w:marBottom w:val="0"/>
      <w:divBdr>
        <w:top w:val="none" w:sz="0" w:space="0" w:color="auto"/>
        <w:left w:val="none" w:sz="0" w:space="0" w:color="auto"/>
        <w:bottom w:val="none" w:sz="0" w:space="0" w:color="auto"/>
        <w:right w:val="none" w:sz="0" w:space="0" w:color="auto"/>
      </w:divBdr>
    </w:div>
    <w:div w:id="604924104">
      <w:bodyDiv w:val="1"/>
      <w:marLeft w:val="0"/>
      <w:marRight w:val="0"/>
      <w:marTop w:val="0"/>
      <w:marBottom w:val="0"/>
      <w:divBdr>
        <w:top w:val="none" w:sz="0" w:space="0" w:color="auto"/>
        <w:left w:val="none" w:sz="0" w:space="0" w:color="auto"/>
        <w:bottom w:val="none" w:sz="0" w:space="0" w:color="auto"/>
        <w:right w:val="none" w:sz="0" w:space="0" w:color="auto"/>
      </w:divBdr>
    </w:div>
    <w:div w:id="609164036">
      <w:bodyDiv w:val="1"/>
      <w:marLeft w:val="0"/>
      <w:marRight w:val="0"/>
      <w:marTop w:val="0"/>
      <w:marBottom w:val="0"/>
      <w:divBdr>
        <w:top w:val="none" w:sz="0" w:space="0" w:color="auto"/>
        <w:left w:val="none" w:sz="0" w:space="0" w:color="auto"/>
        <w:bottom w:val="none" w:sz="0" w:space="0" w:color="auto"/>
        <w:right w:val="none" w:sz="0" w:space="0" w:color="auto"/>
      </w:divBdr>
    </w:div>
    <w:div w:id="655761066">
      <w:bodyDiv w:val="1"/>
      <w:marLeft w:val="0"/>
      <w:marRight w:val="0"/>
      <w:marTop w:val="0"/>
      <w:marBottom w:val="0"/>
      <w:divBdr>
        <w:top w:val="none" w:sz="0" w:space="0" w:color="auto"/>
        <w:left w:val="none" w:sz="0" w:space="0" w:color="auto"/>
        <w:bottom w:val="none" w:sz="0" w:space="0" w:color="auto"/>
        <w:right w:val="none" w:sz="0" w:space="0" w:color="auto"/>
      </w:divBdr>
    </w:div>
    <w:div w:id="681589621">
      <w:bodyDiv w:val="1"/>
      <w:marLeft w:val="0"/>
      <w:marRight w:val="0"/>
      <w:marTop w:val="0"/>
      <w:marBottom w:val="0"/>
      <w:divBdr>
        <w:top w:val="none" w:sz="0" w:space="0" w:color="auto"/>
        <w:left w:val="none" w:sz="0" w:space="0" w:color="auto"/>
        <w:bottom w:val="none" w:sz="0" w:space="0" w:color="auto"/>
        <w:right w:val="none" w:sz="0" w:space="0" w:color="auto"/>
      </w:divBdr>
    </w:div>
    <w:div w:id="690959918">
      <w:bodyDiv w:val="1"/>
      <w:marLeft w:val="0"/>
      <w:marRight w:val="0"/>
      <w:marTop w:val="0"/>
      <w:marBottom w:val="0"/>
      <w:divBdr>
        <w:top w:val="none" w:sz="0" w:space="0" w:color="auto"/>
        <w:left w:val="none" w:sz="0" w:space="0" w:color="auto"/>
        <w:bottom w:val="none" w:sz="0" w:space="0" w:color="auto"/>
        <w:right w:val="none" w:sz="0" w:space="0" w:color="auto"/>
      </w:divBdr>
    </w:div>
    <w:div w:id="692153729">
      <w:bodyDiv w:val="1"/>
      <w:marLeft w:val="0"/>
      <w:marRight w:val="0"/>
      <w:marTop w:val="0"/>
      <w:marBottom w:val="0"/>
      <w:divBdr>
        <w:top w:val="none" w:sz="0" w:space="0" w:color="auto"/>
        <w:left w:val="none" w:sz="0" w:space="0" w:color="auto"/>
        <w:bottom w:val="none" w:sz="0" w:space="0" w:color="auto"/>
        <w:right w:val="none" w:sz="0" w:space="0" w:color="auto"/>
      </w:divBdr>
    </w:div>
    <w:div w:id="705983321">
      <w:bodyDiv w:val="1"/>
      <w:marLeft w:val="0"/>
      <w:marRight w:val="0"/>
      <w:marTop w:val="0"/>
      <w:marBottom w:val="0"/>
      <w:divBdr>
        <w:top w:val="none" w:sz="0" w:space="0" w:color="auto"/>
        <w:left w:val="none" w:sz="0" w:space="0" w:color="auto"/>
        <w:bottom w:val="none" w:sz="0" w:space="0" w:color="auto"/>
        <w:right w:val="none" w:sz="0" w:space="0" w:color="auto"/>
      </w:divBdr>
    </w:div>
    <w:div w:id="707217580">
      <w:bodyDiv w:val="1"/>
      <w:marLeft w:val="0"/>
      <w:marRight w:val="0"/>
      <w:marTop w:val="0"/>
      <w:marBottom w:val="0"/>
      <w:divBdr>
        <w:top w:val="none" w:sz="0" w:space="0" w:color="auto"/>
        <w:left w:val="none" w:sz="0" w:space="0" w:color="auto"/>
        <w:bottom w:val="none" w:sz="0" w:space="0" w:color="auto"/>
        <w:right w:val="none" w:sz="0" w:space="0" w:color="auto"/>
      </w:divBdr>
    </w:div>
    <w:div w:id="714817810">
      <w:bodyDiv w:val="1"/>
      <w:marLeft w:val="0"/>
      <w:marRight w:val="0"/>
      <w:marTop w:val="0"/>
      <w:marBottom w:val="0"/>
      <w:divBdr>
        <w:top w:val="none" w:sz="0" w:space="0" w:color="auto"/>
        <w:left w:val="none" w:sz="0" w:space="0" w:color="auto"/>
        <w:bottom w:val="none" w:sz="0" w:space="0" w:color="auto"/>
        <w:right w:val="none" w:sz="0" w:space="0" w:color="auto"/>
      </w:divBdr>
    </w:div>
    <w:div w:id="729160351">
      <w:bodyDiv w:val="1"/>
      <w:marLeft w:val="0"/>
      <w:marRight w:val="0"/>
      <w:marTop w:val="0"/>
      <w:marBottom w:val="0"/>
      <w:divBdr>
        <w:top w:val="none" w:sz="0" w:space="0" w:color="auto"/>
        <w:left w:val="none" w:sz="0" w:space="0" w:color="auto"/>
        <w:bottom w:val="none" w:sz="0" w:space="0" w:color="auto"/>
        <w:right w:val="none" w:sz="0" w:space="0" w:color="auto"/>
      </w:divBdr>
    </w:div>
    <w:div w:id="730882502">
      <w:bodyDiv w:val="1"/>
      <w:marLeft w:val="0"/>
      <w:marRight w:val="0"/>
      <w:marTop w:val="0"/>
      <w:marBottom w:val="0"/>
      <w:divBdr>
        <w:top w:val="none" w:sz="0" w:space="0" w:color="auto"/>
        <w:left w:val="none" w:sz="0" w:space="0" w:color="auto"/>
        <w:bottom w:val="none" w:sz="0" w:space="0" w:color="auto"/>
        <w:right w:val="none" w:sz="0" w:space="0" w:color="auto"/>
      </w:divBdr>
    </w:div>
    <w:div w:id="737168773">
      <w:bodyDiv w:val="1"/>
      <w:marLeft w:val="0"/>
      <w:marRight w:val="0"/>
      <w:marTop w:val="0"/>
      <w:marBottom w:val="0"/>
      <w:divBdr>
        <w:top w:val="none" w:sz="0" w:space="0" w:color="auto"/>
        <w:left w:val="none" w:sz="0" w:space="0" w:color="auto"/>
        <w:bottom w:val="none" w:sz="0" w:space="0" w:color="auto"/>
        <w:right w:val="none" w:sz="0" w:space="0" w:color="auto"/>
      </w:divBdr>
    </w:div>
    <w:div w:id="739523191">
      <w:bodyDiv w:val="1"/>
      <w:marLeft w:val="0"/>
      <w:marRight w:val="0"/>
      <w:marTop w:val="0"/>
      <w:marBottom w:val="0"/>
      <w:divBdr>
        <w:top w:val="none" w:sz="0" w:space="0" w:color="auto"/>
        <w:left w:val="none" w:sz="0" w:space="0" w:color="auto"/>
        <w:bottom w:val="none" w:sz="0" w:space="0" w:color="auto"/>
        <w:right w:val="none" w:sz="0" w:space="0" w:color="auto"/>
      </w:divBdr>
    </w:div>
    <w:div w:id="745037742">
      <w:bodyDiv w:val="1"/>
      <w:marLeft w:val="0"/>
      <w:marRight w:val="0"/>
      <w:marTop w:val="0"/>
      <w:marBottom w:val="0"/>
      <w:divBdr>
        <w:top w:val="none" w:sz="0" w:space="0" w:color="auto"/>
        <w:left w:val="none" w:sz="0" w:space="0" w:color="auto"/>
        <w:bottom w:val="none" w:sz="0" w:space="0" w:color="auto"/>
        <w:right w:val="none" w:sz="0" w:space="0" w:color="auto"/>
      </w:divBdr>
    </w:div>
    <w:div w:id="746658656">
      <w:bodyDiv w:val="1"/>
      <w:marLeft w:val="0"/>
      <w:marRight w:val="0"/>
      <w:marTop w:val="0"/>
      <w:marBottom w:val="0"/>
      <w:divBdr>
        <w:top w:val="none" w:sz="0" w:space="0" w:color="auto"/>
        <w:left w:val="none" w:sz="0" w:space="0" w:color="auto"/>
        <w:bottom w:val="none" w:sz="0" w:space="0" w:color="auto"/>
        <w:right w:val="none" w:sz="0" w:space="0" w:color="auto"/>
      </w:divBdr>
    </w:div>
    <w:div w:id="749423781">
      <w:bodyDiv w:val="1"/>
      <w:marLeft w:val="0"/>
      <w:marRight w:val="0"/>
      <w:marTop w:val="0"/>
      <w:marBottom w:val="0"/>
      <w:divBdr>
        <w:top w:val="none" w:sz="0" w:space="0" w:color="auto"/>
        <w:left w:val="none" w:sz="0" w:space="0" w:color="auto"/>
        <w:bottom w:val="none" w:sz="0" w:space="0" w:color="auto"/>
        <w:right w:val="none" w:sz="0" w:space="0" w:color="auto"/>
      </w:divBdr>
    </w:div>
    <w:div w:id="755829572">
      <w:bodyDiv w:val="1"/>
      <w:marLeft w:val="0"/>
      <w:marRight w:val="0"/>
      <w:marTop w:val="0"/>
      <w:marBottom w:val="0"/>
      <w:divBdr>
        <w:top w:val="none" w:sz="0" w:space="0" w:color="auto"/>
        <w:left w:val="none" w:sz="0" w:space="0" w:color="auto"/>
        <w:bottom w:val="none" w:sz="0" w:space="0" w:color="auto"/>
        <w:right w:val="none" w:sz="0" w:space="0" w:color="auto"/>
      </w:divBdr>
    </w:div>
    <w:div w:id="761412146">
      <w:bodyDiv w:val="1"/>
      <w:marLeft w:val="0"/>
      <w:marRight w:val="0"/>
      <w:marTop w:val="0"/>
      <w:marBottom w:val="0"/>
      <w:divBdr>
        <w:top w:val="none" w:sz="0" w:space="0" w:color="auto"/>
        <w:left w:val="none" w:sz="0" w:space="0" w:color="auto"/>
        <w:bottom w:val="none" w:sz="0" w:space="0" w:color="auto"/>
        <w:right w:val="none" w:sz="0" w:space="0" w:color="auto"/>
      </w:divBdr>
    </w:div>
    <w:div w:id="764038371">
      <w:bodyDiv w:val="1"/>
      <w:marLeft w:val="0"/>
      <w:marRight w:val="0"/>
      <w:marTop w:val="0"/>
      <w:marBottom w:val="0"/>
      <w:divBdr>
        <w:top w:val="none" w:sz="0" w:space="0" w:color="auto"/>
        <w:left w:val="none" w:sz="0" w:space="0" w:color="auto"/>
        <w:bottom w:val="none" w:sz="0" w:space="0" w:color="auto"/>
        <w:right w:val="none" w:sz="0" w:space="0" w:color="auto"/>
      </w:divBdr>
    </w:div>
    <w:div w:id="768433927">
      <w:bodyDiv w:val="1"/>
      <w:marLeft w:val="0"/>
      <w:marRight w:val="0"/>
      <w:marTop w:val="0"/>
      <w:marBottom w:val="0"/>
      <w:divBdr>
        <w:top w:val="none" w:sz="0" w:space="0" w:color="auto"/>
        <w:left w:val="none" w:sz="0" w:space="0" w:color="auto"/>
        <w:bottom w:val="none" w:sz="0" w:space="0" w:color="auto"/>
        <w:right w:val="none" w:sz="0" w:space="0" w:color="auto"/>
      </w:divBdr>
    </w:div>
    <w:div w:id="789201805">
      <w:bodyDiv w:val="1"/>
      <w:marLeft w:val="0"/>
      <w:marRight w:val="0"/>
      <w:marTop w:val="0"/>
      <w:marBottom w:val="0"/>
      <w:divBdr>
        <w:top w:val="none" w:sz="0" w:space="0" w:color="auto"/>
        <w:left w:val="none" w:sz="0" w:space="0" w:color="auto"/>
        <w:bottom w:val="none" w:sz="0" w:space="0" w:color="auto"/>
        <w:right w:val="none" w:sz="0" w:space="0" w:color="auto"/>
      </w:divBdr>
    </w:div>
    <w:div w:id="790637363">
      <w:bodyDiv w:val="1"/>
      <w:marLeft w:val="0"/>
      <w:marRight w:val="0"/>
      <w:marTop w:val="0"/>
      <w:marBottom w:val="0"/>
      <w:divBdr>
        <w:top w:val="none" w:sz="0" w:space="0" w:color="auto"/>
        <w:left w:val="none" w:sz="0" w:space="0" w:color="auto"/>
        <w:bottom w:val="none" w:sz="0" w:space="0" w:color="auto"/>
        <w:right w:val="none" w:sz="0" w:space="0" w:color="auto"/>
      </w:divBdr>
    </w:div>
    <w:div w:id="793714006">
      <w:bodyDiv w:val="1"/>
      <w:marLeft w:val="0"/>
      <w:marRight w:val="0"/>
      <w:marTop w:val="0"/>
      <w:marBottom w:val="0"/>
      <w:divBdr>
        <w:top w:val="none" w:sz="0" w:space="0" w:color="auto"/>
        <w:left w:val="none" w:sz="0" w:space="0" w:color="auto"/>
        <w:bottom w:val="none" w:sz="0" w:space="0" w:color="auto"/>
        <w:right w:val="none" w:sz="0" w:space="0" w:color="auto"/>
      </w:divBdr>
    </w:div>
    <w:div w:id="793795093">
      <w:bodyDiv w:val="1"/>
      <w:marLeft w:val="0"/>
      <w:marRight w:val="0"/>
      <w:marTop w:val="0"/>
      <w:marBottom w:val="0"/>
      <w:divBdr>
        <w:top w:val="none" w:sz="0" w:space="0" w:color="auto"/>
        <w:left w:val="none" w:sz="0" w:space="0" w:color="auto"/>
        <w:bottom w:val="none" w:sz="0" w:space="0" w:color="auto"/>
        <w:right w:val="none" w:sz="0" w:space="0" w:color="auto"/>
      </w:divBdr>
    </w:div>
    <w:div w:id="793912593">
      <w:bodyDiv w:val="1"/>
      <w:marLeft w:val="0"/>
      <w:marRight w:val="0"/>
      <w:marTop w:val="0"/>
      <w:marBottom w:val="0"/>
      <w:divBdr>
        <w:top w:val="none" w:sz="0" w:space="0" w:color="auto"/>
        <w:left w:val="none" w:sz="0" w:space="0" w:color="auto"/>
        <w:bottom w:val="none" w:sz="0" w:space="0" w:color="auto"/>
        <w:right w:val="none" w:sz="0" w:space="0" w:color="auto"/>
      </w:divBdr>
      <w:divsChild>
        <w:div w:id="2026639199">
          <w:marLeft w:val="0"/>
          <w:marRight w:val="0"/>
          <w:marTop w:val="0"/>
          <w:marBottom w:val="0"/>
          <w:divBdr>
            <w:top w:val="none" w:sz="0" w:space="0" w:color="auto"/>
            <w:left w:val="none" w:sz="0" w:space="0" w:color="auto"/>
            <w:bottom w:val="none" w:sz="0" w:space="0" w:color="auto"/>
            <w:right w:val="none" w:sz="0" w:space="0" w:color="auto"/>
          </w:divBdr>
        </w:div>
        <w:div w:id="694306936">
          <w:marLeft w:val="0"/>
          <w:marRight w:val="0"/>
          <w:marTop w:val="0"/>
          <w:marBottom w:val="0"/>
          <w:divBdr>
            <w:top w:val="none" w:sz="0" w:space="0" w:color="auto"/>
            <w:left w:val="none" w:sz="0" w:space="0" w:color="auto"/>
            <w:bottom w:val="none" w:sz="0" w:space="0" w:color="auto"/>
            <w:right w:val="none" w:sz="0" w:space="0" w:color="auto"/>
          </w:divBdr>
        </w:div>
      </w:divsChild>
    </w:div>
    <w:div w:id="798304798">
      <w:bodyDiv w:val="1"/>
      <w:marLeft w:val="0"/>
      <w:marRight w:val="0"/>
      <w:marTop w:val="0"/>
      <w:marBottom w:val="0"/>
      <w:divBdr>
        <w:top w:val="none" w:sz="0" w:space="0" w:color="auto"/>
        <w:left w:val="none" w:sz="0" w:space="0" w:color="auto"/>
        <w:bottom w:val="none" w:sz="0" w:space="0" w:color="auto"/>
        <w:right w:val="none" w:sz="0" w:space="0" w:color="auto"/>
      </w:divBdr>
    </w:div>
    <w:div w:id="804857874">
      <w:bodyDiv w:val="1"/>
      <w:marLeft w:val="0"/>
      <w:marRight w:val="0"/>
      <w:marTop w:val="0"/>
      <w:marBottom w:val="0"/>
      <w:divBdr>
        <w:top w:val="none" w:sz="0" w:space="0" w:color="auto"/>
        <w:left w:val="none" w:sz="0" w:space="0" w:color="auto"/>
        <w:bottom w:val="none" w:sz="0" w:space="0" w:color="auto"/>
        <w:right w:val="none" w:sz="0" w:space="0" w:color="auto"/>
      </w:divBdr>
    </w:div>
    <w:div w:id="829490157">
      <w:bodyDiv w:val="1"/>
      <w:marLeft w:val="0"/>
      <w:marRight w:val="0"/>
      <w:marTop w:val="0"/>
      <w:marBottom w:val="0"/>
      <w:divBdr>
        <w:top w:val="none" w:sz="0" w:space="0" w:color="auto"/>
        <w:left w:val="none" w:sz="0" w:space="0" w:color="auto"/>
        <w:bottom w:val="none" w:sz="0" w:space="0" w:color="auto"/>
        <w:right w:val="none" w:sz="0" w:space="0" w:color="auto"/>
      </w:divBdr>
    </w:div>
    <w:div w:id="831719063">
      <w:bodyDiv w:val="1"/>
      <w:marLeft w:val="0"/>
      <w:marRight w:val="0"/>
      <w:marTop w:val="0"/>
      <w:marBottom w:val="0"/>
      <w:divBdr>
        <w:top w:val="none" w:sz="0" w:space="0" w:color="auto"/>
        <w:left w:val="none" w:sz="0" w:space="0" w:color="auto"/>
        <w:bottom w:val="none" w:sz="0" w:space="0" w:color="auto"/>
        <w:right w:val="none" w:sz="0" w:space="0" w:color="auto"/>
      </w:divBdr>
    </w:div>
    <w:div w:id="846482539">
      <w:bodyDiv w:val="1"/>
      <w:marLeft w:val="0"/>
      <w:marRight w:val="0"/>
      <w:marTop w:val="0"/>
      <w:marBottom w:val="0"/>
      <w:divBdr>
        <w:top w:val="none" w:sz="0" w:space="0" w:color="auto"/>
        <w:left w:val="none" w:sz="0" w:space="0" w:color="auto"/>
        <w:bottom w:val="none" w:sz="0" w:space="0" w:color="auto"/>
        <w:right w:val="none" w:sz="0" w:space="0" w:color="auto"/>
      </w:divBdr>
    </w:div>
    <w:div w:id="849220415">
      <w:bodyDiv w:val="1"/>
      <w:marLeft w:val="0"/>
      <w:marRight w:val="0"/>
      <w:marTop w:val="0"/>
      <w:marBottom w:val="0"/>
      <w:divBdr>
        <w:top w:val="none" w:sz="0" w:space="0" w:color="auto"/>
        <w:left w:val="none" w:sz="0" w:space="0" w:color="auto"/>
        <w:bottom w:val="none" w:sz="0" w:space="0" w:color="auto"/>
        <w:right w:val="none" w:sz="0" w:space="0" w:color="auto"/>
      </w:divBdr>
    </w:div>
    <w:div w:id="851606450">
      <w:bodyDiv w:val="1"/>
      <w:marLeft w:val="0"/>
      <w:marRight w:val="0"/>
      <w:marTop w:val="0"/>
      <w:marBottom w:val="0"/>
      <w:divBdr>
        <w:top w:val="none" w:sz="0" w:space="0" w:color="auto"/>
        <w:left w:val="none" w:sz="0" w:space="0" w:color="auto"/>
        <w:bottom w:val="none" w:sz="0" w:space="0" w:color="auto"/>
        <w:right w:val="none" w:sz="0" w:space="0" w:color="auto"/>
      </w:divBdr>
    </w:div>
    <w:div w:id="852306317">
      <w:bodyDiv w:val="1"/>
      <w:marLeft w:val="0"/>
      <w:marRight w:val="0"/>
      <w:marTop w:val="0"/>
      <w:marBottom w:val="0"/>
      <w:divBdr>
        <w:top w:val="none" w:sz="0" w:space="0" w:color="auto"/>
        <w:left w:val="none" w:sz="0" w:space="0" w:color="auto"/>
        <w:bottom w:val="none" w:sz="0" w:space="0" w:color="auto"/>
        <w:right w:val="none" w:sz="0" w:space="0" w:color="auto"/>
      </w:divBdr>
    </w:div>
    <w:div w:id="863907132">
      <w:bodyDiv w:val="1"/>
      <w:marLeft w:val="0"/>
      <w:marRight w:val="0"/>
      <w:marTop w:val="0"/>
      <w:marBottom w:val="0"/>
      <w:divBdr>
        <w:top w:val="none" w:sz="0" w:space="0" w:color="auto"/>
        <w:left w:val="none" w:sz="0" w:space="0" w:color="auto"/>
        <w:bottom w:val="none" w:sz="0" w:space="0" w:color="auto"/>
        <w:right w:val="none" w:sz="0" w:space="0" w:color="auto"/>
      </w:divBdr>
    </w:div>
    <w:div w:id="866139120">
      <w:bodyDiv w:val="1"/>
      <w:marLeft w:val="0"/>
      <w:marRight w:val="0"/>
      <w:marTop w:val="0"/>
      <w:marBottom w:val="0"/>
      <w:divBdr>
        <w:top w:val="none" w:sz="0" w:space="0" w:color="auto"/>
        <w:left w:val="none" w:sz="0" w:space="0" w:color="auto"/>
        <w:bottom w:val="none" w:sz="0" w:space="0" w:color="auto"/>
        <w:right w:val="none" w:sz="0" w:space="0" w:color="auto"/>
      </w:divBdr>
    </w:div>
    <w:div w:id="870997372">
      <w:bodyDiv w:val="1"/>
      <w:marLeft w:val="0"/>
      <w:marRight w:val="0"/>
      <w:marTop w:val="0"/>
      <w:marBottom w:val="0"/>
      <w:divBdr>
        <w:top w:val="none" w:sz="0" w:space="0" w:color="auto"/>
        <w:left w:val="none" w:sz="0" w:space="0" w:color="auto"/>
        <w:bottom w:val="none" w:sz="0" w:space="0" w:color="auto"/>
        <w:right w:val="none" w:sz="0" w:space="0" w:color="auto"/>
      </w:divBdr>
    </w:div>
    <w:div w:id="881789565">
      <w:bodyDiv w:val="1"/>
      <w:marLeft w:val="0"/>
      <w:marRight w:val="0"/>
      <w:marTop w:val="0"/>
      <w:marBottom w:val="0"/>
      <w:divBdr>
        <w:top w:val="none" w:sz="0" w:space="0" w:color="auto"/>
        <w:left w:val="none" w:sz="0" w:space="0" w:color="auto"/>
        <w:bottom w:val="none" w:sz="0" w:space="0" w:color="auto"/>
        <w:right w:val="none" w:sz="0" w:space="0" w:color="auto"/>
      </w:divBdr>
    </w:div>
    <w:div w:id="895815764">
      <w:bodyDiv w:val="1"/>
      <w:marLeft w:val="0"/>
      <w:marRight w:val="0"/>
      <w:marTop w:val="0"/>
      <w:marBottom w:val="0"/>
      <w:divBdr>
        <w:top w:val="none" w:sz="0" w:space="0" w:color="auto"/>
        <w:left w:val="none" w:sz="0" w:space="0" w:color="auto"/>
        <w:bottom w:val="none" w:sz="0" w:space="0" w:color="auto"/>
        <w:right w:val="none" w:sz="0" w:space="0" w:color="auto"/>
      </w:divBdr>
    </w:div>
    <w:div w:id="909776045">
      <w:bodyDiv w:val="1"/>
      <w:marLeft w:val="0"/>
      <w:marRight w:val="0"/>
      <w:marTop w:val="0"/>
      <w:marBottom w:val="0"/>
      <w:divBdr>
        <w:top w:val="none" w:sz="0" w:space="0" w:color="auto"/>
        <w:left w:val="none" w:sz="0" w:space="0" w:color="auto"/>
        <w:bottom w:val="none" w:sz="0" w:space="0" w:color="auto"/>
        <w:right w:val="none" w:sz="0" w:space="0" w:color="auto"/>
      </w:divBdr>
    </w:div>
    <w:div w:id="912200172">
      <w:bodyDiv w:val="1"/>
      <w:marLeft w:val="0"/>
      <w:marRight w:val="0"/>
      <w:marTop w:val="0"/>
      <w:marBottom w:val="0"/>
      <w:divBdr>
        <w:top w:val="none" w:sz="0" w:space="0" w:color="auto"/>
        <w:left w:val="none" w:sz="0" w:space="0" w:color="auto"/>
        <w:bottom w:val="none" w:sz="0" w:space="0" w:color="auto"/>
        <w:right w:val="none" w:sz="0" w:space="0" w:color="auto"/>
      </w:divBdr>
    </w:div>
    <w:div w:id="912814472">
      <w:bodyDiv w:val="1"/>
      <w:marLeft w:val="0"/>
      <w:marRight w:val="0"/>
      <w:marTop w:val="0"/>
      <w:marBottom w:val="0"/>
      <w:divBdr>
        <w:top w:val="none" w:sz="0" w:space="0" w:color="auto"/>
        <w:left w:val="none" w:sz="0" w:space="0" w:color="auto"/>
        <w:bottom w:val="none" w:sz="0" w:space="0" w:color="auto"/>
        <w:right w:val="none" w:sz="0" w:space="0" w:color="auto"/>
      </w:divBdr>
    </w:div>
    <w:div w:id="922497645">
      <w:bodyDiv w:val="1"/>
      <w:marLeft w:val="0"/>
      <w:marRight w:val="0"/>
      <w:marTop w:val="0"/>
      <w:marBottom w:val="0"/>
      <w:divBdr>
        <w:top w:val="none" w:sz="0" w:space="0" w:color="auto"/>
        <w:left w:val="none" w:sz="0" w:space="0" w:color="auto"/>
        <w:bottom w:val="none" w:sz="0" w:space="0" w:color="auto"/>
        <w:right w:val="none" w:sz="0" w:space="0" w:color="auto"/>
      </w:divBdr>
    </w:div>
    <w:div w:id="927233552">
      <w:bodyDiv w:val="1"/>
      <w:marLeft w:val="0"/>
      <w:marRight w:val="0"/>
      <w:marTop w:val="0"/>
      <w:marBottom w:val="0"/>
      <w:divBdr>
        <w:top w:val="none" w:sz="0" w:space="0" w:color="auto"/>
        <w:left w:val="none" w:sz="0" w:space="0" w:color="auto"/>
        <w:bottom w:val="none" w:sz="0" w:space="0" w:color="auto"/>
        <w:right w:val="none" w:sz="0" w:space="0" w:color="auto"/>
      </w:divBdr>
    </w:div>
    <w:div w:id="928277052">
      <w:bodyDiv w:val="1"/>
      <w:marLeft w:val="0"/>
      <w:marRight w:val="0"/>
      <w:marTop w:val="0"/>
      <w:marBottom w:val="0"/>
      <w:divBdr>
        <w:top w:val="none" w:sz="0" w:space="0" w:color="auto"/>
        <w:left w:val="none" w:sz="0" w:space="0" w:color="auto"/>
        <w:bottom w:val="none" w:sz="0" w:space="0" w:color="auto"/>
        <w:right w:val="none" w:sz="0" w:space="0" w:color="auto"/>
      </w:divBdr>
    </w:div>
    <w:div w:id="930356073">
      <w:bodyDiv w:val="1"/>
      <w:marLeft w:val="0"/>
      <w:marRight w:val="0"/>
      <w:marTop w:val="0"/>
      <w:marBottom w:val="0"/>
      <w:divBdr>
        <w:top w:val="none" w:sz="0" w:space="0" w:color="auto"/>
        <w:left w:val="none" w:sz="0" w:space="0" w:color="auto"/>
        <w:bottom w:val="none" w:sz="0" w:space="0" w:color="auto"/>
        <w:right w:val="none" w:sz="0" w:space="0" w:color="auto"/>
      </w:divBdr>
    </w:div>
    <w:div w:id="933972808">
      <w:bodyDiv w:val="1"/>
      <w:marLeft w:val="0"/>
      <w:marRight w:val="0"/>
      <w:marTop w:val="0"/>
      <w:marBottom w:val="0"/>
      <w:divBdr>
        <w:top w:val="none" w:sz="0" w:space="0" w:color="auto"/>
        <w:left w:val="none" w:sz="0" w:space="0" w:color="auto"/>
        <w:bottom w:val="none" w:sz="0" w:space="0" w:color="auto"/>
        <w:right w:val="none" w:sz="0" w:space="0" w:color="auto"/>
      </w:divBdr>
    </w:div>
    <w:div w:id="937980535">
      <w:bodyDiv w:val="1"/>
      <w:marLeft w:val="0"/>
      <w:marRight w:val="0"/>
      <w:marTop w:val="0"/>
      <w:marBottom w:val="0"/>
      <w:divBdr>
        <w:top w:val="none" w:sz="0" w:space="0" w:color="auto"/>
        <w:left w:val="none" w:sz="0" w:space="0" w:color="auto"/>
        <w:bottom w:val="none" w:sz="0" w:space="0" w:color="auto"/>
        <w:right w:val="none" w:sz="0" w:space="0" w:color="auto"/>
      </w:divBdr>
    </w:div>
    <w:div w:id="940798788">
      <w:bodyDiv w:val="1"/>
      <w:marLeft w:val="0"/>
      <w:marRight w:val="0"/>
      <w:marTop w:val="0"/>
      <w:marBottom w:val="0"/>
      <w:divBdr>
        <w:top w:val="none" w:sz="0" w:space="0" w:color="auto"/>
        <w:left w:val="none" w:sz="0" w:space="0" w:color="auto"/>
        <w:bottom w:val="none" w:sz="0" w:space="0" w:color="auto"/>
        <w:right w:val="none" w:sz="0" w:space="0" w:color="auto"/>
      </w:divBdr>
    </w:div>
    <w:div w:id="942037869">
      <w:bodyDiv w:val="1"/>
      <w:marLeft w:val="0"/>
      <w:marRight w:val="0"/>
      <w:marTop w:val="0"/>
      <w:marBottom w:val="0"/>
      <w:divBdr>
        <w:top w:val="none" w:sz="0" w:space="0" w:color="auto"/>
        <w:left w:val="none" w:sz="0" w:space="0" w:color="auto"/>
        <w:bottom w:val="none" w:sz="0" w:space="0" w:color="auto"/>
        <w:right w:val="none" w:sz="0" w:space="0" w:color="auto"/>
      </w:divBdr>
    </w:div>
    <w:div w:id="946738053">
      <w:bodyDiv w:val="1"/>
      <w:marLeft w:val="0"/>
      <w:marRight w:val="0"/>
      <w:marTop w:val="0"/>
      <w:marBottom w:val="0"/>
      <w:divBdr>
        <w:top w:val="none" w:sz="0" w:space="0" w:color="auto"/>
        <w:left w:val="none" w:sz="0" w:space="0" w:color="auto"/>
        <w:bottom w:val="none" w:sz="0" w:space="0" w:color="auto"/>
        <w:right w:val="none" w:sz="0" w:space="0" w:color="auto"/>
      </w:divBdr>
    </w:div>
    <w:div w:id="960889271">
      <w:bodyDiv w:val="1"/>
      <w:marLeft w:val="0"/>
      <w:marRight w:val="0"/>
      <w:marTop w:val="0"/>
      <w:marBottom w:val="0"/>
      <w:divBdr>
        <w:top w:val="none" w:sz="0" w:space="0" w:color="auto"/>
        <w:left w:val="none" w:sz="0" w:space="0" w:color="auto"/>
        <w:bottom w:val="none" w:sz="0" w:space="0" w:color="auto"/>
        <w:right w:val="none" w:sz="0" w:space="0" w:color="auto"/>
      </w:divBdr>
    </w:div>
    <w:div w:id="966744800">
      <w:bodyDiv w:val="1"/>
      <w:marLeft w:val="0"/>
      <w:marRight w:val="0"/>
      <w:marTop w:val="0"/>
      <w:marBottom w:val="0"/>
      <w:divBdr>
        <w:top w:val="none" w:sz="0" w:space="0" w:color="auto"/>
        <w:left w:val="none" w:sz="0" w:space="0" w:color="auto"/>
        <w:bottom w:val="none" w:sz="0" w:space="0" w:color="auto"/>
        <w:right w:val="none" w:sz="0" w:space="0" w:color="auto"/>
      </w:divBdr>
    </w:div>
    <w:div w:id="966859673">
      <w:bodyDiv w:val="1"/>
      <w:marLeft w:val="0"/>
      <w:marRight w:val="0"/>
      <w:marTop w:val="0"/>
      <w:marBottom w:val="0"/>
      <w:divBdr>
        <w:top w:val="none" w:sz="0" w:space="0" w:color="auto"/>
        <w:left w:val="none" w:sz="0" w:space="0" w:color="auto"/>
        <w:bottom w:val="none" w:sz="0" w:space="0" w:color="auto"/>
        <w:right w:val="none" w:sz="0" w:space="0" w:color="auto"/>
      </w:divBdr>
    </w:div>
    <w:div w:id="988828140">
      <w:bodyDiv w:val="1"/>
      <w:marLeft w:val="0"/>
      <w:marRight w:val="0"/>
      <w:marTop w:val="0"/>
      <w:marBottom w:val="0"/>
      <w:divBdr>
        <w:top w:val="none" w:sz="0" w:space="0" w:color="auto"/>
        <w:left w:val="none" w:sz="0" w:space="0" w:color="auto"/>
        <w:bottom w:val="none" w:sz="0" w:space="0" w:color="auto"/>
        <w:right w:val="none" w:sz="0" w:space="0" w:color="auto"/>
      </w:divBdr>
    </w:div>
    <w:div w:id="994182854">
      <w:bodyDiv w:val="1"/>
      <w:marLeft w:val="0"/>
      <w:marRight w:val="0"/>
      <w:marTop w:val="0"/>
      <w:marBottom w:val="0"/>
      <w:divBdr>
        <w:top w:val="none" w:sz="0" w:space="0" w:color="auto"/>
        <w:left w:val="none" w:sz="0" w:space="0" w:color="auto"/>
        <w:bottom w:val="none" w:sz="0" w:space="0" w:color="auto"/>
        <w:right w:val="none" w:sz="0" w:space="0" w:color="auto"/>
      </w:divBdr>
    </w:div>
    <w:div w:id="996153588">
      <w:bodyDiv w:val="1"/>
      <w:marLeft w:val="0"/>
      <w:marRight w:val="0"/>
      <w:marTop w:val="0"/>
      <w:marBottom w:val="0"/>
      <w:divBdr>
        <w:top w:val="none" w:sz="0" w:space="0" w:color="auto"/>
        <w:left w:val="none" w:sz="0" w:space="0" w:color="auto"/>
        <w:bottom w:val="none" w:sz="0" w:space="0" w:color="auto"/>
        <w:right w:val="none" w:sz="0" w:space="0" w:color="auto"/>
      </w:divBdr>
    </w:div>
    <w:div w:id="998076069">
      <w:bodyDiv w:val="1"/>
      <w:marLeft w:val="0"/>
      <w:marRight w:val="0"/>
      <w:marTop w:val="0"/>
      <w:marBottom w:val="0"/>
      <w:divBdr>
        <w:top w:val="none" w:sz="0" w:space="0" w:color="auto"/>
        <w:left w:val="none" w:sz="0" w:space="0" w:color="auto"/>
        <w:bottom w:val="none" w:sz="0" w:space="0" w:color="auto"/>
        <w:right w:val="none" w:sz="0" w:space="0" w:color="auto"/>
      </w:divBdr>
    </w:div>
    <w:div w:id="1000741953">
      <w:bodyDiv w:val="1"/>
      <w:marLeft w:val="0"/>
      <w:marRight w:val="0"/>
      <w:marTop w:val="0"/>
      <w:marBottom w:val="0"/>
      <w:divBdr>
        <w:top w:val="none" w:sz="0" w:space="0" w:color="auto"/>
        <w:left w:val="none" w:sz="0" w:space="0" w:color="auto"/>
        <w:bottom w:val="none" w:sz="0" w:space="0" w:color="auto"/>
        <w:right w:val="none" w:sz="0" w:space="0" w:color="auto"/>
      </w:divBdr>
    </w:div>
    <w:div w:id="1008211066">
      <w:bodyDiv w:val="1"/>
      <w:marLeft w:val="0"/>
      <w:marRight w:val="0"/>
      <w:marTop w:val="0"/>
      <w:marBottom w:val="0"/>
      <w:divBdr>
        <w:top w:val="none" w:sz="0" w:space="0" w:color="auto"/>
        <w:left w:val="none" w:sz="0" w:space="0" w:color="auto"/>
        <w:bottom w:val="none" w:sz="0" w:space="0" w:color="auto"/>
        <w:right w:val="none" w:sz="0" w:space="0" w:color="auto"/>
      </w:divBdr>
    </w:div>
    <w:div w:id="1012220359">
      <w:bodyDiv w:val="1"/>
      <w:marLeft w:val="0"/>
      <w:marRight w:val="0"/>
      <w:marTop w:val="0"/>
      <w:marBottom w:val="0"/>
      <w:divBdr>
        <w:top w:val="none" w:sz="0" w:space="0" w:color="auto"/>
        <w:left w:val="none" w:sz="0" w:space="0" w:color="auto"/>
        <w:bottom w:val="none" w:sz="0" w:space="0" w:color="auto"/>
        <w:right w:val="none" w:sz="0" w:space="0" w:color="auto"/>
      </w:divBdr>
    </w:div>
    <w:div w:id="1013260918">
      <w:bodyDiv w:val="1"/>
      <w:marLeft w:val="0"/>
      <w:marRight w:val="0"/>
      <w:marTop w:val="0"/>
      <w:marBottom w:val="0"/>
      <w:divBdr>
        <w:top w:val="none" w:sz="0" w:space="0" w:color="auto"/>
        <w:left w:val="none" w:sz="0" w:space="0" w:color="auto"/>
        <w:bottom w:val="none" w:sz="0" w:space="0" w:color="auto"/>
        <w:right w:val="none" w:sz="0" w:space="0" w:color="auto"/>
      </w:divBdr>
    </w:div>
    <w:div w:id="1013413813">
      <w:bodyDiv w:val="1"/>
      <w:marLeft w:val="0"/>
      <w:marRight w:val="0"/>
      <w:marTop w:val="0"/>
      <w:marBottom w:val="0"/>
      <w:divBdr>
        <w:top w:val="none" w:sz="0" w:space="0" w:color="auto"/>
        <w:left w:val="none" w:sz="0" w:space="0" w:color="auto"/>
        <w:bottom w:val="none" w:sz="0" w:space="0" w:color="auto"/>
        <w:right w:val="none" w:sz="0" w:space="0" w:color="auto"/>
      </w:divBdr>
    </w:div>
    <w:div w:id="1013460994">
      <w:bodyDiv w:val="1"/>
      <w:marLeft w:val="0"/>
      <w:marRight w:val="0"/>
      <w:marTop w:val="0"/>
      <w:marBottom w:val="0"/>
      <w:divBdr>
        <w:top w:val="none" w:sz="0" w:space="0" w:color="auto"/>
        <w:left w:val="none" w:sz="0" w:space="0" w:color="auto"/>
        <w:bottom w:val="none" w:sz="0" w:space="0" w:color="auto"/>
        <w:right w:val="none" w:sz="0" w:space="0" w:color="auto"/>
      </w:divBdr>
    </w:div>
    <w:div w:id="1017579749">
      <w:bodyDiv w:val="1"/>
      <w:marLeft w:val="0"/>
      <w:marRight w:val="0"/>
      <w:marTop w:val="0"/>
      <w:marBottom w:val="0"/>
      <w:divBdr>
        <w:top w:val="none" w:sz="0" w:space="0" w:color="auto"/>
        <w:left w:val="none" w:sz="0" w:space="0" w:color="auto"/>
        <w:bottom w:val="none" w:sz="0" w:space="0" w:color="auto"/>
        <w:right w:val="none" w:sz="0" w:space="0" w:color="auto"/>
      </w:divBdr>
    </w:div>
    <w:div w:id="1018580930">
      <w:bodyDiv w:val="1"/>
      <w:marLeft w:val="0"/>
      <w:marRight w:val="0"/>
      <w:marTop w:val="0"/>
      <w:marBottom w:val="0"/>
      <w:divBdr>
        <w:top w:val="none" w:sz="0" w:space="0" w:color="auto"/>
        <w:left w:val="none" w:sz="0" w:space="0" w:color="auto"/>
        <w:bottom w:val="none" w:sz="0" w:space="0" w:color="auto"/>
        <w:right w:val="none" w:sz="0" w:space="0" w:color="auto"/>
      </w:divBdr>
    </w:div>
    <w:div w:id="1026516342">
      <w:bodyDiv w:val="1"/>
      <w:marLeft w:val="0"/>
      <w:marRight w:val="0"/>
      <w:marTop w:val="0"/>
      <w:marBottom w:val="0"/>
      <w:divBdr>
        <w:top w:val="none" w:sz="0" w:space="0" w:color="auto"/>
        <w:left w:val="none" w:sz="0" w:space="0" w:color="auto"/>
        <w:bottom w:val="none" w:sz="0" w:space="0" w:color="auto"/>
        <w:right w:val="none" w:sz="0" w:space="0" w:color="auto"/>
      </w:divBdr>
    </w:div>
    <w:div w:id="1031221783">
      <w:bodyDiv w:val="1"/>
      <w:marLeft w:val="0"/>
      <w:marRight w:val="0"/>
      <w:marTop w:val="0"/>
      <w:marBottom w:val="0"/>
      <w:divBdr>
        <w:top w:val="none" w:sz="0" w:space="0" w:color="auto"/>
        <w:left w:val="none" w:sz="0" w:space="0" w:color="auto"/>
        <w:bottom w:val="none" w:sz="0" w:space="0" w:color="auto"/>
        <w:right w:val="none" w:sz="0" w:space="0" w:color="auto"/>
      </w:divBdr>
    </w:div>
    <w:div w:id="1033193200">
      <w:bodyDiv w:val="1"/>
      <w:marLeft w:val="0"/>
      <w:marRight w:val="0"/>
      <w:marTop w:val="0"/>
      <w:marBottom w:val="0"/>
      <w:divBdr>
        <w:top w:val="none" w:sz="0" w:space="0" w:color="auto"/>
        <w:left w:val="none" w:sz="0" w:space="0" w:color="auto"/>
        <w:bottom w:val="none" w:sz="0" w:space="0" w:color="auto"/>
        <w:right w:val="none" w:sz="0" w:space="0" w:color="auto"/>
      </w:divBdr>
      <w:divsChild>
        <w:div w:id="694845124">
          <w:marLeft w:val="0"/>
          <w:marRight w:val="0"/>
          <w:marTop w:val="0"/>
          <w:marBottom w:val="0"/>
          <w:divBdr>
            <w:top w:val="none" w:sz="0" w:space="0" w:color="auto"/>
            <w:left w:val="none" w:sz="0" w:space="0" w:color="auto"/>
            <w:bottom w:val="none" w:sz="0" w:space="0" w:color="auto"/>
            <w:right w:val="none" w:sz="0" w:space="0" w:color="auto"/>
          </w:divBdr>
        </w:div>
        <w:div w:id="1548833256">
          <w:marLeft w:val="0"/>
          <w:marRight w:val="0"/>
          <w:marTop w:val="0"/>
          <w:marBottom w:val="0"/>
          <w:divBdr>
            <w:top w:val="none" w:sz="0" w:space="0" w:color="auto"/>
            <w:left w:val="none" w:sz="0" w:space="0" w:color="auto"/>
            <w:bottom w:val="none" w:sz="0" w:space="0" w:color="auto"/>
            <w:right w:val="none" w:sz="0" w:space="0" w:color="auto"/>
          </w:divBdr>
        </w:div>
        <w:div w:id="1627349277">
          <w:marLeft w:val="0"/>
          <w:marRight w:val="0"/>
          <w:marTop w:val="0"/>
          <w:marBottom w:val="0"/>
          <w:divBdr>
            <w:top w:val="none" w:sz="0" w:space="0" w:color="auto"/>
            <w:left w:val="none" w:sz="0" w:space="0" w:color="auto"/>
            <w:bottom w:val="none" w:sz="0" w:space="0" w:color="auto"/>
            <w:right w:val="none" w:sz="0" w:space="0" w:color="auto"/>
          </w:divBdr>
        </w:div>
      </w:divsChild>
    </w:div>
    <w:div w:id="1045567711">
      <w:bodyDiv w:val="1"/>
      <w:marLeft w:val="0"/>
      <w:marRight w:val="0"/>
      <w:marTop w:val="0"/>
      <w:marBottom w:val="0"/>
      <w:divBdr>
        <w:top w:val="none" w:sz="0" w:space="0" w:color="auto"/>
        <w:left w:val="none" w:sz="0" w:space="0" w:color="auto"/>
        <w:bottom w:val="none" w:sz="0" w:space="0" w:color="auto"/>
        <w:right w:val="none" w:sz="0" w:space="0" w:color="auto"/>
      </w:divBdr>
    </w:div>
    <w:div w:id="1047602508">
      <w:bodyDiv w:val="1"/>
      <w:marLeft w:val="0"/>
      <w:marRight w:val="0"/>
      <w:marTop w:val="0"/>
      <w:marBottom w:val="0"/>
      <w:divBdr>
        <w:top w:val="none" w:sz="0" w:space="0" w:color="auto"/>
        <w:left w:val="none" w:sz="0" w:space="0" w:color="auto"/>
        <w:bottom w:val="none" w:sz="0" w:space="0" w:color="auto"/>
        <w:right w:val="none" w:sz="0" w:space="0" w:color="auto"/>
      </w:divBdr>
    </w:div>
    <w:div w:id="1048723017">
      <w:bodyDiv w:val="1"/>
      <w:marLeft w:val="0"/>
      <w:marRight w:val="0"/>
      <w:marTop w:val="0"/>
      <w:marBottom w:val="0"/>
      <w:divBdr>
        <w:top w:val="none" w:sz="0" w:space="0" w:color="auto"/>
        <w:left w:val="none" w:sz="0" w:space="0" w:color="auto"/>
        <w:bottom w:val="none" w:sz="0" w:space="0" w:color="auto"/>
        <w:right w:val="none" w:sz="0" w:space="0" w:color="auto"/>
      </w:divBdr>
    </w:div>
    <w:div w:id="1058672814">
      <w:bodyDiv w:val="1"/>
      <w:marLeft w:val="0"/>
      <w:marRight w:val="0"/>
      <w:marTop w:val="0"/>
      <w:marBottom w:val="0"/>
      <w:divBdr>
        <w:top w:val="none" w:sz="0" w:space="0" w:color="auto"/>
        <w:left w:val="none" w:sz="0" w:space="0" w:color="auto"/>
        <w:bottom w:val="none" w:sz="0" w:space="0" w:color="auto"/>
        <w:right w:val="none" w:sz="0" w:space="0" w:color="auto"/>
      </w:divBdr>
    </w:div>
    <w:div w:id="1070619505">
      <w:bodyDiv w:val="1"/>
      <w:marLeft w:val="0"/>
      <w:marRight w:val="0"/>
      <w:marTop w:val="0"/>
      <w:marBottom w:val="0"/>
      <w:divBdr>
        <w:top w:val="none" w:sz="0" w:space="0" w:color="auto"/>
        <w:left w:val="none" w:sz="0" w:space="0" w:color="auto"/>
        <w:bottom w:val="none" w:sz="0" w:space="0" w:color="auto"/>
        <w:right w:val="none" w:sz="0" w:space="0" w:color="auto"/>
      </w:divBdr>
    </w:div>
    <w:div w:id="1086730357">
      <w:bodyDiv w:val="1"/>
      <w:marLeft w:val="0"/>
      <w:marRight w:val="0"/>
      <w:marTop w:val="0"/>
      <w:marBottom w:val="0"/>
      <w:divBdr>
        <w:top w:val="none" w:sz="0" w:space="0" w:color="auto"/>
        <w:left w:val="none" w:sz="0" w:space="0" w:color="auto"/>
        <w:bottom w:val="none" w:sz="0" w:space="0" w:color="auto"/>
        <w:right w:val="none" w:sz="0" w:space="0" w:color="auto"/>
      </w:divBdr>
    </w:div>
    <w:div w:id="1099376310">
      <w:bodyDiv w:val="1"/>
      <w:marLeft w:val="0"/>
      <w:marRight w:val="0"/>
      <w:marTop w:val="0"/>
      <w:marBottom w:val="0"/>
      <w:divBdr>
        <w:top w:val="none" w:sz="0" w:space="0" w:color="auto"/>
        <w:left w:val="none" w:sz="0" w:space="0" w:color="auto"/>
        <w:bottom w:val="none" w:sz="0" w:space="0" w:color="auto"/>
        <w:right w:val="none" w:sz="0" w:space="0" w:color="auto"/>
      </w:divBdr>
    </w:div>
    <w:div w:id="1112942279">
      <w:bodyDiv w:val="1"/>
      <w:marLeft w:val="0"/>
      <w:marRight w:val="0"/>
      <w:marTop w:val="0"/>
      <w:marBottom w:val="0"/>
      <w:divBdr>
        <w:top w:val="none" w:sz="0" w:space="0" w:color="auto"/>
        <w:left w:val="none" w:sz="0" w:space="0" w:color="auto"/>
        <w:bottom w:val="none" w:sz="0" w:space="0" w:color="auto"/>
        <w:right w:val="none" w:sz="0" w:space="0" w:color="auto"/>
      </w:divBdr>
    </w:div>
    <w:div w:id="1116098212">
      <w:bodyDiv w:val="1"/>
      <w:marLeft w:val="0"/>
      <w:marRight w:val="0"/>
      <w:marTop w:val="0"/>
      <w:marBottom w:val="0"/>
      <w:divBdr>
        <w:top w:val="none" w:sz="0" w:space="0" w:color="auto"/>
        <w:left w:val="none" w:sz="0" w:space="0" w:color="auto"/>
        <w:bottom w:val="none" w:sz="0" w:space="0" w:color="auto"/>
        <w:right w:val="none" w:sz="0" w:space="0" w:color="auto"/>
      </w:divBdr>
    </w:div>
    <w:div w:id="1117333245">
      <w:bodyDiv w:val="1"/>
      <w:marLeft w:val="0"/>
      <w:marRight w:val="0"/>
      <w:marTop w:val="0"/>
      <w:marBottom w:val="0"/>
      <w:divBdr>
        <w:top w:val="none" w:sz="0" w:space="0" w:color="auto"/>
        <w:left w:val="none" w:sz="0" w:space="0" w:color="auto"/>
        <w:bottom w:val="none" w:sz="0" w:space="0" w:color="auto"/>
        <w:right w:val="none" w:sz="0" w:space="0" w:color="auto"/>
      </w:divBdr>
    </w:div>
    <w:div w:id="1129856086">
      <w:bodyDiv w:val="1"/>
      <w:marLeft w:val="0"/>
      <w:marRight w:val="0"/>
      <w:marTop w:val="0"/>
      <w:marBottom w:val="0"/>
      <w:divBdr>
        <w:top w:val="none" w:sz="0" w:space="0" w:color="auto"/>
        <w:left w:val="none" w:sz="0" w:space="0" w:color="auto"/>
        <w:bottom w:val="none" w:sz="0" w:space="0" w:color="auto"/>
        <w:right w:val="none" w:sz="0" w:space="0" w:color="auto"/>
      </w:divBdr>
    </w:div>
    <w:div w:id="1141113146">
      <w:bodyDiv w:val="1"/>
      <w:marLeft w:val="0"/>
      <w:marRight w:val="0"/>
      <w:marTop w:val="0"/>
      <w:marBottom w:val="0"/>
      <w:divBdr>
        <w:top w:val="none" w:sz="0" w:space="0" w:color="auto"/>
        <w:left w:val="none" w:sz="0" w:space="0" w:color="auto"/>
        <w:bottom w:val="none" w:sz="0" w:space="0" w:color="auto"/>
        <w:right w:val="none" w:sz="0" w:space="0" w:color="auto"/>
      </w:divBdr>
    </w:div>
    <w:div w:id="1141651101">
      <w:bodyDiv w:val="1"/>
      <w:marLeft w:val="0"/>
      <w:marRight w:val="0"/>
      <w:marTop w:val="0"/>
      <w:marBottom w:val="0"/>
      <w:divBdr>
        <w:top w:val="none" w:sz="0" w:space="0" w:color="auto"/>
        <w:left w:val="none" w:sz="0" w:space="0" w:color="auto"/>
        <w:bottom w:val="none" w:sz="0" w:space="0" w:color="auto"/>
        <w:right w:val="none" w:sz="0" w:space="0" w:color="auto"/>
      </w:divBdr>
    </w:div>
    <w:div w:id="1149713336">
      <w:bodyDiv w:val="1"/>
      <w:marLeft w:val="0"/>
      <w:marRight w:val="0"/>
      <w:marTop w:val="0"/>
      <w:marBottom w:val="0"/>
      <w:divBdr>
        <w:top w:val="none" w:sz="0" w:space="0" w:color="auto"/>
        <w:left w:val="none" w:sz="0" w:space="0" w:color="auto"/>
        <w:bottom w:val="none" w:sz="0" w:space="0" w:color="auto"/>
        <w:right w:val="none" w:sz="0" w:space="0" w:color="auto"/>
      </w:divBdr>
    </w:div>
    <w:div w:id="1156414413">
      <w:bodyDiv w:val="1"/>
      <w:marLeft w:val="0"/>
      <w:marRight w:val="0"/>
      <w:marTop w:val="0"/>
      <w:marBottom w:val="0"/>
      <w:divBdr>
        <w:top w:val="none" w:sz="0" w:space="0" w:color="auto"/>
        <w:left w:val="none" w:sz="0" w:space="0" w:color="auto"/>
        <w:bottom w:val="none" w:sz="0" w:space="0" w:color="auto"/>
        <w:right w:val="none" w:sz="0" w:space="0" w:color="auto"/>
      </w:divBdr>
    </w:div>
    <w:div w:id="1175413406">
      <w:bodyDiv w:val="1"/>
      <w:marLeft w:val="0"/>
      <w:marRight w:val="0"/>
      <w:marTop w:val="0"/>
      <w:marBottom w:val="0"/>
      <w:divBdr>
        <w:top w:val="none" w:sz="0" w:space="0" w:color="auto"/>
        <w:left w:val="none" w:sz="0" w:space="0" w:color="auto"/>
        <w:bottom w:val="none" w:sz="0" w:space="0" w:color="auto"/>
        <w:right w:val="none" w:sz="0" w:space="0" w:color="auto"/>
      </w:divBdr>
    </w:div>
    <w:div w:id="1179387638">
      <w:bodyDiv w:val="1"/>
      <w:marLeft w:val="0"/>
      <w:marRight w:val="0"/>
      <w:marTop w:val="0"/>
      <w:marBottom w:val="0"/>
      <w:divBdr>
        <w:top w:val="none" w:sz="0" w:space="0" w:color="auto"/>
        <w:left w:val="none" w:sz="0" w:space="0" w:color="auto"/>
        <w:bottom w:val="none" w:sz="0" w:space="0" w:color="auto"/>
        <w:right w:val="none" w:sz="0" w:space="0" w:color="auto"/>
      </w:divBdr>
    </w:div>
    <w:div w:id="1182860894">
      <w:bodyDiv w:val="1"/>
      <w:marLeft w:val="0"/>
      <w:marRight w:val="0"/>
      <w:marTop w:val="0"/>
      <w:marBottom w:val="0"/>
      <w:divBdr>
        <w:top w:val="none" w:sz="0" w:space="0" w:color="auto"/>
        <w:left w:val="none" w:sz="0" w:space="0" w:color="auto"/>
        <w:bottom w:val="none" w:sz="0" w:space="0" w:color="auto"/>
        <w:right w:val="none" w:sz="0" w:space="0" w:color="auto"/>
      </w:divBdr>
    </w:div>
    <w:div w:id="1203640957">
      <w:bodyDiv w:val="1"/>
      <w:marLeft w:val="0"/>
      <w:marRight w:val="0"/>
      <w:marTop w:val="0"/>
      <w:marBottom w:val="0"/>
      <w:divBdr>
        <w:top w:val="none" w:sz="0" w:space="0" w:color="auto"/>
        <w:left w:val="none" w:sz="0" w:space="0" w:color="auto"/>
        <w:bottom w:val="none" w:sz="0" w:space="0" w:color="auto"/>
        <w:right w:val="none" w:sz="0" w:space="0" w:color="auto"/>
      </w:divBdr>
    </w:div>
    <w:div w:id="1205942692">
      <w:bodyDiv w:val="1"/>
      <w:marLeft w:val="0"/>
      <w:marRight w:val="0"/>
      <w:marTop w:val="0"/>
      <w:marBottom w:val="0"/>
      <w:divBdr>
        <w:top w:val="none" w:sz="0" w:space="0" w:color="auto"/>
        <w:left w:val="none" w:sz="0" w:space="0" w:color="auto"/>
        <w:bottom w:val="none" w:sz="0" w:space="0" w:color="auto"/>
        <w:right w:val="none" w:sz="0" w:space="0" w:color="auto"/>
      </w:divBdr>
    </w:div>
    <w:div w:id="1216812808">
      <w:bodyDiv w:val="1"/>
      <w:marLeft w:val="0"/>
      <w:marRight w:val="0"/>
      <w:marTop w:val="0"/>
      <w:marBottom w:val="0"/>
      <w:divBdr>
        <w:top w:val="none" w:sz="0" w:space="0" w:color="auto"/>
        <w:left w:val="none" w:sz="0" w:space="0" w:color="auto"/>
        <w:bottom w:val="none" w:sz="0" w:space="0" w:color="auto"/>
        <w:right w:val="none" w:sz="0" w:space="0" w:color="auto"/>
      </w:divBdr>
      <w:divsChild>
        <w:div w:id="1325551981">
          <w:marLeft w:val="0"/>
          <w:marRight w:val="0"/>
          <w:marTop w:val="0"/>
          <w:marBottom w:val="0"/>
          <w:divBdr>
            <w:top w:val="none" w:sz="0" w:space="0" w:color="auto"/>
            <w:left w:val="none" w:sz="0" w:space="0" w:color="auto"/>
            <w:bottom w:val="none" w:sz="0" w:space="0" w:color="auto"/>
            <w:right w:val="none" w:sz="0" w:space="0" w:color="auto"/>
          </w:divBdr>
        </w:div>
        <w:div w:id="1759249304">
          <w:marLeft w:val="0"/>
          <w:marRight w:val="0"/>
          <w:marTop w:val="0"/>
          <w:marBottom w:val="0"/>
          <w:divBdr>
            <w:top w:val="none" w:sz="0" w:space="0" w:color="auto"/>
            <w:left w:val="none" w:sz="0" w:space="0" w:color="auto"/>
            <w:bottom w:val="none" w:sz="0" w:space="0" w:color="auto"/>
            <w:right w:val="none" w:sz="0" w:space="0" w:color="auto"/>
          </w:divBdr>
        </w:div>
        <w:div w:id="1988629363">
          <w:marLeft w:val="0"/>
          <w:marRight w:val="0"/>
          <w:marTop w:val="0"/>
          <w:marBottom w:val="0"/>
          <w:divBdr>
            <w:top w:val="none" w:sz="0" w:space="0" w:color="auto"/>
            <w:left w:val="none" w:sz="0" w:space="0" w:color="auto"/>
            <w:bottom w:val="none" w:sz="0" w:space="0" w:color="auto"/>
            <w:right w:val="none" w:sz="0" w:space="0" w:color="auto"/>
          </w:divBdr>
        </w:div>
        <w:div w:id="697194028">
          <w:marLeft w:val="0"/>
          <w:marRight w:val="0"/>
          <w:marTop w:val="0"/>
          <w:marBottom w:val="0"/>
          <w:divBdr>
            <w:top w:val="none" w:sz="0" w:space="0" w:color="auto"/>
            <w:left w:val="none" w:sz="0" w:space="0" w:color="auto"/>
            <w:bottom w:val="none" w:sz="0" w:space="0" w:color="auto"/>
            <w:right w:val="none" w:sz="0" w:space="0" w:color="auto"/>
          </w:divBdr>
        </w:div>
        <w:div w:id="1815677211">
          <w:marLeft w:val="0"/>
          <w:marRight w:val="0"/>
          <w:marTop w:val="0"/>
          <w:marBottom w:val="0"/>
          <w:divBdr>
            <w:top w:val="none" w:sz="0" w:space="0" w:color="auto"/>
            <w:left w:val="none" w:sz="0" w:space="0" w:color="auto"/>
            <w:bottom w:val="none" w:sz="0" w:space="0" w:color="auto"/>
            <w:right w:val="none" w:sz="0" w:space="0" w:color="auto"/>
          </w:divBdr>
        </w:div>
        <w:div w:id="1821649755">
          <w:marLeft w:val="0"/>
          <w:marRight w:val="0"/>
          <w:marTop w:val="0"/>
          <w:marBottom w:val="0"/>
          <w:divBdr>
            <w:top w:val="none" w:sz="0" w:space="0" w:color="auto"/>
            <w:left w:val="none" w:sz="0" w:space="0" w:color="auto"/>
            <w:bottom w:val="none" w:sz="0" w:space="0" w:color="auto"/>
            <w:right w:val="none" w:sz="0" w:space="0" w:color="auto"/>
          </w:divBdr>
        </w:div>
        <w:div w:id="1430663167">
          <w:marLeft w:val="0"/>
          <w:marRight w:val="0"/>
          <w:marTop w:val="0"/>
          <w:marBottom w:val="0"/>
          <w:divBdr>
            <w:top w:val="none" w:sz="0" w:space="0" w:color="auto"/>
            <w:left w:val="none" w:sz="0" w:space="0" w:color="auto"/>
            <w:bottom w:val="none" w:sz="0" w:space="0" w:color="auto"/>
            <w:right w:val="none" w:sz="0" w:space="0" w:color="auto"/>
          </w:divBdr>
        </w:div>
        <w:div w:id="1371804005">
          <w:marLeft w:val="0"/>
          <w:marRight w:val="0"/>
          <w:marTop w:val="0"/>
          <w:marBottom w:val="0"/>
          <w:divBdr>
            <w:top w:val="none" w:sz="0" w:space="0" w:color="auto"/>
            <w:left w:val="none" w:sz="0" w:space="0" w:color="auto"/>
            <w:bottom w:val="none" w:sz="0" w:space="0" w:color="auto"/>
            <w:right w:val="none" w:sz="0" w:space="0" w:color="auto"/>
          </w:divBdr>
        </w:div>
        <w:div w:id="1268392406">
          <w:marLeft w:val="0"/>
          <w:marRight w:val="0"/>
          <w:marTop w:val="0"/>
          <w:marBottom w:val="0"/>
          <w:divBdr>
            <w:top w:val="none" w:sz="0" w:space="0" w:color="auto"/>
            <w:left w:val="none" w:sz="0" w:space="0" w:color="auto"/>
            <w:bottom w:val="none" w:sz="0" w:space="0" w:color="auto"/>
            <w:right w:val="none" w:sz="0" w:space="0" w:color="auto"/>
          </w:divBdr>
        </w:div>
        <w:div w:id="324826178">
          <w:marLeft w:val="0"/>
          <w:marRight w:val="0"/>
          <w:marTop w:val="0"/>
          <w:marBottom w:val="0"/>
          <w:divBdr>
            <w:top w:val="none" w:sz="0" w:space="0" w:color="auto"/>
            <w:left w:val="none" w:sz="0" w:space="0" w:color="auto"/>
            <w:bottom w:val="none" w:sz="0" w:space="0" w:color="auto"/>
            <w:right w:val="none" w:sz="0" w:space="0" w:color="auto"/>
          </w:divBdr>
        </w:div>
        <w:div w:id="857307642">
          <w:marLeft w:val="0"/>
          <w:marRight w:val="0"/>
          <w:marTop w:val="0"/>
          <w:marBottom w:val="0"/>
          <w:divBdr>
            <w:top w:val="none" w:sz="0" w:space="0" w:color="auto"/>
            <w:left w:val="none" w:sz="0" w:space="0" w:color="auto"/>
            <w:bottom w:val="none" w:sz="0" w:space="0" w:color="auto"/>
            <w:right w:val="none" w:sz="0" w:space="0" w:color="auto"/>
          </w:divBdr>
        </w:div>
        <w:div w:id="598367871">
          <w:marLeft w:val="0"/>
          <w:marRight w:val="0"/>
          <w:marTop w:val="0"/>
          <w:marBottom w:val="0"/>
          <w:divBdr>
            <w:top w:val="none" w:sz="0" w:space="0" w:color="auto"/>
            <w:left w:val="none" w:sz="0" w:space="0" w:color="auto"/>
            <w:bottom w:val="none" w:sz="0" w:space="0" w:color="auto"/>
            <w:right w:val="none" w:sz="0" w:space="0" w:color="auto"/>
          </w:divBdr>
        </w:div>
        <w:div w:id="1605072230">
          <w:marLeft w:val="0"/>
          <w:marRight w:val="0"/>
          <w:marTop w:val="0"/>
          <w:marBottom w:val="0"/>
          <w:divBdr>
            <w:top w:val="none" w:sz="0" w:space="0" w:color="auto"/>
            <w:left w:val="none" w:sz="0" w:space="0" w:color="auto"/>
            <w:bottom w:val="none" w:sz="0" w:space="0" w:color="auto"/>
            <w:right w:val="none" w:sz="0" w:space="0" w:color="auto"/>
          </w:divBdr>
        </w:div>
        <w:div w:id="2114587550">
          <w:marLeft w:val="0"/>
          <w:marRight w:val="0"/>
          <w:marTop w:val="0"/>
          <w:marBottom w:val="0"/>
          <w:divBdr>
            <w:top w:val="none" w:sz="0" w:space="0" w:color="auto"/>
            <w:left w:val="none" w:sz="0" w:space="0" w:color="auto"/>
            <w:bottom w:val="none" w:sz="0" w:space="0" w:color="auto"/>
            <w:right w:val="none" w:sz="0" w:space="0" w:color="auto"/>
          </w:divBdr>
        </w:div>
      </w:divsChild>
    </w:div>
    <w:div w:id="1228145013">
      <w:bodyDiv w:val="1"/>
      <w:marLeft w:val="0"/>
      <w:marRight w:val="0"/>
      <w:marTop w:val="0"/>
      <w:marBottom w:val="0"/>
      <w:divBdr>
        <w:top w:val="none" w:sz="0" w:space="0" w:color="auto"/>
        <w:left w:val="none" w:sz="0" w:space="0" w:color="auto"/>
        <w:bottom w:val="none" w:sz="0" w:space="0" w:color="auto"/>
        <w:right w:val="none" w:sz="0" w:space="0" w:color="auto"/>
      </w:divBdr>
    </w:div>
    <w:div w:id="1233347665">
      <w:bodyDiv w:val="1"/>
      <w:marLeft w:val="0"/>
      <w:marRight w:val="0"/>
      <w:marTop w:val="0"/>
      <w:marBottom w:val="0"/>
      <w:divBdr>
        <w:top w:val="none" w:sz="0" w:space="0" w:color="auto"/>
        <w:left w:val="none" w:sz="0" w:space="0" w:color="auto"/>
        <w:bottom w:val="none" w:sz="0" w:space="0" w:color="auto"/>
        <w:right w:val="none" w:sz="0" w:space="0" w:color="auto"/>
      </w:divBdr>
    </w:div>
    <w:div w:id="1236092568">
      <w:bodyDiv w:val="1"/>
      <w:marLeft w:val="0"/>
      <w:marRight w:val="0"/>
      <w:marTop w:val="0"/>
      <w:marBottom w:val="0"/>
      <w:divBdr>
        <w:top w:val="none" w:sz="0" w:space="0" w:color="auto"/>
        <w:left w:val="none" w:sz="0" w:space="0" w:color="auto"/>
        <w:bottom w:val="none" w:sz="0" w:space="0" w:color="auto"/>
        <w:right w:val="none" w:sz="0" w:space="0" w:color="auto"/>
      </w:divBdr>
    </w:div>
    <w:div w:id="1237977311">
      <w:bodyDiv w:val="1"/>
      <w:marLeft w:val="0"/>
      <w:marRight w:val="0"/>
      <w:marTop w:val="0"/>
      <w:marBottom w:val="0"/>
      <w:divBdr>
        <w:top w:val="none" w:sz="0" w:space="0" w:color="auto"/>
        <w:left w:val="none" w:sz="0" w:space="0" w:color="auto"/>
        <w:bottom w:val="none" w:sz="0" w:space="0" w:color="auto"/>
        <w:right w:val="none" w:sz="0" w:space="0" w:color="auto"/>
      </w:divBdr>
    </w:div>
    <w:div w:id="1249385212">
      <w:bodyDiv w:val="1"/>
      <w:marLeft w:val="0"/>
      <w:marRight w:val="0"/>
      <w:marTop w:val="0"/>
      <w:marBottom w:val="0"/>
      <w:divBdr>
        <w:top w:val="none" w:sz="0" w:space="0" w:color="auto"/>
        <w:left w:val="none" w:sz="0" w:space="0" w:color="auto"/>
        <w:bottom w:val="none" w:sz="0" w:space="0" w:color="auto"/>
        <w:right w:val="none" w:sz="0" w:space="0" w:color="auto"/>
      </w:divBdr>
    </w:div>
    <w:div w:id="1250581886">
      <w:bodyDiv w:val="1"/>
      <w:marLeft w:val="0"/>
      <w:marRight w:val="0"/>
      <w:marTop w:val="0"/>
      <w:marBottom w:val="0"/>
      <w:divBdr>
        <w:top w:val="none" w:sz="0" w:space="0" w:color="auto"/>
        <w:left w:val="none" w:sz="0" w:space="0" w:color="auto"/>
        <w:bottom w:val="none" w:sz="0" w:space="0" w:color="auto"/>
        <w:right w:val="none" w:sz="0" w:space="0" w:color="auto"/>
      </w:divBdr>
      <w:divsChild>
        <w:div w:id="1781753162">
          <w:marLeft w:val="0"/>
          <w:marRight w:val="0"/>
          <w:marTop w:val="113"/>
          <w:marBottom w:val="0"/>
          <w:divBdr>
            <w:top w:val="none" w:sz="0" w:space="0" w:color="auto"/>
            <w:left w:val="none" w:sz="0" w:space="0" w:color="auto"/>
            <w:bottom w:val="none" w:sz="0" w:space="0" w:color="auto"/>
            <w:right w:val="none" w:sz="0" w:space="0" w:color="auto"/>
          </w:divBdr>
        </w:div>
        <w:div w:id="1848910142">
          <w:marLeft w:val="0"/>
          <w:marRight w:val="0"/>
          <w:marTop w:val="0"/>
          <w:marBottom w:val="113"/>
          <w:divBdr>
            <w:top w:val="none" w:sz="0" w:space="0" w:color="auto"/>
            <w:left w:val="none" w:sz="0" w:space="0" w:color="auto"/>
            <w:bottom w:val="none" w:sz="0" w:space="0" w:color="auto"/>
            <w:right w:val="none" w:sz="0" w:space="0" w:color="auto"/>
          </w:divBdr>
        </w:div>
      </w:divsChild>
    </w:div>
    <w:div w:id="1260915820">
      <w:bodyDiv w:val="1"/>
      <w:marLeft w:val="0"/>
      <w:marRight w:val="0"/>
      <w:marTop w:val="0"/>
      <w:marBottom w:val="0"/>
      <w:divBdr>
        <w:top w:val="none" w:sz="0" w:space="0" w:color="auto"/>
        <w:left w:val="none" w:sz="0" w:space="0" w:color="auto"/>
        <w:bottom w:val="none" w:sz="0" w:space="0" w:color="auto"/>
        <w:right w:val="none" w:sz="0" w:space="0" w:color="auto"/>
      </w:divBdr>
    </w:div>
    <w:div w:id="1268343906">
      <w:bodyDiv w:val="1"/>
      <w:marLeft w:val="0"/>
      <w:marRight w:val="0"/>
      <w:marTop w:val="0"/>
      <w:marBottom w:val="0"/>
      <w:divBdr>
        <w:top w:val="none" w:sz="0" w:space="0" w:color="auto"/>
        <w:left w:val="none" w:sz="0" w:space="0" w:color="auto"/>
        <w:bottom w:val="none" w:sz="0" w:space="0" w:color="auto"/>
        <w:right w:val="none" w:sz="0" w:space="0" w:color="auto"/>
      </w:divBdr>
    </w:div>
    <w:div w:id="1284383711">
      <w:bodyDiv w:val="1"/>
      <w:marLeft w:val="0"/>
      <w:marRight w:val="0"/>
      <w:marTop w:val="0"/>
      <w:marBottom w:val="0"/>
      <w:divBdr>
        <w:top w:val="none" w:sz="0" w:space="0" w:color="auto"/>
        <w:left w:val="none" w:sz="0" w:space="0" w:color="auto"/>
        <w:bottom w:val="none" w:sz="0" w:space="0" w:color="auto"/>
        <w:right w:val="none" w:sz="0" w:space="0" w:color="auto"/>
      </w:divBdr>
    </w:div>
    <w:div w:id="1286425234">
      <w:bodyDiv w:val="1"/>
      <w:marLeft w:val="0"/>
      <w:marRight w:val="0"/>
      <w:marTop w:val="0"/>
      <w:marBottom w:val="0"/>
      <w:divBdr>
        <w:top w:val="none" w:sz="0" w:space="0" w:color="auto"/>
        <w:left w:val="none" w:sz="0" w:space="0" w:color="auto"/>
        <w:bottom w:val="none" w:sz="0" w:space="0" w:color="auto"/>
        <w:right w:val="none" w:sz="0" w:space="0" w:color="auto"/>
      </w:divBdr>
    </w:div>
    <w:div w:id="1291326619">
      <w:bodyDiv w:val="1"/>
      <w:marLeft w:val="0"/>
      <w:marRight w:val="0"/>
      <w:marTop w:val="0"/>
      <w:marBottom w:val="0"/>
      <w:divBdr>
        <w:top w:val="none" w:sz="0" w:space="0" w:color="auto"/>
        <w:left w:val="none" w:sz="0" w:space="0" w:color="auto"/>
        <w:bottom w:val="none" w:sz="0" w:space="0" w:color="auto"/>
        <w:right w:val="none" w:sz="0" w:space="0" w:color="auto"/>
      </w:divBdr>
    </w:div>
    <w:div w:id="1299726796">
      <w:bodyDiv w:val="1"/>
      <w:marLeft w:val="0"/>
      <w:marRight w:val="0"/>
      <w:marTop w:val="0"/>
      <w:marBottom w:val="0"/>
      <w:divBdr>
        <w:top w:val="none" w:sz="0" w:space="0" w:color="auto"/>
        <w:left w:val="none" w:sz="0" w:space="0" w:color="auto"/>
        <w:bottom w:val="none" w:sz="0" w:space="0" w:color="auto"/>
        <w:right w:val="none" w:sz="0" w:space="0" w:color="auto"/>
      </w:divBdr>
    </w:div>
    <w:div w:id="1300039621">
      <w:bodyDiv w:val="1"/>
      <w:marLeft w:val="0"/>
      <w:marRight w:val="0"/>
      <w:marTop w:val="0"/>
      <w:marBottom w:val="0"/>
      <w:divBdr>
        <w:top w:val="none" w:sz="0" w:space="0" w:color="auto"/>
        <w:left w:val="none" w:sz="0" w:space="0" w:color="auto"/>
        <w:bottom w:val="none" w:sz="0" w:space="0" w:color="auto"/>
        <w:right w:val="none" w:sz="0" w:space="0" w:color="auto"/>
      </w:divBdr>
    </w:div>
    <w:div w:id="1306738970">
      <w:bodyDiv w:val="1"/>
      <w:marLeft w:val="0"/>
      <w:marRight w:val="0"/>
      <w:marTop w:val="0"/>
      <w:marBottom w:val="0"/>
      <w:divBdr>
        <w:top w:val="none" w:sz="0" w:space="0" w:color="auto"/>
        <w:left w:val="none" w:sz="0" w:space="0" w:color="auto"/>
        <w:bottom w:val="none" w:sz="0" w:space="0" w:color="auto"/>
        <w:right w:val="none" w:sz="0" w:space="0" w:color="auto"/>
      </w:divBdr>
    </w:div>
    <w:div w:id="1306811758">
      <w:bodyDiv w:val="1"/>
      <w:marLeft w:val="0"/>
      <w:marRight w:val="0"/>
      <w:marTop w:val="0"/>
      <w:marBottom w:val="0"/>
      <w:divBdr>
        <w:top w:val="none" w:sz="0" w:space="0" w:color="auto"/>
        <w:left w:val="none" w:sz="0" w:space="0" w:color="auto"/>
        <w:bottom w:val="none" w:sz="0" w:space="0" w:color="auto"/>
        <w:right w:val="none" w:sz="0" w:space="0" w:color="auto"/>
      </w:divBdr>
    </w:div>
    <w:div w:id="1316227738">
      <w:bodyDiv w:val="1"/>
      <w:marLeft w:val="0"/>
      <w:marRight w:val="0"/>
      <w:marTop w:val="0"/>
      <w:marBottom w:val="0"/>
      <w:divBdr>
        <w:top w:val="none" w:sz="0" w:space="0" w:color="auto"/>
        <w:left w:val="none" w:sz="0" w:space="0" w:color="auto"/>
        <w:bottom w:val="none" w:sz="0" w:space="0" w:color="auto"/>
        <w:right w:val="none" w:sz="0" w:space="0" w:color="auto"/>
      </w:divBdr>
    </w:div>
    <w:div w:id="1317342280">
      <w:bodyDiv w:val="1"/>
      <w:marLeft w:val="0"/>
      <w:marRight w:val="0"/>
      <w:marTop w:val="0"/>
      <w:marBottom w:val="0"/>
      <w:divBdr>
        <w:top w:val="none" w:sz="0" w:space="0" w:color="auto"/>
        <w:left w:val="none" w:sz="0" w:space="0" w:color="auto"/>
        <w:bottom w:val="none" w:sz="0" w:space="0" w:color="auto"/>
        <w:right w:val="none" w:sz="0" w:space="0" w:color="auto"/>
      </w:divBdr>
    </w:div>
    <w:div w:id="1319262113">
      <w:bodyDiv w:val="1"/>
      <w:marLeft w:val="0"/>
      <w:marRight w:val="0"/>
      <w:marTop w:val="0"/>
      <w:marBottom w:val="0"/>
      <w:divBdr>
        <w:top w:val="none" w:sz="0" w:space="0" w:color="auto"/>
        <w:left w:val="none" w:sz="0" w:space="0" w:color="auto"/>
        <w:bottom w:val="none" w:sz="0" w:space="0" w:color="auto"/>
        <w:right w:val="none" w:sz="0" w:space="0" w:color="auto"/>
      </w:divBdr>
    </w:div>
    <w:div w:id="1336688932">
      <w:bodyDiv w:val="1"/>
      <w:marLeft w:val="0"/>
      <w:marRight w:val="0"/>
      <w:marTop w:val="0"/>
      <w:marBottom w:val="0"/>
      <w:divBdr>
        <w:top w:val="none" w:sz="0" w:space="0" w:color="auto"/>
        <w:left w:val="none" w:sz="0" w:space="0" w:color="auto"/>
        <w:bottom w:val="none" w:sz="0" w:space="0" w:color="auto"/>
        <w:right w:val="none" w:sz="0" w:space="0" w:color="auto"/>
      </w:divBdr>
    </w:div>
    <w:div w:id="1337920706">
      <w:bodyDiv w:val="1"/>
      <w:marLeft w:val="0"/>
      <w:marRight w:val="0"/>
      <w:marTop w:val="0"/>
      <w:marBottom w:val="0"/>
      <w:divBdr>
        <w:top w:val="none" w:sz="0" w:space="0" w:color="auto"/>
        <w:left w:val="none" w:sz="0" w:space="0" w:color="auto"/>
        <w:bottom w:val="none" w:sz="0" w:space="0" w:color="auto"/>
        <w:right w:val="none" w:sz="0" w:space="0" w:color="auto"/>
      </w:divBdr>
    </w:div>
    <w:div w:id="1339573515">
      <w:bodyDiv w:val="1"/>
      <w:marLeft w:val="0"/>
      <w:marRight w:val="0"/>
      <w:marTop w:val="0"/>
      <w:marBottom w:val="0"/>
      <w:divBdr>
        <w:top w:val="none" w:sz="0" w:space="0" w:color="auto"/>
        <w:left w:val="none" w:sz="0" w:space="0" w:color="auto"/>
        <w:bottom w:val="none" w:sz="0" w:space="0" w:color="auto"/>
        <w:right w:val="none" w:sz="0" w:space="0" w:color="auto"/>
      </w:divBdr>
    </w:div>
    <w:div w:id="1342512101">
      <w:bodyDiv w:val="1"/>
      <w:marLeft w:val="0"/>
      <w:marRight w:val="0"/>
      <w:marTop w:val="0"/>
      <w:marBottom w:val="0"/>
      <w:divBdr>
        <w:top w:val="none" w:sz="0" w:space="0" w:color="auto"/>
        <w:left w:val="none" w:sz="0" w:space="0" w:color="auto"/>
        <w:bottom w:val="none" w:sz="0" w:space="0" w:color="auto"/>
        <w:right w:val="none" w:sz="0" w:space="0" w:color="auto"/>
      </w:divBdr>
    </w:div>
    <w:div w:id="1343163509">
      <w:bodyDiv w:val="1"/>
      <w:marLeft w:val="0"/>
      <w:marRight w:val="0"/>
      <w:marTop w:val="0"/>
      <w:marBottom w:val="0"/>
      <w:divBdr>
        <w:top w:val="none" w:sz="0" w:space="0" w:color="auto"/>
        <w:left w:val="none" w:sz="0" w:space="0" w:color="auto"/>
        <w:bottom w:val="none" w:sz="0" w:space="0" w:color="auto"/>
        <w:right w:val="none" w:sz="0" w:space="0" w:color="auto"/>
      </w:divBdr>
    </w:div>
    <w:div w:id="1352492568">
      <w:bodyDiv w:val="1"/>
      <w:marLeft w:val="0"/>
      <w:marRight w:val="0"/>
      <w:marTop w:val="0"/>
      <w:marBottom w:val="0"/>
      <w:divBdr>
        <w:top w:val="none" w:sz="0" w:space="0" w:color="auto"/>
        <w:left w:val="none" w:sz="0" w:space="0" w:color="auto"/>
        <w:bottom w:val="none" w:sz="0" w:space="0" w:color="auto"/>
        <w:right w:val="none" w:sz="0" w:space="0" w:color="auto"/>
      </w:divBdr>
    </w:div>
    <w:div w:id="1358239500">
      <w:bodyDiv w:val="1"/>
      <w:marLeft w:val="0"/>
      <w:marRight w:val="0"/>
      <w:marTop w:val="0"/>
      <w:marBottom w:val="0"/>
      <w:divBdr>
        <w:top w:val="none" w:sz="0" w:space="0" w:color="auto"/>
        <w:left w:val="none" w:sz="0" w:space="0" w:color="auto"/>
        <w:bottom w:val="none" w:sz="0" w:space="0" w:color="auto"/>
        <w:right w:val="none" w:sz="0" w:space="0" w:color="auto"/>
      </w:divBdr>
    </w:div>
    <w:div w:id="1377269409">
      <w:bodyDiv w:val="1"/>
      <w:marLeft w:val="0"/>
      <w:marRight w:val="0"/>
      <w:marTop w:val="0"/>
      <w:marBottom w:val="0"/>
      <w:divBdr>
        <w:top w:val="none" w:sz="0" w:space="0" w:color="auto"/>
        <w:left w:val="none" w:sz="0" w:space="0" w:color="auto"/>
        <w:bottom w:val="none" w:sz="0" w:space="0" w:color="auto"/>
        <w:right w:val="none" w:sz="0" w:space="0" w:color="auto"/>
      </w:divBdr>
    </w:div>
    <w:div w:id="1379012597">
      <w:bodyDiv w:val="1"/>
      <w:marLeft w:val="0"/>
      <w:marRight w:val="0"/>
      <w:marTop w:val="0"/>
      <w:marBottom w:val="0"/>
      <w:divBdr>
        <w:top w:val="none" w:sz="0" w:space="0" w:color="auto"/>
        <w:left w:val="none" w:sz="0" w:space="0" w:color="auto"/>
        <w:bottom w:val="none" w:sz="0" w:space="0" w:color="auto"/>
        <w:right w:val="none" w:sz="0" w:space="0" w:color="auto"/>
      </w:divBdr>
    </w:div>
    <w:div w:id="1391879017">
      <w:bodyDiv w:val="1"/>
      <w:marLeft w:val="0"/>
      <w:marRight w:val="0"/>
      <w:marTop w:val="0"/>
      <w:marBottom w:val="0"/>
      <w:divBdr>
        <w:top w:val="none" w:sz="0" w:space="0" w:color="auto"/>
        <w:left w:val="none" w:sz="0" w:space="0" w:color="auto"/>
        <w:bottom w:val="none" w:sz="0" w:space="0" w:color="auto"/>
        <w:right w:val="none" w:sz="0" w:space="0" w:color="auto"/>
      </w:divBdr>
    </w:div>
    <w:div w:id="1396783835">
      <w:bodyDiv w:val="1"/>
      <w:marLeft w:val="0"/>
      <w:marRight w:val="0"/>
      <w:marTop w:val="0"/>
      <w:marBottom w:val="0"/>
      <w:divBdr>
        <w:top w:val="none" w:sz="0" w:space="0" w:color="auto"/>
        <w:left w:val="none" w:sz="0" w:space="0" w:color="auto"/>
        <w:bottom w:val="none" w:sz="0" w:space="0" w:color="auto"/>
        <w:right w:val="none" w:sz="0" w:space="0" w:color="auto"/>
      </w:divBdr>
    </w:div>
    <w:div w:id="1402368421">
      <w:bodyDiv w:val="1"/>
      <w:marLeft w:val="0"/>
      <w:marRight w:val="0"/>
      <w:marTop w:val="0"/>
      <w:marBottom w:val="0"/>
      <w:divBdr>
        <w:top w:val="none" w:sz="0" w:space="0" w:color="auto"/>
        <w:left w:val="none" w:sz="0" w:space="0" w:color="auto"/>
        <w:bottom w:val="none" w:sz="0" w:space="0" w:color="auto"/>
        <w:right w:val="none" w:sz="0" w:space="0" w:color="auto"/>
      </w:divBdr>
    </w:div>
    <w:div w:id="1407461918">
      <w:bodyDiv w:val="1"/>
      <w:marLeft w:val="0"/>
      <w:marRight w:val="0"/>
      <w:marTop w:val="0"/>
      <w:marBottom w:val="0"/>
      <w:divBdr>
        <w:top w:val="none" w:sz="0" w:space="0" w:color="auto"/>
        <w:left w:val="none" w:sz="0" w:space="0" w:color="auto"/>
        <w:bottom w:val="none" w:sz="0" w:space="0" w:color="auto"/>
        <w:right w:val="none" w:sz="0" w:space="0" w:color="auto"/>
      </w:divBdr>
    </w:div>
    <w:div w:id="1408185235">
      <w:bodyDiv w:val="1"/>
      <w:marLeft w:val="0"/>
      <w:marRight w:val="0"/>
      <w:marTop w:val="0"/>
      <w:marBottom w:val="0"/>
      <w:divBdr>
        <w:top w:val="none" w:sz="0" w:space="0" w:color="auto"/>
        <w:left w:val="none" w:sz="0" w:space="0" w:color="auto"/>
        <w:bottom w:val="none" w:sz="0" w:space="0" w:color="auto"/>
        <w:right w:val="none" w:sz="0" w:space="0" w:color="auto"/>
      </w:divBdr>
    </w:div>
    <w:div w:id="1412653017">
      <w:bodyDiv w:val="1"/>
      <w:marLeft w:val="0"/>
      <w:marRight w:val="0"/>
      <w:marTop w:val="0"/>
      <w:marBottom w:val="0"/>
      <w:divBdr>
        <w:top w:val="none" w:sz="0" w:space="0" w:color="auto"/>
        <w:left w:val="none" w:sz="0" w:space="0" w:color="auto"/>
        <w:bottom w:val="none" w:sz="0" w:space="0" w:color="auto"/>
        <w:right w:val="none" w:sz="0" w:space="0" w:color="auto"/>
      </w:divBdr>
    </w:div>
    <w:div w:id="1421291255">
      <w:bodyDiv w:val="1"/>
      <w:marLeft w:val="0"/>
      <w:marRight w:val="0"/>
      <w:marTop w:val="0"/>
      <w:marBottom w:val="0"/>
      <w:divBdr>
        <w:top w:val="none" w:sz="0" w:space="0" w:color="auto"/>
        <w:left w:val="none" w:sz="0" w:space="0" w:color="auto"/>
        <w:bottom w:val="none" w:sz="0" w:space="0" w:color="auto"/>
        <w:right w:val="none" w:sz="0" w:space="0" w:color="auto"/>
      </w:divBdr>
    </w:div>
    <w:div w:id="1425371612">
      <w:bodyDiv w:val="1"/>
      <w:marLeft w:val="0"/>
      <w:marRight w:val="0"/>
      <w:marTop w:val="0"/>
      <w:marBottom w:val="0"/>
      <w:divBdr>
        <w:top w:val="none" w:sz="0" w:space="0" w:color="auto"/>
        <w:left w:val="none" w:sz="0" w:space="0" w:color="auto"/>
        <w:bottom w:val="none" w:sz="0" w:space="0" w:color="auto"/>
        <w:right w:val="none" w:sz="0" w:space="0" w:color="auto"/>
      </w:divBdr>
    </w:div>
    <w:div w:id="1429540936">
      <w:bodyDiv w:val="1"/>
      <w:marLeft w:val="0"/>
      <w:marRight w:val="0"/>
      <w:marTop w:val="0"/>
      <w:marBottom w:val="0"/>
      <w:divBdr>
        <w:top w:val="none" w:sz="0" w:space="0" w:color="auto"/>
        <w:left w:val="none" w:sz="0" w:space="0" w:color="auto"/>
        <w:bottom w:val="none" w:sz="0" w:space="0" w:color="auto"/>
        <w:right w:val="none" w:sz="0" w:space="0" w:color="auto"/>
      </w:divBdr>
    </w:div>
    <w:div w:id="1441338872">
      <w:bodyDiv w:val="1"/>
      <w:marLeft w:val="0"/>
      <w:marRight w:val="0"/>
      <w:marTop w:val="0"/>
      <w:marBottom w:val="0"/>
      <w:divBdr>
        <w:top w:val="none" w:sz="0" w:space="0" w:color="auto"/>
        <w:left w:val="none" w:sz="0" w:space="0" w:color="auto"/>
        <w:bottom w:val="none" w:sz="0" w:space="0" w:color="auto"/>
        <w:right w:val="none" w:sz="0" w:space="0" w:color="auto"/>
      </w:divBdr>
    </w:div>
    <w:div w:id="1449740392">
      <w:bodyDiv w:val="1"/>
      <w:marLeft w:val="0"/>
      <w:marRight w:val="0"/>
      <w:marTop w:val="0"/>
      <w:marBottom w:val="0"/>
      <w:divBdr>
        <w:top w:val="none" w:sz="0" w:space="0" w:color="auto"/>
        <w:left w:val="none" w:sz="0" w:space="0" w:color="auto"/>
        <w:bottom w:val="none" w:sz="0" w:space="0" w:color="auto"/>
        <w:right w:val="none" w:sz="0" w:space="0" w:color="auto"/>
      </w:divBdr>
    </w:div>
    <w:div w:id="1454010383">
      <w:bodyDiv w:val="1"/>
      <w:marLeft w:val="0"/>
      <w:marRight w:val="0"/>
      <w:marTop w:val="0"/>
      <w:marBottom w:val="0"/>
      <w:divBdr>
        <w:top w:val="none" w:sz="0" w:space="0" w:color="auto"/>
        <w:left w:val="none" w:sz="0" w:space="0" w:color="auto"/>
        <w:bottom w:val="none" w:sz="0" w:space="0" w:color="auto"/>
        <w:right w:val="none" w:sz="0" w:space="0" w:color="auto"/>
      </w:divBdr>
    </w:div>
    <w:div w:id="1455516464">
      <w:bodyDiv w:val="1"/>
      <w:marLeft w:val="0"/>
      <w:marRight w:val="0"/>
      <w:marTop w:val="0"/>
      <w:marBottom w:val="0"/>
      <w:divBdr>
        <w:top w:val="none" w:sz="0" w:space="0" w:color="auto"/>
        <w:left w:val="none" w:sz="0" w:space="0" w:color="auto"/>
        <w:bottom w:val="none" w:sz="0" w:space="0" w:color="auto"/>
        <w:right w:val="none" w:sz="0" w:space="0" w:color="auto"/>
      </w:divBdr>
    </w:div>
    <w:div w:id="1474374290">
      <w:bodyDiv w:val="1"/>
      <w:marLeft w:val="0"/>
      <w:marRight w:val="0"/>
      <w:marTop w:val="0"/>
      <w:marBottom w:val="0"/>
      <w:divBdr>
        <w:top w:val="none" w:sz="0" w:space="0" w:color="auto"/>
        <w:left w:val="none" w:sz="0" w:space="0" w:color="auto"/>
        <w:bottom w:val="none" w:sz="0" w:space="0" w:color="auto"/>
        <w:right w:val="none" w:sz="0" w:space="0" w:color="auto"/>
      </w:divBdr>
    </w:div>
    <w:div w:id="1475104959">
      <w:bodyDiv w:val="1"/>
      <w:marLeft w:val="0"/>
      <w:marRight w:val="0"/>
      <w:marTop w:val="0"/>
      <w:marBottom w:val="0"/>
      <w:divBdr>
        <w:top w:val="none" w:sz="0" w:space="0" w:color="auto"/>
        <w:left w:val="none" w:sz="0" w:space="0" w:color="auto"/>
        <w:bottom w:val="none" w:sz="0" w:space="0" w:color="auto"/>
        <w:right w:val="none" w:sz="0" w:space="0" w:color="auto"/>
      </w:divBdr>
    </w:div>
    <w:div w:id="1479149227">
      <w:bodyDiv w:val="1"/>
      <w:marLeft w:val="0"/>
      <w:marRight w:val="0"/>
      <w:marTop w:val="0"/>
      <w:marBottom w:val="0"/>
      <w:divBdr>
        <w:top w:val="none" w:sz="0" w:space="0" w:color="auto"/>
        <w:left w:val="none" w:sz="0" w:space="0" w:color="auto"/>
        <w:bottom w:val="none" w:sz="0" w:space="0" w:color="auto"/>
        <w:right w:val="none" w:sz="0" w:space="0" w:color="auto"/>
      </w:divBdr>
    </w:div>
    <w:div w:id="1479496677">
      <w:bodyDiv w:val="1"/>
      <w:marLeft w:val="0"/>
      <w:marRight w:val="0"/>
      <w:marTop w:val="0"/>
      <w:marBottom w:val="0"/>
      <w:divBdr>
        <w:top w:val="none" w:sz="0" w:space="0" w:color="auto"/>
        <w:left w:val="none" w:sz="0" w:space="0" w:color="auto"/>
        <w:bottom w:val="none" w:sz="0" w:space="0" w:color="auto"/>
        <w:right w:val="none" w:sz="0" w:space="0" w:color="auto"/>
      </w:divBdr>
    </w:div>
    <w:div w:id="1480223213">
      <w:bodyDiv w:val="1"/>
      <w:marLeft w:val="0"/>
      <w:marRight w:val="0"/>
      <w:marTop w:val="0"/>
      <w:marBottom w:val="0"/>
      <w:divBdr>
        <w:top w:val="none" w:sz="0" w:space="0" w:color="auto"/>
        <w:left w:val="none" w:sz="0" w:space="0" w:color="auto"/>
        <w:bottom w:val="none" w:sz="0" w:space="0" w:color="auto"/>
        <w:right w:val="none" w:sz="0" w:space="0" w:color="auto"/>
      </w:divBdr>
    </w:div>
    <w:div w:id="1484472300">
      <w:bodyDiv w:val="1"/>
      <w:marLeft w:val="0"/>
      <w:marRight w:val="0"/>
      <w:marTop w:val="0"/>
      <w:marBottom w:val="0"/>
      <w:divBdr>
        <w:top w:val="none" w:sz="0" w:space="0" w:color="auto"/>
        <w:left w:val="none" w:sz="0" w:space="0" w:color="auto"/>
        <w:bottom w:val="none" w:sz="0" w:space="0" w:color="auto"/>
        <w:right w:val="none" w:sz="0" w:space="0" w:color="auto"/>
      </w:divBdr>
    </w:div>
    <w:div w:id="1484858604">
      <w:bodyDiv w:val="1"/>
      <w:marLeft w:val="0"/>
      <w:marRight w:val="0"/>
      <w:marTop w:val="0"/>
      <w:marBottom w:val="0"/>
      <w:divBdr>
        <w:top w:val="none" w:sz="0" w:space="0" w:color="auto"/>
        <w:left w:val="none" w:sz="0" w:space="0" w:color="auto"/>
        <w:bottom w:val="none" w:sz="0" w:space="0" w:color="auto"/>
        <w:right w:val="none" w:sz="0" w:space="0" w:color="auto"/>
      </w:divBdr>
    </w:div>
    <w:div w:id="1488206612">
      <w:bodyDiv w:val="1"/>
      <w:marLeft w:val="0"/>
      <w:marRight w:val="0"/>
      <w:marTop w:val="0"/>
      <w:marBottom w:val="0"/>
      <w:divBdr>
        <w:top w:val="none" w:sz="0" w:space="0" w:color="auto"/>
        <w:left w:val="none" w:sz="0" w:space="0" w:color="auto"/>
        <w:bottom w:val="none" w:sz="0" w:space="0" w:color="auto"/>
        <w:right w:val="none" w:sz="0" w:space="0" w:color="auto"/>
      </w:divBdr>
    </w:div>
    <w:div w:id="1489320077">
      <w:bodyDiv w:val="1"/>
      <w:marLeft w:val="0"/>
      <w:marRight w:val="0"/>
      <w:marTop w:val="0"/>
      <w:marBottom w:val="0"/>
      <w:divBdr>
        <w:top w:val="none" w:sz="0" w:space="0" w:color="auto"/>
        <w:left w:val="none" w:sz="0" w:space="0" w:color="auto"/>
        <w:bottom w:val="none" w:sz="0" w:space="0" w:color="auto"/>
        <w:right w:val="none" w:sz="0" w:space="0" w:color="auto"/>
      </w:divBdr>
    </w:div>
    <w:div w:id="1507741816">
      <w:bodyDiv w:val="1"/>
      <w:marLeft w:val="0"/>
      <w:marRight w:val="0"/>
      <w:marTop w:val="0"/>
      <w:marBottom w:val="0"/>
      <w:divBdr>
        <w:top w:val="none" w:sz="0" w:space="0" w:color="auto"/>
        <w:left w:val="none" w:sz="0" w:space="0" w:color="auto"/>
        <w:bottom w:val="none" w:sz="0" w:space="0" w:color="auto"/>
        <w:right w:val="none" w:sz="0" w:space="0" w:color="auto"/>
      </w:divBdr>
    </w:div>
    <w:div w:id="1530994446">
      <w:bodyDiv w:val="1"/>
      <w:marLeft w:val="0"/>
      <w:marRight w:val="0"/>
      <w:marTop w:val="0"/>
      <w:marBottom w:val="0"/>
      <w:divBdr>
        <w:top w:val="none" w:sz="0" w:space="0" w:color="auto"/>
        <w:left w:val="none" w:sz="0" w:space="0" w:color="auto"/>
        <w:bottom w:val="none" w:sz="0" w:space="0" w:color="auto"/>
        <w:right w:val="none" w:sz="0" w:space="0" w:color="auto"/>
      </w:divBdr>
    </w:div>
    <w:div w:id="1535314835">
      <w:bodyDiv w:val="1"/>
      <w:marLeft w:val="0"/>
      <w:marRight w:val="0"/>
      <w:marTop w:val="0"/>
      <w:marBottom w:val="0"/>
      <w:divBdr>
        <w:top w:val="none" w:sz="0" w:space="0" w:color="auto"/>
        <w:left w:val="none" w:sz="0" w:space="0" w:color="auto"/>
        <w:bottom w:val="none" w:sz="0" w:space="0" w:color="auto"/>
        <w:right w:val="none" w:sz="0" w:space="0" w:color="auto"/>
      </w:divBdr>
    </w:div>
    <w:div w:id="1543440191">
      <w:bodyDiv w:val="1"/>
      <w:marLeft w:val="0"/>
      <w:marRight w:val="0"/>
      <w:marTop w:val="0"/>
      <w:marBottom w:val="0"/>
      <w:divBdr>
        <w:top w:val="none" w:sz="0" w:space="0" w:color="auto"/>
        <w:left w:val="none" w:sz="0" w:space="0" w:color="auto"/>
        <w:bottom w:val="none" w:sz="0" w:space="0" w:color="auto"/>
        <w:right w:val="none" w:sz="0" w:space="0" w:color="auto"/>
      </w:divBdr>
    </w:div>
    <w:div w:id="1553035423">
      <w:bodyDiv w:val="1"/>
      <w:marLeft w:val="0"/>
      <w:marRight w:val="0"/>
      <w:marTop w:val="0"/>
      <w:marBottom w:val="0"/>
      <w:divBdr>
        <w:top w:val="none" w:sz="0" w:space="0" w:color="auto"/>
        <w:left w:val="none" w:sz="0" w:space="0" w:color="auto"/>
        <w:bottom w:val="none" w:sz="0" w:space="0" w:color="auto"/>
        <w:right w:val="none" w:sz="0" w:space="0" w:color="auto"/>
      </w:divBdr>
    </w:div>
    <w:div w:id="1554584116">
      <w:bodyDiv w:val="1"/>
      <w:marLeft w:val="0"/>
      <w:marRight w:val="0"/>
      <w:marTop w:val="0"/>
      <w:marBottom w:val="0"/>
      <w:divBdr>
        <w:top w:val="none" w:sz="0" w:space="0" w:color="auto"/>
        <w:left w:val="none" w:sz="0" w:space="0" w:color="auto"/>
        <w:bottom w:val="none" w:sz="0" w:space="0" w:color="auto"/>
        <w:right w:val="none" w:sz="0" w:space="0" w:color="auto"/>
      </w:divBdr>
    </w:div>
    <w:div w:id="1557007389">
      <w:bodyDiv w:val="1"/>
      <w:marLeft w:val="0"/>
      <w:marRight w:val="0"/>
      <w:marTop w:val="0"/>
      <w:marBottom w:val="0"/>
      <w:divBdr>
        <w:top w:val="none" w:sz="0" w:space="0" w:color="auto"/>
        <w:left w:val="none" w:sz="0" w:space="0" w:color="auto"/>
        <w:bottom w:val="none" w:sz="0" w:space="0" w:color="auto"/>
        <w:right w:val="none" w:sz="0" w:space="0" w:color="auto"/>
      </w:divBdr>
    </w:div>
    <w:div w:id="1558005008">
      <w:bodyDiv w:val="1"/>
      <w:marLeft w:val="0"/>
      <w:marRight w:val="0"/>
      <w:marTop w:val="0"/>
      <w:marBottom w:val="0"/>
      <w:divBdr>
        <w:top w:val="none" w:sz="0" w:space="0" w:color="auto"/>
        <w:left w:val="none" w:sz="0" w:space="0" w:color="auto"/>
        <w:bottom w:val="none" w:sz="0" w:space="0" w:color="auto"/>
        <w:right w:val="none" w:sz="0" w:space="0" w:color="auto"/>
      </w:divBdr>
    </w:div>
    <w:div w:id="1561209648">
      <w:bodyDiv w:val="1"/>
      <w:marLeft w:val="0"/>
      <w:marRight w:val="0"/>
      <w:marTop w:val="0"/>
      <w:marBottom w:val="0"/>
      <w:divBdr>
        <w:top w:val="none" w:sz="0" w:space="0" w:color="auto"/>
        <w:left w:val="none" w:sz="0" w:space="0" w:color="auto"/>
        <w:bottom w:val="none" w:sz="0" w:space="0" w:color="auto"/>
        <w:right w:val="none" w:sz="0" w:space="0" w:color="auto"/>
      </w:divBdr>
    </w:div>
    <w:div w:id="1563249426">
      <w:bodyDiv w:val="1"/>
      <w:marLeft w:val="0"/>
      <w:marRight w:val="0"/>
      <w:marTop w:val="0"/>
      <w:marBottom w:val="0"/>
      <w:divBdr>
        <w:top w:val="none" w:sz="0" w:space="0" w:color="auto"/>
        <w:left w:val="none" w:sz="0" w:space="0" w:color="auto"/>
        <w:bottom w:val="none" w:sz="0" w:space="0" w:color="auto"/>
        <w:right w:val="none" w:sz="0" w:space="0" w:color="auto"/>
      </w:divBdr>
    </w:div>
    <w:div w:id="1565145146">
      <w:bodyDiv w:val="1"/>
      <w:marLeft w:val="0"/>
      <w:marRight w:val="0"/>
      <w:marTop w:val="0"/>
      <w:marBottom w:val="0"/>
      <w:divBdr>
        <w:top w:val="none" w:sz="0" w:space="0" w:color="auto"/>
        <w:left w:val="none" w:sz="0" w:space="0" w:color="auto"/>
        <w:bottom w:val="none" w:sz="0" w:space="0" w:color="auto"/>
        <w:right w:val="none" w:sz="0" w:space="0" w:color="auto"/>
      </w:divBdr>
    </w:div>
    <w:div w:id="1567954773">
      <w:bodyDiv w:val="1"/>
      <w:marLeft w:val="0"/>
      <w:marRight w:val="0"/>
      <w:marTop w:val="0"/>
      <w:marBottom w:val="0"/>
      <w:divBdr>
        <w:top w:val="none" w:sz="0" w:space="0" w:color="auto"/>
        <w:left w:val="none" w:sz="0" w:space="0" w:color="auto"/>
        <w:bottom w:val="none" w:sz="0" w:space="0" w:color="auto"/>
        <w:right w:val="none" w:sz="0" w:space="0" w:color="auto"/>
      </w:divBdr>
    </w:div>
    <w:div w:id="1570379650">
      <w:bodyDiv w:val="1"/>
      <w:marLeft w:val="0"/>
      <w:marRight w:val="0"/>
      <w:marTop w:val="0"/>
      <w:marBottom w:val="0"/>
      <w:divBdr>
        <w:top w:val="none" w:sz="0" w:space="0" w:color="auto"/>
        <w:left w:val="none" w:sz="0" w:space="0" w:color="auto"/>
        <w:bottom w:val="none" w:sz="0" w:space="0" w:color="auto"/>
        <w:right w:val="none" w:sz="0" w:space="0" w:color="auto"/>
      </w:divBdr>
    </w:div>
    <w:div w:id="1577401664">
      <w:bodyDiv w:val="1"/>
      <w:marLeft w:val="0"/>
      <w:marRight w:val="0"/>
      <w:marTop w:val="0"/>
      <w:marBottom w:val="0"/>
      <w:divBdr>
        <w:top w:val="none" w:sz="0" w:space="0" w:color="auto"/>
        <w:left w:val="none" w:sz="0" w:space="0" w:color="auto"/>
        <w:bottom w:val="none" w:sz="0" w:space="0" w:color="auto"/>
        <w:right w:val="none" w:sz="0" w:space="0" w:color="auto"/>
      </w:divBdr>
    </w:div>
    <w:div w:id="1578780804">
      <w:bodyDiv w:val="1"/>
      <w:marLeft w:val="0"/>
      <w:marRight w:val="0"/>
      <w:marTop w:val="0"/>
      <w:marBottom w:val="0"/>
      <w:divBdr>
        <w:top w:val="none" w:sz="0" w:space="0" w:color="auto"/>
        <w:left w:val="none" w:sz="0" w:space="0" w:color="auto"/>
        <w:bottom w:val="none" w:sz="0" w:space="0" w:color="auto"/>
        <w:right w:val="none" w:sz="0" w:space="0" w:color="auto"/>
      </w:divBdr>
    </w:div>
    <w:div w:id="1582451291">
      <w:bodyDiv w:val="1"/>
      <w:marLeft w:val="0"/>
      <w:marRight w:val="0"/>
      <w:marTop w:val="0"/>
      <w:marBottom w:val="0"/>
      <w:divBdr>
        <w:top w:val="none" w:sz="0" w:space="0" w:color="auto"/>
        <w:left w:val="none" w:sz="0" w:space="0" w:color="auto"/>
        <w:bottom w:val="none" w:sz="0" w:space="0" w:color="auto"/>
        <w:right w:val="none" w:sz="0" w:space="0" w:color="auto"/>
      </w:divBdr>
    </w:div>
    <w:div w:id="1585724395">
      <w:bodyDiv w:val="1"/>
      <w:marLeft w:val="0"/>
      <w:marRight w:val="0"/>
      <w:marTop w:val="0"/>
      <w:marBottom w:val="0"/>
      <w:divBdr>
        <w:top w:val="none" w:sz="0" w:space="0" w:color="auto"/>
        <w:left w:val="none" w:sz="0" w:space="0" w:color="auto"/>
        <w:bottom w:val="none" w:sz="0" w:space="0" w:color="auto"/>
        <w:right w:val="none" w:sz="0" w:space="0" w:color="auto"/>
      </w:divBdr>
    </w:div>
    <w:div w:id="1603875555">
      <w:bodyDiv w:val="1"/>
      <w:marLeft w:val="0"/>
      <w:marRight w:val="0"/>
      <w:marTop w:val="0"/>
      <w:marBottom w:val="0"/>
      <w:divBdr>
        <w:top w:val="none" w:sz="0" w:space="0" w:color="auto"/>
        <w:left w:val="none" w:sz="0" w:space="0" w:color="auto"/>
        <w:bottom w:val="none" w:sz="0" w:space="0" w:color="auto"/>
        <w:right w:val="none" w:sz="0" w:space="0" w:color="auto"/>
      </w:divBdr>
    </w:div>
    <w:div w:id="1610964279">
      <w:bodyDiv w:val="1"/>
      <w:marLeft w:val="0"/>
      <w:marRight w:val="0"/>
      <w:marTop w:val="0"/>
      <w:marBottom w:val="0"/>
      <w:divBdr>
        <w:top w:val="none" w:sz="0" w:space="0" w:color="auto"/>
        <w:left w:val="none" w:sz="0" w:space="0" w:color="auto"/>
        <w:bottom w:val="none" w:sz="0" w:space="0" w:color="auto"/>
        <w:right w:val="none" w:sz="0" w:space="0" w:color="auto"/>
      </w:divBdr>
    </w:div>
    <w:div w:id="1612591033">
      <w:bodyDiv w:val="1"/>
      <w:marLeft w:val="0"/>
      <w:marRight w:val="0"/>
      <w:marTop w:val="0"/>
      <w:marBottom w:val="0"/>
      <w:divBdr>
        <w:top w:val="none" w:sz="0" w:space="0" w:color="auto"/>
        <w:left w:val="none" w:sz="0" w:space="0" w:color="auto"/>
        <w:bottom w:val="none" w:sz="0" w:space="0" w:color="auto"/>
        <w:right w:val="none" w:sz="0" w:space="0" w:color="auto"/>
      </w:divBdr>
      <w:divsChild>
        <w:div w:id="1458572061">
          <w:marLeft w:val="0"/>
          <w:marRight w:val="0"/>
          <w:marTop w:val="0"/>
          <w:marBottom w:val="0"/>
          <w:divBdr>
            <w:top w:val="none" w:sz="0" w:space="0" w:color="auto"/>
            <w:left w:val="none" w:sz="0" w:space="0" w:color="auto"/>
            <w:bottom w:val="none" w:sz="0" w:space="0" w:color="auto"/>
            <w:right w:val="none" w:sz="0" w:space="0" w:color="auto"/>
          </w:divBdr>
        </w:div>
        <w:div w:id="1512648877">
          <w:marLeft w:val="0"/>
          <w:marRight w:val="0"/>
          <w:marTop w:val="0"/>
          <w:marBottom w:val="0"/>
          <w:divBdr>
            <w:top w:val="none" w:sz="0" w:space="0" w:color="auto"/>
            <w:left w:val="none" w:sz="0" w:space="0" w:color="auto"/>
            <w:bottom w:val="none" w:sz="0" w:space="0" w:color="auto"/>
            <w:right w:val="none" w:sz="0" w:space="0" w:color="auto"/>
          </w:divBdr>
        </w:div>
        <w:div w:id="1811554665">
          <w:marLeft w:val="0"/>
          <w:marRight w:val="0"/>
          <w:marTop w:val="0"/>
          <w:marBottom w:val="0"/>
          <w:divBdr>
            <w:top w:val="none" w:sz="0" w:space="0" w:color="auto"/>
            <w:left w:val="none" w:sz="0" w:space="0" w:color="auto"/>
            <w:bottom w:val="none" w:sz="0" w:space="0" w:color="auto"/>
            <w:right w:val="none" w:sz="0" w:space="0" w:color="auto"/>
          </w:divBdr>
        </w:div>
        <w:div w:id="1519847942">
          <w:marLeft w:val="0"/>
          <w:marRight w:val="0"/>
          <w:marTop w:val="0"/>
          <w:marBottom w:val="0"/>
          <w:divBdr>
            <w:top w:val="none" w:sz="0" w:space="0" w:color="auto"/>
            <w:left w:val="none" w:sz="0" w:space="0" w:color="auto"/>
            <w:bottom w:val="none" w:sz="0" w:space="0" w:color="auto"/>
            <w:right w:val="none" w:sz="0" w:space="0" w:color="auto"/>
          </w:divBdr>
        </w:div>
        <w:div w:id="200754902">
          <w:marLeft w:val="0"/>
          <w:marRight w:val="0"/>
          <w:marTop w:val="0"/>
          <w:marBottom w:val="0"/>
          <w:divBdr>
            <w:top w:val="none" w:sz="0" w:space="0" w:color="auto"/>
            <w:left w:val="none" w:sz="0" w:space="0" w:color="auto"/>
            <w:bottom w:val="none" w:sz="0" w:space="0" w:color="auto"/>
            <w:right w:val="none" w:sz="0" w:space="0" w:color="auto"/>
          </w:divBdr>
        </w:div>
        <w:div w:id="477697817">
          <w:marLeft w:val="0"/>
          <w:marRight w:val="0"/>
          <w:marTop w:val="0"/>
          <w:marBottom w:val="0"/>
          <w:divBdr>
            <w:top w:val="none" w:sz="0" w:space="0" w:color="auto"/>
            <w:left w:val="none" w:sz="0" w:space="0" w:color="auto"/>
            <w:bottom w:val="none" w:sz="0" w:space="0" w:color="auto"/>
            <w:right w:val="none" w:sz="0" w:space="0" w:color="auto"/>
          </w:divBdr>
        </w:div>
        <w:div w:id="480385596">
          <w:marLeft w:val="0"/>
          <w:marRight w:val="0"/>
          <w:marTop w:val="0"/>
          <w:marBottom w:val="0"/>
          <w:divBdr>
            <w:top w:val="none" w:sz="0" w:space="0" w:color="auto"/>
            <w:left w:val="none" w:sz="0" w:space="0" w:color="auto"/>
            <w:bottom w:val="none" w:sz="0" w:space="0" w:color="auto"/>
            <w:right w:val="none" w:sz="0" w:space="0" w:color="auto"/>
          </w:divBdr>
        </w:div>
        <w:div w:id="1847208166">
          <w:marLeft w:val="0"/>
          <w:marRight w:val="0"/>
          <w:marTop w:val="0"/>
          <w:marBottom w:val="0"/>
          <w:divBdr>
            <w:top w:val="none" w:sz="0" w:space="0" w:color="auto"/>
            <w:left w:val="none" w:sz="0" w:space="0" w:color="auto"/>
            <w:bottom w:val="none" w:sz="0" w:space="0" w:color="auto"/>
            <w:right w:val="none" w:sz="0" w:space="0" w:color="auto"/>
          </w:divBdr>
        </w:div>
        <w:div w:id="89082270">
          <w:marLeft w:val="0"/>
          <w:marRight w:val="0"/>
          <w:marTop w:val="0"/>
          <w:marBottom w:val="0"/>
          <w:divBdr>
            <w:top w:val="none" w:sz="0" w:space="0" w:color="auto"/>
            <w:left w:val="none" w:sz="0" w:space="0" w:color="auto"/>
            <w:bottom w:val="none" w:sz="0" w:space="0" w:color="auto"/>
            <w:right w:val="none" w:sz="0" w:space="0" w:color="auto"/>
          </w:divBdr>
        </w:div>
        <w:div w:id="1576280717">
          <w:marLeft w:val="0"/>
          <w:marRight w:val="0"/>
          <w:marTop w:val="0"/>
          <w:marBottom w:val="0"/>
          <w:divBdr>
            <w:top w:val="none" w:sz="0" w:space="0" w:color="auto"/>
            <w:left w:val="none" w:sz="0" w:space="0" w:color="auto"/>
            <w:bottom w:val="none" w:sz="0" w:space="0" w:color="auto"/>
            <w:right w:val="none" w:sz="0" w:space="0" w:color="auto"/>
          </w:divBdr>
        </w:div>
        <w:div w:id="353967093">
          <w:marLeft w:val="0"/>
          <w:marRight w:val="0"/>
          <w:marTop w:val="0"/>
          <w:marBottom w:val="0"/>
          <w:divBdr>
            <w:top w:val="none" w:sz="0" w:space="0" w:color="auto"/>
            <w:left w:val="none" w:sz="0" w:space="0" w:color="auto"/>
            <w:bottom w:val="none" w:sz="0" w:space="0" w:color="auto"/>
            <w:right w:val="none" w:sz="0" w:space="0" w:color="auto"/>
          </w:divBdr>
        </w:div>
        <w:div w:id="657925991">
          <w:marLeft w:val="0"/>
          <w:marRight w:val="0"/>
          <w:marTop w:val="0"/>
          <w:marBottom w:val="0"/>
          <w:divBdr>
            <w:top w:val="none" w:sz="0" w:space="0" w:color="auto"/>
            <w:left w:val="none" w:sz="0" w:space="0" w:color="auto"/>
            <w:bottom w:val="none" w:sz="0" w:space="0" w:color="auto"/>
            <w:right w:val="none" w:sz="0" w:space="0" w:color="auto"/>
          </w:divBdr>
        </w:div>
        <w:div w:id="496072868">
          <w:marLeft w:val="0"/>
          <w:marRight w:val="0"/>
          <w:marTop w:val="0"/>
          <w:marBottom w:val="0"/>
          <w:divBdr>
            <w:top w:val="none" w:sz="0" w:space="0" w:color="auto"/>
            <w:left w:val="none" w:sz="0" w:space="0" w:color="auto"/>
            <w:bottom w:val="none" w:sz="0" w:space="0" w:color="auto"/>
            <w:right w:val="none" w:sz="0" w:space="0" w:color="auto"/>
          </w:divBdr>
        </w:div>
        <w:div w:id="1707606385">
          <w:marLeft w:val="0"/>
          <w:marRight w:val="0"/>
          <w:marTop w:val="0"/>
          <w:marBottom w:val="0"/>
          <w:divBdr>
            <w:top w:val="none" w:sz="0" w:space="0" w:color="auto"/>
            <w:left w:val="none" w:sz="0" w:space="0" w:color="auto"/>
            <w:bottom w:val="none" w:sz="0" w:space="0" w:color="auto"/>
            <w:right w:val="none" w:sz="0" w:space="0" w:color="auto"/>
          </w:divBdr>
        </w:div>
      </w:divsChild>
    </w:div>
    <w:div w:id="1622569670">
      <w:bodyDiv w:val="1"/>
      <w:marLeft w:val="0"/>
      <w:marRight w:val="0"/>
      <w:marTop w:val="0"/>
      <w:marBottom w:val="0"/>
      <w:divBdr>
        <w:top w:val="none" w:sz="0" w:space="0" w:color="auto"/>
        <w:left w:val="none" w:sz="0" w:space="0" w:color="auto"/>
        <w:bottom w:val="none" w:sz="0" w:space="0" w:color="auto"/>
        <w:right w:val="none" w:sz="0" w:space="0" w:color="auto"/>
      </w:divBdr>
    </w:div>
    <w:div w:id="1627422073">
      <w:bodyDiv w:val="1"/>
      <w:marLeft w:val="0"/>
      <w:marRight w:val="0"/>
      <w:marTop w:val="0"/>
      <w:marBottom w:val="0"/>
      <w:divBdr>
        <w:top w:val="none" w:sz="0" w:space="0" w:color="auto"/>
        <w:left w:val="none" w:sz="0" w:space="0" w:color="auto"/>
        <w:bottom w:val="none" w:sz="0" w:space="0" w:color="auto"/>
        <w:right w:val="none" w:sz="0" w:space="0" w:color="auto"/>
      </w:divBdr>
    </w:div>
    <w:div w:id="1628468688">
      <w:bodyDiv w:val="1"/>
      <w:marLeft w:val="0"/>
      <w:marRight w:val="0"/>
      <w:marTop w:val="0"/>
      <w:marBottom w:val="0"/>
      <w:divBdr>
        <w:top w:val="none" w:sz="0" w:space="0" w:color="auto"/>
        <w:left w:val="none" w:sz="0" w:space="0" w:color="auto"/>
        <w:bottom w:val="none" w:sz="0" w:space="0" w:color="auto"/>
        <w:right w:val="none" w:sz="0" w:space="0" w:color="auto"/>
      </w:divBdr>
    </w:div>
    <w:div w:id="1635717317">
      <w:bodyDiv w:val="1"/>
      <w:marLeft w:val="0"/>
      <w:marRight w:val="0"/>
      <w:marTop w:val="0"/>
      <w:marBottom w:val="0"/>
      <w:divBdr>
        <w:top w:val="none" w:sz="0" w:space="0" w:color="auto"/>
        <w:left w:val="none" w:sz="0" w:space="0" w:color="auto"/>
        <w:bottom w:val="none" w:sz="0" w:space="0" w:color="auto"/>
        <w:right w:val="none" w:sz="0" w:space="0" w:color="auto"/>
      </w:divBdr>
    </w:div>
    <w:div w:id="1647320180">
      <w:bodyDiv w:val="1"/>
      <w:marLeft w:val="0"/>
      <w:marRight w:val="0"/>
      <w:marTop w:val="0"/>
      <w:marBottom w:val="0"/>
      <w:divBdr>
        <w:top w:val="none" w:sz="0" w:space="0" w:color="auto"/>
        <w:left w:val="none" w:sz="0" w:space="0" w:color="auto"/>
        <w:bottom w:val="none" w:sz="0" w:space="0" w:color="auto"/>
        <w:right w:val="none" w:sz="0" w:space="0" w:color="auto"/>
      </w:divBdr>
    </w:div>
    <w:div w:id="1655647818">
      <w:bodyDiv w:val="1"/>
      <w:marLeft w:val="0"/>
      <w:marRight w:val="0"/>
      <w:marTop w:val="0"/>
      <w:marBottom w:val="0"/>
      <w:divBdr>
        <w:top w:val="none" w:sz="0" w:space="0" w:color="auto"/>
        <w:left w:val="none" w:sz="0" w:space="0" w:color="auto"/>
        <w:bottom w:val="none" w:sz="0" w:space="0" w:color="auto"/>
        <w:right w:val="none" w:sz="0" w:space="0" w:color="auto"/>
      </w:divBdr>
      <w:divsChild>
        <w:div w:id="713234182">
          <w:marLeft w:val="0"/>
          <w:marRight w:val="0"/>
          <w:marTop w:val="0"/>
          <w:marBottom w:val="113"/>
          <w:divBdr>
            <w:top w:val="none" w:sz="0" w:space="0" w:color="auto"/>
            <w:left w:val="none" w:sz="0" w:space="0" w:color="auto"/>
            <w:bottom w:val="none" w:sz="0" w:space="0" w:color="auto"/>
            <w:right w:val="none" w:sz="0" w:space="0" w:color="auto"/>
          </w:divBdr>
        </w:div>
        <w:div w:id="1140802923">
          <w:marLeft w:val="0"/>
          <w:marRight w:val="0"/>
          <w:marTop w:val="113"/>
          <w:marBottom w:val="0"/>
          <w:divBdr>
            <w:top w:val="none" w:sz="0" w:space="0" w:color="auto"/>
            <w:left w:val="none" w:sz="0" w:space="0" w:color="auto"/>
            <w:bottom w:val="none" w:sz="0" w:space="0" w:color="auto"/>
            <w:right w:val="none" w:sz="0" w:space="0" w:color="auto"/>
          </w:divBdr>
        </w:div>
      </w:divsChild>
    </w:div>
    <w:div w:id="1661959551">
      <w:bodyDiv w:val="1"/>
      <w:marLeft w:val="0"/>
      <w:marRight w:val="0"/>
      <w:marTop w:val="0"/>
      <w:marBottom w:val="0"/>
      <w:divBdr>
        <w:top w:val="none" w:sz="0" w:space="0" w:color="auto"/>
        <w:left w:val="none" w:sz="0" w:space="0" w:color="auto"/>
        <w:bottom w:val="none" w:sz="0" w:space="0" w:color="auto"/>
        <w:right w:val="none" w:sz="0" w:space="0" w:color="auto"/>
      </w:divBdr>
    </w:div>
    <w:div w:id="1668093677">
      <w:bodyDiv w:val="1"/>
      <w:marLeft w:val="0"/>
      <w:marRight w:val="0"/>
      <w:marTop w:val="0"/>
      <w:marBottom w:val="0"/>
      <w:divBdr>
        <w:top w:val="none" w:sz="0" w:space="0" w:color="auto"/>
        <w:left w:val="none" w:sz="0" w:space="0" w:color="auto"/>
        <w:bottom w:val="none" w:sz="0" w:space="0" w:color="auto"/>
        <w:right w:val="none" w:sz="0" w:space="0" w:color="auto"/>
      </w:divBdr>
      <w:divsChild>
        <w:div w:id="733116526">
          <w:marLeft w:val="0"/>
          <w:marRight w:val="0"/>
          <w:marTop w:val="0"/>
          <w:marBottom w:val="0"/>
          <w:divBdr>
            <w:top w:val="none" w:sz="0" w:space="0" w:color="auto"/>
            <w:left w:val="none" w:sz="0" w:space="0" w:color="auto"/>
            <w:bottom w:val="none" w:sz="0" w:space="0" w:color="auto"/>
            <w:right w:val="none" w:sz="0" w:space="0" w:color="auto"/>
          </w:divBdr>
        </w:div>
        <w:div w:id="1360205888">
          <w:marLeft w:val="0"/>
          <w:marRight w:val="0"/>
          <w:marTop w:val="0"/>
          <w:marBottom w:val="0"/>
          <w:divBdr>
            <w:top w:val="none" w:sz="0" w:space="0" w:color="auto"/>
            <w:left w:val="none" w:sz="0" w:space="0" w:color="auto"/>
            <w:bottom w:val="none" w:sz="0" w:space="0" w:color="auto"/>
            <w:right w:val="none" w:sz="0" w:space="0" w:color="auto"/>
          </w:divBdr>
        </w:div>
      </w:divsChild>
    </w:div>
    <w:div w:id="1675567263">
      <w:bodyDiv w:val="1"/>
      <w:marLeft w:val="0"/>
      <w:marRight w:val="0"/>
      <w:marTop w:val="0"/>
      <w:marBottom w:val="0"/>
      <w:divBdr>
        <w:top w:val="none" w:sz="0" w:space="0" w:color="auto"/>
        <w:left w:val="none" w:sz="0" w:space="0" w:color="auto"/>
        <w:bottom w:val="none" w:sz="0" w:space="0" w:color="auto"/>
        <w:right w:val="none" w:sz="0" w:space="0" w:color="auto"/>
      </w:divBdr>
    </w:div>
    <w:div w:id="1681010236">
      <w:bodyDiv w:val="1"/>
      <w:marLeft w:val="0"/>
      <w:marRight w:val="0"/>
      <w:marTop w:val="0"/>
      <w:marBottom w:val="0"/>
      <w:divBdr>
        <w:top w:val="none" w:sz="0" w:space="0" w:color="auto"/>
        <w:left w:val="none" w:sz="0" w:space="0" w:color="auto"/>
        <w:bottom w:val="none" w:sz="0" w:space="0" w:color="auto"/>
        <w:right w:val="none" w:sz="0" w:space="0" w:color="auto"/>
      </w:divBdr>
    </w:div>
    <w:div w:id="1683193597">
      <w:bodyDiv w:val="1"/>
      <w:marLeft w:val="0"/>
      <w:marRight w:val="0"/>
      <w:marTop w:val="0"/>
      <w:marBottom w:val="0"/>
      <w:divBdr>
        <w:top w:val="none" w:sz="0" w:space="0" w:color="auto"/>
        <w:left w:val="none" w:sz="0" w:space="0" w:color="auto"/>
        <w:bottom w:val="none" w:sz="0" w:space="0" w:color="auto"/>
        <w:right w:val="none" w:sz="0" w:space="0" w:color="auto"/>
      </w:divBdr>
    </w:div>
    <w:div w:id="1684747976">
      <w:bodyDiv w:val="1"/>
      <w:marLeft w:val="0"/>
      <w:marRight w:val="0"/>
      <w:marTop w:val="0"/>
      <w:marBottom w:val="0"/>
      <w:divBdr>
        <w:top w:val="none" w:sz="0" w:space="0" w:color="auto"/>
        <w:left w:val="none" w:sz="0" w:space="0" w:color="auto"/>
        <w:bottom w:val="none" w:sz="0" w:space="0" w:color="auto"/>
        <w:right w:val="none" w:sz="0" w:space="0" w:color="auto"/>
      </w:divBdr>
    </w:div>
    <w:div w:id="1688944040">
      <w:bodyDiv w:val="1"/>
      <w:marLeft w:val="0"/>
      <w:marRight w:val="0"/>
      <w:marTop w:val="0"/>
      <w:marBottom w:val="0"/>
      <w:divBdr>
        <w:top w:val="none" w:sz="0" w:space="0" w:color="auto"/>
        <w:left w:val="none" w:sz="0" w:space="0" w:color="auto"/>
        <w:bottom w:val="none" w:sz="0" w:space="0" w:color="auto"/>
        <w:right w:val="none" w:sz="0" w:space="0" w:color="auto"/>
      </w:divBdr>
      <w:divsChild>
        <w:div w:id="27073771">
          <w:marLeft w:val="0"/>
          <w:marRight w:val="0"/>
          <w:marTop w:val="0"/>
          <w:marBottom w:val="0"/>
          <w:divBdr>
            <w:top w:val="none" w:sz="0" w:space="0" w:color="auto"/>
            <w:left w:val="none" w:sz="0" w:space="0" w:color="auto"/>
            <w:bottom w:val="none" w:sz="0" w:space="0" w:color="auto"/>
            <w:right w:val="none" w:sz="0" w:space="0" w:color="auto"/>
          </w:divBdr>
        </w:div>
        <w:div w:id="1649044395">
          <w:marLeft w:val="0"/>
          <w:marRight w:val="0"/>
          <w:marTop w:val="0"/>
          <w:marBottom w:val="0"/>
          <w:divBdr>
            <w:top w:val="none" w:sz="0" w:space="0" w:color="auto"/>
            <w:left w:val="none" w:sz="0" w:space="0" w:color="auto"/>
            <w:bottom w:val="none" w:sz="0" w:space="0" w:color="auto"/>
            <w:right w:val="none" w:sz="0" w:space="0" w:color="auto"/>
          </w:divBdr>
        </w:div>
        <w:div w:id="663238970">
          <w:marLeft w:val="0"/>
          <w:marRight w:val="0"/>
          <w:marTop w:val="0"/>
          <w:marBottom w:val="0"/>
          <w:divBdr>
            <w:top w:val="none" w:sz="0" w:space="0" w:color="auto"/>
            <w:left w:val="none" w:sz="0" w:space="0" w:color="auto"/>
            <w:bottom w:val="none" w:sz="0" w:space="0" w:color="auto"/>
            <w:right w:val="none" w:sz="0" w:space="0" w:color="auto"/>
          </w:divBdr>
        </w:div>
        <w:div w:id="2027515603">
          <w:marLeft w:val="0"/>
          <w:marRight w:val="0"/>
          <w:marTop w:val="0"/>
          <w:marBottom w:val="0"/>
          <w:divBdr>
            <w:top w:val="none" w:sz="0" w:space="0" w:color="auto"/>
            <w:left w:val="none" w:sz="0" w:space="0" w:color="auto"/>
            <w:bottom w:val="none" w:sz="0" w:space="0" w:color="auto"/>
            <w:right w:val="none" w:sz="0" w:space="0" w:color="auto"/>
          </w:divBdr>
        </w:div>
        <w:div w:id="1073232794">
          <w:marLeft w:val="0"/>
          <w:marRight w:val="0"/>
          <w:marTop w:val="0"/>
          <w:marBottom w:val="0"/>
          <w:divBdr>
            <w:top w:val="none" w:sz="0" w:space="0" w:color="auto"/>
            <w:left w:val="none" w:sz="0" w:space="0" w:color="auto"/>
            <w:bottom w:val="none" w:sz="0" w:space="0" w:color="auto"/>
            <w:right w:val="none" w:sz="0" w:space="0" w:color="auto"/>
          </w:divBdr>
        </w:div>
        <w:div w:id="466775298">
          <w:marLeft w:val="0"/>
          <w:marRight w:val="0"/>
          <w:marTop w:val="0"/>
          <w:marBottom w:val="0"/>
          <w:divBdr>
            <w:top w:val="none" w:sz="0" w:space="0" w:color="auto"/>
            <w:left w:val="none" w:sz="0" w:space="0" w:color="auto"/>
            <w:bottom w:val="none" w:sz="0" w:space="0" w:color="auto"/>
            <w:right w:val="none" w:sz="0" w:space="0" w:color="auto"/>
          </w:divBdr>
        </w:div>
        <w:div w:id="2087919809">
          <w:marLeft w:val="0"/>
          <w:marRight w:val="0"/>
          <w:marTop w:val="0"/>
          <w:marBottom w:val="0"/>
          <w:divBdr>
            <w:top w:val="none" w:sz="0" w:space="0" w:color="auto"/>
            <w:left w:val="none" w:sz="0" w:space="0" w:color="auto"/>
            <w:bottom w:val="none" w:sz="0" w:space="0" w:color="auto"/>
            <w:right w:val="none" w:sz="0" w:space="0" w:color="auto"/>
          </w:divBdr>
        </w:div>
        <w:div w:id="242106635">
          <w:marLeft w:val="0"/>
          <w:marRight w:val="0"/>
          <w:marTop w:val="0"/>
          <w:marBottom w:val="0"/>
          <w:divBdr>
            <w:top w:val="none" w:sz="0" w:space="0" w:color="auto"/>
            <w:left w:val="none" w:sz="0" w:space="0" w:color="auto"/>
            <w:bottom w:val="none" w:sz="0" w:space="0" w:color="auto"/>
            <w:right w:val="none" w:sz="0" w:space="0" w:color="auto"/>
          </w:divBdr>
        </w:div>
        <w:div w:id="1715501180">
          <w:marLeft w:val="0"/>
          <w:marRight w:val="0"/>
          <w:marTop w:val="0"/>
          <w:marBottom w:val="0"/>
          <w:divBdr>
            <w:top w:val="none" w:sz="0" w:space="0" w:color="auto"/>
            <w:left w:val="none" w:sz="0" w:space="0" w:color="auto"/>
            <w:bottom w:val="none" w:sz="0" w:space="0" w:color="auto"/>
            <w:right w:val="none" w:sz="0" w:space="0" w:color="auto"/>
          </w:divBdr>
        </w:div>
      </w:divsChild>
    </w:div>
    <w:div w:id="1696151639">
      <w:bodyDiv w:val="1"/>
      <w:marLeft w:val="0"/>
      <w:marRight w:val="0"/>
      <w:marTop w:val="0"/>
      <w:marBottom w:val="0"/>
      <w:divBdr>
        <w:top w:val="none" w:sz="0" w:space="0" w:color="auto"/>
        <w:left w:val="none" w:sz="0" w:space="0" w:color="auto"/>
        <w:bottom w:val="none" w:sz="0" w:space="0" w:color="auto"/>
        <w:right w:val="none" w:sz="0" w:space="0" w:color="auto"/>
      </w:divBdr>
    </w:div>
    <w:div w:id="169850856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790893">
      <w:bodyDiv w:val="1"/>
      <w:marLeft w:val="0"/>
      <w:marRight w:val="0"/>
      <w:marTop w:val="0"/>
      <w:marBottom w:val="0"/>
      <w:divBdr>
        <w:top w:val="none" w:sz="0" w:space="0" w:color="auto"/>
        <w:left w:val="none" w:sz="0" w:space="0" w:color="auto"/>
        <w:bottom w:val="none" w:sz="0" w:space="0" w:color="auto"/>
        <w:right w:val="none" w:sz="0" w:space="0" w:color="auto"/>
      </w:divBdr>
    </w:div>
    <w:div w:id="1727560501">
      <w:bodyDiv w:val="1"/>
      <w:marLeft w:val="0"/>
      <w:marRight w:val="0"/>
      <w:marTop w:val="0"/>
      <w:marBottom w:val="0"/>
      <w:divBdr>
        <w:top w:val="none" w:sz="0" w:space="0" w:color="auto"/>
        <w:left w:val="none" w:sz="0" w:space="0" w:color="auto"/>
        <w:bottom w:val="none" w:sz="0" w:space="0" w:color="auto"/>
        <w:right w:val="none" w:sz="0" w:space="0" w:color="auto"/>
      </w:divBdr>
    </w:div>
    <w:div w:id="1742947144">
      <w:bodyDiv w:val="1"/>
      <w:marLeft w:val="0"/>
      <w:marRight w:val="0"/>
      <w:marTop w:val="0"/>
      <w:marBottom w:val="0"/>
      <w:divBdr>
        <w:top w:val="none" w:sz="0" w:space="0" w:color="auto"/>
        <w:left w:val="none" w:sz="0" w:space="0" w:color="auto"/>
        <w:bottom w:val="none" w:sz="0" w:space="0" w:color="auto"/>
        <w:right w:val="none" w:sz="0" w:space="0" w:color="auto"/>
      </w:divBdr>
    </w:div>
    <w:div w:id="1748652846">
      <w:bodyDiv w:val="1"/>
      <w:marLeft w:val="0"/>
      <w:marRight w:val="0"/>
      <w:marTop w:val="0"/>
      <w:marBottom w:val="0"/>
      <w:divBdr>
        <w:top w:val="none" w:sz="0" w:space="0" w:color="auto"/>
        <w:left w:val="none" w:sz="0" w:space="0" w:color="auto"/>
        <w:bottom w:val="none" w:sz="0" w:space="0" w:color="auto"/>
        <w:right w:val="none" w:sz="0" w:space="0" w:color="auto"/>
      </w:divBdr>
    </w:div>
    <w:div w:id="1756320435">
      <w:bodyDiv w:val="1"/>
      <w:marLeft w:val="0"/>
      <w:marRight w:val="0"/>
      <w:marTop w:val="0"/>
      <w:marBottom w:val="0"/>
      <w:divBdr>
        <w:top w:val="none" w:sz="0" w:space="0" w:color="auto"/>
        <w:left w:val="none" w:sz="0" w:space="0" w:color="auto"/>
        <w:bottom w:val="none" w:sz="0" w:space="0" w:color="auto"/>
        <w:right w:val="none" w:sz="0" w:space="0" w:color="auto"/>
      </w:divBdr>
    </w:div>
    <w:div w:id="1765833022">
      <w:bodyDiv w:val="1"/>
      <w:marLeft w:val="0"/>
      <w:marRight w:val="0"/>
      <w:marTop w:val="0"/>
      <w:marBottom w:val="0"/>
      <w:divBdr>
        <w:top w:val="none" w:sz="0" w:space="0" w:color="auto"/>
        <w:left w:val="none" w:sz="0" w:space="0" w:color="auto"/>
        <w:bottom w:val="none" w:sz="0" w:space="0" w:color="auto"/>
        <w:right w:val="none" w:sz="0" w:space="0" w:color="auto"/>
      </w:divBdr>
    </w:div>
    <w:div w:id="1769158931">
      <w:bodyDiv w:val="1"/>
      <w:marLeft w:val="0"/>
      <w:marRight w:val="0"/>
      <w:marTop w:val="0"/>
      <w:marBottom w:val="0"/>
      <w:divBdr>
        <w:top w:val="none" w:sz="0" w:space="0" w:color="auto"/>
        <w:left w:val="none" w:sz="0" w:space="0" w:color="auto"/>
        <w:bottom w:val="none" w:sz="0" w:space="0" w:color="auto"/>
        <w:right w:val="none" w:sz="0" w:space="0" w:color="auto"/>
      </w:divBdr>
    </w:div>
    <w:div w:id="1772777474">
      <w:bodyDiv w:val="1"/>
      <w:marLeft w:val="0"/>
      <w:marRight w:val="0"/>
      <w:marTop w:val="0"/>
      <w:marBottom w:val="0"/>
      <w:divBdr>
        <w:top w:val="none" w:sz="0" w:space="0" w:color="auto"/>
        <w:left w:val="none" w:sz="0" w:space="0" w:color="auto"/>
        <w:bottom w:val="none" w:sz="0" w:space="0" w:color="auto"/>
        <w:right w:val="none" w:sz="0" w:space="0" w:color="auto"/>
      </w:divBdr>
    </w:div>
    <w:div w:id="1779711680">
      <w:bodyDiv w:val="1"/>
      <w:marLeft w:val="0"/>
      <w:marRight w:val="0"/>
      <w:marTop w:val="0"/>
      <w:marBottom w:val="0"/>
      <w:divBdr>
        <w:top w:val="none" w:sz="0" w:space="0" w:color="auto"/>
        <w:left w:val="none" w:sz="0" w:space="0" w:color="auto"/>
        <w:bottom w:val="none" w:sz="0" w:space="0" w:color="auto"/>
        <w:right w:val="none" w:sz="0" w:space="0" w:color="auto"/>
      </w:divBdr>
    </w:div>
    <w:div w:id="1781490949">
      <w:bodyDiv w:val="1"/>
      <w:marLeft w:val="0"/>
      <w:marRight w:val="0"/>
      <w:marTop w:val="0"/>
      <w:marBottom w:val="0"/>
      <w:divBdr>
        <w:top w:val="none" w:sz="0" w:space="0" w:color="auto"/>
        <w:left w:val="none" w:sz="0" w:space="0" w:color="auto"/>
        <w:bottom w:val="none" w:sz="0" w:space="0" w:color="auto"/>
        <w:right w:val="none" w:sz="0" w:space="0" w:color="auto"/>
      </w:divBdr>
    </w:div>
    <w:div w:id="1783725056">
      <w:bodyDiv w:val="1"/>
      <w:marLeft w:val="0"/>
      <w:marRight w:val="0"/>
      <w:marTop w:val="0"/>
      <w:marBottom w:val="0"/>
      <w:divBdr>
        <w:top w:val="none" w:sz="0" w:space="0" w:color="auto"/>
        <w:left w:val="none" w:sz="0" w:space="0" w:color="auto"/>
        <w:bottom w:val="none" w:sz="0" w:space="0" w:color="auto"/>
        <w:right w:val="none" w:sz="0" w:space="0" w:color="auto"/>
      </w:divBdr>
    </w:div>
    <w:div w:id="1793861798">
      <w:bodyDiv w:val="1"/>
      <w:marLeft w:val="0"/>
      <w:marRight w:val="0"/>
      <w:marTop w:val="0"/>
      <w:marBottom w:val="0"/>
      <w:divBdr>
        <w:top w:val="none" w:sz="0" w:space="0" w:color="auto"/>
        <w:left w:val="none" w:sz="0" w:space="0" w:color="auto"/>
        <w:bottom w:val="none" w:sz="0" w:space="0" w:color="auto"/>
        <w:right w:val="none" w:sz="0" w:space="0" w:color="auto"/>
      </w:divBdr>
    </w:div>
    <w:div w:id="1811705207">
      <w:bodyDiv w:val="1"/>
      <w:marLeft w:val="0"/>
      <w:marRight w:val="0"/>
      <w:marTop w:val="0"/>
      <w:marBottom w:val="0"/>
      <w:divBdr>
        <w:top w:val="none" w:sz="0" w:space="0" w:color="auto"/>
        <w:left w:val="none" w:sz="0" w:space="0" w:color="auto"/>
        <w:bottom w:val="none" w:sz="0" w:space="0" w:color="auto"/>
        <w:right w:val="none" w:sz="0" w:space="0" w:color="auto"/>
      </w:divBdr>
    </w:div>
    <w:div w:id="1817063892">
      <w:bodyDiv w:val="1"/>
      <w:marLeft w:val="0"/>
      <w:marRight w:val="0"/>
      <w:marTop w:val="0"/>
      <w:marBottom w:val="0"/>
      <w:divBdr>
        <w:top w:val="none" w:sz="0" w:space="0" w:color="auto"/>
        <w:left w:val="none" w:sz="0" w:space="0" w:color="auto"/>
        <w:bottom w:val="none" w:sz="0" w:space="0" w:color="auto"/>
        <w:right w:val="none" w:sz="0" w:space="0" w:color="auto"/>
      </w:divBdr>
    </w:div>
    <w:div w:id="1817259665">
      <w:bodyDiv w:val="1"/>
      <w:marLeft w:val="0"/>
      <w:marRight w:val="0"/>
      <w:marTop w:val="0"/>
      <w:marBottom w:val="0"/>
      <w:divBdr>
        <w:top w:val="none" w:sz="0" w:space="0" w:color="auto"/>
        <w:left w:val="none" w:sz="0" w:space="0" w:color="auto"/>
        <w:bottom w:val="none" w:sz="0" w:space="0" w:color="auto"/>
        <w:right w:val="none" w:sz="0" w:space="0" w:color="auto"/>
      </w:divBdr>
    </w:div>
    <w:div w:id="1819953756">
      <w:bodyDiv w:val="1"/>
      <w:marLeft w:val="0"/>
      <w:marRight w:val="0"/>
      <w:marTop w:val="0"/>
      <w:marBottom w:val="0"/>
      <w:divBdr>
        <w:top w:val="none" w:sz="0" w:space="0" w:color="auto"/>
        <w:left w:val="none" w:sz="0" w:space="0" w:color="auto"/>
        <w:bottom w:val="none" w:sz="0" w:space="0" w:color="auto"/>
        <w:right w:val="none" w:sz="0" w:space="0" w:color="auto"/>
      </w:divBdr>
    </w:div>
    <w:div w:id="1826430436">
      <w:bodyDiv w:val="1"/>
      <w:marLeft w:val="0"/>
      <w:marRight w:val="0"/>
      <w:marTop w:val="0"/>
      <w:marBottom w:val="0"/>
      <w:divBdr>
        <w:top w:val="none" w:sz="0" w:space="0" w:color="auto"/>
        <w:left w:val="none" w:sz="0" w:space="0" w:color="auto"/>
        <w:bottom w:val="none" w:sz="0" w:space="0" w:color="auto"/>
        <w:right w:val="none" w:sz="0" w:space="0" w:color="auto"/>
      </w:divBdr>
      <w:divsChild>
        <w:div w:id="449783040">
          <w:marLeft w:val="0"/>
          <w:marRight w:val="0"/>
          <w:marTop w:val="0"/>
          <w:marBottom w:val="0"/>
          <w:divBdr>
            <w:top w:val="none" w:sz="0" w:space="0" w:color="auto"/>
            <w:left w:val="none" w:sz="0" w:space="0" w:color="auto"/>
            <w:bottom w:val="none" w:sz="0" w:space="0" w:color="auto"/>
            <w:right w:val="none" w:sz="0" w:space="0" w:color="auto"/>
          </w:divBdr>
        </w:div>
        <w:div w:id="328561360">
          <w:marLeft w:val="0"/>
          <w:marRight w:val="0"/>
          <w:marTop w:val="0"/>
          <w:marBottom w:val="0"/>
          <w:divBdr>
            <w:top w:val="none" w:sz="0" w:space="0" w:color="auto"/>
            <w:left w:val="none" w:sz="0" w:space="0" w:color="auto"/>
            <w:bottom w:val="none" w:sz="0" w:space="0" w:color="auto"/>
            <w:right w:val="none" w:sz="0" w:space="0" w:color="auto"/>
          </w:divBdr>
        </w:div>
        <w:div w:id="1124888036">
          <w:marLeft w:val="0"/>
          <w:marRight w:val="0"/>
          <w:marTop w:val="0"/>
          <w:marBottom w:val="0"/>
          <w:divBdr>
            <w:top w:val="none" w:sz="0" w:space="0" w:color="auto"/>
            <w:left w:val="none" w:sz="0" w:space="0" w:color="auto"/>
            <w:bottom w:val="none" w:sz="0" w:space="0" w:color="auto"/>
            <w:right w:val="none" w:sz="0" w:space="0" w:color="auto"/>
          </w:divBdr>
        </w:div>
        <w:div w:id="1675647412">
          <w:marLeft w:val="0"/>
          <w:marRight w:val="0"/>
          <w:marTop w:val="0"/>
          <w:marBottom w:val="0"/>
          <w:divBdr>
            <w:top w:val="none" w:sz="0" w:space="0" w:color="auto"/>
            <w:left w:val="none" w:sz="0" w:space="0" w:color="auto"/>
            <w:bottom w:val="none" w:sz="0" w:space="0" w:color="auto"/>
            <w:right w:val="none" w:sz="0" w:space="0" w:color="auto"/>
          </w:divBdr>
        </w:div>
        <w:div w:id="1607079659">
          <w:marLeft w:val="0"/>
          <w:marRight w:val="0"/>
          <w:marTop w:val="0"/>
          <w:marBottom w:val="0"/>
          <w:divBdr>
            <w:top w:val="none" w:sz="0" w:space="0" w:color="auto"/>
            <w:left w:val="none" w:sz="0" w:space="0" w:color="auto"/>
            <w:bottom w:val="none" w:sz="0" w:space="0" w:color="auto"/>
            <w:right w:val="none" w:sz="0" w:space="0" w:color="auto"/>
          </w:divBdr>
        </w:div>
        <w:div w:id="1256551511">
          <w:marLeft w:val="0"/>
          <w:marRight w:val="0"/>
          <w:marTop w:val="0"/>
          <w:marBottom w:val="0"/>
          <w:divBdr>
            <w:top w:val="none" w:sz="0" w:space="0" w:color="auto"/>
            <w:left w:val="none" w:sz="0" w:space="0" w:color="auto"/>
            <w:bottom w:val="none" w:sz="0" w:space="0" w:color="auto"/>
            <w:right w:val="none" w:sz="0" w:space="0" w:color="auto"/>
          </w:divBdr>
        </w:div>
        <w:div w:id="1577476481">
          <w:marLeft w:val="0"/>
          <w:marRight w:val="0"/>
          <w:marTop w:val="0"/>
          <w:marBottom w:val="0"/>
          <w:divBdr>
            <w:top w:val="none" w:sz="0" w:space="0" w:color="auto"/>
            <w:left w:val="none" w:sz="0" w:space="0" w:color="auto"/>
            <w:bottom w:val="none" w:sz="0" w:space="0" w:color="auto"/>
            <w:right w:val="none" w:sz="0" w:space="0" w:color="auto"/>
          </w:divBdr>
        </w:div>
        <w:div w:id="703553089">
          <w:marLeft w:val="0"/>
          <w:marRight w:val="0"/>
          <w:marTop w:val="0"/>
          <w:marBottom w:val="0"/>
          <w:divBdr>
            <w:top w:val="none" w:sz="0" w:space="0" w:color="auto"/>
            <w:left w:val="none" w:sz="0" w:space="0" w:color="auto"/>
            <w:bottom w:val="none" w:sz="0" w:space="0" w:color="auto"/>
            <w:right w:val="none" w:sz="0" w:space="0" w:color="auto"/>
          </w:divBdr>
        </w:div>
        <w:div w:id="344599958">
          <w:marLeft w:val="0"/>
          <w:marRight w:val="0"/>
          <w:marTop w:val="0"/>
          <w:marBottom w:val="0"/>
          <w:divBdr>
            <w:top w:val="none" w:sz="0" w:space="0" w:color="auto"/>
            <w:left w:val="none" w:sz="0" w:space="0" w:color="auto"/>
            <w:bottom w:val="none" w:sz="0" w:space="0" w:color="auto"/>
            <w:right w:val="none" w:sz="0" w:space="0" w:color="auto"/>
          </w:divBdr>
        </w:div>
      </w:divsChild>
    </w:div>
    <w:div w:id="1831289359">
      <w:bodyDiv w:val="1"/>
      <w:marLeft w:val="0"/>
      <w:marRight w:val="0"/>
      <w:marTop w:val="0"/>
      <w:marBottom w:val="0"/>
      <w:divBdr>
        <w:top w:val="none" w:sz="0" w:space="0" w:color="auto"/>
        <w:left w:val="none" w:sz="0" w:space="0" w:color="auto"/>
        <w:bottom w:val="none" w:sz="0" w:space="0" w:color="auto"/>
        <w:right w:val="none" w:sz="0" w:space="0" w:color="auto"/>
      </w:divBdr>
    </w:div>
    <w:div w:id="1835298053">
      <w:bodyDiv w:val="1"/>
      <w:marLeft w:val="0"/>
      <w:marRight w:val="0"/>
      <w:marTop w:val="0"/>
      <w:marBottom w:val="0"/>
      <w:divBdr>
        <w:top w:val="none" w:sz="0" w:space="0" w:color="auto"/>
        <w:left w:val="none" w:sz="0" w:space="0" w:color="auto"/>
        <w:bottom w:val="none" w:sz="0" w:space="0" w:color="auto"/>
        <w:right w:val="none" w:sz="0" w:space="0" w:color="auto"/>
      </w:divBdr>
    </w:div>
    <w:div w:id="1840655352">
      <w:bodyDiv w:val="1"/>
      <w:marLeft w:val="0"/>
      <w:marRight w:val="0"/>
      <w:marTop w:val="0"/>
      <w:marBottom w:val="0"/>
      <w:divBdr>
        <w:top w:val="none" w:sz="0" w:space="0" w:color="auto"/>
        <w:left w:val="none" w:sz="0" w:space="0" w:color="auto"/>
        <w:bottom w:val="none" w:sz="0" w:space="0" w:color="auto"/>
        <w:right w:val="none" w:sz="0" w:space="0" w:color="auto"/>
      </w:divBdr>
    </w:div>
    <w:div w:id="1841313368">
      <w:bodyDiv w:val="1"/>
      <w:marLeft w:val="0"/>
      <w:marRight w:val="0"/>
      <w:marTop w:val="0"/>
      <w:marBottom w:val="0"/>
      <w:divBdr>
        <w:top w:val="none" w:sz="0" w:space="0" w:color="auto"/>
        <w:left w:val="none" w:sz="0" w:space="0" w:color="auto"/>
        <w:bottom w:val="none" w:sz="0" w:space="0" w:color="auto"/>
        <w:right w:val="none" w:sz="0" w:space="0" w:color="auto"/>
      </w:divBdr>
    </w:div>
    <w:div w:id="1844927239">
      <w:bodyDiv w:val="1"/>
      <w:marLeft w:val="0"/>
      <w:marRight w:val="0"/>
      <w:marTop w:val="0"/>
      <w:marBottom w:val="0"/>
      <w:divBdr>
        <w:top w:val="none" w:sz="0" w:space="0" w:color="auto"/>
        <w:left w:val="none" w:sz="0" w:space="0" w:color="auto"/>
        <w:bottom w:val="none" w:sz="0" w:space="0" w:color="auto"/>
        <w:right w:val="none" w:sz="0" w:space="0" w:color="auto"/>
      </w:divBdr>
    </w:div>
    <w:div w:id="1864704559">
      <w:bodyDiv w:val="1"/>
      <w:marLeft w:val="0"/>
      <w:marRight w:val="0"/>
      <w:marTop w:val="0"/>
      <w:marBottom w:val="0"/>
      <w:divBdr>
        <w:top w:val="none" w:sz="0" w:space="0" w:color="auto"/>
        <w:left w:val="none" w:sz="0" w:space="0" w:color="auto"/>
        <w:bottom w:val="none" w:sz="0" w:space="0" w:color="auto"/>
        <w:right w:val="none" w:sz="0" w:space="0" w:color="auto"/>
      </w:divBdr>
    </w:div>
    <w:div w:id="1868327164">
      <w:bodyDiv w:val="1"/>
      <w:marLeft w:val="0"/>
      <w:marRight w:val="0"/>
      <w:marTop w:val="0"/>
      <w:marBottom w:val="0"/>
      <w:divBdr>
        <w:top w:val="none" w:sz="0" w:space="0" w:color="auto"/>
        <w:left w:val="none" w:sz="0" w:space="0" w:color="auto"/>
        <w:bottom w:val="none" w:sz="0" w:space="0" w:color="auto"/>
        <w:right w:val="none" w:sz="0" w:space="0" w:color="auto"/>
      </w:divBdr>
    </w:div>
    <w:div w:id="1899242016">
      <w:bodyDiv w:val="1"/>
      <w:marLeft w:val="0"/>
      <w:marRight w:val="0"/>
      <w:marTop w:val="0"/>
      <w:marBottom w:val="0"/>
      <w:divBdr>
        <w:top w:val="none" w:sz="0" w:space="0" w:color="auto"/>
        <w:left w:val="none" w:sz="0" w:space="0" w:color="auto"/>
        <w:bottom w:val="none" w:sz="0" w:space="0" w:color="auto"/>
        <w:right w:val="none" w:sz="0" w:space="0" w:color="auto"/>
      </w:divBdr>
    </w:div>
    <w:div w:id="1905070463">
      <w:bodyDiv w:val="1"/>
      <w:marLeft w:val="0"/>
      <w:marRight w:val="0"/>
      <w:marTop w:val="0"/>
      <w:marBottom w:val="0"/>
      <w:divBdr>
        <w:top w:val="none" w:sz="0" w:space="0" w:color="auto"/>
        <w:left w:val="none" w:sz="0" w:space="0" w:color="auto"/>
        <w:bottom w:val="none" w:sz="0" w:space="0" w:color="auto"/>
        <w:right w:val="none" w:sz="0" w:space="0" w:color="auto"/>
      </w:divBdr>
    </w:div>
    <w:div w:id="1908413623">
      <w:bodyDiv w:val="1"/>
      <w:marLeft w:val="0"/>
      <w:marRight w:val="0"/>
      <w:marTop w:val="0"/>
      <w:marBottom w:val="0"/>
      <w:divBdr>
        <w:top w:val="none" w:sz="0" w:space="0" w:color="auto"/>
        <w:left w:val="none" w:sz="0" w:space="0" w:color="auto"/>
        <w:bottom w:val="none" w:sz="0" w:space="0" w:color="auto"/>
        <w:right w:val="none" w:sz="0" w:space="0" w:color="auto"/>
      </w:divBdr>
    </w:div>
    <w:div w:id="1920095645">
      <w:bodyDiv w:val="1"/>
      <w:marLeft w:val="0"/>
      <w:marRight w:val="0"/>
      <w:marTop w:val="0"/>
      <w:marBottom w:val="0"/>
      <w:divBdr>
        <w:top w:val="none" w:sz="0" w:space="0" w:color="auto"/>
        <w:left w:val="none" w:sz="0" w:space="0" w:color="auto"/>
        <w:bottom w:val="none" w:sz="0" w:space="0" w:color="auto"/>
        <w:right w:val="none" w:sz="0" w:space="0" w:color="auto"/>
      </w:divBdr>
    </w:div>
    <w:div w:id="1921523174">
      <w:bodyDiv w:val="1"/>
      <w:marLeft w:val="0"/>
      <w:marRight w:val="0"/>
      <w:marTop w:val="0"/>
      <w:marBottom w:val="0"/>
      <w:divBdr>
        <w:top w:val="none" w:sz="0" w:space="0" w:color="auto"/>
        <w:left w:val="none" w:sz="0" w:space="0" w:color="auto"/>
        <w:bottom w:val="none" w:sz="0" w:space="0" w:color="auto"/>
        <w:right w:val="none" w:sz="0" w:space="0" w:color="auto"/>
      </w:divBdr>
    </w:div>
    <w:div w:id="1924991071">
      <w:bodyDiv w:val="1"/>
      <w:marLeft w:val="0"/>
      <w:marRight w:val="0"/>
      <w:marTop w:val="0"/>
      <w:marBottom w:val="0"/>
      <w:divBdr>
        <w:top w:val="none" w:sz="0" w:space="0" w:color="auto"/>
        <w:left w:val="none" w:sz="0" w:space="0" w:color="auto"/>
        <w:bottom w:val="none" w:sz="0" w:space="0" w:color="auto"/>
        <w:right w:val="none" w:sz="0" w:space="0" w:color="auto"/>
      </w:divBdr>
    </w:div>
    <w:div w:id="1927303641">
      <w:bodyDiv w:val="1"/>
      <w:marLeft w:val="0"/>
      <w:marRight w:val="0"/>
      <w:marTop w:val="0"/>
      <w:marBottom w:val="0"/>
      <w:divBdr>
        <w:top w:val="none" w:sz="0" w:space="0" w:color="auto"/>
        <w:left w:val="none" w:sz="0" w:space="0" w:color="auto"/>
        <w:bottom w:val="none" w:sz="0" w:space="0" w:color="auto"/>
        <w:right w:val="none" w:sz="0" w:space="0" w:color="auto"/>
      </w:divBdr>
    </w:div>
    <w:div w:id="1958099176">
      <w:bodyDiv w:val="1"/>
      <w:marLeft w:val="0"/>
      <w:marRight w:val="0"/>
      <w:marTop w:val="0"/>
      <w:marBottom w:val="0"/>
      <w:divBdr>
        <w:top w:val="none" w:sz="0" w:space="0" w:color="auto"/>
        <w:left w:val="none" w:sz="0" w:space="0" w:color="auto"/>
        <w:bottom w:val="none" w:sz="0" w:space="0" w:color="auto"/>
        <w:right w:val="none" w:sz="0" w:space="0" w:color="auto"/>
      </w:divBdr>
    </w:div>
    <w:div w:id="1965039060">
      <w:bodyDiv w:val="1"/>
      <w:marLeft w:val="0"/>
      <w:marRight w:val="0"/>
      <w:marTop w:val="0"/>
      <w:marBottom w:val="0"/>
      <w:divBdr>
        <w:top w:val="none" w:sz="0" w:space="0" w:color="auto"/>
        <w:left w:val="none" w:sz="0" w:space="0" w:color="auto"/>
        <w:bottom w:val="none" w:sz="0" w:space="0" w:color="auto"/>
        <w:right w:val="none" w:sz="0" w:space="0" w:color="auto"/>
      </w:divBdr>
    </w:div>
    <w:div w:id="1970894050">
      <w:bodyDiv w:val="1"/>
      <w:marLeft w:val="0"/>
      <w:marRight w:val="0"/>
      <w:marTop w:val="0"/>
      <w:marBottom w:val="0"/>
      <w:divBdr>
        <w:top w:val="none" w:sz="0" w:space="0" w:color="auto"/>
        <w:left w:val="none" w:sz="0" w:space="0" w:color="auto"/>
        <w:bottom w:val="none" w:sz="0" w:space="0" w:color="auto"/>
        <w:right w:val="none" w:sz="0" w:space="0" w:color="auto"/>
      </w:divBdr>
    </w:div>
    <w:div w:id="1977950501">
      <w:bodyDiv w:val="1"/>
      <w:marLeft w:val="0"/>
      <w:marRight w:val="0"/>
      <w:marTop w:val="0"/>
      <w:marBottom w:val="0"/>
      <w:divBdr>
        <w:top w:val="none" w:sz="0" w:space="0" w:color="auto"/>
        <w:left w:val="none" w:sz="0" w:space="0" w:color="auto"/>
        <w:bottom w:val="none" w:sz="0" w:space="0" w:color="auto"/>
        <w:right w:val="none" w:sz="0" w:space="0" w:color="auto"/>
      </w:divBdr>
    </w:div>
    <w:div w:id="1996257331">
      <w:bodyDiv w:val="1"/>
      <w:marLeft w:val="0"/>
      <w:marRight w:val="0"/>
      <w:marTop w:val="0"/>
      <w:marBottom w:val="0"/>
      <w:divBdr>
        <w:top w:val="none" w:sz="0" w:space="0" w:color="auto"/>
        <w:left w:val="none" w:sz="0" w:space="0" w:color="auto"/>
        <w:bottom w:val="none" w:sz="0" w:space="0" w:color="auto"/>
        <w:right w:val="none" w:sz="0" w:space="0" w:color="auto"/>
      </w:divBdr>
    </w:div>
    <w:div w:id="2000184716">
      <w:bodyDiv w:val="1"/>
      <w:marLeft w:val="0"/>
      <w:marRight w:val="0"/>
      <w:marTop w:val="0"/>
      <w:marBottom w:val="0"/>
      <w:divBdr>
        <w:top w:val="none" w:sz="0" w:space="0" w:color="auto"/>
        <w:left w:val="none" w:sz="0" w:space="0" w:color="auto"/>
        <w:bottom w:val="none" w:sz="0" w:space="0" w:color="auto"/>
        <w:right w:val="none" w:sz="0" w:space="0" w:color="auto"/>
      </w:divBdr>
    </w:div>
    <w:div w:id="2017808468">
      <w:bodyDiv w:val="1"/>
      <w:marLeft w:val="0"/>
      <w:marRight w:val="0"/>
      <w:marTop w:val="0"/>
      <w:marBottom w:val="0"/>
      <w:divBdr>
        <w:top w:val="none" w:sz="0" w:space="0" w:color="auto"/>
        <w:left w:val="none" w:sz="0" w:space="0" w:color="auto"/>
        <w:bottom w:val="none" w:sz="0" w:space="0" w:color="auto"/>
        <w:right w:val="none" w:sz="0" w:space="0" w:color="auto"/>
      </w:divBdr>
    </w:div>
    <w:div w:id="2033802444">
      <w:bodyDiv w:val="1"/>
      <w:marLeft w:val="0"/>
      <w:marRight w:val="0"/>
      <w:marTop w:val="0"/>
      <w:marBottom w:val="0"/>
      <w:divBdr>
        <w:top w:val="none" w:sz="0" w:space="0" w:color="auto"/>
        <w:left w:val="none" w:sz="0" w:space="0" w:color="auto"/>
        <w:bottom w:val="none" w:sz="0" w:space="0" w:color="auto"/>
        <w:right w:val="none" w:sz="0" w:space="0" w:color="auto"/>
      </w:divBdr>
    </w:div>
    <w:div w:id="2036269151">
      <w:bodyDiv w:val="1"/>
      <w:marLeft w:val="0"/>
      <w:marRight w:val="0"/>
      <w:marTop w:val="0"/>
      <w:marBottom w:val="0"/>
      <w:divBdr>
        <w:top w:val="none" w:sz="0" w:space="0" w:color="auto"/>
        <w:left w:val="none" w:sz="0" w:space="0" w:color="auto"/>
        <w:bottom w:val="none" w:sz="0" w:space="0" w:color="auto"/>
        <w:right w:val="none" w:sz="0" w:space="0" w:color="auto"/>
      </w:divBdr>
    </w:div>
    <w:div w:id="2036423359">
      <w:bodyDiv w:val="1"/>
      <w:marLeft w:val="0"/>
      <w:marRight w:val="0"/>
      <w:marTop w:val="0"/>
      <w:marBottom w:val="0"/>
      <w:divBdr>
        <w:top w:val="none" w:sz="0" w:space="0" w:color="auto"/>
        <w:left w:val="none" w:sz="0" w:space="0" w:color="auto"/>
        <w:bottom w:val="none" w:sz="0" w:space="0" w:color="auto"/>
        <w:right w:val="none" w:sz="0" w:space="0" w:color="auto"/>
      </w:divBdr>
    </w:div>
    <w:div w:id="2039043113">
      <w:bodyDiv w:val="1"/>
      <w:marLeft w:val="0"/>
      <w:marRight w:val="0"/>
      <w:marTop w:val="0"/>
      <w:marBottom w:val="0"/>
      <w:divBdr>
        <w:top w:val="none" w:sz="0" w:space="0" w:color="auto"/>
        <w:left w:val="none" w:sz="0" w:space="0" w:color="auto"/>
        <w:bottom w:val="none" w:sz="0" w:space="0" w:color="auto"/>
        <w:right w:val="none" w:sz="0" w:space="0" w:color="auto"/>
      </w:divBdr>
    </w:div>
    <w:div w:id="2040278311">
      <w:bodyDiv w:val="1"/>
      <w:marLeft w:val="0"/>
      <w:marRight w:val="0"/>
      <w:marTop w:val="0"/>
      <w:marBottom w:val="0"/>
      <w:divBdr>
        <w:top w:val="none" w:sz="0" w:space="0" w:color="auto"/>
        <w:left w:val="none" w:sz="0" w:space="0" w:color="auto"/>
        <w:bottom w:val="none" w:sz="0" w:space="0" w:color="auto"/>
        <w:right w:val="none" w:sz="0" w:space="0" w:color="auto"/>
      </w:divBdr>
    </w:div>
    <w:div w:id="2040546234">
      <w:bodyDiv w:val="1"/>
      <w:marLeft w:val="0"/>
      <w:marRight w:val="0"/>
      <w:marTop w:val="0"/>
      <w:marBottom w:val="0"/>
      <w:divBdr>
        <w:top w:val="none" w:sz="0" w:space="0" w:color="auto"/>
        <w:left w:val="none" w:sz="0" w:space="0" w:color="auto"/>
        <w:bottom w:val="none" w:sz="0" w:space="0" w:color="auto"/>
        <w:right w:val="none" w:sz="0" w:space="0" w:color="auto"/>
      </w:divBdr>
    </w:div>
    <w:div w:id="2052487322">
      <w:bodyDiv w:val="1"/>
      <w:marLeft w:val="0"/>
      <w:marRight w:val="0"/>
      <w:marTop w:val="0"/>
      <w:marBottom w:val="0"/>
      <w:divBdr>
        <w:top w:val="none" w:sz="0" w:space="0" w:color="auto"/>
        <w:left w:val="none" w:sz="0" w:space="0" w:color="auto"/>
        <w:bottom w:val="none" w:sz="0" w:space="0" w:color="auto"/>
        <w:right w:val="none" w:sz="0" w:space="0" w:color="auto"/>
      </w:divBdr>
    </w:div>
    <w:div w:id="2065370095">
      <w:bodyDiv w:val="1"/>
      <w:marLeft w:val="0"/>
      <w:marRight w:val="0"/>
      <w:marTop w:val="0"/>
      <w:marBottom w:val="0"/>
      <w:divBdr>
        <w:top w:val="none" w:sz="0" w:space="0" w:color="auto"/>
        <w:left w:val="none" w:sz="0" w:space="0" w:color="auto"/>
        <w:bottom w:val="none" w:sz="0" w:space="0" w:color="auto"/>
        <w:right w:val="none" w:sz="0" w:space="0" w:color="auto"/>
      </w:divBdr>
      <w:divsChild>
        <w:div w:id="802889324">
          <w:marLeft w:val="0"/>
          <w:marRight w:val="0"/>
          <w:marTop w:val="0"/>
          <w:marBottom w:val="0"/>
          <w:divBdr>
            <w:top w:val="none" w:sz="0" w:space="0" w:color="auto"/>
            <w:left w:val="none" w:sz="0" w:space="0" w:color="auto"/>
            <w:bottom w:val="none" w:sz="0" w:space="0" w:color="auto"/>
            <w:right w:val="none" w:sz="0" w:space="0" w:color="auto"/>
          </w:divBdr>
        </w:div>
        <w:div w:id="556546629">
          <w:marLeft w:val="0"/>
          <w:marRight w:val="0"/>
          <w:marTop w:val="0"/>
          <w:marBottom w:val="0"/>
          <w:divBdr>
            <w:top w:val="none" w:sz="0" w:space="0" w:color="auto"/>
            <w:left w:val="none" w:sz="0" w:space="0" w:color="auto"/>
            <w:bottom w:val="none" w:sz="0" w:space="0" w:color="auto"/>
            <w:right w:val="none" w:sz="0" w:space="0" w:color="auto"/>
          </w:divBdr>
        </w:div>
        <w:div w:id="2073844522">
          <w:marLeft w:val="0"/>
          <w:marRight w:val="0"/>
          <w:marTop w:val="0"/>
          <w:marBottom w:val="0"/>
          <w:divBdr>
            <w:top w:val="none" w:sz="0" w:space="0" w:color="auto"/>
            <w:left w:val="none" w:sz="0" w:space="0" w:color="auto"/>
            <w:bottom w:val="none" w:sz="0" w:space="0" w:color="auto"/>
            <w:right w:val="none" w:sz="0" w:space="0" w:color="auto"/>
          </w:divBdr>
        </w:div>
      </w:divsChild>
    </w:div>
    <w:div w:id="2066945496">
      <w:bodyDiv w:val="1"/>
      <w:marLeft w:val="0"/>
      <w:marRight w:val="0"/>
      <w:marTop w:val="0"/>
      <w:marBottom w:val="0"/>
      <w:divBdr>
        <w:top w:val="none" w:sz="0" w:space="0" w:color="auto"/>
        <w:left w:val="none" w:sz="0" w:space="0" w:color="auto"/>
        <w:bottom w:val="none" w:sz="0" w:space="0" w:color="auto"/>
        <w:right w:val="none" w:sz="0" w:space="0" w:color="auto"/>
      </w:divBdr>
    </w:div>
    <w:div w:id="2078474946">
      <w:bodyDiv w:val="1"/>
      <w:marLeft w:val="0"/>
      <w:marRight w:val="0"/>
      <w:marTop w:val="0"/>
      <w:marBottom w:val="0"/>
      <w:divBdr>
        <w:top w:val="none" w:sz="0" w:space="0" w:color="auto"/>
        <w:left w:val="none" w:sz="0" w:space="0" w:color="auto"/>
        <w:bottom w:val="none" w:sz="0" w:space="0" w:color="auto"/>
        <w:right w:val="none" w:sz="0" w:space="0" w:color="auto"/>
      </w:divBdr>
    </w:div>
    <w:div w:id="2098285895">
      <w:bodyDiv w:val="1"/>
      <w:marLeft w:val="0"/>
      <w:marRight w:val="0"/>
      <w:marTop w:val="0"/>
      <w:marBottom w:val="0"/>
      <w:divBdr>
        <w:top w:val="none" w:sz="0" w:space="0" w:color="auto"/>
        <w:left w:val="none" w:sz="0" w:space="0" w:color="auto"/>
        <w:bottom w:val="none" w:sz="0" w:space="0" w:color="auto"/>
        <w:right w:val="none" w:sz="0" w:space="0" w:color="auto"/>
      </w:divBdr>
    </w:div>
    <w:div w:id="2108960242">
      <w:bodyDiv w:val="1"/>
      <w:marLeft w:val="0"/>
      <w:marRight w:val="0"/>
      <w:marTop w:val="0"/>
      <w:marBottom w:val="0"/>
      <w:divBdr>
        <w:top w:val="none" w:sz="0" w:space="0" w:color="auto"/>
        <w:left w:val="none" w:sz="0" w:space="0" w:color="auto"/>
        <w:bottom w:val="none" w:sz="0" w:space="0" w:color="auto"/>
        <w:right w:val="none" w:sz="0" w:space="0" w:color="auto"/>
      </w:divBdr>
      <w:divsChild>
        <w:div w:id="2046708717">
          <w:marLeft w:val="0"/>
          <w:marRight w:val="0"/>
          <w:marTop w:val="0"/>
          <w:marBottom w:val="0"/>
          <w:divBdr>
            <w:top w:val="none" w:sz="0" w:space="0" w:color="auto"/>
            <w:left w:val="none" w:sz="0" w:space="0" w:color="auto"/>
            <w:bottom w:val="none" w:sz="0" w:space="0" w:color="auto"/>
            <w:right w:val="none" w:sz="0" w:space="0" w:color="auto"/>
          </w:divBdr>
        </w:div>
        <w:div w:id="1949771191">
          <w:marLeft w:val="0"/>
          <w:marRight w:val="0"/>
          <w:marTop w:val="0"/>
          <w:marBottom w:val="0"/>
          <w:divBdr>
            <w:top w:val="none" w:sz="0" w:space="0" w:color="auto"/>
            <w:left w:val="none" w:sz="0" w:space="0" w:color="auto"/>
            <w:bottom w:val="none" w:sz="0" w:space="0" w:color="auto"/>
            <w:right w:val="none" w:sz="0" w:space="0" w:color="auto"/>
          </w:divBdr>
        </w:div>
      </w:divsChild>
    </w:div>
    <w:div w:id="2117016228">
      <w:bodyDiv w:val="1"/>
      <w:marLeft w:val="0"/>
      <w:marRight w:val="0"/>
      <w:marTop w:val="0"/>
      <w:marBottom w:val="0"/>
      <w:divBdr>
        <w:top w:val="none" w:sz="0" w:space="0" w:color="auto"/>
        <w:left w:val="none" w:sz="0" w:space="0" w:color="auto"/>
        <w:bottom w:val="none" w:sz="0" w:space="0" w:color="auto"/>
        <w:right w:val="none" w:sz="0" w:space="0" w:color="auto"/>
      </w:divBdr>
    </w:div>
    <w:div w:id="2120054939">
      <w:bodyDiv w:val="1"/>
      <w:marLeft w:val="0"/>
      <w:marRight w:val="0"/>
      <w:marTop w:val="0"/>
      <w:marBottom w:val="0"/>
      <w:divBdr>
        <w:top w:val="none" w:sz="0" w:space="0" w:color="auto"/>
        <w:left w:val="none" w:sz="0" w:space="0" w:color="auto"/>
        <w:bottom w:val="none" w:sz="0" w:space="0" w:color="auto"/>
        <w:right w:val="none" w:sz="0" w:space="0" w:color="auto"/>
      </w:divBdr>
    </w:div>
    <w:div w:id="2122409179">
      <w:bodyDiv w:val="1"/>
      <w:marLeft w:val="0"/>
      <w:marRight w:val="0"/>
      <w:marTop w:val="0"/>
      <w:marBottom w:val="0"/>
      <w:divBdr>
        <w:top w:val="none" w:sz="0" w:space="0" w:color="auto"/>
        <w:left w:val="none" w:sz="0" w:space="0" w:color="auto"/>
        <w:bottom w:val="none" w:sz="0" w:space="0" w:color="auto"/>
        <w:right w:val="none" w:sz="0" w:space="0" w:color="auto"/>
      </w:divBdr>
    </w:div>
    <w:div w:id="2135176958">
      <w:bodyDiv w:val="1"/>
      <w:marLeft w:val="0"/>
      <w:marRight w:val="0"/>
      <w:marTop w:val="0"/>
      <w:marBottom w:val="0"/>
      <w:divBdr>
        <w:top w:val="none" w:sz="0" w:space="0" w:color="auto"/>
        <w:left w:val="none" w:sz="0" w:space="0" w:color="auto"/>
        <w:bottom w:val="none" w:sz="0" w:space="0" w:color="auto"/>
        <w:right w:val="none" w:sz="0" w:space="0" w:color="auto"/>
      </w:divBdr>
    </w:div>
    <w:div w:id="2139373408">
      <w:bodyDiv w:val="1"/>
      <w:marLeft w:val="0"/>
      <w:marRight w:val="0"/>
      <w:marTop w:val="0"/>
      <w:marBottom w:val="0"/>
      <w:divBdr>
        <w:top w:val="none" w:sz="0" w:space="0" w:color="auto"/>
        <w:left w:val="none" w:sz="0" w:space="0" w:color="auto"/>
        <w:bottom w:val="none" w:sz="0" w:space="0" w:color="auto"/>
        <w:right w:val="none" w:sz="0" w:space="0" w:color="auto"/>
      </w:divBdr>
    </w:div>
    <w:div w:id="2140561384">
      <w:bodyDiv w:val="1"/>
      <w:marLeft w:val="0"/>
      <w:marRight w:val="0"/>
      <w:marTop w:val="0"/>
      <w:marBottom w:val="0"/>
      <w:divBdr>
        <w:top w:val="none" w:sz="0" w:space="0" w:color="auto"/>
        <w:left w:val="none" w:sz="0" w:space="0" w:color="auto"/>
        <w:bottom w:val="none" w:sz="0" w:space="0" w:color="auto"/>
        <w:right w:val="none" w:sz="0" w:space="0" w:color="auto"/>
      </w:divBdr>
    </w:div>
    <w:div w:id="214692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2020.eufunds.bg/bg/8010777/0/Project/Activities?contractId=rw5I4K6EHHX5SUGFEiqkWQ%3D%3D&amp;isHistoric=False" TargetMode="External"/><Relationship Id="rId18" Type="http://schemas.openxmlformats.org/officeDocument/2006/relationships/hyperlink" Target="apis://Base=NARH&amp;DocCode=84498&amp;ToPar=Art9&amp;Type=201/" TargetMode="External"/><Relationship Id="rId26" Type="http://schemas.openxmlformats.org/officeDocument/2006/relationships/hyperlink" Target="apis://Base=NARH&amp;DocCode=42492&amp;ToPar=Art41&amp;Type=201/" TargetMode="External"/><Relationship Id="rId39" Type="http://schemas.openxmlformats.org/officeDocument/2006/relationships/hyperlink" Target="https://www.eufunds.bg/bg/opgg/node/17523" TargetMode="External"/><Relationship Id="rId21" Type="http://schemas.openxmlformats.org/officeDocument/2006/relationships/hyperlink" Target="mailto:EUcoordination@government.bg" TargetMode="External"/><Relationship Id="rId34" Type="http://schemas.openxmlformats.org/officeDocument/2006/relationships/hyperlink" Target="http://www.eufunds.bg" TargetMode="External"/><Relationship Id="rId42" Type="http://schemas.openxmlformats.org/officeDocument/2006/relationships/hyperlink" Target="http://www.eufunds.b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isda.government.bg/annual_reports" TargetMode="External"/><Relationship Id="rId20" Type="http://schemas.openxmlformats.org/officeDocument/2006/relationships/hyperlink" Target="https://www.facebook.com/pg/&#1050;&#1086;&#1086;&#1088;&#1076;&#1080;&#1085;&#1072;&#1094;&#1080;&#1103;-&#1087;&#1086;-&#1074;&#1098;&#1087;&#1088;&#1086;&#1089;&#1080;&#1090;&#1077;-&#1085;&#1072;-&#1045;&#1057;-461139224008947/posts/?ref=page_internal" TargetMode="External"/><Relationship Id="rId29" Type="http://schemas.openxmlformats.org/officeDocument/2006/relationships/hyperlink" Target="http://micmrc.government.bg/" TargetMode="External"/><Relationship Id="rId41" Type="http://schemas.openxmlformats.org/officeDocument/2006/relationships/hyperlink" Target="https://www.facebook.com/hashtag/%D0%B4%D0%B5%D1%82%D0%B5%D0%BA%D1%82%D0%B8%D0%B2%D0%B8%D0%BD%D0%B0%D0%B5%D0%B2%D1%80%D0%BE%D0%BF%D0%B5%D0%B9%D1%81%D0%BA%D0%B8%D0%BF%D1%80%D0%BE%D0%B5%D0%BA%D1%82%D0%B82025?__eep__=6&amp;__cft__%5b0%5d=AZW4A-9rICDkAwpTxBW6kqdqN4dkmVMfHgDVelQbeMuNdzMBODuD4wZycomwZkOTO6IZM8YbPnemKn4_VUNmREiNL45ZNhYDbPJVPg9ynRgrLSFYcH03mjnLI1VeCYCp1iF-8L1S9oSVPhHLmGZNAyFciXZ7nQ5H4yQ_vl4hTryJkMW7MACqQiipHCgbcV5ZqSQln9VILJlkXzkxESthexNA&amp;__tn__=*NK-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020.eufunds.bg/bg/8010777/0/Project/Search?showRes=True" TargetMode="External"/><Relationship Id="rId24" Type="http://schemas.openxmlformats.org/officeDocument/2006/relationships/image" Target="media/image2.jpg"/><Relationship Id="rId32" Type="http://schemas.openxmlformats.org/officeDocument/2006/relationships/hyperlink" Target="https://eufunds.bg/bg/node/18220" TargetMode="External"/><Relationship Id="rId37" Type="http://schemas.openxmlformats.org/officeDocument/2006/relationships/hyperlink" Target="https://eumis2020.government.bg/bg/s/8d3ebf57-ff75-4ad5-afa1-5747f558ee98/Procedure/InfoEnded/27992c50-1ca3-4a4b-a6b6-4c509c66688c" TargetMode="External"/><Relationship Id="rId40" Type="http://schemas.openxmlformats.org/officeDocument/2006/relationships/hyperlink" Target="http://www.eufunds.bg" TargetMode="External"/><Relationship Id="rId5" Type="http://schemas.openxmlformats.org/officeDocument/2006/relationships/webSettings" Target="webSettings.xml"/><Relationship Id="rId15" Type="http://schemas.openxmlformats.org/officeDocument/2006/relationships/hyperlink" Target="https://government.bg/bg/administratsia/dokumenti/drugi-dokumenti/doklad-za-sastoyanieto-na-administratsiyata-prez-2024-g" TargetMode="External"/><Relationship Id="rId23" Type="http://schemas.openxmlformats.org/officeDocument/2006/relationships/hyperlink" Target="https://www.facebook.com/profile.php?id=100089422008718" TargetMode="External"/><Relationship Id="rId28" Type="http://schemas.openxmlformats.org/officeDocument/2006/relationships/hyperlink" Target="apis://NORM|2006|0||/" TargetMode="External"/><Relationship Id="rId36" Type="http://schemas.openxmlformats.org/officeDocument/2006/relationships/hyperlink" Target="https://www.eufunds.bg/sites/default/files/uploads/opgg/docs/2025-06/sfc2021-PRG-2021BG16RFTA001-2.0.pdf" TargetMode="External"/><Relationship Id="rId10" Type="http://schemas.openxmlformats.org/officeDocument/2006/relationships/hyperlink" Target="http://www.eufunds.bg/" TargetMode="External"/><Relationship Id="rId19" Type="http://schemas.openxmlformats.org/officeDocument/2006/relationships/hyperlink" Target="apis://Base=NARH&amp;DocCode=57508&amp;Type=201/" TargetMode="External"/><Relationship Id="rId31" Type="http://schemas.openxmlformats.org/officeDocument/2006/relationships/hyperlink" Target="https://eufunds.bg/bg/node/1786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jpeg"/><Relationship Id="rId22" Type="http://schemas.openxmlformats.org/officeDocument/2006/relationships/hyperlink" Target="http://www.SOLVIT.government.bg" TargetMode="External"/><Relationship Id="rId27" Type="http://schemas.openxmlformats.org/officeDocument/2006/relationships/hyperlink" Target="https://budgetcontrol.egov.bg/" TargetMode="External"/><Relationship Id="rId30" Type="http://schemas.openxmlformats.org/officeDocument/2006/relationships/hyperlink" Target="https://voting.government.bg/" TargetMode="External"/><Relationship Id="rId35" Type="http://schemas.openxmlformats.org/officeDocument/2006/relationships/hyperlink" Target="http://www.eeagrants.bg" TargetMode="Externa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2020.eufunds.bg/bg/8010777/0/Project/Activities?contractId=SACU5LAnOTuLE9A4ihRB2Q%3D%3D&amp;isHistoric=False" TargetMode="External"/><Relationship Id="rId17" Type="http://schemas.openxmlformats.org/officeDocument/2006/relationships/hyperlink" Target="apis://Base=NARH&amp;DocCode=40165&amp;Type=201/" TargetMode="External"/><Relationship Id="rId25" Type="http://schemas.openxmlformats.org/officeDocument/2006/relationships/image" Target="media/image3.jpg"/><Relationship Id="rId33" Type="http://schemas.openxmlformats.org/officeDocument/2006/relationships/hyperlink" Target="http://www.eufunds.bg" TargetMode="External"/><Relationship Id="rId38" Type="http://schemas.openxmlformats.org/officeDocument/2006/relationships/hyperlink" Target="https://www.eufunds.bg/bg/opgg/term/36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2020.eufunds.bg/bg/8010777/0/Project/Activities?contractId=BYuDhFIiAt3CiUNMWEi8rQ%3D%3D&amp;isHistoric=False" TargetMode="External"/><Relationship Id="rId13" Type="http://schemas.openxmlformats.org/officeDocument/2006/relationships/hyperlink" Target="https://bmdv.bund.de/EN/Home/home.html" TargetMode="External"/><Relationship Id="rId3" Type="http://schemas.openxmlformats.org/officeDocument/2006/relationships/hyperlink" Target="https://2020.eufunds.bg/bg/8010777/0/Project/Activities?contractId=SACU5LAnOTuLE9A4ihRB2Q%3D%3D&amp;isHistoric=False" TargetMode="External"/><Relationship Id="rId7" Type="http://schemas.openxmlformats.org/officeDocument/2006/relationships/hyperlink" Target="https://2020.eufunds.bg/bg/8010777/0/Project/Activities?contractId=eD%2FKmueUwmmI0mx0FDG%2F0Q%3D%3D&amp;isHistoric=False" TargetMode="External"/><Relationship Id="rId12" Type="http://schemas.openxmlformats.org/officeDocument/2006/relationships/hyperlink" Target="https://2020.eufunds.bg/bg/8010777/0/Project/Activities?contractId=%2BxXirAjdvDeWXpMOKRkwvA%3D%3D&amp;isHistoric=False" TargetMode="External"/><Relationship Id="rId2" Type="http://schemas.openxmlformats.org/officeDocument/2006/relationships/hyperlink" Target="https://2020.eufunds.bg/bg/8010777/0/Project/Activities?contractId=kOHUL0DTRFcmmAsLOW%2FoPw%3D%3D&amp;isHistoric=False" TargetMode="External"/><Relationship Id="rId1" Type="http://schemas.openxmlformats.org/officeDocument/2006/relationships/hyperlink" Target="https://eumis2020.government.bg/bg/s/8d3ebf57-ff75-4ad5-afa1-5747f558ee98/Procedure/InfoEnded/27992c50-1ca3-4a4b-a6b6-4c509c66688c" TargetMode="External"/><Relationship Id="rId6" Type="http://schemas.openxmlformats.org/officeDocument/2006/relationships/hyperlink" Target="https://2020.eufunds.bg/bg/8010777/0/Project/Activities?contractId=LbaShwsMkBSGWpypZ%2FBVVw%3D%3D&amp;isHistoric=False" TargetMode="External"/><Relationship Id="rId11" Type="http://schemas.openxmlformats.org/officeDocument/2006/relationships/hyperlink" Target="https://2020.eufunds.bg/bg/8010777/0/Project/Activities?contractId=Mi4ljMTS281GttZ31BAAhg%3D%3D&amp;isHistoric=False" TargetMode="External"/><Relationship Id="rId5" Type="http://schemas.openxmlformats.org/officeDocument/2006/relationships/hyperlink" Target="https://2020.eufunds.bg/bg/8010777/0/Project/BasicData?contractId=8Hh%2BfMrzz7xb%2FPvBFSfqlQ%3D%3D&amp;isHistoric=False" TargetMode="External"/><Relationship Id="rId15" Type="http://schemas.openxmlformats.org/officeDocument/2006/relationships/hyperlink" Target="https://www.bundestag.de/resource/blob/1022222/aedce3f486bb93c511519e0ff37110be/WD-7-046-24-pdf.pdf" TargetMode="External"/><Relationship Id="rId10" Type="http://schemas.openxmlformats.org/officeDocument/2006/relationships/hyperlink" Target="https://2020.eufunds.bg/bg/8010777/0/Project/Activities?contractId=rw5I4K6EHHX5SUGFEiqkWQ%3D%3D&amp;isHistoric=False" TargetMode="External"/><Relationship Id="rId4" Type="http://schemas.openxmlformats.org/officeDocument/2006/relationships/hyperlink" Target="https://2020.eufunds.bg/bg/8010777/0/Project/Activities?contractId=Y30SDGCjEflSeij5FsvcXw%3D%3D&amp;isHistoric=False" TargetMode="External"/><Relationship Id="rId9" Type="http://schemas.openxmlformats.org/officeDocument/2006/relationships/hyperlink" Target="https://2020.eufunds.bg/bg/8010777/0/Project/BasicData?contractId=MaRah2VRb1%2BrX64WVvNuiA%3D%3D&amp;isHistoric=False" TargetMode="External"/><Relationship Id="rId14" Type="http://schemas.openxmlformats.org/officeDocument/2006/relationships/hyperlink" Target="https://www.autobah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E752-B114-434A-9EB7-E2A3F069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189</Pages>
  <Words>101851</Words>
  <Characters>580553</Characters>
  <Application>Microsoft Office Word</Application>
  <DocSecurity>0</DocSecurity>
  <Lines>4837</Lines>
  <Paragraphs>1362</Paragraphs>
  <ScaleCrop>false</ScaleCrop>
  <HeadingPairs>
    <vt:vector size="2" baseType="variant">
      <vt:variant>
        <vt:lpstr>Title</vt:lpstr>
      </vt:variant>
      <vt:variant>
        <vt:i4>1</vt:i4>
      </vt:variant>
    </vt:vector>
  </HeadingPairs>
  <TitlesOfParts>
    <vt:vector size="1" baseType="lpstr">
      <vt:lpstr>ГОДИШЕН ОТЧЕТ</vt:lpstr>
    </vt:vector>
  </TitlesOfParts>
  <Company>CM</Company>
  <LinksUpToDate>false</LinksUpToDate>
  <CharactersWithSpaces>681042</CharactersWithSpaces>
  <SharedDoc>false</SharedDoc>
  <HLinks>
    <vt:vector size="246" baseType="variant">
      <vt:variant>
        <vt:i4>7864445</vt:i4>
      </vt:variant>
      <vt:variant>
        <vt:i4>96</vt:i4>
      </vt:variant>
      <vt:variant>
        <vt:i4>0</vt:i4>
      </vt:variant>
      <vt:variant>
        <vt:i4>5</vt:i4>
      </vt:variant>
      <vt:variant>
        <vt:lpwstr>http://www.eufunds.bg/</vt:lpwstr>
      </vt:variant>
      <vt:variant>
        <vt:lpwstr/>
      </vt:variant>
      <vt:variant>
        <vt:i4>7864445</vt:i4>
      </vt:variant>
      <vt:variant>
        <vt:i4>93</vt:i4>
      </vt:variant>
      <vt:variant>
        <vt:i4>0</vt:i4>
      </vt:variant>
      <vt:variant>
        <vt:i4>5</vt:i4>
      </vt:variant>
      <vt:variant>
        <vt:lpwstr>http://www.eufunds.bg/</vt:lpwstr>
      </vt:variant>
      <vt:variant>
        <vt:lpwstr/>
      </vt:variant>
      <vt:variant>
        <vt:i4>5111841</vt:i4>
      </vt:variant>
      <vt:variant>
        <vt:i4>90</vt:i4>
      </vt:variant>
      <vt:variant>
        <vt:i4>0</vt:i4>
      </vt:variant>
      <vt:variant>
        <vt:i4>5</vt:i4>
      </vt:variant>
      <vt:variant>
        <vt:lpwstr>https://www.youtube.com/@user-oy3xd2ql7d/featured</vt:lpwstr>
      </vt:variant>
      <vt:variant>
        <vt:lpwstr/>
      </vt:variant>
      <vt:variant>
        <vt:i4>2162729</vt:i4>
      </vt:variant>
      <vt:variant>
        <vt:i4>87</vt:i4>
      </vt:variant>
      <vt:variant>
        <vt:i4>0</vt:i4>
      </vt:variant>
      <vt:variant>
        <vt:i4>5</vt:i4>
      </vt:variant>
      <vt:variant>
        <vt:lpwstr>https://www.facebook.com/Vremetotieotznachenie</vt:lpwstr>
      </vt:variant>
      <vt:variant>
        <vt:lpwstr/>
      </vt:variant>
      <vt:variant>
        <vt:i4>2818089</vt:i4>
      </vt:variant>
      <vt:variant>
        <vt:i4>84</vt:i4>
      </vt:variant>
      <vt:variant>
        <vt:i4>0</vt:i4>
      </vt:variant>
      <vt:variant>
        <vt:i4>5</vt:i4>
      </vt:variant>
      <vt:variant>
        <vt:lpwstr>https://eumis2020.government.bg/bg/s/8d3ebf57-ff75-4ad5-afa1-5747f558ee98/Procedure/InfoEnded/93e3a637-5b9e-45fa-a6dd-46dbee67cc59</vt:lpwstr>
      </vt:variant>
      <vt:variant>
        <vt:lpwstr/>
      </vt:variant>
      <vt:variant>
        <vt:i4>13</vt:i4>
      </vt:variant>
      <vt:variant>
        <vt:i4>81</vt:i4>
      </vt:variant>
      <vt:variant>
        <vt:i4>0</vt:i4>
      </vt:variant>
      <vt:variant>
        <vt:i4>5</vt:i4>
      </vt:variant>
      <vt:variant>
        <vt:lpwstr>https://eumis2020.government.bg/bg/s/8d3ebf57-ff75-4ad5-afa1-5747f558ee98/Procedure/Info/ec50b6ef-efb8-4e6d-8bd2-4ebdf7a80e5b</vt:lpwstr>
      </vt:variant>
      <vt:variant>
        <vt:lpwstr/>
      </vt:variant>
      <vt:variant>
        <vt:i4>1835096</vt:i4>
      </vt:variant>
      <vt:variant>
        <vt:i4>78</vt:i4>
      </vt:variant>
      <vt:variant>
        <vt:i4>0</vt:i4>
      </vt:variant>
      <vt:variant>
        <vt:i4>5</vt:i4>
      </vt:variant>
      <vt:variant>
        <vt:lpwstr>https://www.eufunds.bg/bg/opgg/node/14029</vt:lpwstr>
      </vt:variant>
      <vt:variant>
        <vt:lpwstr/>
      </vt:variant>
      <vt:variant>
        <vt:i4>7995425</vt:i4>
      </vt:variant>
      <vt:variant>
        <vt:i4>75</vt:i4>
      </vt:variant>
      <vt:variant>
        <vt:i4>0</vt:i4>
      </vt:variant>
      <vt:variant>
        <vt:i4>5</vt:i4>
      </vt:variant>
      <vt:variant>
        <vt:lpwstr>https://eumis2020.government.bg/bg/s/8d3ebf57-ff75-4ad5-afa1-5747f558ee98/Procedure/InfoEnded/5b5d1ded-5a56-45bf-b0f6-31433b4adecd</vt:lpwstr>
      </vt:variant>
      <vt:variant>
        <vt:lpwstr/>
      </vt:variant>
      <vt:variant>
        <vt:i4>5832791</vt:i4>
      </vt:variant>
      <vt:variant>
        <vt:i4>72</vt:i4>
      </vt:variant>
      <vt:variant>
        <vt:i4>0</vt:i4>
      </vt:variant>
      <vt:variant>
        <vt:i4>5</vt:i4>
      </vt:variant>
      <vt:variant>
        <vt:lpwstr>https://eumis2020.government.bg/bg/s/8d3ebf57-ff75-4ad5-afa1-5747f558ee98/Procedure/Info/9936d694-ea2f-4cee-babf-b3dc4a0144f1</vt:lpwstr>
      </vt:variant>
      <vt:variant>
        <vt:lpwstr/>
      </vt:variant>
      <vt:variant>
        <vt:i4>393217</vt:i4>
      </vt:variant>
      <vt:variant>
        <vt:i4>69</vt:i4>
      </vt:variant>
      <vt:variant>
        <vt:i4>0</vt:i4>
      </vt:variant>
      <vt:variant>
        <vt:i4>5</vt:i4>
      </vt:variant>
      <vt:variant>
        <vt:lpwstr>https://eumis2020.government.bg/bg/s/8d3ebf57-ff75-4ad5-afa1-5747f558ee98/Procedure/Info/3815d03c-1042-4fad-9d68-0f2ce559fac6</vt:lpwstr>
      </vt:variant>
      <vt:variant>
        <vt:lpwstr/>
      </vt:variant>
      <vt:variant>
        <vt:i4>2818168</vt:i4>
      </vt:variant>
      <vt:variant>
        <vt:i4>66</vt:i4>
      </vt:variant>
      <vt:variant>
        <vt:i4>0</vt:i4>
      </vt:variant>
      <vt:variant>
        <vt:i4>5</vt:i4>
      </vt:variant>
      <vt:variant>
        <vt:lpwstr>https://eumis2020.government.bg/bg/s/8d3ebf57-ff75-4ad5-afa1-5747f558ee98/Procedure/InfoEnded/cac6cb6c-6848-42b0-89b1-dc9e906970c3</vt:lpwstr>
      </vt:variant>
      <vt:variant>
        <vt:lpwstr/>
      </vt:variant>
      <vt:variant>
        <vt:i4>393217</vt:i4>
      </vt:variant>
      <vt:variant>
        <vt:i4>63</vt:i4>
      </vt:variant>
      <vt:variant>
        <vt:i4>0</vt:i4>
      </vt:variant>
      <vt:variant>
        <vt:i4>5</vt:i4>
      </vt:variant>
      <vt:variant>
        <vt:lpwstr>https://eumis2020.government.bg/bg/s/8d3ebf57-ff75-4ad5-afa1-5747f558ee98/Procedure/Info/3815d03c-1042-4fad-9d68-0f2ce559fac6</vt:lpwstr>
      </vt:variant>
      <vt:variant>
        <vt:lpwstr/>
      </vt:variant>
      <vt:variant>
        <vt:i4>589836</vt:i4>
      </vt:variant>
      <vt:variant>
        <vt:i4>60</vt:i4>
      </vt:variant>
      <vt:variant>
        <vt:i4>0</vt:i4>
      </vt:variant>
      <vt:variant>
        <vt:i4>5</vt:i4>
      </vt:variant>
      <vt:variant>
        <vt:lpwstr>https://eumis2020.government.bg/bg/s/8d3ebf57-ff75-4ad5-afa1-5747f558ee98/Procedure/Info/8b28eb47-a215-48af-a965-da0fe3424c20</vt:lpwstr>
      </vt:variant>
      <vt:variant>
        <vt:lpwstr/>
      </vt:variant>
      <vt:variant>
        <vt:i4>2818089</vt:i4>
      </vt:variant>
      <vt:variant>
        <vt:i4>57</vt:i4>
      </vt:variant>
      <vt:variant>
        <vt:i4>0</vt:i4>
      </vt:variant>
      <vt:variant>
        <vt:i4>5</vt:i4>
      </vt:variant>
      <vt:variant>
        <vt:lpwstr>https://eumis2020.government.bg/bg/s/8d3ebf57-ff75-4ad5-afa1-5747f558ee98/Procedure/InfoEnded/93e3a637-5b9e-45fa-a6dd-46dbee67cc59</vt:lpwstr>
      </vt:variant>
      <vt:variant>
        <vt:lpwstr/>
      </vt:variant>
      <vt:variant>
        <vt:i4>393217</vt:i4>
      </vt:variant>
      <vt:variant>
        <vt:i4>54</vt:i4>
      </vt:variant>
      <vt:variant>
        <vt:i4>0</vt:i4>
      </vt:variant>
      <vt:variant>
        <vt:i4>5</vt:i4>
      </vt:variant>
      <vt:variant>
        <vt:lpwstr>https://eumis2020.government.bg/bg/s/8d3ebf57-ff75-4ad5-afa1-5747f558ee98/Procedure/Info/3815d03c-1042-4fad-9d68-0f2ce559fac6</vt:lpwstr>
      </vt:variant>
      <vt:variant>
        <vt:lpwstr/>
      </vt:variant>
      <vt:variant>
        <vt:i4>13</vt:i4>
      </vt:variant>
      <vt:variant>
        <vt:i4>51</vt:i4>
      </vt:variant>
      <vt:variant>
        <vt:i4>0</vt:i4>
      </vt:variant>
      <vt:variant>
        <vt:i4>5</vt:i4>
      </vt:variant>
      <vt:variant>
        <vt:lpwstr>https://eumis2020.government.bg/bg/s/8d3ebf57-ff75-4ad5-afa1-5747f558ee98/Procedure/Info/ec50b6ef-efb8-4e6d-8bd2-4ebdf7a80e5b</vt:lpwstr>
      </vt:variant>
      <vt:variant>
        <vt:lpwstr/>
      </vt:variant>
      <vt:variant>
        <vt:i4>4259911</vt:i4>
      </vt:variant>
      <vt:variant>
        <vt:i4>48</vt:i4>
      </vt:variant>
      <vt:variant>
        <vt:i4>0</vt:i4>
      </vt:variant>
      <vt:variant>
        <vt:i4>5</vt:i4>
      </vt:variant>
      <vt:variant>
        <vt:lpwstr>http://micmrc.government.bg/</vt:lpwstr>
      </vt:variant>
      <vt:variant>
        <vt:lpwstr/>
      </vt:variant>
      <vt:variant>
        <vt:i4>4325399</vt:i4>
      </vt:variant>
      <vt:variant>
        <vt:i4>45</vt:i4>
      </vt:variant>
      <vt:variant>
        <vt:i4>0</vt:i4>
      </vt:variant>
      <vt:variant>
        <vt:i4>5</vt:i4>
      </vt:variant>
      <vt:variant>
        <vt:lpwstr>apis://Base=NARH&amp;DocCode=42492&amp;ToPar=Art41&amp;Type=201/</vt:lpwstr>
      </vt:variant>
      <vt:variant>
        <vt:lpwstr/>
      </vt:variant>
      <vt:variant>
        <vt:i4>2490407</vt:i4>
      </vt:variant>
      <vt:variant>
        <vt:i4>42</vt:i4>
      </vt:variant>
      <vt:variant>
        <vt:i4>0</vt:i4>
      </vt:variant>
      <vt:variant>
        <vt:i4>5</vt:i4>
      </vt:variant>
      <vt:variant>
        <vt:lpwstr>https://strategy.asapbg.com/bg/advisory-boards</vt:lpwstr>
      </vt:variant>
      <vt:variant>
        <vt:lpwstr/>
      </vt:variant>
      <vt:variant>
        <vt:i4>3342459</vt:i4>
      </vt:variant>
      <vt:variant>
        <vt:i4>39</vt:i4>
      </vt:variant>
      <vt:variant>
        <vt:i4>0</vt:i4>
      </vt:variant>
      <vt:variant>
        <vt:i4>5</vt:i4>
      </vt:variant>
      <vt:variant>
        <vt:lpwstr>https://www.facebook.com/profile.php?id=100089422008718</vt:lpwstr>
      </vt:variant>
      <vt:variant>
        <vt:lpwstr/>
      </vt:variant>
      <vt:variant>
        <vt:i4>4915220</vt:i4>
      </vt:variant>
      <vt:variant>
        <vt:i4>36</vt:i4>
      </vt:variant>
      <vt:variant>
        <vt:i4>0</vt:i4>
      </vt:variant>
      <vt:variant>
        <vt:i4>5</vt:i4>
      </vt:variant>
      <vt:variant>
        <vt:lpwstr>http://www.solvit.government.bg/</vt:lpwstr>
      </vt:variant>
      <vt:variant>
        <vt:lpwstr/>
      </vt:variant>
      <vt:variant>
        <vt:i4>5046371</vt:i4>
      </vt:variant>
      <vt:variant>
        <vt:i4>33</vt:i4>
      </vt:variant>
      <vt:variant>
        <vt:i4>0</vt:i4>
      </vt:variant>
      <vt:variant>
        <vt:i4>5</vt:i4>
      </vt:variant>
      <vt:variant>
        <vt:lpwstr>mailto:EUcoordination@government.bg</vt:lpwstr>
      </vt:variant>
      <vt:variant>
        <vt:lpwstr/>
      </vt:variant>
      <vt:variant>
        <vt:i4>70779977</vt:i4>
      </vt:variant>
      <vt:variant>
        <vt:i4>30</vt:i4>
      </vt:variant>
      <vt:variant>
        <vt:i4>0</vt:i4>
      </vt:variant>
      <vt:variant>
        <vt:i4>5</vt:i4>
      </vt:variant>
      <vt:variant>
        <vt:lpwstr>https://www.facebook.com/pg/Координация-по-въпросите-на-ЕС-461139224008947/posts/?ref=page_internal</vt:lpwstr>
      </vt:variant>
      <vt:variant>
        <vt:lpwstr/>
      </vt:variant>
      <vt:variant>
        <vt:i4>5570586</vt:i4>
      </vt:variant>
      <vt:variant>
        <vt:i4>27</vt:i4>
      </vt:variant>
      <vt:variant>
        <vt:i4>0</vt:i4>
      </vt:variant>
      <vt:variant>
        <vt:i4>5</vt:i4>
      </vt:variant>
      <vt:variant>
        <vt:lpwstr>https://pitay.government.bg/PDoiExt/</vt:lpwstr>
      </vt:variant>
      <vt:variant>
        <vt:lpwstr/>
      </vt:variant>
      <vt:variant>
        <vt:i4>983060</vt:i4>
      </vt:variant>
      <vt:variant>
        <vt:i4>24</vt:i4>
      </vt:variant>
      <vt:variant>
        <vt:i4>0</vt:i4>
      </vt:variant>
      <vt:variant>
        <vt:i4>5</vt:i4>
      </vt:variant>
      <vt:variant>
        <vt:lpwstr>https://pitay.government.bg/</vt:lpwstr>
      </vt:variant>
      <vt:variant>
        <vt:lpwstr/>
      </vt:variant>
      <vt:variant>
        <vt:i4>7340091</vt:i4>
      </vt:variant>
      <vt:variant>
        <vt:i4>21</vt:i4>
      </vt:variant>
      <vt:variant>
        <vt:i4>0</vt:i4>
      </vt:variant>
      <vt:variant>
        <vt:i4>5</vt:i4>
      </vt:variant>
      <vt:variant>
        <vt:lpwstr>http://www.strategy.bg/</vt:lpwstr>
      </vt:variant>
      <vt:variant>
        <vt:lpwstr/>
      </vt:variant>
      <vt:variant>
        <vt:i4>6029394</vt:i4>
      </vt:variant>
      <vt:variant>
        <vt:i4>18</vt:i4>
      </vt:variant>
      <vt:variant>
        <vt:i4>0</vt:i4>
      </vt:variant>
      <vt:variant>
        <vt:i4>5</vt:i4>
      </vt:variant>
      <vt:variant>
        <vt:lpwstr>https://strategy.bg/Publications/View.aspx?lang=bg-BG&amp;categoryId=&amp;Id=370&amp;y=&amp;m=&amp;d=</vt:lpwstr>
      </vt:variant>
      <vt:variant>
        <vt:lpwstr/>
      </vt:variant>
      <vt:variant>
        <vt:i4>3080295</vt:i4>
      </vt:variant>
      <vt:variant>
        <vt:i4>15</vt:i4>
      </vt:variant>
      <vt:variant>
        <vt:i4>0</vt:i4>
      </vt:variant>
      <vt:variant>
        <vt:i4>5</vt:i4>
      </vt:variant>
      <vt:variant>
        <vt:lpwstr>http://www.staj.government.bg/</vt:lpwstr>
      </vt:variant>
      <vt:variant>
        <vt:lpwstr/>
      </vt:variant>
      <vt:variant>
        <vt:i4>3473509</vt:i4>
      </vt:variant>
      <vt:variant>
        <vt:i4>12</vt:i4>
      </vt:variant>
      <vt:variant>
        <vt:i4>0</vt:i4>
      </vt:variant>
      <vt:variant>
        <vt:i4>5</vt:i4>
      </vt:variant>
      <vt:variant>
        <vt:lpwstr>http://www.jobs.government.bg/</vt:lpwstr>
      </vt:variant>
      <vt:variant>
        <vt:lpwstr/>
      </vt:variant>
      <vt:variant>
        <vt:i4>1704008</vt:i4>
      </vt:variant>
      <vt:variant>
        <vt:i4>9</vt:i4>
      </vt:variant>
      <vt:variant>
        <vt:i4>0</vt:i4>
      </vt:variant>
      <vt:variant>
        <vt:i4>5</vt:i4>
      </vt:variant>
      <vt:variant>
        <vt:lpwstr>apis://Base=NARH&amp;DocCode=57508&amp;Type=201/</vt:lpwstr>
      </vt:variant>
      <vt:variant>
        <vt:lpwstr/>
      </vt:variant>
      <vt:variant>
        <vt:i4>6946860</vt:i4>
      </vt:variant>
      <vt:variant>
        <vt:i4>6</vt:i4>
      </vt:variant>
      <vt:variant>
        <vt:i4>0</vt:i4>
      </vt:variant>
      <vt:variant>
        <vt:i4>5</vt:i4>
      </vt:variant>
      <vt:variant>
        <vt:lpwstr>apis://Base=NARH&amp;DocCode=84498&amp;ToPar=Art9&amp;Type=201/</vt:lpwstr>
      </vt:variant>
      <vt:variant>
        <vt:lpwstr/>
      </vt:variant>
      <vt:variant>
        <vt:i4>1179721</vt:i4>
      </vt:variant>
      <vt:variant>
        <vt:i4>3</vt:i4>
      </vt:variant>
      <vt:variant>
        <vt:i4>0</vt:i4>
      </vt:variant>
      <vt:variant>
        <vt:i4>5</vt:i4>
      </vt:variant>
      <vt:variant>
        <vt:lpwstr>apis://Base=NARH&amp;DocCode=40165&amp;Type=201/</vt:lpwstr>
      </vt:variant>
      <vt:variant>
        <vt:lpwstr/>
      </vt:variant>
      <vt:variant>
        <vt:i4>3342462</vt:i4>
      </vt:variant>
      <vt:variant>
        <vt:i4>0</vt:i4>
      </vt:variant>
      <vt:variant>
        <vt:i4>0</vt:i4>
      </vt:variant>
      <vt:variant>
        <vt:i4>5</vt:i4>
      </vt:variant>
      <vt:variant>
        <vt:lpwstr>https://2020.eufunds.bg/bg/8010777/0/Project/BasicData?contractId=eD%2FKmueUwmmI0mx0FDG%2F0Q%3D%3D&amp;isHistoric=False</vt:lpwstr>
      </vt:variant>
      <vt:variant>
        <vt:lpwstr/>
      </vt:variant>
      <vt:variant>
        <vt:i4>2818168</vt:i4>
      </vt:variant>
      <vt:variant>
        <vt:i4>21</vt:i4>
      </vt:variant>
      <vt:variant>
        <vt:i4>0</vt:i4>
      </vt:variant>
      <vt:variant>
        <vt:i4>5</vt:i4>
      </vt:variant>
      <vt:variant>
        <vt:lpwstr>https://eumis2020.government.bg/bg/s/8d3ebf57-ff75-4ad5-afa1-5747f558ee98/Procedure/InfoEnded/cac6cb6c-6848-42b0-89b1-dc9e906970c3</vt:lpwstr>
      </vt:variant>
      <vt:variant>
        <vt:lpwstr/>
      </vt:variant>
      <vt:variant>
        <vt:i4>393217</vt:i4>
      </vt:variant>
      <vt:variant>
        <vt:i4>18</vt:i4>
      </vt:variant>
      <vt:variant>
        <vt:i4>0</vt:i4>
      </vt:variant>
      <vt:variant>
        <vt:i4>5</vt:i4>
      </vt:variant>
      <vt:variant>
        <vt:lpwstr>https://eumis2020.government.bg/bg/s/8d3ebf57-ff75-4ad5-afa1-5747f558ee98/Procedure/Info/3815d03c-1042-4fad-9d68-0f2ce559fac6</vt:lpwstr>
      </vt:variant>
      <vt:variant>
        <vt:lpwstr/>
      </vt:variant>
      <vt:variant>
        <vt:i4>393217</vt:i4>
      </vt:variant>
      <vt:variant>
        <vt:i4>15</vt:i4>
      </vt:variant>
      <vt:variant>
        <vt:i4>0</vt:i4>
      </vt:variant>
      <vt:variant>
        <vt:i4>5</vt:i4>
      </vt:variant>
      <vt:variant>
        <vt:lpwstr>https://eumis2020.government.bg/bg/s/8d3ebf57-ff75-4ad5-afa1-5747f558ee98/Procedure/Info/3815d03c-1042-4fad-9d68-0f2ce559fac6</vt:lpwstr>
      </vt:variant>
      <vt:variant>
        <vt:lpwstr/>
      </vt:variant>
      <vt:variant>
        <vt:i4>393217</vt:i4>
      </vt:variant>
      <vt:variant>
        <vt:i4>12</vt:i4>
      </vt:variant>
      <vt:variant>
        <vt:i4>0</vt:i4>
      </vt:variant>
      <vt:variant>
        <vt:i4>5</vt:i4>
      </vt:variant>
      <vt:variant>
        <vt:lpwstr>https://eumis2020.government.bg/bg/s/8d3ebf57-ff75-4ad5-afa1-5747f558ee98/Procedure/Info/3815d03c-1042-4fad-9d68-0f2ce559fac6</vt:lpwstr>
      </vt:variant>
      <vt:variant>
        <vt:lpwstr/>
      </vt:variant>
      <vt:variant>
        <vt:i4>393217</vt:i4>
      </vt:variant>
      <vt:variant>
        <vt:i4>9</vt:i4>
      </vt:variant>
      <vt:variant>
        <vt:i4>0</vt:i4>
      </vt:variant>
      <vt:variant>
        <vt:i4>5</vt:i4>
      </vt:variant>
      <vt:variant>
        <vt:lpwstr>https://eumis2020.government.bg/bg/s/8d3ebf57-ff75-4ad5-afa1-5747f558ee98/Procedure/Info/3815d03c-1042-4fad-9d68-0f2ce559fac6</vt:lpwstr>
      </vt:variant>
      <vt:variant>
        <vt:lpwstr/>
      </vt:variant>
      <vt:variant>
        <vt:i4>393217</vt:i4>
      </vt:variant>
      <vt:variant>
        <vt:i4>6</vt:i4>
      </vt:variant>
      <vt:variant>
        <vt:i4>0</vt:i4>
      </vt:variant>
      <vt:variant>
        <vt:i4>5</vt:i4>
      </vt:variant>
      <vt:variant>
        <vt:lpwstr>https://eumis2020.government.bg/bg/s/8d3ebf57-ff75-4ad5-afa1-5747f558ee98/Procedure/Info/3815d03c-1042-4fad-9d68-0f2ce559fac6</vt:lpwstr>
      </vt:variant>
      <vt:variant>
        <vt:lpwstr/>
      </vt:variant>
      <vt:variant>
        <vt:i4>393217</vt:i4>
      </vt:variant>
      <vt:variant>
        <vt:i4>3</vt:i4>
      </vt:variant>
      <vt:variant>
        <vt:i4>0</vt:i4>
      </vt:variant>
      <vt:variant>
        <vt:i4>5</vt:i4>
      </vt:variant>
      <vt:variant>
        <vt:lpwstr>https://eumis2020.government.bg/bg/s/8d3ebf57-ff75-4ad5-afa1-5747f558ee98/Procedure/Info/3815d03c-1042-4fad-9d68-0f2ce559fac6</vt:lpwstr>
      </vt:variant>
      <vt:variant>
        <vt:lpwstr/>
      </vt:variant>
      <vt:variant>
        <vt:i4>393217</vt:i4>
      </vt:variant>
      <vt:variant>
        <vt:i4>0</vt:i4>
      </vt:variant>
      <vt:variant>
        <vt:i4>0</vt:i4>
      </vt:variant>
      <vt:variant>
        <vt:i4>5</vt:i4>
      </vt:variant>
      <vt:variant>
        <vt:lpwstr>https://eumis2020.government.bg/bg/s/8d3ebf57-ff75-4ad5-afa1-5747f558ee98/Procedure/Info/3815d03c-1042-4fad-9d68-0f2ce559fac6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ГОДИШЕН ОТЧЕТ</dc:title>
  <dc:subject/>
  <dc:creator>i.shopova</dc:creator>
  <cp:keywords/>
  <cp:lastModifiedBy>Илиана Шопова</cp:lastModifiedBy>
  <cp:revision>2</cp:revision>
  <cp:lastPrinted>2025-08-15T08:17:00Z</cp:lastPrinted>
  <dcterms:created xsi:type="dcterms:W3CDTF">2025-08-27T06:05:00Z</dcterms:created>
  <dcterms:modified xsi:type="dcterms:W3CDTF">2025-08-27T06:05:00Z</dcterms:modified>
</cp:coreProperties>
</file>